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54EF" w14:textId="17CDDCB7" w:rsidR="007F3E0C" w:rsidRDefault="007F3E0C" w:rsidP="007F3E0C">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bookmarkStart w:id="0" w:name="_Hlk68005436"/>
      <w:bookmarkStart w:id="1" w:name="_Toc69491414"/>
      <w:r>
        <w:rPr>
          <w:rFonts w:ascii="Arial" w:hAnsi="Arial" w:cs="Arial"/>
          <w:b/>
          <w:bCs/>
          <w:color w:val="000080"/>
          <w:sz w:val="36"/>
          <w:szCs w:val="36"/>
        </w:rPr>
        <w:t>Medical Services Advisory Committee (MSAC)</w:t>
      </w:r>
      <w:r>
        <w:rPr>
          <w:rFonts w:ascii="Arial" w:hAnsi="Arial" w:cs="Arial"/>
          <w:b/>
          <w:bCs/>
          <w:color w:val="000080"/>
          <w:sz w:val="36"/>
          <w:szCs w:val="36"/>
        </w:rPr>
        <w:br/>
      </w:r>
      <w:r w:rsidR="00F76D74" w:rsidRPr="00F76D74">
        <w:rPr>
          <w:rFonts w:ascii="Arial" w:hAnsi="Arial" w:cs="Arial"/>
          <w:b/>
          <w:bCs/>
          <w:color w:val="000080"/>
          <w:sz w:val="36"/>
          <w:szCs w:val="36"/>
        </w:rPr>
        <w:t>Public Summary Document</w:t>
      </w:r>
    </w:p>
    <w:p w14:paraId="429862C4" w14:textId="77777777" w:rsidR="007F3E0C" w:rsidRPr="00CE28E3" w:rsidRDefault="007F3E0C" w:rsidP="00F76D74">
      <w:pPr>
        <w:pStyle w:val="Subtitle"/>
        <w:spacing w:before="360"/>
      </w:pPr>
      <w:r w:rsidRPr="00CE28E3">
        <w:t>Application No</w:t>
      </w:r>
      <w:r w:rsidRPr="00BE0280">
        <w:t xml:space="preserve">. 1657 – </w:t>
      </w:r>
      <w:r>
        <w:t>Rhenium-188 brachytherapy for non-melanoma skin cancer</w:t>
      </w:r>
    </w:p>
    <w:p w14:paraId="6AC04FCE" w14:textId="6E29A482" w:rsidR="007F3E0C" w:rsidRDefault="007F3E0C" w:rsidP="007F3E0C">
      <w:pPr>
        <w:spacing w:after="240"/>
        <w:ind w:left="3402" w:hanging="3402"/>
        <w:rPr>
          <w:rFonts w:ascii="Arial" w:hAnsi="Arial" w:cs="Arial"/>
          <w:b/>
          <w:szCs w:val="24"/>
        </w:rPr>
      </w:pPr>
      <w:r w:rsidRPr="001A4B85">
        <w:rPr>
          <w:rFonts w:ascii="Arial" w:hAnsi="Arial" w:cs="Arial"/>
          <w:b/>
          <w:szCs w:val="24"/>
        </w:rPr>
        <w:t>Applicant:</w:t>
      </w:r>
      <w:r w:rsidRPr="001A4B85">
        <w:rPr>
          <w:rFonts w:ascii="Arial" w:hAnsi="Arial" w:cs="Arial"/>
          <w:b/>
          <w:szCs w:val="24"/>
        </w:rPr>
        <w:tab/>
      </w:r>
      <w:r w:rsidRPr="001D2657">
        <w:rPr>
          <w:rFonts w:ascii="Arial" w:hAnsi="Arial" w:cs="Arial"/>
          <w:b/>
          <w:szCs w:val="24"/>
        </w:rPr>
        <w:t>OncoBeta Therapeutics Australia Pty Ltd</w:t>
      </w:r>
    </w:p>
    <w:p w14:paraId="70BC347F" w14:textId="70D51009" w:rsidR="00DC2288" w:rsidRDefault="00DC2288" w:rsidP="00F76D74">
      <w:pPr>
        <w:tabs>
          <w:tab w:val="left" w:pos="3402"/>
        </w:tabs>
        <w:spacing w:before="320" w:after="240"/>
        <w:rPr>
          <w:rFonts w:ascii="Arial" w:eastAsia="Times New Roman" w:hAnsi="Arial" w:cs="Arial"/>
          <w:b/>
          <w:bCs/>
          <w:color w:val="000000"/>
          <w:szCs w:val="20"/>
          <w:lang w:eastAsia="en-AU"/>
        </w:rPr>
      </w:pPr>
      <w:r w:rsidRPr="00DC2288">
        <w:rPr>
          <w:rFonts w:ascii="Arial" w:eastAsia="Times New Roman" w:hAnsi="Arial" w:cs="Arial"/>
          <w:b/>
          <w:bCs/>
          <w:color w:val="000000"/>
          <w:szCs w:val="20"/>
          <w:lang w:eastAsia="en-AU"/>
        </w:rPr>
        <w:t xml:space="preserve">Date of </w:t>
      </w:r>
      <w:r w:rsidR="00F76D74">
        <w:rPr>
          <w:rFonts w:ascii="Arial" w:eastAsia="Times New Roman" w:hAnsi="Arial" w:cs="Arial"/>
          <w:b/>
          <w:bCs/>
          <w:color w:val="000000"/>
          <w:szCs w:val="20"/>
          <w:lang w:eastAsia="en-AU"/>
        </w:rPr>
        <w:t>MSAC</w:t>
      </w:r>
      <w:r w:rsidRPr="00DC2288">
        <w:rPr>
          <w:rFonts w:ascii="Arial" w:eastAsia="Times New Roman" w:hAnsi="Arial" w:cs="Arial"/>
          <w:b/>
          <w:bCs/>
          <w:color w:val="000000"/>
          <w:szCs w:val="20"/>
          <w:lang w:eastAsia="en-AU"/>
        </w:rPr>
        <w:t xml:space="preserve"> consideration:</w:t>
      </w:r>
      <w:r w:rsidRPr="00DC2288">
        <w:rPr>
          <w:rFonts w:ascii="Arial" w:eastAsia="Times New Roman" w:hAnsi="Arial" w:cs="Arial"/>
          <w:b/>
          <w:bCs/>
          <w:color w:val="000000"/>
          <w:szCs w:val="20"/>
          <w:lang w:eastAsia="en-AU"/>
        </w:rPr>
        <w:tab/>
      </w:r>
      <w:r w:rsidR="00F76D74">
        <w:rPr>
          <w:rFonts w:ascii="Arial" w:eastAsia="Times New Roman" w:hAnsi="Arial" w:cs="Arial"/>
          <w:b/>
          <w:bCs/>
          <w:color w:val="000000"/>
          <w:szCs w:val="20"/>
          <w:lang w:eastAsia="en-AU"/>
        </w:rPr>
        <w:t>27 July</w:t>
      </w:r>
      <w:r w:rsidRPr="00DC2288">
        <w:rPr>
          <w:rFonts w:ascii="Arial" w:eastAsia="Times New Roman" w:hAnsi="Arial" w:cs="Arial"/>
          <w:b/>
          <w:bCs/>
          <w:color w:val="000000"/>
          <w:szCs w:val="20"/>
          <w:lang w:eastAsia="en-AU"/>
        </w:rPr>
        <w:t xml:space="preserve"> 2023</w:t>
      </w:r>
    </w:p>
    <w:p w14:paraId="17CA80C6" w14:textId="77777777" w:rsidR="00F11209" w:rsidRPr="00775E8C" w:rsidRDefault="00F11209" w:rsidP="00F11209">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487D518" w:rsidP="00C36633">
      <w:pPr>
        <w:pStyle w:val="Heading2"/>
        <w:numPr>
          <w:ilvl w:val="1"/>
          <w:numId w:val="0"/>
        </w:numPr>
      </w:pPr>
      <w:bookmarkStart w:id="2" w:name="_Toc69491415"/>
      <w:bookmarkEnd w:id="0"/>
      <w:bookmarkEnd w:id="1"/>
      <w:r>
        <w:t>1.</w:t>
      </w:r>
      <w:r w:rsidR="00C36633">
        <w:tab/>
      </w:r>
      <w:r w:rsidR="48B63FC6">
        <w:t>Purpose of application</w:t>
      </w:r>
      <w:bookmarkEnd w:id="2"/>
    </w:p>
    <w:p w14:paraId="2B03B099" w14:textId="5D3CB821" w:rsidR="00772829" w:rsidRPr="009A3778" w:rsidRDefault="005545B1" w:rsidP="10820A97">
      <w:pPr>
        <w:spacing w:after="240" w:line="257" w:lineRule="auto"/>
      </w:pPr>
      <w:r>
        <w:rPr>
          <w:rFonts w:eastAsia="Franklin Gothic Book" w:cs="Franklin Gothic Book"/>
        </w:rPr>
        <w:t>An</w:t>
      </w:r>
      <w:r w:rsidR="073A803F" w:rsidRPr="11265896" w:rsidDel="000F73DE">
        <w:rPr>
          <w:rFonts w:eastAsia="Franklin Gothic Book" w:cs="Franklin Gothic Book"/>
        </w:rPr>
        <w:t xml:space="preserve"> </w:t>
      </w:r>
      <w:r w:rsidR="000F73DE">
        <w:rPr>
          <w:rFonts w:eastAsia="Franklin Gothic Book" w:cs="Franklin Gothic Book"/>
        </w:rPr>
        <w:t>a</w:t>
      </w:r>
      <w:r w:rsidR="000F73DE" w:rsidRPr="11265896">
        <w:rPr>
          <w:rFonts w:eastAsia="Franklin Gothic Book" w:cs="Franklin Gothic Book"/>
        </w:rPr>
        <w:t xml:space="preserve">pplication </w:t>
      </w:r>
      <w:r w:rsidR="335D55E0" w:rsidRPr="11265896">
        <w:rPr>
          <w:rFonts w:eastAsia="Franklin Gothic Book" w:cs="Franklin Gothic Book"/>
        </w:rPr>
        <w:t>requesting Medicare Benefits Schedule (MBS) listing of high</w:t>
      </w:r>
      <w:r w:rsidR="0BD72E8E" w:rsidRPr="11265896">
        <w:rPr>
          <w:rFonts w:eastAsia="Franklin Gothic Book" w:cs="Franklin Gothic Book"/>
        </w:rPr>
        <w:t>-</w:t>
      </w:r>
      <w:r w:rsidR="335D55E0" w:rsidRPr="11265896">
        <w:rPr>
          <w:rFonts w:eastAsia="Franklin Gothic Book" w:cs="Franklin Gothic Book"/>
        </w:rPr>
        <w:t>dose brachytherapy with Rhenium-188 (Re-188) for patients with certain keratinocyte cancers was received from OncoBeta Therapeutics Australia Pty Ltd by the Department of Health</w:t>
      </w:r>
      <w:r w:rsidR="00F76D74">
        <w:rPr>
          <w:rFonts w:eastAsia="Franklin Gothic Book" w:cs="Franklin Gothic Book"/>
        </w:rPr>
        <w:t xml:space="preserve"> and Aged Care</w:t>
      </w:r>
      <w:r w:rsidR="335D55E0" w:rsidRPr="11265896">
        <w:rPr>
          <w:rFonts w:eastAsia="Franklin Gothic Book" w:cs="Franklin Gothic Book"/>
        </w:rPr>
        <w:t>.</w:t>
      </w:r>
      <w:bookmarkStart w:id="3" w:name="_Hlk69734469"/>
    </w:p>
    <w:p w14:paraId="02952F8C" w14:textId="48325992" w:rsidR="00F76D74" w:rsidRDefault="0487D518" w:rsidP="002A18BE">
      <w:pPr>
        <w:pStyle w:val="Heading2"/>
        <w:numPr>
          <w:ilvl w:val="1"/>
          <w:numId w:val="0"/>
        </w:numPr>
      </w:pPr>
      <w:bookmarkStart w:id="4" w:name="_Toc69491416"/>
      <w:bookmarkEnd w:id="3"/>
      <w:r>
        <w:t>2.</w:t>
      </w:r>
      <w:r w:rsidR="00C36633">
        <w:tab/>
      </w:r>
      <w:r w:rsidR="00F76D74">
        <w:t>MSAC’s advice to the Minister</w:t>
      </w:r>
    </w:p>
    <w:p w14:paraId="4B9932F8" w14:textId="0E876BE5" w:rsidR="00A01CEC" w:rsidRDefault="00F76D74" w:rsidP="00A01CEC">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00A01CEC">
        <w:t xml:space="preserve">MSAC did not support the public funding of </w:t>
      </w:r>
      <w:r w:rsidR="00A01CEC" w:rsidRPr="00B230B8">
        <w:t>high-dose brachytherapy with an epidermal isotope composed of Re-188 in patients with non-melanoma skin cancers (including basal cell and squamous cell carcinomas) who are contraindicated for surgery</w:t>
      </w:r>
      <w:r w:rsidR="00A01CEC">
        <w:t xml:space="preserve">. </w:t>
      </w:r>
    </w:p>
    <w:p w14:paraId="2B7321D6" w14:textId="11E7EC14" w:rsidR="00A01CEC" w:rsidRPr="007D5DC4" w:rsidRDefault="00A01CEC" w:rsidP="00A01CEC">
      <w:pPr>
        <w:rPr>
          <w:rFonts w:eastAsia="Segoe UI"/>
        </w:rPr>
      </w:pPr>
      <w:r w:rsidRPr="29E763D3">
        <w:t>MSAC considered that the comparative safety and effectiveness of Re-188 relative to external beam radiation therapy (EBRT) was uncertain due to limitations in the evidence base. However, MSAC noted an ongoing prospective study for Re-188 brachytherapy (the EPIC</w:t>
      </w:r>
      <w:r w:rsidR="008F7028">
        <w:t>-Skin</w:t>
      </w:r>
      <w:r w:rsidRPr="29E763D3">
        <w:t xml:space="preserve"> study) may improve the level of evidence for Re-188 brachytherapy once completed. </w:t>
      </w:r>
      <w:r w:rsidRPr="29E763D3">
        <w:rPr>
          <w:rFonts w:eastAsia="Segoe UI"/>
        </w:rPr>
        <w:t xml:space="preserve">MSAC considered the economic analysis, which claimed </w:t>
      </w:r>
      <w:r w:rsidRPr="29E763D3">
        <w:t>Re</w:t>
      </w:r>
      <w:r w:rsidRPr="29E763D3">
        <w:rPr>
          <w:rFonts w:eastAsia="Segoe UI"/>
        </w:rPr>
        <w:t xml:space="preserve">-188 brachytherapy was cost-saving compared to EBRT, was highly uncertain. This was primarily due to significant variability in clinical expert advice regarding the appropriate EBRT </w:t>
      </w:r>
      <w:r w:rsidR="00486079">
        <w:rPr>
          <w:rFonts w:eastAsia="Segoe UI"/>
        </w:rPr>
        <w:t xml:space="preserve">comparator </w:t>
      </w:r>
      <w:r w:rsidRPr="29E763D3">
        <w:rPr>
          <w:rFonts w:eastAsia="Segoe UI"/>
        </w:rPr>
        <w:t xml:space="preserve">modalities, weighting of the modalities and fractionation schedules. </w:t>
      </w:r>
      <w:r w:rsidR="0099418C">
        <w:rPr>
          <w:rFonts w:eastAsia="Segoe UI"/>
        </w:rPr>
        <w:t>With respect to the comparator</w:t>
      </w:r>
      <w:r w:rsidR="0084099B">
        <w:rPr>
          <w:rFonts w:eastAsia="Segoe UI"/>
        </w:rPr>
        <w:t>,</w:t>
      </w:r>
      <w:r w:rsidR="0099418C">
        <w:rPr>
          <w:rFonts w:eastAsia="Segoe UI"/>
        </w:rPr>
        <w:t xml:space="preserve"> </w:t>
      </w:r>
      <w:r w:rsidR="005F42FB">
        <w:rPr>
          <w:rFonts w:eastAsia="Segoe UI"/>
        </w:rPr>
        <w:t>it was noted that orthovoltage radiation therapy has historically served as the mainstay of treatment for cutaneous malignancy because the maxim</w:t>
      </w:r>
      <w:r w:rsidR="00570AE3">
        <w:rPr>
          <w:rFonts w:eastAsia="Segoe UI"/>
        </w:rPr>
        <w:t xml:space="preserve">um beam energy is at the skin surface where the malignancy is located and the radiation dose falls off </w:t>
      </w:r>
      <w:r w:rsidR="0084099B">
        <w:rPr>
          <w:rFonts w:eastAsia="Segoe UI"/>
        </w:rPr>
        <w:t xml:space="preserve">rapidly, sparing normal tissues. The use of this modality </w:t>
      </w:r>
      <w:r w:rsidR="00D32EE9">
        <w:rPr>
          <w:rFonts w:eastAsia="Segoe UI"/>
        </w:rPr>
        <w:t xml:space="preserve">may have reduced because of equipment availability and hence </w:t>
      </w:r>
      <w:r w:rsidR="00773B9E">
        <w:rPr>
          <w:rFonts w:eastAsia="Segoe UI"/>
        </w:rPr>
        <w:t>high energy linear accelerator</w:t>
      </w:r>
      <w:r w:rsidR="00FF417E">
        <w:rPr>
          <w:rFonts w:eastAsia="Segoe UI"/>
        </w:rPr>
        <w:t xml:space="preserve"> </w:t>
      </w:r>
      <w:r w:rsidR="00771740">
        <w:rPr>
          <w:rFonts w:eastAsia="Segoe UI"/>
        </w:rPr>
        <w:t xml:space="preserve">treatment </w:t>
      </w:r>
      <w:r w:rsidR="00773B9E">
        <w:rPr>
          <w:rFonts w:eastAsia="Segoe UI"/>
        </w:rPr>
        <w:t xml:space="preserve">might be </w:t>
      </w:r>
      <w:r w:rsidR="005A5A1A">
        <w:rPr>
          <w:rFonts w:eastAsia="Segoe UI"/>
        </w:rPr>
        <w:t>utilised</w:t>
      </w:r>
      <w:r w:rsidR="00773B9E">
        <w:rPr>
          <w:rFonts w:eastAsia="Segoe UI"/>
        </w:rPr>
        <w:t xml:space="preserve"> in some centres. </w:t>
      </w:r>
      <w:r w:rsidR="00A247F3">
        <w:rPr>
          <w:rFonts w:eastAsia="Segoe UI"/>
        </w:rPr>
        <w:t xml:space="preserve">Because there was lack of clarity around the </w:t>
      </w:r>
      <w:r w:rsidR="00777458" w:rsidRPr="00777458">
        <w:rPr>
          <w:rFonts w:eastAsia="Segoe UI"/>
        </w:rPr>
        <w:t>appropriate EBRT modalities used to treat non-melanoma skin cancers</w:t>
      </w:r>
      <w:r w:rsidR="00A247F3">
        <w:rPr>
          <w:rFonts w:eastAsia="Segoe UI"/>
        </w:rPr>
        <w:t>, this created</w:t>
      </w:r>
      <w:r w:rsidRPr="29E763D3">
        <w:rPr>
          <w:rFonts w:eastAsia="Segoe UI"/>
        </w:rPr>
        <w:t xml:space="preserve"> significant uncertainty in the EBRT costs and consequently the claimed cost-savings may not be realised. The financial analysis was also considered to be highly uncertain due to </w:t>
      </w:r>
      <w:r w:rsidR="005A653E">
        <w:rPr>
          <w:rFonts w:eastAsia="Segoe UI"/>
        </w:rPr>
        <w:t>the</w:t>
      </w:r>
      <w:r w:rsidRPr="29E763D3">
        <w:rPr>
          <w:rFonts w:eastAsia="Segoe UI"/>
        </w:rPr>
        <w:t xml:space="preserve"> </w:t>
      </w:r>
      <w:r w:rsidRPr="29E763D3">
        <w:t>likely</w:t>
      </w:r>
      <w:r w:rsidRPr="29E763D3">
        <w:rPr>
          <w:rFonts w:eastAsia="Segoe UI"/>
        </w:rPr>
        <w:t xml:space="preserve"> over-estimated comparator EBRT costs and inability to verify and rely on the estimated utilisation of Re-188 brachytherapy</w:t>
      </w:r>
      <w:r w:rsidRPr="29E763D3">
        <w:t xml:space="preserve">. </w:t>
      </w:r>
    </w:p>
    <w:p w14:paraId="57585483" w14:textId="07F86E5B" w:rsidR="00F76D74" w:rsidRDefault="00A01CEC" w:rsidP="00F76D74">
      <w:pPr>
        <w:rPr>
          <w:szCs w:val="24"/>
        </w:rPr>
      </w:pPr>
      <w:r>
        <w:t xml:space="preserve">MSAC advised that </w:t>
      </w:r>
      <w:r w:rsidR="00775B8D">
        <w:t xml:space="preserve">should the applicant contemplate a resubmission, any </w:t>
      </w:r>
      <w:r>
        <w:t xml:space="preserve">resubmission should present an improved evidence base for the comparative safety (including long-term safety) and effectiveness for Re-188 brachytherapy, provide </w:t>
      </w:r>
      <w:bookmarkStart w:id="5" w:name="_Hlk142397591"/>
      <w:r>
        <w:t xml:space="preserve">a more robust estimate of the comparator EBRT cost that is evidence based and considers the </w:t>
      </w:r>
      <w:r w:rsidRPr="00C30FF0">
        <w:t xml:space="preserve">different EBRT modalities </w:t>
      </w:r>
      <w:r>
        <w:t>used</w:t>
      </w:r>
      <w:r w:rsidRPr="00C30FF0">
        <w:t xml:space="preserve"> </w:t>
      </w:r>
      <w:r>
        <w:t xml:space="preserve">(including type of </w:t>
      </w:r>
      <w:r>
        <w:lastRenderedPageBreak/>
        <w:t xml:space="preserve">modalities, weighting and fractionation schedules) to treat the proposed patient population </w:t>
      </w:r>
      <w:r w:rsidRPr="00C30FF0">
        <w:t>across Australia</w:t>
      </w:r>
      <w:bookmarkEnd w:id="5"/>
      <w:r>
        <w:t xml:space="preserve">, revise the economic analysis to address the other issues raised, present a more transparent justification for the </w:t>
      </w:r>
      <w:r w:rsidRPr="001D67AC">
        <w:t>estimat</w:t>
      </w:r>
      <w:r>
        <w:t>ed utilisation and update the financial analysis accordingly.</w:t>
      </w:r>
    </w:p>
    <w:tbl>
      <w:tblPr>
        <w:tblStyle w:val="TableGrid"/>
        <w:tblW w:w="0" w:type="auto"/>
        <w:tblLook w:val="04A0" w:firstRow="1" w:lastRow="0" w:firstColumn="1" w:lastColumn="0" w:noHBand="0" w:noVBand="1"/>
        <w:tblDescription w:val="Consumer summary of MSAC consideration"/>
      </w:tblPr>
      <w:tblGrid>
        <w:gridCol w:w="9016"/>
      </w:tblGrid>
      <w:tr w:rsidR="00F76D74" w:rsidRPr="00AF46D8" w14:paraId="25596914" w14:textId="77777777">
        <w:trPr>
          <w:tblHeader/>
        </w:trPr>
        <w:tc>
          <w:tcPr>
            <w:tcW w:w="9016" w:type="dxa"/>
          </w:tcPr>
          <w:p w14:paraId="3C7666FA" w14:textId="77777777" w:rsidR="00F76D74" w:rsidRPr="00AF46D8" w:rsidRDefault="00F76D74">
            <w:pPr>
              <w:pStyle w:val="Heading3"/>
              <w:spacing w:before="120"/>
              <w:ind w:left="720" w:hanging="720"/>
              <w:rPr>
                <w:iCs/>
              </w:rPr>
            </w:pPr>
            <w:r w:rsidRPr="00AF46D8">
              <w:t>Consumer summary</w:t>
            </w:r>
          </w:p>
        </w:tc>
      </w:tr>
      <w:tr w:rsidR="00F76D74" w:rsidRPr="00AF46D8" w14:paraId="73F081F9" w14:textId="77777777">
        <w:tc>
          <w:tcPr>
            <w:tcW w:w="9016" w:type="dxa"/>
          </w:tcPr>
          <w:p w14:paraId="2C2DD36B" w14:textId="162A0456" w:rsidR="003177F6" w:rsidRDefault="003177F6" w:rsidP="003177F6">
            <w:r w:rsidRPr="00AF46D8">
              <w:t xml:space="preserve">This is an application from </w:t>
            </w:r>
            <w:r>
              <w:t>OncoBeta Therapeutics Australia Pty Ltd</w:t>
            </w:r>
            <w:r w:rsidRPr="00AF46D8">
              <w:t xml:space="preserve"> </w:t>
            </w:r>
            <w:r>
              <w:t>asking for</w:t>
            </w:r>
            <w:r w:rsidRPr="00AF46D8">
              <w:t xml:space="preserve"> Medicare Benefits Schedule (MBS) listing o</w:t>
            </w:r>
            <w:r>
              <w:t xml:space="preserve">f Rhenium-188 brachytherapy (Re-188) for non-melanoma skin cancer. Re-188 </w:t>
            </w:r>
            <w:r w:rsidR="009950F1">
              <w:t xml:space="preserve">brachytherapy </w:t>
            </w:r>
            <w:r>
              <w:t xml:space="preserve">is a form of radiation therapy </w:t>
            </w:r>
            <w:r w:rsidR="00CB7795">
              <w:t>where the</w:t>
            </w:r>
            <w:r w:rsidR="00A178FF">
              <w:t xml:space="preserve"> radioactive sou</w:t>
            </w:r>
            <w:r w:rsidR="009A16D6">
              <w:t>r</w:t>
            </w:r>
            <w:r w:rsidR="00A178FF">
              <w:t>ce, in this case</w:t>
            </w:r>
            <w:r w:rsidR="00CB7795">
              <w:t xml:space="preserve"> </w:t>
            </w:r>
            <w:r w:rsidR="00A178FF">
              <w:t xml:space="preserve">the </w:t>
            </w:r>
            <w:r w:rsidR="00CB7795">
              <w:t>Re-188 radio</w:t>
            </w:r>
            <w:r w:rsidR="00A178FF">
              <w:t xml:space="preserve">isotope, is </w:t>
            </w:r>
            <w:r w:rsidR="004F2115">
              <w:t>placed on the skin to kill the cancer cells.</w:t>
            </w:r>
            <w:r w:rsidR="008041F1" w:rsidDel="009950F1">
              <w:t xml:space="preserve"> </w:t>
            </w:r>
            <w:r w:rsidR="006F517E">
              <w:t xml:space="preserve">The patient’s skin </w:t>
            </w:r>
            <w:r w:rsidR="00846962">
              <w:t>cancer</w:t>
            </w:r>
            <w:r w:rsidR="006F517E">
              <w:t xml:space="preserve"> is covered by a protective foil </w:t>
            </w:r>
            <w:r w:rsidR="00B95ED7">
              <w:t>then a</w:t>
            </w:r>
            <w:r w:rsidR="00D63E56" w:rsidRPr="00D63E56">
              <w:t xml:space="preserve"> physician with a radiation licence</w:t>
            </w:r>
            <w:r w:rsidR="00D63E56">
              <w:t xml:space="preserve"> applies a</w:t>
            </w:r>
            <w:r w:rsidR="002973F8">
              <w:t xml:space="preserve"> paste containing </w:t>
            </w:r>
            <w:r w:rsidR="00B95ED7">
              <w:t>a high-dose</w:t>
            </w:r>
            <w:r w:rsidR="006F517E">
              <w:t xml:space="preserve"> </w:t>
            </w:r>
            <w:r w:rsidR="00D63E56">
              <w:t xml:space="preserve">of the </w:t>
            </w:r>
            <w:r w:rsidR="006F517E">
              <w:t xml:space="preserve">Re-188 </w:t>
            </w:r>
            <w:r w:rsidR="002973F8">
              <w:t>radioiso</w:t>
            </w:r>
            <w:r w:rsidR="009A16D6">
              <w:t>tope</w:t>
            </w:r>
            <w:r w:rsidR="006F517E">
              <w:t xml:space="preserve"> onto the </w:t>
            </w:r>
            <w:r w:rsidR="00D14F8E">
              <w:t xml:space="preserve">foil. </w:t>
            </w:r>
            <w:r w:rsidR="00693CFD">
              <w:t xml:space="preserve">The radiation from the Re-188 paste </w:t>
            </w:r>
            <w:r w:rsidR="001F6A49">
              <w:t xml:space="preserve">goes through the </w:t>
            </w:r>
            <w:r w:rsidR="00451C9E">
              <w:t>protective foil and into the skin cancer cells</w:t>
            </w:r>
            <w:r w:rsidR="00D14F8E">
              <w:t xml:space="preserve"> </w:t>
            </w:r>
            <w:r w:rsidR="00654301">
              <w:t>to kill them</w:t>
            </w:r>
            <w:r w:rsidR="00A921FE">
              <w:t>.</w:t>
            </w:r>
            <w:r w:rsidR="00654301">
              <w:t xml:space="preserve"> </w:t>
            </w:r>
            <w:r w:rsidR="00CA2AF5">
              <w:t xml:space="preserve">The </w:t>
            </w:r>
            <w:r w:rsidR="00163383">
              <w:t xml:space="preserve">physician determines how long to leave the Re-188 on </w:t>
            </w:r>
            <w:r w:rsidR="00CA2AF5" w:rsidRPr="00CA2AF5">
              <w:t xml:space="preserve">to achieve the </w:t>
            </w:r>
            <w:r w:rsidR="00163383">
              <w:t xml:space="preserve">correct radiation dosage to kill the cancer cells. </w:t>
            </w:r>
            <w:r w:rsidR="00CB7482">
              <w:t>The radiation from R</w:t>
            </w:r>
            <w:r w:rsidR="004F5EFD">
              <w:t>e</w:t>
            </w:r>
            <w:r w:rsidR="00CB7482">
              <w:t xml:space="preserve">-188 </w:t>
            </w:r>
            <w:r w:rsidR="006D5C63">
              <w:t xml:space="preserve">is not able to penetrate </w:t>
            </w:r>
            <w:r w:rsidR="00452FFC">
              <w:t>into deep tissue so is only proposed to treat shallow skin cancers (no more than 3mm deep).</w:t>
            </w:r>
          </w:p>
          <w:p w14:paraId="7514734E" w14:textId="3CD7416A" w:rsidR="003177F6" w:rsidRDefault="003177F6" w:rsidP="003177F6">
            <w:pPr>
              <w:rPr>
                <w:bCs/>
              </w:rPr>
            </w:pPr>
            <w:r>
              <w:rPr>
                <w:bCs/>
              </w:rPr>
              <w:t>N</w:t>
            </w:r>
            <w:r>
              <w:t xml:space="preserve">on-melanoma skin cancers </w:t>
            </w:r>
            <w:r>
              <w:rPr>
                <w:szCs w:val="24"/>
              </w:rPr>
              <w:t>are the</w:t>
            </w:r>
            <w:r w:rsidRPr="00574F77">
              <w:rPr>
                <w:bCs/>
              </w:rPr>
              <w:t xml:space="preserve"> most common form</w:t>
            </w:r>
            <w:r>
              <w:rPr>
                <w:bCs/>
              </w:rPr>
              <w:t>s</w:t>
            </w:r>
            <w:r w:rsidRPr="00574F77">
              <w:rPr>
                <w:bCs/>
              </w:rPr>
              <w:t xml:space="preserve"> of cancer in Australia</w:t>
            </w:r>
            <w:r>
              <w:rPr>
                <w:bCs/>
              </w:rPr>
              <w:t>. A</w:t>
            </w:r>
            <w:r w:rsidRPr="00574F77">
              <w:rPr>
                <w:bCs/>
              </w:rPr>
              <w:t xml:space="preserve">lmost </w:t>
            </w:r>
            <w:r>
              <w:rPr>
                <w:bCs/>
              </w:rPr>
              <w:t>1 </w:t>
            </w:r>
            <w:r w:rsidRPr="00574F77">
              <w:rPr>
                <w:bCs/>
              </w:rPr>
              <w:t xml:space="preserve">million cases </w:t>
            </w:r>
            <w:r>
              <w:rPr>
                <w:bCs/>
              </w:rPr>
              <w:t xml:space="preserve">are </w:t>
            </w:r>
            <w:r w:rsidRPr="00574F77">
              <w:rPr>
                <w:bCs/>
              </w:rPr>
              <w:t>diagnosed and treated each year.</w:t>
            </w:r>
            <w:r>
              <w:rPr>
                <w:bCs/>
              </w:rPr>
              <w:t xml:space="preserve"> </w:t>
            </w:r>
            <w:r w:rsidR="00F80D9F">
              <w:rPr>
                <w:bCs/>
              </w:rPr>
              <w:t>At the moment,</w:t>
            </w:r>
            <w:r>
              <w:rPr>
                <w:bCs/>
              </w:rPr>
              <w:t xml:space="preserve"> </w:t>
            </w:r>
            <w:r w:rsidR="00AB7E32">
              <w:rPr>
                <w:bCs/>
              </w:rPr>
              <w:t xml:space="preserve">non-melanoma skin cancers are generally treated </w:t>
            </w:r>
            <w:r w:rsidR="00562904">
              <w:rPr>
                <w:bCs/>
              </w:rPr>
              <w:t xml:space="preserve">with surgery. If a patient is not able to have surgery, then the skin cancer </w:t>
            </w:r>
            <w:r w:rsidR="00770149">
              <w:rPr>
                <w:bCs/>
              </w:rPr>
              <w:t>is usually treated with a type of radiation therapy called</w:t>
            </w:r>
            <w:r w:rsidR="00AB7E32">
              <w:rPr>
                <w:bCs/>
              </w:rPr>
              <w:t xml:space="preserve"> </w:t>
            </w:r>
            <w:r w:rsidR="0064448D">
              <w:rPr>
                <w:bCs/>
              </w:rPr>
              <w:t xml:space="preserve">external beam </w:t>
            </w:r>
            <w:r w:rsidR="00AB7E32">
              <w:rPr>
                <w:bCs/>
              </w:rPr>
              <w:t>radiotherapy</w:t>
            </w:r>
            <w:r w:rsidR="00E25F2D">
              <w:rPr>
                <w:bCs/>
              </w:rPr>
              <w:t xml:space="preserve"> </w:t>
            </w:r>
            <w:r w:rsidR="00FB4293">
              <w:rPr>
                <w:bCs/>
              </w:rPr>
              <w:t>(EBRT). This is a type of radiation</w:t>
            </w:r>
            <w:r w:rsidR="00E25F2D">
              <w:rPr>
                <w:bCs/>
              </w:rPr>
              <w:t xml:space="preserve"> treatment</w:t>
            </w:r>
            <w:r w:rsidR="00FB4293">
              <w:rPr>
                <w:bCs/>
              </w:rPr>
              <w:t xml:space="preserve"> </w:t>
            </w:r>
            <w:r w:rsidR="003D3595">
              <w:rPr>
                <w:bCs/>
              </w:rPr>
              <w:t xml:space="preserve">where a machine </w:t>
            </w:r>
            <w:r w:rsidR="003025F9">
              <w:rPr>
                <w:bCs/>
              </w:rPr>
              <w:t>aims radiation beams at</w:t>
            </w:r>
            <w:r w:rsidR="003D6F37">
              <w:rPr>
                <w:bCs/>
              </w:rPr>
              <w:t xml:space="preserve"> </w:t>
            </w:r>
            <w:r w:rsidR="00A57564">
              <w:rPr>
                <w:bCs/>
              </w:rPr>
              <w:t xml:space="preserve">a person’s </w:t>
            </w:r>
            <w:r w:rsidR="00BB06EA">
              <w:rPr>
                <w:bCs/>
              </w:rPr>
              <w:t xml:space="preserve">cancer </w:t>
            </w:r>
            <w:r w:rsidR="00FA6A12">
              <w:rPr>
                <w:bCs/>
              </w:rPr>
              <w:t>cells</w:t>
            </w:r>
            <w:r w:rsidR="00A00703">
              <w:rPr>
                <w:bCs/>
              </w:rPr>
              <w:t xml:space="preserve"> to kill them</w:t>
            </w:r>
            <w:r w:rsidR="00FA6A12">
              <w:rPr>
                <w:bCs/>
              </w:rPr>
              <w:t>.</w:t>
            </w:r>
            <w:r w:rsidR="008C08B6">
              <w:rPr>
                <w:bCs/>
              </w:rPr>
              <w:t xml:space="preserve"> </w:t>
            </w:r>
            <w:r w:rsidR="00E22518">
              <w:rPr>
                <w:bCs/>
              </w:rPr>
              <w:t xml:space="preserve">The radiation dose to kill the skin cancer cells </w:t>
            </w:r>
            <w:r w:rsidR="00CB1CF9">
              <w:rPr>
                <w:bCs/>
              </w:rPr>
              <w:t>is often</w:t>
            </w:r>
            <w:r w:rsidR="00E22518">
              <w:rPr>
                <w:bCs/>
              </w:rPr>
              <w:t xml:space="preserve"> delivered </w:t>
            </w:r>
            <w:r w:rsidR="00882415">
              <w:rPr>
                <w:bCs/>
              </w:rPr>
              <w:t xml:space="preserve">in multiple small doses meaning a patient may receive several treatments over a few days </w:t>
            </w:r>
            <w:r w:rsidR="00CB1CF9">
              <w:rPr>
                <w:bCs/>
              </w:rPr>
              <w:t>to weeks.</w:t>
            </w:r>
          </w:p>
          <w:p w14:paraId="47ACD4AD" w14:textId="095882D3" w:rsidR="00976358" w:rsidRDefault="003177F6" w:rsidP="003177F6">
            <w:pPr>
              <w:rPr>
                <w:lang w:val="en-US" w:eastAsia="ja-JP"/>
              </w:rPr>
            </w:pPr>
            <w:r>
              <w:rPr>
                <w:bCs/>
              </w:rPr>
              <w:t xml:space="preserve">The application asked for MBS funding for Re-188 </w:t>
            </w:r>
            <w:r w:rsidR="00195027">
              <w:rPr>
                <w:bCs/>
              </w:rPr>
              <w:t xml:space="preserve">brachytherapy </w:t>
            </w:r>
            <w:r>
              <w:rPr>
                <w:bCs/>
              </w:rPr>
              <w:t xml:space="preserve">to treat </w:t>
            </w:r>
            <w:r>
              <w:t>non-melanoma skin cancer</w:t>
            </w:r>
            <w:r>
              <w:rPr>
                <w:bCs/>
              </w:rPr>
              <w:t xml:space="preserve"> patients with lesions on their </w:t>
            </w:r>
            <w:r w:rsidRPr="008A230D">
              <w:rPr>
                <w:lang w:val="en-US" w:eastAsia="ja-JP"/>
              </w:rPr>
              <w:t xml:space="preserve">nose, eyebrow, lip, ear, </w:t>
            </w:r>
            <w:r>
              <w:rPr>
                <w:lang w:val="en-US" w:eastAsia="ja-JP"/>
              </w:rPr>
              <w:t>finger</w:t>
            </w:r>
            <w:r w:rsidRPr="008A230D">
              <w:rPr>
                <w:lang w:val="en-US" w:eastAsia="ja-JP"/>
              </w:rPr>
              <w:t>, genital</w:t>
            </w:r>
            <w:r>
              <w:rPr>
                <w:lang w:val="en-US" w:eastAsia="ja-JP"/>
              </w:rPr>
              <w:t>s</w:t>
            </w:r>
            <w:r w:rsidRPr="008A230D">
              <w:rPr>
                <w:lang w:val="en-US" w:eastAsia="ja-JP"/>
              </w:rPr>
              <w:t>, shin or collarbone</w:t>
            </w:r>
            <w:r w:rsidR="004D7DD5">
              <w:rPr>
                <w:lang w:val="en-US" w:eastAsia="ja-JP"/>
              </w:rPr>
              <w:t xml:space="preserve"> and who are unable to have surgery</w:t>
            </w:r>
            <w:r>
              <w:rPr>
                <w:lang w:val="en-US" w:eastAsia="ja-JP"/>
              </w:rPr>
              <w:t xml:space="preserve">. </w:t>
            </w:r>
            <w:r w:rsidR="00EF4478">
              <w:rPr>
                <w:lang w:val="en-US" w:eastAsia="ja-JP"/>
              </w:rPr>
              <w:t xml:space="preserve">That is, </w:t>
            </w:r>
            <w:r w:rsidR="002C0D1F">
              <w:rPr>
                <w:lang w:val="en-US" w:eastAsia="ja-JP"/>
              </w:rPr>
              <w:t xml:space="preserve">RE-188 brachytherapy </w:t>
            </w:r>
            <w:r w:rsidR="001F21A5">
              <w:rPr>
                <w:lang w:val="en-US" w:eastAsia="ja-JP"/>
              </w:rPr>
              <w:t xml:space="preserve">is not intended </w:t>
            </w:r>
            <w:r w:rsidR="002C0D1F">
              <w:rPr>
                <w:lang w:val="en-US" w:eastAsia="ja-JP"/>
              </w:rPr>
              <w:t xml:space="preserve">to be used instead of </w:t>
            </w:r>
            <w:r w:rsidR="001A35D9">
              <w:rPr>
                <w:lang w:val="en-US" w:eastAsia="ja-JP"/>
              </w:rPr>
              <w:t xml:space="preserve">surgery, rather </w:t>
            </w:r>
            <w:r w:rsidR="001F21A5">
              <w:rPr>
                <w:lang w:val="en-US" w:eastAsia="ja-JP"/>
              </w:rPr>
              <w:t>RE-188 brachytherapy</w:t>
            </w:r>
            <w:r w:rsidR="004F65A1">
              <w:rPr>
                <w:lang w:val="en-US" w:eastAsia="ja-JP"/>
              </w:rPr>
              <w:t xml:space="preserve"> </w:t>
            </w:r>
            <w:r w:rsidR="001F21A5">
              <w:rPr>
                <w:lang w:val="en-US" w:eastAsia="ja-JP"/>
              </w:rPr>
              <w:t xml:space="preserve">is intended to be used </w:t>
            </w:r>
            <w:r w:rsidR="00D74197">
              <w:rPr>
                <w:lang w:val="en-US" w:eastAsia="ja-JP"/>
              </w:rPr>
              <w:t xml:space="preserve">instead of </w:t>
            </w:r>
            <w:r w:rsidR="00DC06D0">
              <w:rPr>
                <w:lang w:val="en-US" w:eastAsia="ja-JP"/>
              </w:rPr>
              <w:t>radiation therapy</w:t>
            </w:r>
            <w:r w:rsidR="0097292C">
              <w:rPr>
                <w:lang w:val="en-US" w:eastAsia="ja-JP"/>
              </w:rPr>
              <w:t>, such as EBRT</w:t>
            </w:r>
            <w:r w:rsidR="00845DEF">
              <w:rPr>
                <w:lang w:val="en-US" w:eastAsia="ja-JP"/>
              </w:rPr>
              <w:t xml:space="preserve"> when patients cannot have surgery</w:t>
            </w:r>
            <w:r>
              <w:rPr>
                <w:lang w:val="en-US" w:eastAsia="ja-JP"/>
              </w:rPr>
              <w:t xml:space="preserve">. </w:t>
            </w:r>
            <w:r w:rsidR="00264A29">
              <w:rPr>
                <w:lang w:val="en-US" w:eastAsia="ja-JP"/>
              </w:rPr>
              <w:t>However</w:t>
            </w:r>
            <w:r w:rsidR="00D716FD">
              <w:rPr>
                <w:lang w:val="en-US" w:eastAsia="ja-JP"/>
              </w:rPr>
              <w:t>, MSAC noted that</w:t>
            </w:r>
            <w:r w:rsidR="00264A29">
              <w:rPr>
                <w:lang w:val="en-US" w:eastAsia="ja-JP"/>
              </w:rPr>
              <w:t xml:space="preserve"> Re-188 </w:t>
            </w:r>
            <w:r w:rsidR="00641221">
              <w:rPr>
                <w:lang w:val="en-US" w:eastAsia="ja-JP"/>
              </w:rPr>
              <w:t>brach</w:t>
            </w:r>
            <w:r w:rsidR="00A27857">
              <w:rPr>
                <w:lang w:val="en-US" w:eastAsia="ja-JP"/>
              </w:rPr>
              <w:t>ytherapy</w:t>
            </w:r>
            <w:r w:rsidR="00264A29">
              <w:rPr>
                <w:lang w:val="en-US" w:eastAsia="ja-JP"/>
              </w:rPr>
              <w:t xml:space="preserve"> may offer the advantage</w:t>
            </w:r>
            <w:r w:rsidR="009671F0">
              <w:rPr>
                <w:lang w:val="en-US" w:eastAsia="ja-JP"/>
              </w:rPr>
              <w:t xml:space="preserve"> of being more acceptable </w:t>
            </w:r>
            <w:r w:rsidR="00D96707">
              <w:rPr>
                <w:lang w:val="en-US" w:eastAsia="ja-JP"/>
              </w:rPr>
              <w:t>to some</w:t>
            </w:r>
            <w:r w:rsidR="009671F0">
              <w:rPr>
                <w:lang w:val="en-US" w:eastAsia="ja-JP"/>
              </w:rPr>
              <w:t xml:space="preserve"> patients </w:t>
            </w:r>
            <w:r w:rsidR="001B0E59">
              <w:rPr>
                <w:lang w:val="en-US" w:eastAsia="ja-JP"/>
              </w:rPr>
              <w:t>because</w:t>
            </w:r>
            <w:r w:rsidR="00B31DC4">
              <w:rPr>
                <w:lang w:val="en-US" w:eastAsia="ja-JP"/>
              </w:rPr>
              <w:t xml:space="preserve"> </w:t>
            </w:r>
            <w:r w:rsidR="00DF1103">
              <w:rPr>
                <w:lang w:val="en-US" w:eastAsia="ja-JP"/>
              </w:rPr>
              <w:t>only one treatment</w:t>
            </w:r>
            <w:r w:rsidR="00E71E56">
              <w:rPr>
                <w:lang w:val="en-US" w:eastAsia="ja-JP"/>
              </w:rPr>
              <w:t>/d</w:t>
            </w:r>
            <w:r w:rsidR="001D7154">
              <w:rPr>
                <w:lang w:val="en-US" w:eastAsia="ja-JP"/>
              </w:rPr>
              <w:t>o</w:t>
            </w:r>
            <w:r w:rsidR="00E71E56">
              <w:rPr>
                <w:lang w:val="en-US" w:eastAsia="ja-JP"/>
              </w:rPr>
              <w:t xml:space="preserve">se </w:t>
            </w:r>
            <w:r w:rsidR="00641221">
              <w:rPr>
                <w:lang w:val="en-US" w:eastAsia="ja-JP"/>
              </w:rPr>
              <w:t xml:space="preserve">of Re-188 </w:t>
            </w:r>
            <w:r w:rsidR="001B0E59">
              <w:rPr>
                <w:lang w:val="en-US" w:eastAsia="ja-JP"/>
              </w:rPr>
              <w:t>is</w:t>
            </w:r>
            <w:r w:rsidR="00E71E56">
              <w:rPr>
                <w:lang w:val="en-US" w:eastAsia="ja-JP"/>
              </w:rPr>
              <w:t xml:space="preserve"> required</w:t>
            </w:r>
            <w:r w:rsidR="0038389B">
              <w:rPr>
                <w:lang w:val="en-US" w:eastAsia="ja-JP"/>
              </w:rPr>
              <w:t xml:space="preserve">. In addition, patients who are not able to tolerate EBRT </w:t>
            </w:r>
            <w:r w:rsidR="001B0E59">
              <w:rPr>
                <w:lang w:val="en-US" w:eastAsia="ja-JP"/>
              </w:rPr>
              <w:t xml:space="preserve">(eg. due to claustrophobia associated with EBRT machines) </w:t>
            </w:r>
            <w:r w:rsidR="00597EC8">
              <w:rPr>
                <w:lang w:val="en-US" w:eastAsia="ja-JP"/>
              </w:rPr>
              <w:t>may be better suited to Re-188 brachytherapy.</w:t>
            </w:r>
            <w:r w:rsidR="006435FC">
              <w:t xml:space="preserve"> However, </w:t>
            </w:r>
            <w:r w:rsidR="006435FC" w:rsidRPr="006435FC">
              <w:rPr>
                <w:lang w:val="en-US" w:eastAsia="ja-JP"/>
              </w:rPr>
              <w:t>MSAC noted that further research such as a formal patient preference study (that includes patients who have poorer access to treatments) would be needed to understand how the target patient population are currently treated, patient preferences relative to comparator treatments, what the current access barriers are, and how this may change if Re-188 brachytherapy is listed on the MBS</w:t>
            </w:r>
            <w:r w:rsidR="002B3375">
              <w:rPr>
                <w:lang w:val="en-US" w:eastAsia="ja-JP"/>
              </w:rPr>
              <w:t>.</w:t>
            </w:r>
          </w:p>
          <w:p w14:paraId="2C986375" w14:textId="239F9E0A" w:rsidR="003177F6" w:rsidRDefault="00892490" w:rsidP="003177F6">
            <w:pPr>
              <w:rPr>
                <w:lang w:val="en-US" w:eastAsia="ja-JP"/>
              </w:rPr>
            </w:pPr>
            <w:r>
              <w:rPr>
                <w:lang w:val="en-US" w:eastAsia="ja-JP"/>
              </w:rPr>
              <w:t>After reviewing the evidence, MSAC concluded that t</w:t>
            </w:r>
            <w:r w:rsidR="003177F6">
              <w:rPr>
                <w:lang w:val="en-US" w:eastAsia="ja-JP"/>
              </w:rPr>
              <w:t xml:space="preserve">here was not enough evidence to be sure that Re-188 </w:t>
            </w:r>
            <w:r w:rsidR="00195027">
              <w:rPr>
                <w:lang w:val="en-US" w:eastAsia="ja-JP"/>
              </w:rPr>
              <w:t xml:space="preserve">brachytherapy </w:t>
            </w:r>
            <w:r w:rsidR="003177F6">
              <w:rPr>
                <w:lang w:val="en-US" w:eastAsia="ja-JP"/>
              </w:rPr>
              <w:t>gave better patient outcomes than existing radiation therapy</w:t>
            </w:r>
            <w:r w:rsidR="00232858">
              <w:rPr>
                <w:lang w:val="en-US" w:eastAsia="ja-JP"/>
              </w:rPr>
              <w:t>, such as</w:t>
            </w:r>
            <w:r w:rsidR="00946B66">
              <w:rPr>
                <w:lang w:val="en-US" w:eastAsia="ja-JP"/>
              </w:rPr>
              <w:t xml:space="preserve"> </w:t>
            </w:r>
            <w:r w:rsidR="001D1CF3">
              <w:rPr>
                <w:lang w:val="en-US" w:eastAsia="ja-JP"/>
              </w:rPr>
              <w:t>EBRT</w:t>
            </w:r>
            <w:r w:rsidR="0066588E">
              <w:rPr>
                <w:lang w:val="en-US" w:eastAsia="ja-JP"/>
              </w:rPr>
              <w:t>.</w:t>
            </w:r>
            <w:r w:rsidR="006F25D5">
              <w:rPr>
                <w:lang w:val="en-US" w:eastAsia="ja-JP"/>
              </w:rPr>
              <w:t xml:space="preserve"> MSAC noted there is an ongoing clinical trial that includes </w:t>
            </w:r>
            <w:r w:rsidR="00402267">
              <w:rPr>
                <w:lang w:val="en-US" w:eastAsia="ja-JP"/>
              </w:rPr>
              <w:t xml:space="preserve">Australian sites which might </w:t>
            </w:r>
            <w:r w:rsidR="00402267" w:rsidRPr="29E763D3">
              <w:t>improve the level of evidence for Re-188 brachytherapy once completed</w:t>
            </w:r>
            <w:r w:rsidR="00402267">
              <w:t xml:space="preserve">. </w:t>
            </w:r>
            <w:r w:rsidR="0066588E">
              <w:rPr>
                <w:lang w:val="en-US" w:eastAsia="ja-JP"/>
              </w:rPr>
              <w:t xml:space="preserve">MSAC also noted that there are a number of different ways that EBRT can be delivered and </w:t>
            </w:r>
            <w:r w:rsidR="00AF67FD">
              <w:rPr>
                <w:lang w:val="en-US" w:eastAsia="ja-JP"/>
              </w:rPr>
              <w:t>t</w:t>
            </w:r>
            <w:r w:rsidR="00150629">
              <w:rPr>
                <w:lang w:val="en-US" w:eastAsia="ja-JP"/>
              </w:rPr>
              <w:t xml:space="preserve">his </w:t>
            </w:r>
            <w:r w:rsidR="00BF3FCB">
              <w:rPr>
                <w:lang w:val="en-US" w:eastAsia="ja-JP"/>
              </w:rPr>
              <w:t>led</w:t>
            </w:r>
            <w:r w:rsidR="00D973B8">
              <w:rPr>
                <w:lang w:val="en-US" w:eastAsia="ja-JP"/>
              </w:rPr>
              <w:t xml:space="preserve"> to difficulties working out how much the EBRT might cost</w:t>
            </w:r>
            <w:r w:rsidR="00150629">
              <w:rPr>
                <w:lang w:val="en-US" w:eastAsia="ja-JP"/>
              </w:rPr>
              <w:t xml:space="preserve"> in comparison to Re-188 brachytherapy</w:t>
            </w:r>
            <w:r w:rsidR="003177F6">
              <w:rPr>
                <w:lang w:val="en-US" w:eastAsia="ja-JP"/>
              </w:rPr>
              <w:t xml:space="preserve">. MSAC therefore could not be sure that Re-188 </w:t>
            </w:r>
            <w:r w:rsidR="00195027">
              <w:rPr>
                <w:lang w:val="en-US" w:eastAsia="ja-JP"/>
              </w:rPr>
              <w:t xml:space="preserve">brachytherapy </w:t>
            </w:r>
            <w:r w:rsidR="003177F6">
              <w:rPr>
                <w:lang w:val="en-US" w:eastAsia="ja-JP"/>
              </w:rPr>
              <w:t>would provide better value for money than existing radiation therapy treatment options</w:t>
            </w:r>
            <w:r w:rsidR="00295040">
              <w:rPr>
                <w:lang w:val="en-US" w:eastAsia="ja-JP"/>
              </w:rPr>
              <w:t xml:space="preserve">, including </w:t>
            </w:r>
            <w:r w:rsidR="0027661A">
              <w:rPr>
                <w:lang w:val="en-US" w:eastAsia="ja-JP"/>
              </w:rPr>
              <w:t>EBRT</w:t>
            </w:r>
            <w:r w:rsidR="003177F6">
              <w:rPr>
                <w:lang w:val="en-US" w:eastAsia="ja-JP"/>
              </w:rPr>
              <w:t xml:space="preserve">. MSAC also noted that the doctors who would be able to refer patients for this treatment were dermatologists and </w:t>
            </w:r>
            <w:r w:rsidR="007E3B9F">
              <w:rPr>
                <w:lang w:val="en-US" w:eastAsia="ja-JP"/>
              </w:rPr>
              <w:t xml:space="preserve">plastic </w:t>
            </w:r>
            <w:r w:rsidR="003177F6">
              <w:rPr>
                <w:lang w:val="en-US" w:eastAsia="ja-JP"/>
              </w:rPr>
              <w:t xml:space="preserve">surgeons, and their professional associations did not support this application. </w:t>
            </w:r>
          </w:p>
          <w:p w14:paraId="0ACE561D" w14:textId="2A9FC765" w:rsidR="00F76D74" w:rsidRPr="00AF46D8" w:rsidRDefault="00F76D74">
            <w:pPr>
              <w:pStyle w:val="Heading3"/>
              <w:ind w:left="720" w:hanging="720"/>
            </w:pPr>
            <w:r w:rsidRPr="00AF46D8">
              <w:t>MSAC’s advice to the Commonwealth Minister for Health</w:t>
            </w:r>
            <w:r>
              <w:t xml:space="preserve"> and Aged Care</w:t>
            </w:r>
          </w:p>
          <w:p w14:paraId="28CA4CC9" w14:textId="1EC5CAEF" w:rsidR="00F76D74" w:rsidRPr="00AF46D8" w:rsidRDefault="00EE07B1">
            <w:pPr>
              <w:spacing w:after="120"/>
            </w:pPr>
            <w:r>
              <w:rPr>
                <w:bCs/>
              </w:rPr>
              <w:t>MSAC did not support the application because the c</w:t>
            </w:r>
            <w:r w:rsidRPr="00740759">
              <w:rPr>
                <w:bCs/>
              </w:rPr>
              <w:t xml:space="preserve">linical comparison </w:t>
            </w:r>
            <w:r>
              <w:rPr>
                <w:bCs/>
              </w:rPr>
              <w:t>of R</w:t>
            </w:r>
            <w:r w:rsidR="00195027">
              <w:rPr>
                <w:bCs/>
              </w:rPr>
              <w:t>e</w:t>
            </w:r>
            <w:r>
              <w:rPr>
                <w:bCs/>
              </w:rPr>
              <w:t>-</w:t>
            </w:r>
            <w:r w:rsidRPr="00740759">
              <w:rPr>
                <w:bCs/>
              </w:rPr>
              <w:t>188</w:t>
            </w:r>
            <w:r w:rsidR="00195027">
              <w:rPr>
                <w:bCs/>
              </w:rPr>
              <w:t xml:space="preserve"> brachytherapy</w:t>
            </w:r>
            <w:r>
              <w:rPr>
                <w:bCs/>
              </w:rPr>
              <w:t xml:space="preserve"> with </w:t>
            </w:r>
            <w:r w:rsidR="00295040">
              <w:rPr>
                <w:bCs/>
              </w:rPr>
              <w:t xml:space="preserve">existing </w:t>
            </w:r>
            <w:r>
              <w:rPr>
                <w:bCs/>
              </w:rPr>
              <w:t>radiation therapy</w:t>
            </w:r>
            <w:r w:rsidRPr="00740759">
              <w:rPr>
                <w:bCs/>
              </w:rPr>
              <w:t xml:space="preserve"> </w:t>
            </w:r>
            <w:r>
              <w:rPr>
                <w:bCs/>
              </w:rPr>
              <w:t xml:space="preserve">is </w:t>
            </w:r>
            <w:r w:rsidRPr="00740759">
              <w:rPr>
                <w:bCs/>
              </w:rPr>
              <w:t xml:space="preserve">too uncertain at </w:t>
            </w:r>
            <w:r>
              <w:rPr>
                <w:bCs/>
              </w:rPr>
              <w:t xml:space="preserve">the moment. </w:t>
            </w:r>
            <w:r w:rsidR="009E33A9">
              <w:rPr>
                <w:bCs/>
              </w:rPr>
              <w:t xml:space="preserve">MSAC </w:t>
            </w:r>
            <w:r>
              <w:rPr>
                <w:bCs/>
              </w:rPr>
              <w:t xml:space="preserve">was also </w:t>
            </w:r>
            <w:r>
              <w:rPr>
                <w:bCs/>
              </w:rPr>
              <w:lastRenderedPageBreak/>
              <w:t>uncertain whether listing R</w:t>
            </w:r>
            <w:r w:rsidR="005630B3">
              <w:rPr>
                <w:bCs/>
              </w:rPr>
              <w:t>e</w:t>
            </w:r>
            <w:r>
              <w:rPr>
                <w:bCs/>
              </w:rPr>
              <w:t xml:space="preserve">-188 </w:t>
            </w:r>
            <w:r w:rsidR="00195027">
              <w:rPr>
                <w:bCs/>
              </w:rPr>
              <w:t xml:space="preserve">brachytherapy </w:t>
            </w:r>
            <w:r>
              <w:rPr>
                <w:bCs/>
              </w:rPr>
              <w:t xml:space="preserve">would result in savings or extra costs to the MBS. </w:t>
            </w:r>
          </w:p>
        </w:tc>
      </w:tr>
    </w:tbl>
    <w:p w14:paraId="2A8B5BF0" w14:textId="5F14194B" w:rsidR="00F76D74" w:rsidRDefault="00F76D74" w:rsidP="00F76D74">
      <w:pPr>
        <w:pStyle w:val="Heading2"/>
        <w:numPr>
          <w:ilvl w:val="1"/>
          <w:numId w:val="0"/>
        </w:numPr>
      </w:pPr>
      <w:r>
        <w:lastRenderedPageBreak/>
        <w:t>3.</w:t>
      </w:r>
      <w:r>
        <w:tab/>
        <w:t>Summary of consideration and rationale for MSAC’s advice</w:t>
      </w:r>
    </w:p>
    <w:p w14:paraId="000A985C" w14:textId="5D18F6B0" w:rsidR="009E27D6" w:rsidRDefault="009E27D6" w:rsidP="009E27D6">
      <w:pPr>
        <w:rPr>
          <w:szCs w:val="24"/>
        </w:rPr>
      </w:pPr>
      <w:r>
        <w:rPr>
          <w:bCs/>
        </w:rPr>
        <w:t xml:space="preserve">MSAC noted that this </w:t>
      </w:r>
      <w:r w:rsidRPr="00574F77">
        <w:rPr>
          <w:bCs/>
        </w:rPr>
        <w:t>application from Onco</w:t>
      </w:r>
      <w:r>
        <w:rPr>
          <w:bCs/>
        </w:rPr>
        <w:t>B</w:t>
      </w:r>
      <w:r w:rsidRPr="00574F77">
        <w:rPr>
          <w:bCs/>
        </w:rPr>
        <w:t>eta Therapeutics Australia Pty Ltd</w:t>
      </w:r>
      <w:r>
        <w:rPr>
          <w:bCs/>
        </w:rPr>
        <w:t xml:space="preserve"> </w:t>
      </w:r>
      <w:r w:rsidR="006A47B5">
        <w:rPr>
          <w:bCs/>
        </w:rPr>
        <w:t>sought MBS listing</w:t>
      </w:r>
      <w:r w:rsidRPr="00574F77">
        <w:rPr>
          <w:bCs/>
        </w:rPr>
        <w:t xml:space="preserve"> of high</w:t>
      </w:r>
      <w:r>
        <w:rPr>
          <w:bCs/>
        </w:rPr>
        <w:t>-</w:t>
      </w:r>
      <w:r w:rsidRPr="00574F77">
        <w:rPr>
          <w:bCs/>
        </w:rPr>
        <w:t>dose</w:t>
      </w:r>
      <w:r>
        <w:rPr>
          <w:bCs/>
        </w:rPr>
        <w:t>-</w:t>
      </w:r>
      <w:r w:rsidRPr="00574F77">
        <w:rPr>
          <w:bCs/>
        </w:rPr>
        <w:t xml:space="preserve">rate brachytherapy with </w:t>
      </w:r>
      <w:r>
        <w:rPr>
          <w:bCs/>
        </w:rPr>
        <w:t>Re</w:t>
      </w:r>
      <w:r>
        <w:rPr>
          <w:bCs/>
        </w:rPr>
        <w:noBreakHyphen/>
        <w:t>188</w:t>
      </w:r>
      <w:r w:rsidRPr="00574F77">
        <w:rPr>
          <w:bCs/>
        </w:rPr>
        <w:t xml:space="preserve"> for the treatment of certain keratinocyte cancers, also known as non-melanoma skin cancers</w:t>
      </w:r>
      <w:r>
        <w:rPr>
          <w:bCs/>
        </w:rPr>
        <w:t xml:space="preserve">. </w:t>
      </w:r>
      <w:r w:rsidR="00F11E49">
        <w:rPr>
          <w:bCs/>
        </w:rPr>
        <w:t xml:space="preserve">Specifically, Re-188 brachytherapy </w:t>
      </w:r>
      <w:r w:rsidR="007D1B49">
        <w:rPr>
          <w:bCs/>
        </w:rPr>
        <w:t>was</w:t>
      </w:r>
      <w:r w:rsidR="00F11E49">
        <w:rPr>
          <w:bCs/>
        </w:rPr>
        <w:t xml:space="preserve"> proposed to treat</w:t>
      </w:r>
      <w:r>
        <w:rPr>
          <w:bCs/>
        </w:rPr>
        <w:t xml:space="preserve"> </w:t>
      </w:r>
      <w:r w:rsidRPr="000D0307">
        <w:t>basal cell carcinoma (BCC) and cutaneous squamous cell carcinoma (SCC)</w:t>
      </w:r>
      <w:r>
        <w:t xml:space="preserve"> lesions</w:t>
      </w:r>
      <w:r w:rsidR="00F11E49">
        <w:t xml:space="preserve"> located on the </w:t>
      </w:r>
      <w:r w:rsidR="00F11E49" w:rsidRPr="008A230D">
        <w:rPr>
          <w:lang w:val="en-US" w:eastAsia="ja-JP"/>
        </w:rPr>
        <w:t xml:space="preserve">nose, eyebrow, lip, ear, </w:t>
      </w:r>
      <w:r w:rsidR="00F11E49">
        <w:rPr>
          <w:lang w:val="en-US" w:eastAsia="ja-JP"/>
        </w:rPr>
        <w:t>finger</w:t>
      </w:r>
      <w:r w:rsidR="00F11E49" w:rsidRPr="008A230D">
        <w:rPr>
          <w:lang w:val="en-US" w:eastAsia="ja-JP"/>
        </w:rPr>
        <w:t>, genital</w:t>
      </w:r>
      <w:r w:rsidR="00F11E49">
        <w:rPr>
          <w:lang w:val="en-US" w:eastAsia="ja-JP"/>
        </w:rPr>
        <w:t>s</w:t>
      </w:r>
      <w:r w:rsidR="00F11E49" w:rsidRPr="008A230D">
        <w:rPr>
          <w:lang w:val="en-US" w:eastAsia="ja-JP"/>
        </w:rPr>
        <w:t>, shin or collarbone</w:t>
      </w:r>
      <w:r w:rsidR="00776A49">
        <w:rPr>
          <w:lang w:val="en-US" w:eastAsia="ja-JP"/>
        </w:rPr>
        <w:t xml:space="preserve"> of</w:t>
      </w:r>
      <w:r w:rsidR="00DF64F3">
        <w:rPr>
          <w:lang w:val="en-US" w:eastAsia="ja-JP"/>
        </w:rPr>
        <w:t xml:space="preserve"> </w:t>
      </w:r>
      <w:r w:rsidR="00776A49">
        <w:rPr>
          <w:lang w:val="en-US" w:eastAsia="ja-JP"/>
        </w:rPr>
        <w:t>patients who</w:t>
      </w:r>
      <w:r w:rsidR="00DF64F3" w:rsidRPr="00DF64F3">
        <w:t xml:space="preserve"> </w:t>
      </w:r>
      <w:r w:rsidR="00DF64F3" w:rsidRPr="00DF64F3">
        <w:rPr>
          <w:lang w:val="en-US" w:eastAsia="ja-JP"/>
        </w:rPr>
        <w:t>ha</w:t>
      </w:r>
      <w:r w:rsidR="00DF64F3">
        <w:rPr>
          <w:lang w:val="en-US" w:eastAsia="ja-JP"/>
        </w:rPr>
        <w:t>ve</w:t>
      </w:r>
      <w:r w:rsidR="00DF64F3" w:rsidRPr="00DF64F3">
        <w:rPr>
          <w:lang w:val="en-US" w:eastAsia="ja-JP"/>
        </w:rPr>
        <w:t xml:space="preserve"> comorbidities that prevent surgical excision</w:t>
      </w:r>
      <w:r w:rsidR="007937C8">
        <w:rPr>
          <w:lang w:val="en-US" w:eastAsia="ja-JP"/>
        </w:rPr>
        <w:t xml:space="preserve"> or patients who have refused such surgery</w:t>
      </w:r>
      <w:r>
        <w:t>.</w:t>
      </w:r>
      <w:r w:rsidR="004237A2" w:rsidRPr="004237A2">
        <w:rPr>
          <w:bCs/>
        </w:rPr>
        <w:t xml:space="preserve"> </w:t>
      </w:r>
    </w:p>
    <w:p w14:paraId="22CE639A" w14:textId="1944BD99" w:rsidR="009E27D6" w:rsidRDefault="00621675" w:rsidP="009E27D6">
      <w:pPr>
        <w:rPr>
          <w:bCs/>
        </w:rPr>
      </w:pPr>
      <w:r>
        <w:rPr>
          <w:bCs/>
        </w:rPr>
        <w:t xml:space="preserve">MSAC noted </w:t>
      </w:r>
      <w:r w:rsidR="00AE6461">
        <w:rPr>
          <w:bCs/>
        </w:rPr>
        <w:t>the</w:t>
      </w:r>
      <w:r w:rsidR="009E27D6" w:rsidRPr="00574F77">
        <w:rPr>
          <w:bCs/>
        </w:rPr>
        <w:t xml:space="preserve"> proposed service is a form of </w:t>
      </w:r>
      <w:r w:rsidR="00EB63DE">
        <w:rPr>
          <w:bCs/>
        </w:rPr>
        <w:t xml:space="preserve">brachytherapy </w:t>
      </w:r>
      <w:r w:rsidR="009E27D6">
        <w:rPr>
          <w:bCs/>
        </w:rPr>
        <w:t>treatment that</w:t>
      </w:r>
      <w:r w:rsidR="009E27D6" w:rsidRPr="00574F77">
        <w:rPr>
          <w:bCs/>
        </w:rPr>
        <w:t xml:space="preserve"> uses </w:t>
      </w:r>
      <w:r w:rsidR="00AB313D">
        <w:rPr>
          <w:bCs/>
        </w:rPr>
        <w:t xml:space="preserve">an unsealed source of </w:t>
      </w:r>
      <w:r w:rsidR="009E27D6" w:rsidRPr="00574F77">
        <w:rPr>
          <w:bCs/>
        </w:rPr>
        <w:t xml:space="preserve">the </w:t>
      </w:r>
      <w:r w:rsidR="009E27D6">
        <w:rPr>
          <w:bCs/>
        </w:rPr>
        <w:t>b</w:t>
      </w:r>
      <w:r w:rsidR="009E27D6" w:rsidRPr="00574F77">
        <w:rPr>
          <w:bCs/>
        </w:rPr>
        <w:t xml:space="preserve">eta emitter radioisotope </w:t>
      </w:r>
      <w:r w:rsidR="009E27D6">
        <w:rPr>
          <w:bCs/>
        </w:rPr>
        <w:t>Re</w:t>
      </w:r>
      <w:r w:rsidR="009E27D6">
        <w:rPr>
          <w:bCs/>
        </w:rPr>
        <w:noBreakHyphen/>
        <w:t>188</w:t>
      </w:r>
      <w:r w:rsidR="009E27D6" w:rsidRPr="00574F77">
        <w:rPr>
          <w:bCs/>
        </w:rPr>
        <w:t xml:space="preserve">. During treatment, the affected area of the skin is covered with sterile protective foil. </w:t>
      </w:r>
      <w:r w:rsidR="00190924">
        <w:rPr>
          <w:bCs/>
        </w:rPr>
        <w:t xml:space="preserve">A compound paste containing </w:t>
      </w:r>
      <w:r w:rsidR="009E27D6">
        <w:rPr>
          <w:bCs/>
        </w:rPr>
        <w:t>Re</w:t>
      </w:r>
      <w:r w:rsidR="009E27D6">
        <w:rPr>
          <w:bCs/>
        </w:rPr>
        <w:noBreakHyphen/>
        <w:t>188</w:t>
      </w:r>
      <w:r w:rsidR="009E27D6" w:rsidRPr="00574F77">
        <w:rPr>
          <w:bCs/>
        </w:rPr>
        <w:t xml:space="preserve"> is then applied on the foil using a special applicator device.</w:t>
      </w:r>
      <w:r w:rsidR="009E27D6" w:rsidRPr="009E6CA5">
        <w:t xml:space="preserve"> </w:t>
      </w:r>
      <w:r w:rsidR="009E27D6" w:rsidRPr="00CC0A9A">
        <w:t>T</w:t>
      </w:r>
      <w:r w:rsidR="009E27D6">
        <w:t>he treatment needs t</w:t>
      </w:r>
      <w:r w:rsidR="009E27D6" w:rsidRPr="00CC0A9A">
        <w:t xml:space="preserve">o be performed by a </w:t>
      </w:r>
      <w:r w:rsidR="00C14984">
        <w:t>medical specialist</w:t>
      </w:r>
      <w:r w:rsidR="00C14984" w:rsidRPr="00CC0A9A">
        <w:t xml:space="preserve"> </w:t>
      </w:r>
      <w:r w:rsidR="009E27D6" w:rsidRPr="00CC0A9A">
        <w:t xml:space="preserve">with a radiation </w:t>
      </w:r>
      <w:r w:rsidR="00066172">
        <w:t xml:space="preserve">use </w:t>
      </w:r>
      <w:r w:rsidR="009E27D6" w:rsidRPr="00CC0A9A">
        <w:t>licen</w:t>
      </w:r>
      <w:r w:rsidR="009E27D6">
        <w:t>c</w:t>
      </w:r>
      <w:r w:rsidR="009E27D6" w:rsidRPr="00CC0A9A">
        <w:t xml:space="preserve">e for </w:t>
      </w:r>
      <w:r w:rsidR="00362F2F">
        <w:t>using</w:t>
      </w:r>
      <w:r w:rsidR="00362F2F" w:rsidRPr="00CC0A9A">
        <w:t xml:space="preserve"> </w:t>
      </w:r>
      <w:r w:rsidR="009E27D6" w:rsidRPr="00CC0A9A">
        <w:t>unsealed isotopes, in appropriately accredited facilities</w:t>
      </w:r>
      <w:r w:rsidR="009E27D6">
        <w:t>.</w:t>
      </w:r>
      <w:r w:rsidR="009E27D6" w:rsidRPr="008F0229">
        <w:t xml:space="preserve"> </w:t>
      </w:r>
      <w:r w:rsidR="007008DF">
        <w:t xml:space="preserve">MSAC noted that </w:t>
      </w:r>
      <w:r w:rsidR="000F705F">
        <w:t xml:space="preserve">Re-188 </w:t>
      </w:r>
      <w:r w:rsidR="007633F7">
        <w:t xml:space="preserve">brachytherapy </w:t>
      </w:r>
      <w:r w:rsidR="000F705F">
        <w:t xml:space="preserve">is proposed for use as a single treatment </w:t>
      </w:r>
      <w:r w:rsidR="00BD38EF">
        <w:t>with the duration of treatment calculated to achieve the specific dosage</w:t>
      </w:r>
      <w:r w:rsidR="007F518F">
        <w:t xml:space="preserve"> and can be targeted for treatment of locations that </w:t>
      </w:r>
      <w:r w:rsidR="00C14984">
        <w:t xml:space="preserve">might </w:t>
      </w:r>
      <w:r w:rsidR="007F518F">
        <w:t xml:space="preserve">otherwise be difficult to treat </w:t>
      </w:r>
      <w:r w:rsidR="00A8016B">
        <w:t xml:space="preserve">using other methods. </w:t>
      </w:r>
    </w:p>
    <w:p w14:paraId="2DD62C6D" w14:textId="7D2A4FAD" w:rsidR="009E27D6" w:rsidRDefault="004237A2" w:rsidP="009E27D6">
      <w:pPr>
        <w:spacing w:before="240"/>
      </w:pPr>
      <w:r>
        <w:t xml:space="preserve">MSAC noted the applicant-developed assessment report (ADAR) </w:t>
      </w:r>
      <w:r w:rsidR="009E27D6">
        <w:t>proposed three MBS items, which differ only in the size of the lesion and the associated fee</w:t>
      </w:r>
      <w:r w:rsidR="00D76EAE">
        <w:t xml:space="preserve"> (</w:t>
      </w:r>
      <w:r w:rsidR="00D76EAE">
        <w:fldChar w:fldCharType="begin"/>
      </w:r>
      <w:r w:rsidR="00D76EAE">
        <w:instrText xml:space="preserve"> REF _Ref133402533 \h </w:instrText>
      </w:r>
      <w:r w:rsidR="00D76EAE">
        <w:fldChar w:fldCharType="separate"/>
      </w:r>
      <w:r w:rsidR="00D76EAE">
        <w:t xml:space="preserve">Table </w:t>
      </w:r>
      <w:r w:rsidR="00D76EAE">
        <w:rPr>
          <w:noProof/>
        </w:rPr>
        <w:t>2</w:t>
      </w:r>
      <w:r w:rsidR="00D76EAE">
        <w:fldChar w:fldCharType="end"/>
      </w:r>
      <w:r w:rsidR="00FA03AF">
        <w:t xml:space="preserve"> in Section </w:t>
      </w:r>
      <w:r w:rsidR="00554AB8">
        <w:t>6)</w:t>
      </w:r>
      <w:r w:rsidR="009E27D6">
        <w:t xml:space="preserve">. </w:t>
      </w:r>
      <w:r w:rsidR="009E27D6">
        <w:rPr>
          <w:bCs/>
        </w:rPr>
        <w:t>MSAC noted</w:t>
      </w:r>
      <w:r w:rsidR="00554AB8">
        <w:rPr>
          <w:bCs/>
        </w:rPr>
        <w:t xml:space="preserve"> that </w:t>
      </w:r>
      <w:r w:rsidR="00974682">
        <w:rPr>
          <w:bCs/>
        </w:rPr>
        <w:t>the commentary and ESC had</w:t>
      </w:r>
      <w:r w:rsidR="00554AB8">
        <w:rPr>
          <w:bCs/>
        </w:rPr>
        <w:t xml:space="preserve"> raised </w:t>
      </w:r>
      <w:r w:rsidR="005C6B2B">
        <w:rPr>
          <w:bCs/>
        </w:rPr>
        <w:t xml:space="preserve">concerns </w:t>
      </w:r>
      <w:r w:rsidR="00974682">
        <w:rPr>
          <w:bCs/>
        </w:rPr>
        <w:t xml:space="preserve">regarding </w:t>
      </w:r>
      <w:r w:rsidR="005C6B2B">
        <w:rPr>
          <w:bCs/>
        </w:rPr>
        <w:t xml:space="preserve">whether the proposed </w:t>
      </w:r>
      <w:r w:rsidR="005C6B2B" w:rsidRPr="005C6B2B">
        <w:rPr>
          <w:bCs/>
        </w:rPr>
        <w:t>single fee structure allow</w:t>
      </w:r>
      <w:r w:rsidR="001D0D34">
        <w:rPr>
          <w:bCs/>
        </w:rPr>
        <w:t>s</w:t>
      </w:r>
      <w:r w:rsidR="005C6B2B" w:rsidRPr="005C6B2B">
        <w:rPr>
          <w:bCs/>
        </w:rPr>
        <w:t xml:space="preserve"> for economies of scale in patient treatment</w:t>
      </w:r>
      <w:r w:rsidR="00C319B0">
        <w:rPr>
          <w:bCs/>
        </w:rPr>
        <w:t xml:space="preserve">, whether the individual cost components such as </w:t>
      </w:r>
      <w:r w:rsidR="00F7730D">
        <w:rPr>
          <w:bCs/>
        </w:rPr>
        <w:t xml:space="preserve">staff costs had been adequately documented and justified and whether </w:t>
      </w:r>
      <w:r w:rsidR="009A50DA" w:rsidRPr="009A50DA">
        <w:rPr>
          <w:bCs/>
        </w:rPr>
        <w:t>the tiered lesion size approach</w:t>
      </w:r>
      <w:r w:rsidR="009A50DA">
        <w:rPr>
          <w:bCs/>
        </w:rPr>
        <w:t xml:space="preserve"> of the proposed fee structure had properly accounted for batching and wastage costs</w:t>
      </w:r>
      <w:r w:rsidR="00E8709B">
        <w:rPr>
          <w:bCs/>
        </w:rPr>
        <w:t>. MSAC noted that these concerns had not yet been resolved but that</w:t>
      </w:r>
      <w:r w:rsidR="009E27D6" w:rsidDel="00974682">
        <w:rPr>
          <w:bCs/>
        </w:rPr>
        <w:t xml:space="preserve"> </w:t>
      </w:r>
      <w:r w:rsidR="009E27D6">
        <w:rPr>
          <w:bCs/>
        </w:rPr>
        <w:t xml:space="preserve">the applicant’s </w:t>
      </w:r>
      <w:r w:rsidR="00AD3F9B">
        <w:rPr>
          <w:bCs/>
        </w:rPr>
        <w:t xml:space="preserve">pre-MSAC response </w:t>
      </w:r>
      <w:r w:rsidR="009E27D6">
        <w:rPr>
          <w:bCs/>
        </w:rPr>
        <w:t xml:space="preserve">stated willingness to work with </w:t>
      </w:r>
      <w:r w:rsidR="00634D95">
        <w:rPr>
          <w:bCs/>
        </w:rPr>
        <w:t>MSAC</w:t>
      </w:r>
      <w:r w:rsidR="0036004B">
        <w:rPr>
          <w:bCs/>
        </w:rPr>
        <w:t xml:space="preserve"> and the department</w:t>
      </w:r>
      <w:r w:rsidR="009E27D6">
        <w:rPr>
          <w:bCs/>
        </w:rPr>
        <w:t xml:space="preserve"> to establish the most appropriate tier </w:t>
      </w:r>
      <w:r w:rsidR="009E27D6" w:rsidRPr="0046705D">
        <w:rPr>
          <w:bCs/>
        </w:rPr>
        <w:t>structure for the item fees</w:t>
      </w:r>
      <w:r w:rsidR="009E27D6">
        <w:rPr>
          <w:bCs/>
        </w:rPr>
        <w:t xml:space="preserve"> that would encourage</w:t>
      </w:r>
      <w:r w:rsidR="009E27D6" w:rsidRPr="0046705D">
        <w:rPr>
          <w:bCs/>
        </w:rPr>
        <w:t xml:space="preserve"> efficient delivery of the service </w:t>
      </w:r>
      <w:r w:rsidR="009E27D6">
        <w:rPr>
          <w:bCs/>
        </w:rPr>
        <w:t xml:space="preserve">using </w:t>
      </w:r>
      <w:r w:rsidR="009E27D6" w:rsidRPr="0046705D">
        <w:rPr>
          <w:bCs/>
        </w:rPr>
        <w:t>appropriate batching of patients</w:t>
      </w:r>
      <w:r w:rsidR="009E27D6">
        <w:rPr>
          <w:bCs/>
        </w:rPr>
        <w:t xml:space="preserve"> to minimise wastage. MSAC </w:t>
      </w:r>
      <w:r w:rsidR="004C2A53">
        <w:rPr>
          <w:bCs/>
        </w:rPr>
        <w:t xml:space="preserve">also </w:t>
      </w:r>
      <w:r w:rsidR="009E27D6">
        <w:rPr>
          <w:bCs/>
        </w:rPr>
        <w:t xml:space="preserve">considered that this item may need to be listed under the </w:t>
      </w:r>
      <w:r w:rsidR="009E27D6">
        <w:t xml:space="preserve">“Therapeutic Nuclear Medicine” section of </w:t>
      </w:r>
      <w:r w:rsidR="005E3BD5">
        <w:t xml:space="preserve">the </w:t>
      </w:r>
      <w:r w:rsidR="009E27D6">
        <w:t>MBS, as these items have similar requirements (need to be performed in a facility licensed to possess and use unsealed radiation sources, by appropriately trained and experienced specialist medical practitioners who hold a radiation licence for treating people with unsealed sources).</w:t>
      </w:r>
      <w:r w:rsidR="00AB1462" w:rsidDel="00AB1462">
        <w:rPr>
          <w:b/>
          <w:bCs/>
        </w:rPr>
        <w:t xml:space="preserve"> </w:t>
      </w:r>
      <w:r w:rsidR="009E27D6">
        <w:rPr>
          <w:bCs/>
        </w:rPr>
        <w:t xml:space="preserve">MSAC </w:t>
      </w:r>
      <w:r w:rsidR="00931A87">
        <w:rPr>
          <w:bCs/>
        </w:rPr>
        <w:t xml:space="preserve">agreed with ESC </w:t>
      </w:r>
      <w:r w:rsidR="009E27D6">
        <w:rPr>
          <w:bCs/>
        </w:rPr>
        <w:t xml:space="preserve">that any future MBS item descriptor should </w:t>
      </w:r>
      <w:r w:rsidR="009E27D6" w:rsidRPr="00BB42EF">
        <w:rPr>
          <w:bCs/>
        </w:rPr>
        <w:t>not be limited to once per lifetime (as a patient may develop skin cancers in other areas in the future)</w:t>
      </w:r>
      <w:r w:rsidR="009E27D6">
        <w:rPr>
          <w:bCs/>
        </w:rPr>
        <w:t>,</w:t>
      </w:r>
      <w:r w:rsidR="009E27D6" w:rsidRPr="00BB42EF">
        <w:rPr>
          <w:bCs/>
        </w:rPr>
        <w:t xml:space="preserve"> but </w:t>
      </w:r>
      <w:r w:rsidR="009E27D6">
        <w:rPr>
          <w:bCs/>
        </w:rPr>
        <w:t xml:space="preserve">wording </w:t>
      </w:r>
      <w:r w:rsidR="009E27D6" w:rsidRPr="00BB42EF">
        <w:rPr>
          <w:bCs/>
        </w:rPr>
        <w:t>should</w:t>
      </w:r>
      <w:r w:rsidR="009E27D6">
        <w:rPr>
          <w:bCs/>
        </w:rPr>
        <w:t xml:space="preserve"> be included to state that </w:t>
      </w:r>
      <w:r w:rsidR="009E27D6" w:rsidRPr="00BB42EF">
        <w:rPr>
          <w:bCs/>
        </w:rPr>
        <w:t>re-treatment of the same lesion</w:t>
      </w:r>
      <w:r w:rsidR="009E27D6">
        <w:rPr>
          <w:bCs/>
        </w:rPr>
        <w:t xml:space="preserve"> is not permitted. Alternative treatments should be sought for non-responders. MSAC noted that the applicant agreed in principle with this approach.</w:t>
      </w:r>
      <w:r w:rsidR="009E27D6" w:rsidRPr="004C01DC">
        <w:t xml:space="preserve"> </w:t>
      </w:r>
    </w:p>
    <w:p w14:paraId="0C730CCB" w14:textId="586D2575" w:rsidR="009E27D6" w:rsidRDefault="00063ED5" w:rsidP="009E27D6">
      <w:r>
        <w:t xml:space="preserve">MSAC noted that </w:t>
      </w:r>
      <w:r>
        <w:rPr>
          <w:bCs/>
        </w:rPr>
        <w:t>Re</w:t>
      </w:r>
      <w:r>
        <w:rPr>
          <w:bCs/>
        </w:rPr>
        <w:noBreakHyphen/>
        <w:t>188 brachytherapy</w:t>
      </w:r>
      <w:r w:rsidRPr="00574F77">
        <w:rPr>
          <w:bCs/>
        </w:rPr>
        <w:t xml:space="preserve"> </w:t>
      </w:r>
      <w:r>
        <w:t xml:space="preserve">fits into the existing clinical management algorithm as an alternative to </w:t>
      </w:r>
      <w:r w:rsidR="00970B7F">
        <w:t xml:space="preserve">existing </w:t>
      </w:r>
      <w:r>
        <w:t>radiation therap</w:t>
      </w:r>
      <w:r w:rsidR="00970B7F">
        <w:t>ies (</w:t>
      </w:r>
      <w:r w:rsidR="003F422A">
        <w:t>EBRT</w:t>
      </w:r>
      <w:r w:rsidR="00970B7F">
        <w:t xml:space="preserve"> and </w:t>
      </w:r>
      <w:r w:rsidR="003A1A92">
        <w:t>brachytherapy)</w:t>
      </w:r>
      <w:r>
        <w:t xml:space="preserve">, and considered this appropriate. </w:t>
      </w:r>
      <w:r w:rsidR="009E27D6" w:rsidRPr="0093026D">
        <w:t xml:space="preserve">MSAC noted that there is a limited clinical need for </w:t>
      </w:r>
      <w:r w:rsidR="009E27D6">
        <w:t>Re</w:t>
      </w:r>
      <w:r w:rsidR="009E27D6">
        <w:noBreakHyphen/>
        <w:t>188</w:t>
      </w:r>
      <w:r w:rsidR="00B4723B">
        <w:t xml:space="preserve"> </w:t>
      </w:r>
      <w:r w:rsidR="00B4723B">
        <w:rPr>
          <w:bCs/>
        </w:rPr>
        <w:t>brachytherapy</w:t>
      </w:r>
      <w:r w:rsidR="009E27D6" w:rsidRPr="0093026D">
        <w:t>, as a safe and effective treatment (</w:t>
      </w:r>
      <w:r w:rsidR="003814D7">
        <w:t>e.g.,</w:t>
      </w:r>
      <w:r w:rsidR="009E27D6">
        <w:t xml:space="preserve"> </w:t>
      </w:r>
      <w:r w:rsidR="009E27D6" w:rsidRPr="0093026D">
        <w:t xml:space="preserve">EBRT) is already available under the MBS for the target population. </w:t>
      </w:r>
      <w:r w:rsidR="005048D4">
        <w:t>However,</w:t>
      </w:r>
      <w:r w:rsidR="00AA592C">
        <w:t xml:space="preserve"> MSAC noted</w:t>
      </w:r>
      <w:r w:rsidR="0047053C">
        <w:t xml:space="preserve"> that</w:t>
      </w:r>
      <w:r w:rsidR="00AA592C">
        <w:t xml:space="preserve"> </w:t>
      </w:r>
      <w:r w:rsidR="009E27D6">
        <w:t>Re</w:t>
      </w:r>
      <w:r w:rsidR="009E27D6">
        <w:noBreakHyphen/>
        <w:t>188</w:t>
      </w:r>
      <w:r w:rsidR="009E27D6" w:rsidRPr="0093026D">
        <w:t xml:space="preserve"> </w:t>
      </w:r>
      <w:r w:rsidR="00B4723B">
        <w:rPr>
          <w:bCs/>
        </w:rPr>
        <w:t>brachytherapy</w:t>
      </w:r>
      <w:r w:rsidR="00B4723B" w:rsidRPr="0093026D">
        <w:t xml:space="preserve"> </w:t>
      </w:r>
      <w:r w:rsidR="00AA592C">
        <w:t>may have</w:t>
      </w:r>
      <w:r w:rsidR="00AA592C" w:rsidRPr="0093026D">
        <w:t xml:space="preserve"> </w:t>
      </w:r>
      <w:r w:rsidR="009E27D6" w:rsidRPr="0093026D">
        <w:t xml:space="preserve">some potential advantages </w:t>
      </w:r>
      <w:r w:rsidR="009E27D6">
        <w:t xml:space="preserve">over EBRT </w:t>
      </w:r>
      <w:r w:rsidR="009E27D6" w:rsidRPr="0093026D">
        <w:t xml:space="preserve">because it </w:t>
      </w:r>
      <w:r w:rsidR="009D2DCF">
        <w:t>consists of</w:t>
      </w:r>
      <w:r w:rsidR="009E27D6" w:rsidRPr="0093026D">
        <w:t xml:space="preserve"> a single treatment (versus multiple visits needed for EBRT)</w:t>
      </w:r>
      <w:r w:rsidR="00430FEC">
        <w:t>,</w:t>
      </w:r>
      <w:r w:rsidR="009E27D6" w:rsidRPr="0093026D">
        <w:t xml:space="preserve"> </w:t>
      </w:r>
      <w:r w:rsidR="00C14984">
        <w:t xml:space="preserve">and </w:t>
      </w:r>
      <w:r w:rsidR="00D1270D">
        <w:t xml:space="preserve">may be </w:t>
      </w:r>
      <w:r w:rsidR="006474E2">
        <w:t>more</w:t>
      </w:r>
      <w:r w:rsidR="00D1270D">
        <w:t xml:space="preserve"> </w:t>
      </w:r>
      <w:r w:rsidR="009E27D6" w:rsidRPr="0093026D">
        <w:t>suitable for claustrophobi</w:t>
      </w:r>
      <w:r w:rsidR="009E27D6">
        <w:t>c patients</w:t>
      </w:r>
      <w:r w:rsidR="00430FEC">
        <w:t xml:space="preserve"> </w:t>
      </w:r>
      <w:r w:rsidR="006474E2">
        <w:t xml:space="preserve">who are unable to tolerate </w:t>
      </w:r>
      <w:r w:rsidR="003705C6">
        <w:t>EBRT</w:t>
      </w:r>
      <w:r w:rsidR="007A0AF0">
        <w:t xml:space="preserve"> machines</w:t>
      </w:r>
      <w:r w:rsidR="00E3022E">
        <w:t xml:space="preserve">. MSAC also noted that Re-188 brachytherapy </w:t>
      </w:r>
      <w:r w:rsidR="009E27D6" w:rsidRPr="0093026D">
        <w:t xml:space="preserve">can be </w:t>
      </w:r>
      <w:r w:rsidR="00E3022E">
        <w:t>provided</w:t>
      </w:r>
      <w:r w:rsidR="00E3022E" w:rsidRPr="0093026D">
        <w:t xml:space="preserve"> </w:t>
      </w:r>
      <w:r w:rsidR="009E27D6" w:rsidRPr="0093026D">
        <w:t>in nuclear medicine facilities</w:t>
      </w:r>
      <w:r w:rsidR="00116E87">
        <w:t>. I</w:t>
      </w:r>
      <w:r w:rsidR="00E51BC7">
        <w:t xml:space="preserve">n contrast </w:t>
      </w:r>
      <w:r w:rsidR="007925F2">
        <w:t xml:space="preserve">EBRT </w:t>
      </w:r>
      <w:r w:rsidR="00B66162">
        <w:t>is</w:t>
      </w:r>
      <w:r w:rsidR="007925F2">
        <w:t xml:space="preserve"> </w:t>
      </w:r>
      <w:r w:rsidR="00806223">
        <w:t>generally only</w:t>
      </w:r>
      <w:r w:rsidR="009E27D6" w:rsidRPr="0093026D">
        <w:t xml:space="preserve"> </w:t>
      </w:r>
      <w:r w:rsidR="00E51BC7">
        <w:t>delivered</w:t>
      </w:r>
      <w:r w:rsidR="00806223">
        <w:t xml:space="preserve"> in</w:t>
      </w:r>
      <w:r w:rsidR="009E27D6" w:rsidRPr="0093026D">
        <w:t xml:space="preserve"> hospital departments</w:t>
      </w:r>
      <w:r w:rsidR="002D2E34">
        <w:t>. This</w:t>
      </w:r>
      <w:r w:rsidR="004B1E32">
        <w:t xml:space="preserve"> could</w:t>
      </w:r>
      <w:r w:rsidR="009E27D6" w:rsidRPr="0093026D">
        <w:t xml:space="preserve"> potentially make </w:t>
      </w:r>
      <w:r w:rsidR="00D155B1">
        <w:t xml:space="preserve">Re-188 </w:t>
      </w:r>
      <w:r w:rsidR="00D155B1">
        <w:lastRenderedPageBreak/>
        <w:t>brachytherapy</w:t>
      </w:r>
      <w:r w:rsidR="00D155B1" w:rsidRPr="0093026D">
        <w:t xml:space="preserve"> </w:t>
      </w:r>
      <w:r w:rsidR="009E27D6" w:rsidRPr="0093026D">
        <w:t>more accessible than EBRT</w:t>
      </w:r>
      <w:r w:rsidR="00FA67BA">
        <w:t xml:space="preserve"> but this may not </w:t>
      </w:r>
      <w:r w:rsidR="00A371CE">
        <w:t xml:space="preserve">be realised in practice </w:t>
      </w:r>
      <w:r w:rsidR="00935B65">
        <w:t>as there are currently limited</w:t>
      </w:r>
      <w:r w:rsidR="001A23AC">
        <w:t xml:space="preserve"> </w:t>
      </w:r>
      <w:r w:rsidR="009E27D6" w:rsidRPr="0093026D">
        <w:t xml:space="preserve">sites providing </w:t>
      </w:r>
      <w:r w:rsidR="008411CF">
        <w:t>Re-188 brachytherapy</w:t>
      </w:r>
      <w:r w:rsidR="00B03BE7">
        <w:t>. MSAC also noted that</w:t>
      </w:r>
      <w:r w:rsidR="003E2413">
        <w:t xml:space="preserve"> </w:t>
      </w:r>
      <w:r w:rsidR="00864DC9">
        <w:t xml:space="preserve">additional sites </w:t>
      </w:r>
      <w:r w:rsidR="00B93D3A">
        <w:t xml:space="preserve">may be slow to adopt the </w:t>
      </w:r>
      <w:r w:rsidR="009E27D6" w:rsidRPr="0093026D">
        <w:t xml:space="preserve">therapy </w:t>
      </w:r>
      <w:r w:rsidR="00CA17E5">
        <w:t>due to</w:t>
      </w:r>
      <w:r w:rsidR="009E27D6" w:rsidRPr="0093026D">
        <w:t xml:space="preserve"> set</w:t>
      </w:r>
      <w:r w:rsidR="009E27D6">
        <w:t>-up</w:t>
      </w:r>
      <w:r w:rsidR="009E27D6" w:rsidRPr="0093026D">
        <w:t xml:space="preserve"> costs. This may mean the treatment </w:t>
      </w:r>
      <w:r w:rsidR="00CF10B9">
        <w:t xml:space="preserve">may </w:t>
      </w:r>
      <w:r w:rsidR="009E27D6" w:rsidRPr="0093026D">
        <w:t>not</w:t>
      </w:r>
      <w:r w:rsidR="009E27D6">
        <w:t xml:space="preserve"> be</w:t>
      </w:r>
      <w:r w:rsidR="00CF10B9">
        <w:t>come</w:t>
      </w:r>
      <w:r w:rsidR="009E27D6" w:rsidRPr="0093026D">
        <w:t xml:space="preserve"> widely available unless many patients are to be treated, which </w:t>
      </w:r>
      <w:r w:rsidR="009E27D6">
        <w:t>could</w:t>
      </w:r>
      <w:r w:rsidR="009E27D6" w:rsidRPr="0093026D">
        <w:t xml:space="preserve"> require expanding the eligible population.</w:t>
      </w:r>
      <w:r w:rsidR="009E27D6" w:rsidRPr="005F5D2D">
        <w:t xml:space="preserve"> </w:t>
      </w:r>
      <w:r w:rsidR="001F6DD1">
        <w:t xml:space="preserve">MSAC noted that further research </w:t>
      </w:r>
      <w:r w:rsidR="00085659">
        <w:t>such as</w:t>
      </w:r>
      <w:r w:rsidR="001F6DD1">
        <w:t xml:space="preserve"> a formal patient preference study (that includes patients who have poorer access to treatments) would be needed </w:t>
      </w:r>
      <w:r w:rsidR="002B3375">
        <w:t>to</w:t>
      </w:r>
      <w:r w:rsidR="001F6DD1">
        <w:t xml:space="preserve"> understand how the target patient population are currently treated, patient preferences relative to comparator treatments, what the current access barriers are, and how this may change if Re-188 brachytherapy is listed on the MBS.</w:t>
      </w:r>
      <w:r w:rsidR="00B541F1">
        <w:t xml:space="preserve"> </w:t>
      </w:r>
    </w:p>
    <w:p w14:paraId="750613BE" w14:textId="5BC6DAE4" w:rsidR="00B818B8" w:rsidRDefault="009E27D6" w:rsidP="00C4736C">
      <w:r w:rsidRPr="005819CA">
        <w:t>MSAC noted consultation feedback from four medical specialist colleges, one consumer organisation and six individual specialist physicians. Three professional colleges were not supportive of the application (Australasian College of Dermatologists</w:t>
      </w:r>
      <w:r w:rsidR="009A2F32">
        <w:t xml:space="preserve"> [ACD]</w:t>
      </w:r>
      <w:r w:rsidRPr="005819CA">
        <w:t>, Australian Society of Plastic Surgeons</w:t>
      </w:r>
      <w:r w:rsidR="009A2F32">
        <w:t xml:space="preserve"> [ASPS]</w:t>
      </w:r>
      <w:r w:rsidRPr="005819CA">
        <w:t>, Royal Australian and New Zealand College of Radiologists</w:t>
      </w:r>
      <w:r w:rsidR="00A3260E">
        <w:t xml:space="preserve"> </w:t>
      </w:r>
      <w:r w:rsidR="00413A7B">
        <w:t>[RANZCR]</w:t>
      </w:r>
      <w:r w:rsidRPr="005819CA">
        <w:t xml:space="preserve">), while two were supportive (Melanoma and Skin Cancer Advocacy Network, Australasian Association of Nuclear Medicine Specialists [AANMS]). The AANMS strongly recommended that this treatment </w:t>
      </w:r>
      <w:r w:rsidR="004B1A23">
        <w:t>should</w:t>
      </w:r>
      <w:r w:rsidRPr="005819CA">
        <w:t xml:space="preserve"> not be referred to as a brachytherapy</w:t>
      </w:r>
      <w:r>
        <w:t>,</w:t>
      </w:r>
      <w:r w:rsidRPr="005819CA">
        <w:t xml:space="preserve"> because it involves the use of an unsealed source of radioactivity.</w:t>
      </w:r>
      <w:r>
        <w:t xml:space="preserve"> MSAC noted that professional bodies representing the </w:t>
      </w:r>
      <w:r w:rsidR="00C567B6">
        <w:t xml:space="preserve">proposed </w:t>
      </w:r>
      <w:r>
        <w:t xml:space="preserve">referrers </w:t>
      </w:r>
      <w:r w:rsidR="001B5064">
        <w:t>for the service</w:t>
      </w:r>
      <w:r>
        <w:t xml:space="preserve"> specified in the proposed MBS item (dermatologists and plastic surgeons) were not supportive of the application. </w:t>
      </w:r>
      <w:r w:rsidR="00CD346A">
        <w:t xml:space="preserve">MSAC noted consultation feedback suggested the availability of Re-188 brachytherapy as an alternative to surgery would provide benefits such as reducing surgery rates and improving cosmetic results in eligible patients. </w:t>
      </w:r>
      <w:r w:rsidR="00CD346A">
        <w:rPr>
          <w:rFonts w:eastAsia="Segoe UI"/>
        </w:rPr>
        <w:t xml:space="preserve">MSAC also noted advice from the RANZCR that in contrast to both modes of EBRT – there was difficulty establishing the dose delivered by R8-188 therapy. </w:t>
      </w:r>
      <w:r w:rsidR="00CD346A">
        <w:t>MSAC noted the application did not propose that Re-188 brachytherapy would substitute for surgery and that a separate application supported by appropriate comparative evidence for Re-188 brachytherapy versus surgery would be required before this could be considered by MSAC.</w:t>
      </w:r>
    </w:p>
    <w:p w14:paraId="0D642A89" w14:textId="3DE3ACE0" w:rsidR="009E27D6" w:rsidRDefault="004E208D" w:rsidP="009E27D6">
      <w:r>
        <w:t>MSAC noted the clinical evidence for Re-188 brachytherapy consiste</w:t>
      </w:r>
      <w:r w:rsidR="00C62F3E">
        <w:t>d</w:t>
      </w:r>
      <w:r>
        <w:t xml:space="preserve"> of </w:t>
      </w:r>
      <w:r w:rsidR="006724AD">
        <w:t>five (5)</w:t>
      </w:r>
      <w:r w:rsidR="00582213">
        <w:t xml:space="preserve"> published single arm studies, </w:t>
      </w:r>
      <w:r w:rsidR="00210A8A">
        <w:t xml:space="preserve">a draft manuscript for another single arm study and </w:t>
      </w:r>
      <w:r w:rsidR="001F71BC">
        <w:t xml:space="preserve">an interim </w:t>
      </w:r>
      <w:r w:rsidR="00CF5AE2">
        <w:t>report from the</w:t>
      </w:r>
      <w:r w:rsidR="00EE6A1D">
        <w:t xml:space="preserve"> EPIC</w:t>
      </w:r>
      <w:r w:rsidR="008F7028">
        <w:t>-Skin</w:t>
      </w:r>
      <w:r w:rsidR="00EE6A1D">
        <w:t xml:space="preserve"> study</w:t>
      </w:r>
      <w:r w:rsidR="008770DC">
        <w:rPr>
          <w:rStyle w:val="FootnoteReference"/>
        </w:rPr>
        <w:footnoteReference w:id="2"/>
      </w:r>
      <w:r w:rsidR="00EE6A1D">
        <w:t xml:space="preserve"> (</w:t>
      </w:r>
      <w:r w:rsidR="006C2459">
        <w:t>p</w:t>
      </w:r>
      <w:r w:rsidR="006C2459" w:rsidRPr="006C2459">
        <w:t>hase IV multicentre-international open label single arm study</w:t>
      </w:r>
      <w:r w:rsidR="006C2459">
        <w:t xml:space="preserve">, </w:t>
      </w:r>
      <w:r w:rsidR="006C2459" w:rsidRPr="006C2459">
        <w:t>N=182)</w:t>
      </w:r>
      <w:r w:rsidR="006C2459">
        <w:t>.</w:t>
      </w:r>
      <w:r w:rsidR="00765352">
        <w:t xml:space="preserve"> </w:t>
      </w:r>
      <w:r w:rsidR="00FE4EAA">
        <w:t xml:space="preserve">MSAC noted limitations with the Re-188 brachytherapy evidence base included differences in how lesion size were reported (difficult to relate to the proposed MBS items), </w:t>
      </w:r>
      <w:r w:rsidR="00B55F19">
        <w:t>the inclusion of</w:t>
      </w:r>
      <w:r w:rsidR="00FE4EAA">
        <w:t xml:space="preserve"> patients with lesions &gt;8cm</w:t>
      </w:r>
      <w:r w:rsidR="00FE4EAA">
        <w:rPr>
          <w:vertAlign w:val="superscript"/>
        </w:rPr>
        <w:t>2</w:t>
      </w:r>
      <w:r w:rsidR="00FE4EAA">
        <w:t xml:space="preserve"> (not applicable to the lesion sizes in the proposed MBS items), </w:t>
      </w:r>
      <w:r w:rsidR="00B55F19">
        <w:t>the</w:t>
      </w:r>
      <w:r w:rsidR="00FE4EAA">
        <w:t xml:space="preserve"> lack of various reported outcomes across the studies</w:t>
      </w:r>
      <w:r w:rsidR="00856441">
        <w:t xml:space="preserve"> and the fact that </w:t>
      </w:r>
      <w:r w:rsidR="00FE4EAA">
        <w:t>f</w:t>
      </w:r>
      <w:r w:rsidR="00FE4EAA" w:rsidRPr="00136D2B">
        <w:t>our of the five studies were from a single centre</w:t>
      </w:r>
      <w:r w:rsidR="00FE4EAA">
        <w:t xml:space="preserve"> and risk of bias for the studies was assessed as fair (k=3) to poor (k=2). </w:t>
      </w:r>
      <w:r w:rsidR="00765352">
        <w:t xml:space="preserve">MSAC noted </w:t>
      </w:r>
      <w:r w:rsidR="00507D88">
        <w:t xml:space="preserve">for </w:t>
      </w:r>
      <w:r w:rsidR="00765352">
        <w:t>the comparison with radiotherapy</w:t>
      </w:r>
      <w:r w:rsidR="00FE6308">
        <w:t xml:space="preserve">, which encompassed both </w:t>
      </w:r>
      <w:r w:rsidR="009D2BD4">
        <w:t>EBRT and brachytherapy</w:t>
      </w:r>
      <w:r w:rsidR="00283CCD">
        <w:t xml:space="preserve"> in the PICO</w:t>
      </w:r>
      <w:r w:rsidR="00507D88">
        <w:t xml:space="preserve">, the ADAR narratively presented 25 </w:t>
      </w:r>
      <w:r w:rsidR="00A656F5">
        <w:t xml:space="preserve">EBRT </w:t>
      </w:r>
      <w:r w:rsidR="00E9738A">
        <w:t>studies</w:t>
      </w:r>
      <w:r w:rsidR="00A656F5">
        <w:t>.</w:t>
      </w:r>
      <w:r w:rsidR="00EE6A1D">
        <w:t xml:space="preserve"> </w:t>
      </w:r>
      <w:r w:rsidR="00AE6461">
        <w:t xml:space="preserve">While </w:t>
      </w:r>
      <w:r w:rsidR="00900B5A">
        <w:t xml:space="preserve">some of the </w:t>
      </w:r>
      <w:r w:rsidR="00AE6461">
        <w:t xml:space="preserve">EBRT studies </w:t>
      </w:r>
      <w:r w:rsidR="00AE6461" w:rsidRPr="00AE6461">
        <w:t>compar</w:t>
      </w:r>
      <w:r w:rsidR="00900B5A">
        <w:t>ed</w:t>
      </w:r>
      <w:r w:rsidR="00AE6461" w:rsidRPr="00AE6461">
        <w:t xml:space="preserve"> EBRT with other treatment modalities (surgery or brachytherapy)</w:t>
      </w:r>
      <w:r w:rsidR="00C24D5E">
        <w:t>, most of the</w:t>
      </w:r>
      <w:r w:rsidR="00900B5A">
        <w:t xml:space="preserve"> EBRT studies</w:t>
      </w:r>
      <w:r w:rsidR="00C24D5E">
        <w:t xml:space="preserve"> were also single arm studies. </w:t>
      </w:r>
      <w:r w:rsidR="00A830E7">
        <w:t xml:space="preserve">MSAC </w:t>
      </w:r>
      <w:r w:rsidR="009F0887">
        <w:t>n</w:t>
      </w:r>
      <w:r w:rsidR="00A830E7">
        <w:t>oted that while the</w:t>
      </w:r>
      <w:r w:rsidR="00A72A60">
        <w:t xml:space="preserve"> ADAR presented its approach as a </w:t>
      </w:r>
      <w:r w:rsidR="00A830E7">
        <w:t xml:space="preserve">naïve indirect comparison, the commentary </w:t>
      </w:r>
      <w:r w:rsidR="009F0887">
        <w:t>ar</w:t>
      </w:r>
      <w:r w:rsidR="001D0CA8">
        <w:t>g</w:t>
      </w:r>
      <w:r w:rsidR="009F0887">
        <w:t>ued</w:t>
      </w:r>
      <w:r w:rsidR="00BB6717">
        <w:t xml:space="preserve"> (and ESC agreed)</w:t>
      </w:r>
      <w:r w:rsidR="003B11CA">
        <w:t xml:space="preserve"> that the various studies were too different to </w:t>
      </w:r>
      <w:r w:rsidR="009F0887">
        <w:t>facilitate this</w:t>
      </w:r>
      <w:r w:rsidR="003B11CA">
        <w:t xml:space="preserve"> kind of comparison. </w:t>
      </w:r>
      <w:r w:rsidR="00C203B7">
        <w:t>MSAC also acknowledged the limitations with the EBRT evidence base which spanned 5 decades</w:t>
      </w:r>
      <w:r w:rsidR="00DA5E84">
        <w:t>, pertained to a mix of different modalities (some of which are outdated)</w:t>
      </w:r>
      <w:r w:rsidR="00916FEA">
        <w:t xml:space="preserve"> and wider variation in fractionation patterns</w:t>
      </w:r>
      <w:r w:rsidR="00537227">
        <w:t xml:space="preserve"> and provided</w:t>
      </w:r>
      <w:r w:rsidR="00626CA6">
        <w:t xml:space="preserve"> lack of clarity regarding</w:t>
      </w:r>
      <w:r w:rsidR="0098793C">
        <w:t xml:space="preserve"> the indication for the radiation therapy, the</w:t>
      </w:r>
      <w:r w:rsidR="00626CA6">
        <w:t xml:space="preserve"> lesion size and depth and therefore applicability to the target population</w:t>
      </w:r>
      <w:r w:rsidR="00916FEA">
        <w:t>.</w:t>
      </w:r>
      <w:r w:rsidR="00DA5E84">
        <w:t xml:space="preserve"> </w:t>
      </w:r>
      <w:r w:rsidR="004C3DF4">
        <w:t xml:space="preserve">MSAC acknowledged that the </w:t>
      </w:r>
      <w:r w:rsidR="004C3DF4" w:rsidRPr="007E535B">
        <w:t>formal evidence for EBRT is limited</w:t>
      </w:r>
      <w:r w:rsidR="004C3DF4">
        <w:t xml:space="preserve"> </w:t>
      </w:r>
      <w:r w:rsidR="00185F13">
        <w:t xml:space="preserve">but </w:t>
      </w:r>
      <w:r w:rsidR="0003674F">
        <w:t>noted</w:t>
      </w:r>
      <w:r w:rsidR="004C3DF4">
        <w:t xml:space="preserve"> that conventional radiation therapy is a long-standing well-established therapy such that some EBRT MBS items were included on the MBS prior to the establishment of the MSAC health technology assessment process. </w:t>
      </w:r>
    </w:p>
    <w:p w14:paraId="20E5F945" w14:textId="491E6F9B" w:rsidR="00354A4F" w:rsidRDefault="009E27D6" w:rsidP="009E27D6">
      <w:r>
        <w:lastRenderedPageBreak/>
        <w:t>Regarding safety, MSAC noted that b</w:t>
      </w:r>
      <w:r w:rsidRPr="006E4AE4">
        <w:t>ased on the evidence</w:t>
      </w:r>
      <w:r w:rsidR="00F91ED3">
        <w:t xml:space="preserve"> </w:t>
      </w:r>
      <w:r w:rsidR="00F91ED3" w:rsidRPr="006E4AE4">
        <w:t>available</w:t>
      </w:r>
      <w:r>
        <w:t>, both</w:t>
      </w:r>
      <w:r w:rsidRPr="006E4AE4">
        <w:t xml:space="preserve"> </w:t>
      </w:r>
      <w:r>
        <w:t>Re</w:t>
      </w:r>
      <w:r>
        <w:noBreakHyphen/>
        <w:t>188</w:t>
      </w:r>
      <w:r w:rsidR="00097A82" w:rsidRPr="00097A82">
        <w:rPr>
          <w:bCs/>
        </w:rPr>
        <w:t xml:space="preserve"> </w:t>
      </w:r>
      <w:r w:rsidR="00097A82">
        <w:rPr>
          <w:bCs/>
        </w:rPr>
        <w:t>brachytherapy</w:t>
      </w:r>
      <w:r w:rsidRPr="006E4AE4">
        <w:t xml:space="preserve"> and EBRT appear</w:t>
      </w:r>
      <w:r>
        <w:t>ed to be</w:t>
      </w:r>
      <w:r w:rsidRPr="006E4AE4">
        <w:t xml:space="preserve"> relatively safe</w:t>
      </w:r>
      <w:r>
        <w:t xml:space="preserve">. Rates of </w:t>
      </w:r>
      <w:r w:rsidRPr="006E4AE4">
        <w:t xml:space="preserve">relevant </w:t>
      </w:r>
      <w:r>
        <w:t>adverse events</w:t>
      </w:r>
      <w:r w:rsidRPr="006E4AE4">
        <w:t xml:space="preserve"> </w:t>
      </w:r>
      <w:r>
        <w:t>appeared to be similar, al</w:t>
      </w:r>
      <w:r w:rsidRPr="006E4AE4">
        <w:t>though</w:t>
      </w:r>
      <w:r>
        <w:t xml:space="preserve"> it is</w:t>
      </w:r>
      <w:r w:rsidRPr="006E4AE4">
        <w:t xml:space="preserve"> difficult to directly compare the different studies</w:t>
      </w:r>
      <w:r>
        <w:t xml:space="preserve">. Longer-term safety </w:t>
      </w:r>
      <w:r w:rsidR="00F01458">
        <w:t xml:space="preserve">for Re-188 brachytherapy </w:t>
      </w:r>
      <w:r>
        <w:t xml:space="preserve">is uncertain as there </w:t>
      </w:r>
      <w:r w:rsidR="009F45CD">
        <w:t xml:space="preserve">is </w:t>
      </w:r>
      <w:r>
        <w:t xml:space="preserve">no prospective data </w:t>
      </w:r>
      <w:r w:rsidR="009F45CD">
        <w:t xml:space="preserve">available </w:t>
      </w:r>
      <w:r>
        <w:t>on late toxicity or complications with Re-188</w:t>
      </w:r>
      <w:r w:rsidR="00097A82">
        <w:t xml:space="preserve"> </w:t>
      </w:r>
      <w:r w:rsidR="00097A82">
        <w:rPr>
          <w:bCs/>
        </w:rPr>
        <w:t>brachytherapy</w:t>
      </w:r>
      <w:r>
        <w:t>. MSAC noted that the o</w:t>
      </w:r>
      <w:r w:rsidRPr="00015753">
        <w:t>ngoing EPIC</w:t>
      </w:r>
      <w:r w:rsidR="008F7028">
        <w:t>-Skin</w:t>
      </w:r>
      <w:r>
        <w:t xml:space="preserve"> </w:t>
      </w:r>
      <w:r w:rsidR="002321B3">
        <w:t xml:space="preserve">study </w:t>
      </w:r>
      <w:r>
        <w:t xml:space="preserve">is expected to </w:t>
      </w:r>
      <w:r w:rsidRPr="00015753">
        <w:t xml:space="preserve">end </w:t>
      </w:r>
      <w:r>
        <w:t xml:space="preserve">in late </w:t>
      </w:r>
      <w:r w:rsidRPr="00015753">
        <w:t>2023</w:t>
      </w:r>
      <w:r>
        <w:t xml:space="preserve"> and will provide </w:t>
      </w:r>
      <w:r w:rsidR="000749EE">
        <w:t xml:space="preserve">24 month </w:t>
      </w:r>
      <w:r>
        <w:t>follow up data on Re-188</w:t>
      </w:r>
      <w:r w:rsidR="00ED5168">
        <w:t xml:space="preserve"> </w:t>
      </w:r>
      <w:r w:rsidR="00ED5168">
        <w:rPr>
          <w:bCs/>
        </w:rPr>
        <w:t>brachytherapy</w:t>
      </w:r>
      <w:r>
        <w:t xml:space="preserve">. </w:t>
      </w:r>
    </w:p>
    <w:p w14:paraId="23664703" w14:textId="3B643D5A" w:rsidR="009E27D6" w:rsidRDefault="00C80A8A" w:rsidP="009E27D6">
      <w:r>
        <w:t>MSAC noted a</w:t>
      </w:r>
      <w:r w:rsidR="009E27D6">
        <w:t>nother safety issue relates to staff handling of Re</w:t>
      </w:r>
      <w:r w:rsidR="009E27D6">
        <w:noBreakHyphen/>
        <w:t xml:space="preserve">188, as </w:t>
      </w:r>
      <w:r w:rsidR="009E27D6" w:rsidRPr="00464C48">
        <w:t xml:space="preserve">in this form </w:t>
      </w:r>
      <w:r w:rsidR="009E27D6">
        <w:t xml:space="preserve">it </w:t>
      </w:r>
      <w:r w:rsidR="009E27D6" w:rsidRPr="00464C48">
        <w:t>is an unsealed radiation source</w:t>
      </w:r>
      <w:r w:rsidR="009E27D6">
        <w:t xml:space="preserve"> and there is a risk of contamination. As such, Re</w:t>
      </w:r>
      <w:r w:rsidR="009E27D6">
        <w:noBreakHyphen/>
        <w:t xml:space="preserve">188 </w:t>
      </w:r>
      <w:r w:rsidR="009E27D6" w:rsidRPr="00B639CE">
        <w:t>requires standard</w:t>
      </w:r>
      <w:r w:rsidR="009E27D6">
        <w:t xml:space="preserve"> precautions for handling</w:t>
      </w:r>
      <w:r w:rsidR="009E27D6" w:rsidRPr="00B639CE">
        <w:t xml:space="preserve"> unsealed sources</w:t>
      </w:r>
      <w:r w:rsidR="009E27D6">
        <w:t xml:space="preserve">, including proper personal protective equipment, protective foil to cover untreated skin on the patient, and appropriate </w:t>
      </w:r>
      <w:r w:rsidR="009E27D6" w:rsidRPr="00B639CE">
        <w:t>container</w:t>
      </w:r>
      <w:r w:rsidR="009E27D6">
        <w:t>s for</w:t>
      </w:r>
      <w:r w:rsidR="009E27D6" w:rsidRPr="00655807">
        <w:t xml:space="preserve"> </w:t>
      </w:r>
      <w:r w:rsidR="009E27D6">
        <w:t xml:space="preserve">radioactive </w:t>
      </w:r>
      <w:r w:rsidR="009E27D6" w:rsidRPr="00B639CE">
        <w:t>waste</w:t>
      </w:r>
      <w:r w:rsidR="009E27D6">
        <w:t xml:space="preserve">. </w:t>
      </w:r>
      <w:r w:rsidR="009E27D6" w:rsidRPr="00690D2E">
        <w:t>Licen</w:t>
      </w:r>
      <w:r w:rsidR="009E27D6">
        <w:t>s</w:t>
      </w:r>
      <w:r w:rsidR="009E27D6" w:rsidRPr="00690D2E">
        <w:t>ing and accreditation processes are different for sealed and unsealed sources</w:t>
      </w:r>
      <w:r w:rsidR="009E27D6">
        <w:t>, so facilities administering Re</w:t>
      </w:r>
      <w:r w:rsidR="009E27D6">
        <w:noBreakHyphen/>
        <w:t xml:space="preserve">188 </w:t>
      </w:r>
      <w:r w:rsidR="000E3694">
        <w:rPr>
          <w:bCs/>
        </w:rPr>
        <w:t>brachytherapy</w:t>
      </w:r>
      <w:r w:rsidR="000E3694" w:rsidDel="000E3694">
        <w:t xml:space="preserve"> </w:t>
      </w:r>
      <w:r w:rsidR="009E27D6">
        <w:t>will need a</w:t>
      </w:r>
      <w:r w:rsidR="009E27D6" w:rsidRPr="00690D2E">
        <w:t>ppropriate polic</w:t>
      </w:r>
      <w:r w:rsidR="009E27D6">
        <w:t xml:space="preserve">ies, </w:t>
      </w:r>
      <w:r w:rsidR="009E27D6" w:rsidRPr="00690D2E">
        <w:t>procedures</w:t>
      </w:r>
      <w:r w:rsidR="009E27D6">
        <w:t xml:space="preserve"> and</w:t>
      </w:r>
      <w:r w:rsidR="009E27D6" w:rsidRPr="00690D2E">
        <w:t xml:space="preserve"> protective equipment</w:t>
      </w:r>
      <w:r w:rsidR="009E27D6">
        <w:t xml:space="preserve"> in place.</w:t>
      </w:r>
    </w:p>
    <w:p w14:paraId="25BF080C" w14:textId="12A04654" w:rsidR="009E27D6" w:rsidRDefault="009E27D6" w:rsidP="009E27D6">
      <w:r>
        <w:t>Regarding clinical e</w:t>
      </w:r>
      <w:r w:rsidRPr="007E535B">
        <w:t>ffectiveness</w:t>
      </w:r>
      <w:r>
        <w:t xml:space="preserve">, </w:t>
      </w:r>
      <w:r w:rsidR="00F929C6">
        <w:t xml:space="preserve">MSAC noted </w:t>
      </w:r>
      <w:r w:rsidR="00AA3B30">
        <w:t xml:space="preserve">the Re-188 brachytherapy studies reported </w:t>
      </w:r>
      <w:r w:rsidR="00662083">
        <w:t xml:space="preserve">complete response rates </w:t>
      </w:r>
      <w:r w:rsidR="00CC3473">
        <w:t xml:space="preserve">similar to that reported in the EBRT studies. </w:t>
      </w:r>
      <w:r w:rsidR="0008608F">
        <w:t xml:space="preserve">MSAC noted </w:t>
      </w:r>
      <w:r w:rsidR="00953D8C">
        <w:t xml:space="preserve">although </w:t>
      </w:r>
      <w:r w:rsidR="0008608F">
        <w:t xml:space="preserve">there was no prospective data on cosmesis at later timepoints for </w:t>
      </w:r>
      <w:r w:rsidR="007C13C8">
        <w:t>Re-188 brachytherapy</w:t>
      </w:r>
      <w:r w:rsidR="00953D8C">
        <w:t xml:space="preserve">, </w:t>
      </w:r>
      <w:r w:rsidR="007C13C8">
        <w:t xml:space="preserve">the </w:t>
      </w:r>
      <w:r w:rsidR="00953D8C">
        <w:t xml:space="preserve">Re-188 brachytherapy </w:t>
      </w:r>
      <w:r w:rsidR="00417546">
        <w:t xml:space="preserve">studies reported good to excellent </w:t>
      </w:r>
      <w:r w:rsidR="00953D8C">
        <w:t xml:space="preserve">early </w:t>
      </w:r>
      <w:r w:rsidR="00417546">
        <w:t>cosmesis outcomes for Re-188 brachytherapy similar to</w:t>
      </w:r>
      <w:r w:rsidR="00953D8C">
        <w:t xml:space="preserve"> the EBRT studies. </w:t>
      </w:r>
      <w:r>
        <w:t>MSAC noted the commentary</w:t>
      </w:r>
      <w:r w:rsidR="000F079D">
        <w:t xml:space="preserve"> and ESC </w:t>
      </w:r>
      <w:r w:rsidR="00641B9D">
        <w:t>considered</w:t>
      </w:r>
      <w:r w:rsidR="000F079D">
        <w:t xml:space="preserve"> </w:t>
      </w:r>
      <w:r>
        <w:t xml:space="preserve">that overall, </w:t>
      </w:r>
      <w:r w:rsidR="008B17CF">
        <w:t xml:space="preserve">due to </w:t>
      </w:r>
      <w:r w:rsidR="0021158B">
        <w:t xml:space="preserve">the limitations of the naïve indirect comparison and evidence base, </w:t>
      </w:r>
      <w:r>
        <w:t>there was insufficient evidence available to evaluate the comparative effectiveness of Re</w:t>
      </w:r>
      <w:r>
        <w:noBreakHyphen/>
        <w:t xml:space="preserve">188 </w:t>
      </w:r>
      <w:r w:rsidR="000E3694">
        <w:rPr>
          <w:bCs/>
        </w:rPr>
        <w:t>brachytherapy</w:t>
      </w:r>
      <w:r w:rsidR="000E3694">
        <w:t xml:space="preserve"> </w:t>
      </w:r>
      <w:r>
        <w:t>and EBRT for BCC and SCC</w:t>
      </w:r>
      <w:r w:rsidR="00641B9D">
        <w:t xml:space="preserve">. </w:t>
      </w:r>
      <w:r>
        <w:t xml:space="preserve">MSAC considered that there is </w:t>
      </w:r>
      <w:r w:rsidRPr="007E535B">
        <w:t>some evidence for short</w:t>
      </w:r>
      <w:r>
        <w:t>-</w:t>
      </w:r>
      <w:r w:rsidRPr="007E535B">
        <w:t xml:space="preserve">term effectiveness for </w:t>
      </w:r>
      <w:r>
        <w:t>Re</w:t>
      </w:r>
      <w:r>
        <w:noBreakHyphen/>
        <w:t>188</w:t>
      </w:r>
      <w:r w:rsidR="00E1240F">
        <w:t xml:space="preserve"> </w:t>
      </w:r>
      <w:r w:rsidR="00E1240F">
        <w:rPr>
          <w:bCs/>
        </w:rPr>
        <w:t>brachytherapy</w:t>
      </w:r>
      <w:r>
        <w:t xml:space="preserve">, while the </w:t>
      </w:r>
      <w:r w:rsidRPr="007E535B">
        <w:t>long</w:t>
      </w:r>
      <w:r>
        <w:t>-</w:t>
      </w:r>
      <w:r w:rsidRPr="007E535B">
        <w:t>term effectiveness</w:t>
      </w:r>
      <w:r>
        <w:t xml:space="preserve"> is</w:t>
      </w:r>
      <w:r w:rsidRPr="007E535B">
        <w:t xml:space="preserve"> less certain</w:t>
      </w:r>
      <w:r w:rsidR="006C6C95">
        <w:t>.</w:t>
      </w:r>
    </w:p>
    <w:p w14:paraId="2CA4728D" w14:textId="69B2C5BD" w:rsidR="009E27D6" w:rsidRDefault="009E27D6" w:rsidP="009E27D6">
      <w:r>
        <w:t xml:space="preserve">Overall, MSAC considered that the </w:t>
      </w:r>
      <w:r w:rsidR="00B25ECA">
        <w:t>comparative</w:t>
      </w:r>
      <w:r>
        <w:t xml:space="preserve"> effectiveness and safety </w:t>
      </w:r>
      <w:r w:rsidR="005B5532">
        <w:t xml:space="preserve">of </w:t>
      </w:r>
      <w:r w:rsidR="00892876">
        <w:t xml:space="preserve">Re-188 brachytherapy versus EBRT </w:t>
      </w:r>
      <w:r>
        <w:t xml:space="preserve">was uncertain at this time. </w:t>
      </w:r>
      <w:r w:rsidR="00892876">
        <w:t>MSAC noted t</w:t>
      </w:r>
      <w:r>
        <w:t>he final peer-reviewed results from the international EPIC</w:t>
      </w:r>
      <w:r w:rsidR="008F7028">
        <w:t>-Skin</w:t>
      </w:r>
      <w:r>
        <w:t xml:space="preserve"> study may assist with MSAC decision-making regarding the ADAR’s clinical claims. </w:t>
      </w:r>
    </w:p>
    <w:p w14:paraId="6E27D062" w14:textId="76C85349" w:rsidR="00097D82" w:rsidRDefault="009E27D6" w:rsidP="00955784">
      <w:pPr>
        <w:tabs>
          <w:tab w:val="num" w:pos="720"/>
          <w:tab w:val="num" w:pos="1440"/>
        </w:tabs>
      </w:pPr>
      <w:r>
        <w:t xml:space="preserve">Regarding the economic evaluation, MSAC noted the PICO had specified a cost-effectiveness analysis </w:t>
      </w:r>
      <w:r w:rsidR="00B95FBE">
        <w:t>would be most appropriate</w:t>
      </w:r>
      <w:r>
        <w:t xml:space="preserve">. Instead, </w:t>
      </w:r>
      <w:r w:rsidR="00704356">
        <w:t xml:space="preserve">the ADAR presented </w:t>
      </w:r>
      <w:r>
        <w:t xml:space="preserve">a cost-comparison analysis comparing MBS-funded </w:t>
      </w:r>
      <w:r w:rsidRPr="002B1C70">
        <w:t xml:space="preserve">healthcare resources for EBRT </w:t>
      </w:r>
      <w:r>
        <w:t>with Re</w:t>
      </w:r>
      <w:r>
        <w:noBreakHyphen/>
        <w:t>188</w:t>
      </w:r>
      <w:r w:rsidR="00E1240F">
        <w:t xml:space="preserve"> </w:t>
      </w:r>
      <w:r w:rsidR="00E1240F">
        <w:rPr>
          <w:bCs/>
        </w:rPr>
        <w:t>brachytherapy</w:t>
      </w:r>
      <w:r>
        <w:t xml:space="preserve">. The ADAR </w:t>
      </w:r>
      <w:r w:rsidRPr="00BF1BDA">
        <w:t>justified the cost</w:t>
      </w:r>
      <w:r>
        <w:t>-</w:t>
      </w:r>
      <w:r w:rsidRPr="00BF1BDA">
        <w:t xml:space="preserve">comparison approach based </w:t>
      </w:r>
      <w:r>
        <w:t xml:space="preserve">on </w:t>
      </w:r>
      <w:r w:rsidRPr="00EF0816">
        <w:t xml:space="preserve">the downgrading </w:t>
      </w:r>
      <w:r>
        <w:t>of</w:t>
      </w:r>
      <w:r w:rsidRPr="00EF0816">
        <w:t xml:space="preserve"> the clinical claim to </w:t>
      </w:r>
      <w:r w:rsidRPr="00BF1BDA">
        <w:t>non-inferior safety</w:t>
      </w:r>
      <w:r w:rsidRPr="00EF0816">
        <w:t xml:space="preserve"> </w:t>
      </w:r>
      <w:r w:rsidRPr="00BF1BDA">
        <w:t>and effectiveness</w:t>
      </w:r>
      <w:r>
        <w:t xml:space="preserve">, due to </w:t>
      </w:r>
      <w:r w:rsidR="00997620">
        <w:t>the</w:t>
      </w:r>
      <w:r>
        <w:t xml:space="preserve"> </w:t>
      </w:r>
      <w:r w:rsidRPr="00EF0816">
        <w:t>limited availability of dat</w:t>
      </w:r>
      <w:r>
        <w:t>a</w:t>
      </w:r>
      <w:r w:rsidR="00D14083">
        <w:t>.</w:t>
      </w:r>
      <w:r w:rsidR="00CF593D">
        <w:t xml:space="preserve"> </w:t>
      </w:r>
      <w:r w:rsidR="00CA43D6">
        <w:t xml:space="preserve">MSAC noted </w:t>
      </w:r>
      <w:r w:rsidR="00C34C74">
        <w:t>the</w:t>
      </w:r>
      <w:r w:rsidR="00CA43D6">
        <w:t xml:space="preserve"> key issue with the economics was </w:t>
      </w:r>
      <w:r w:rsidR="00623740">
        <w:t>regarding</w:t>
      </w:r>
      <w:r w:rsidR="004B107C">
        <w:t xml:space="preserve"> </w:t>
      </w:r>
      <w:r w:rsidR="00212895">
        <w:t>whether the ADAR had appropriate</w:t>
      </w:r>
      <w:r w:rsidR="00825AD8">
        <w:t>ly</w:t>
      </w:r>
      <w:r w:rsidR="00212895">
        <w:t xml:space="preserve"> costed the</w:t>
      </w:r>
      <w:r w:rsidR="007877EB">
        <w:t xml:space="preserve"> </w:t>
      </w:r>
      <w:r w:rsidR="00212895">
        <w:t>comparator. MSAC noted the PICO confirmation listed the comparator as r</w:t>
      </w:r>
      <w:r w:rsidR="00212895" w:rsidRPr="00F02BFC">
        <w:t>adiation therapy</w:t>
      </w:r>
      <w:r w:rsidR="00212895">
        <w:t xml:space="preserve"> (EBRT</w:t>
      </w:r>
      <w:r w:rsidR="00212895" w:rsidRPr="00F02BFC">
        <w:t xml:space="preserve"> </w:t>
      </w:r>
      <w:r w:rsidR="00212895">
        <w:t>or b</w:t>
      </w:r>
      <w:r w:rsidR="00212895" w:rsidRPr="00F02BFC">
        <w:t>rachytherapy</w:t>
      </w:r>
      <w:r w:rsidR="00212895">
        <w:t>) or b</w:t>
      </w:r>
      <w:r w:rsidR="00212895" w:rsidRPr="00F02BFC">
        <w:t>est supportive care</w:t>
      </w:r>
      <w:r w:rsidR="00212895">
        <w:t>.</w:t>
      </w:r>
      <w:r w:rsidR="004D19CA">
        <w:t xml:space="preserve"> MSAC noted</w:t>
      </w:r>
      <w:r w:rsidR="00955784">
        <w:t xml:space="preserve"> the economic</w:t>
      </w:r>
      <w:r w:rsidR="00315508">
        <w:t xml:space="preserve"> ana</w:t>
      </w:r>
      <w:r w:rsidR="00884D43">
        <w:t>l</w:t>
      </w:r>
      <w:r w:rsidR="00315508">
        <w:t>ysis</w:t>
      </w:r>
      <w:r w:rsidR="00955784">
        <w:t xml:space="preserve"> had only included EBRT </w:t>
      </w:r>
      <w:r w:rsidR="00B52290">
        <w:t>and w</w:t>
      </w:r>
      <w:r w:rsidR="00097D82">
        <w:t xml:space="preserve">hile EBRT is an appropriate comparator, the issue of which modality of EBRT and how many fractions </w:t>
      </w:r>
      <w:r w:rsidR="00C257DA">
        <w:t>are used to treat the target lesions in Australian clinical practice</w:t>
      </w:r>
      <w:r w:rsidR="00097D82">
        <w:t xml:space="preserve"> is </w:t>
      </w:r>
      <w:r w:rsidR="0020288F">
        <w:t>highly uncertain due to</w:t>
      </w:r>
      <w:r w:rsidR="00097D82">
        <w:t xml:space="preserve"> differing expert opinion. </w:t>
      </w:r>
      <w:r w:rsidR="001F389E">
        <w:t>MSAC noted t</w:t>
      </w:r>
      <w:r w:rsidR="00097D82">
        <w:t xml:space="preserve">he </w:t>
      </w:r>
      <w:r w:rsidR="00097D82" w:rsidRPr="00FB7E2A">
        <w:t>ADAR</w:t>
      </w:r>
      <w:r w:rsidR="00097D82">
        <w:t xml:space="preserve"> </w:t>
      </w:r>
      <w:r w:rsidR="003A7726">
        <w:t>costed</w:t>
      </w:r>
      <w:r w:rsidR="00097D82" w:rsidRPr="00FB7E2A">
        <w:t xml:space="preserve"> EBRT </w:t>
      </w:r>
      <w:r w:rsidR="00040877">
        <w:t>based on a mix of 3 modalities:</w:t>
      </w:r>
      <w:r w:rsidR="00097D82" w:rsidRPr="00FB7E2A">
        <w:t xml:space="preserve"> electrons or photons using a linear accelerator (LINAC), intensity modulated radiation therapy (IMRT) or volumetric modulated arc therapy (VMAT). </w:t>
      </w:r>
      <w:r w:rsidR="00097D82" w:rsidRPr="000E7B1D">
        <w:t xml:space="preserve">The ADAR </w:t>
      </w:r>
      <w:r w:rsidR="00690EF5">
        <w:t>costed</w:t>
      </w:r>
      <w:r w:rsidR="00097D82" w:rsidRPr="000E7B1D">
        <w:t xml:space="preserve"> </w:t>
      </w:r>
      <w:r w:rsidR="00097D82">
        <w:t>“</w:t>
      </w:r>
      <w:r w:rsidR="00097D82" w:rsidRPr="000E7B1D">
        <w:t>LINAC</w:t>
      </w:r>
      <w:r w:rsidR="00097D82">
        <w:t>”</w:t>
      </w:r>
      <w:r w:rsidR="00097D82" w:rsidRPr="000E7B1D">
        <w:t xml:space="preserve"> using MBS items for 3D megavoltage EBRT</w:t>
      </w:r>
      <w:r w:rsidR="00097D82" w:rsidRPr="00CE3D29">
        <w:t xml:space="preserve">. </w:t>
      </w:r>
      <w:r w:rsidR="00416078">
        <w:t xml:space="preserve">MSAC noted </w:t>
      </w:r>
      <w:r w:rsidR="00097D82" w:rsidRPr="00645163">
        <w:t>ESC advice that 2D rather than 3D electron beam EBRT would be used for treatment of shallow and small (≤3mm) BCC or SCC</w:t>
      </w:r>
      <w:r w:rsidR="00097D82">
        <w:t>. The commentary</w:t>
      </w:r>
      <w:r w:rsidR="00C86060">
        <w:t xml:space="preserve"> and consultation feedback from RANZCR</w:t>
      </w:r>
      <w:r w:rsidR="00097D82">
        <w:t xml:space="preserve"> considered that orthovoltage was a more appropriate </w:t>
      </w:r>
      <w:r w:rsidR="00C17134">
        <w:t xml:space="preserve">EBRT </w:t>
      </w:r>
      <w:r w:rsidR="00097D82">
        <w:t>modality</w:t>
      </w:r>
      <w:r w:rsidR="00C17134">
        <w:t xml:space="preserve"> for treating the target lesions</w:t>
      </w:r>
      <w:r w:rsidR="00097D82">
        <w:t xml:space="preserve">. </w:t>
      </w:r>
      <w:r w:rsidR="009802D7">
        <w:t>MSAC note</w:t>
      </w:r>
      <w:r w:rsidR="008C00DA">
        <w:t>d that 2D electron b</w:t>
      </w:r>
      <w:r w:rsidR="00ED5813">
        <w:t>eam and o</w:t>
      </w:r>
      <w:r w:rsidR="00097D82">
        <w:t xml:space="preserve">rthovoltage </w:t>
      </w:r>
      <w:r w:rsidR="00556A96">
        <w:t xml:space="preserve">MBS items </w:t>
      </w:r>
      <w:r w:rsidR="00ED5813">
        <w:t>are</w:t>
      </w:r>
      <w:r w:rsidR="00097D82">
        <w:t xml:space="preserve"> less expensive </w:t>
      </w:r>
      <w:r w:rsidR="00556A96">
        <w:t>than 3D</w:t>
      </w:r>
      <w:r w:rsidR="00097D82">
        <w:t xml:space="preserve"> megavoltage</w:t>
      </w:r>
      <w:r w:rsidR="002E21A0">
        <w:t>. Subsequently, MSAC noted that</w:t>
      </w:r>
      <w:r w:rsidR="00097D82">
        <w:t xml:space="preserve"> </w:t>
      </w:r>
      <w:r w:rsidR="00556A96">
        <w:t xml:space="preserve">the sensitivity analyses in the commentary and ESC report </w:t>
      </w:r>
      <w:r w:rsidR="003723CA">
        <w:t xml:space="preserve">demonstrate that </w:t>
      </w:r>
      <w:r w:rsidR="00F129CB">
        <w:t>including th</w:t>
      </w:r>
      <w:r w:rsidR="000B7112">
        <w:t>ese</w:t>
      </w:r>
      <w:r w:rsidR="00F129CB">
        <w:t xml:space="preserve"> modalities in the EBRT </w:t>
      </w:r>
      <w:r w:rsidR="00080CCC">
        <w:t>costing</w:t>
      </w:r>
      <w:r w:rsidR="00097D82">
        <w:t xml:space="preserve"> make a significant difference to </w:t>
      </w:r>
      <w:r w:rsidR="00926E8E">
        <w:t xml:space="preserve">comparative EBRT </w:t>
      </w:r>
      <w:r w:rsidR="00097D82">
        <w:t>costings</w:t>
      </w:r>
      <w:r w:rsidR="00F311B8">
        <w:t xml:space="preserve"> and whether or not Re-188 brachytherapy is cost saving compared to EBRT</w:t>
      </w:r>
      <w:r w:rsidR="00097D82">
        <w:t xml:space="preserve">. </w:t>
      </w:r>
      <w:r w:rsidR="007F3FBB">
        <w:t>MSAC noted t</w:t>
      </w:r>
      <w:r w:rsidR="00097D82">
        <w:t xml:space="preserve">he applicant’s pre-MSAC response </w:t>
      </w:r>
      <w:r w:rsidR="00AB02DF" w:rsidRPr="00AB02DF">
        <w:t xml:space="preserve">disputed the EBRT </w:t>
      </w:r>
      <w:r w:rsidR="00AB02DF">
        <w:t xml:space="preserve">modalities, </w:t>
      </w:r>
      <w:r w:rsidR="00AB02DF" w:rsidRPr="00AB02DF">
        <w:t>weightings</w:t>
      </w:r>
      <w:r w:rsidR="00AB02DF">
        <w:t xml:space="preserve"> and fraction</w:t>
      </w:r>
      <w:r w:rsidR="009D271F">
        <w:t xml:space="preserve"> schedules</w:t>
      </w:r>
      <w:r w:rsidR="00AB02DF" w:rsidRPr="00AB02DF">
        <w:t xml:space="preserve"> </w:t>
      </w:r>
      <w:r w:rsidR="00AB02DF" w:rsidRPr="00AB02DF">
        <w:lastRenderedPageBreak/>
        <w:t xml:space="preserve">proposed by the commentary and ESC. </w:t>
      </w:r>
      <w:r w:rsidR="009D271F">
        <w:t>The pre-MSAC response reiterated that</w:t>
      </w:r>
      <w:r w:rsidR="00097D82">
        <w:t xml:space="preserve"> </w:t>
      </w:r>
      <w:r w:rsidR="00CD69D4">
        <w:t>the applicant</w:t>
      </w:r>
      <w:r w:rsidR="00097D82">
        <w:t xml:space="preserve"> had </w:t>
      </w:r>
      <w:r w:rsidR="00097D82" w:rsidRPr="007B5C1C">
        <w:t>conducted a targeted clinical consultation process</w:t>
      </w:r>
      <w:r w:rsidR="00097D82">
        <w:t xml:space="preserve"> with a panel of experienced Australian radiation oncologists</w:t>
      </w:r>
      <w:r w:rsidR="00097D82" w:rsidRPr="007B5C1C">
        <w:t xml:space="preserve"> during preparation of the ADAR in order to better understand current local clinical practice in relation to EBRT</w:t>
      </w:r>
      <w:r w:rsidR="00097D82">
        <w:t>, and that this panel had not mentioned orthovoltage as</w:t>
      </w:r>
      <w:r w:rsidR="001229F0">
        <w:t xml:space="preserve"> a</w:t>
      </w:r>
      <w:r w:rsidR="00A734F5">
        <w:t>n</w:t>
      </w:r>
      <w:r w:rsidR="00097D82">
        <w:t xml:space="preserve"> appropriate EBRT modality for the proposed population</w:t>
      </w:r>
      <w:r w:rsidR="00A3260E">
        <w:t>.</w:t>
      </w:r>
    </w:p>
    <w:p w14:paraId="4F867363" w14:textId="70134163" w:rsidR="00F853BA" w:rsidRDefault="00F853BA" w:rsidP="00F853BA">
      <w:r>
        <w:t xml:space="preserve">MSAC </w:t>
      </w:r>
      <w:r w:rsidR="00641D4A">
        <w:t xml:space="preserve">also </w:t>
      </w:r>
      <w:r>
        <w:t>noted that the appropriate number of fractions of EBRT was also unclear</w:t>
      </w:r>
      <w:r w:rsidRPr="006E3738">
        <w:t xml:space="preserve">. </w:t>
      </w:r>
      <w:r w:rsidRPr="000E7B1D">
        <w:t>The ADAR assumed a fractionation range of 10</w:t>
      </w:r>
      <w:r w:rsidRPr="006E3738">
        <w:t>–</w:t>
      </w:r>
      <w:r w:rsidRPr="000E7B1D">
        <w:t>30 fractions would be used</w:t>
      </w:r>
      <w:r>
        <w:t xml:space="preserve"> per lesion</w:t>
      </w:r>
      <w:r w:rsidRPr="000E7B1D">
        <w:t xml:space="preserve">, with an average of 19.03 fractions from the 100-sample simulation. </w:t>
      </w:r>
      <w:r w:rsidR="003146CB">
        <w:t>MSAC noted the</w:t>
      </w:r>
      <w:r w:rsidRPr="000E7B1D">
        <w:t xml:space="preserve"> commentary </w:t>
      </w:r>
      <w:r w:rsidR="003146CB">
        <w:t>highlighted</w:t>
      </w:r>
      <w:r w:rsidRPr="000E7B1D">
        <w:t xml:space="preserve"> that </w:t>
      </w:r>
      <w:r w:rsidRPr="006E3738">
        <w:t>a</w:t>
      </w:r>
      <w:r w:rsidRPr="000E7B1D">
        <w:t xml:space="preserve"> range of 23</w:t>
      </w:r>
      <w:r w:rsidRPr="006E3738">
        <w:t>–</w:t>
      </w:r>
      <w:r w:rsidRPr="000E7B1D">
        <w:t>47</w:t>
      </w:r>
      <w:r w:rsidRPr="006E3738">
        <w:t> G</w:t>
      </w:r>
      <w:r w:rsidRPr="000E7B1D">
        <w:t xml:space="preserve">y </w:t>
      </w:r>
      <w:r>
        <w:t xml:space="preserve">per lesion </w:t>
      </w:r>
      <w:r w:rsidRPr="000E7B1D">
        <w:t xml:space="preserve">was used in one of the </w:t>
      </w:r>
      <w:r>
        <w:t>Re</w:t>
      </w:r>
      <w:r>
        <w:noBreakHyphen/>
        <w:t>188</w:t>
      </w:r>
      <w:r w:rsidRPr="000E7B1D">
        <w:t xml:space="preserve"> </w:t>
      </w:r>
      <w:r>
        <w:rPr>
          <w:bCs/>
        </w:rPr>
        <w:t>brachytherapy</w:t>
      </w:r>
      <w:r w:rsidRPr="000E7B1D">
        <w:t xml:space="preserve"> studies</w:t>
      </w:r>
      <w:r>
        <w:t>,</w:t>
      </w:r>
      <w:r w:rsidRPr="006E3738">
        <w:t xml:space="preserve"> and </w:t>
      </w:r>
      <w:r w:rsidRPr="000E7B1D">
        <w:t xml:space="preserve">according to </w:t>
      </w:r>
      <w:r>
        <w:t>e</w:t>
      </w:r>
      <w:r w:rsidRPr="000E7B1D">
        <w:t>viQ guidelines</w:t>
      </w:r>
      <w:r w:rsidR="001B0163">
        <w:rPr>
          <w:rStyle w:val="FootnoteReference"/>
        </w:rPr>
        <w:footnoteReference w:id="3"/>
      </w:r>
      <w:r w:rsidRPr="006E3738">
        <w:t xml:space="preserve"> </w:t>
      </w:r>
      <w:r w:rsidRPr="000E7B1D">
        <w:t>the fractionation range is 5</w:t>
      </w:r>
      <w:r w:rsidRPr="006E3738">
        <w:t>–</w:t>
      </w:r>
      <w:r w:rsidRPr="000E7B1D">
        <w:t>20</w:t>
      </w:r>
      <w:r w:rsidRPr="006E3738">
        <w:t xml:space="preserve"> fractions </w:t>
      </w:r>
      <w:r>
        <w:t xml:space="preserve">per lesion </w:t>
      </w:r>
      <w:r w:rsidRPr="000E7B1D">
        <w:t>for a prescription dose of up to 50 Gy</w:t>
      </w:r>
      <w:r w:rsidRPr="006E3738">
        <w:t xml:space="preserve">. </w:t>
      </w:r>
      <w:r w:rsidR="003146CB">
        <w:t>Further,</w:t>
      </w:r>
      <w:r w:rsidRPr="000E7B1D">
        <w:t xml:space="preserve"> the standard curative dose schedules for the treatment of small lesions (&lt; 2 cm) typically require fewer treatments (4</w:t>
      </w:r>
      <w:r w:rsidRPr="006E3738">
        <w:t>–1</w:t>
      </w:r>
      <w:r w:rsidRPr="000E7B1D">
        <w:t>2 treatments over 1</w:t>
      </w:r>
      <w:r w:rsidRPr="006E3738">
        <w:t>–</w:t>
      </w:r>
      <w:r w:rsidRPr="000E7B1D">
        <w:t>2 weeks)</w:t>
      </w:r>
      <w:r w:rsidRPr="006E3738">
        <w:t>,</w:t>
      </w:r>
      <w:r w:rsidRPr="000E7B1D">
        <w:t xml:space="preserve"> compared with larger lesions</w:t>
      </w:r>
      <w:r>
        <w:t>,</w:t>
      </w:r>
      <w:r w:rsidRPr="000E7B1D">
        <w:t xml:space="preserve"> which require 15</w:t>
      </w:r>
      <w:r w:rsidRPr="006E3738">
        <w:t>–</w:t>
      </w:r>
      <w:r w:rsidRPr="000E7B1D">
        <w:t>30 treatments over 3</w:t>
      </w:r>
      <w:r w:rsidRPr="006E3738">
        <w:t>–</w:t>
      </w:r>
      <w:r w:rsidRPr="000E7B1D">
        <w:t xml:space="preserve">6 weeks. </w:t>
      </w:r>
      <w:r w:rsidR="002B0484">
        <w:t xml:space="preserve">MSAC noted advice from </w:t>
      </w:r>
      <w:r w:rsidRPr="000E7B1D">
        <w:t>ESC that generally 5</w:t>
      </w:r>
      <w:r w:rsidRPr="006E3738">
        <w:t>–</w:t>
      </w:r>
      <w:r w:rsidRPr="000E7B1D">
        <w:t xml:space="preserve">10 fractions </w:t>
      </w:r>
      <w:r>
        <w:t xml:space="preserve">per lesion </w:t>
      </w:r>
      <w:r w:rsidRPr="000E7B1D">
        <w:t>would be most common</w:t>
      </w:r>
      <w:r>
        <w:t>ly used</w:t>
      </w:r>
      <w:r w:rsidRPr="000E7B1D">
        <w:t>.</w:t>
      </w:r>
      <w:r>
        <w:t xml:space="preserve"> </w:t>
      </w:r>
    </w:p>
    <w:p w14:paraId="3267FC62" w14:textId="25339B28" w:rsidR="00F853BA" w:rsidRDefault="00F853BA" w:rsidP="00C157CC">
      <w:r>
        <w:t>MSAC considered that</w:t>
      </w:r>
      <w:r w:rsidR="00EB04E8">
        <w:t xml:space="preserve">, due to the </w:t>
      </w:r>
      <w:r w:rsidR="00EB04E8" w:rsidRPr="00EB04E8">
        <w:t>significant variability in clinical expert advice regarding the appropriate EBRT modalities, weighting of the modalities and fractionation schedules</w:t>
      </w:r>
      <w:r w:rsidR="00C32E02">
        <w:t>, the</w:t>
      </w:r>
      <w:r>
        <w:t xml:space="preserve"> </w:t>
      </w:r>
      <w:r w:rsidR="00513D04">
        <w:t>costings for the comparator were highly uncertain</w:t>
      </w:r>
      <w:r w:rsidR="00D14C05">
        <w:t xml:space="preserve"> and therefore the </w:t>
      </w:r>
      <w:r w:rsidR="00EC4AAD">
        <w:t xml:space="preserve">ADAR’s claim that Re-188 brachytherapy is cost saving compared to EBRT </w:t>
      </w:r>
      <w:r w:rsidR="00BF4500">
        <w:t xml:space="preserve">is uncertain and may </w:t>
      </w:r>
      <w:r w:rsidR="0055110B">
        <w:t xml:space="preserve">not be realised. </w:t>
      </w:r>
      <w:r w:rsidR="00091C24" w:rsidRPr="00091C24">
        <w:t xml:space="preserve">MSAC noted that orthovoltage </w:t>
      </w:r>
      <w:r w:rsidR="006A32FD">
        <w:t xml:space="preserve">has </w:t>
      </w:r>
      <w:r w:rsidR="00091C24" w:rsidRPr="00091C24">
        <w:t xml:space="preserve">historically served as the mainstay of treatment for cutaneous malignancy because the maximum beam energy is at the skin surface where the malignancy is located and the radiation dose falls off rapidly, sparing normal tissues. Although, MSAC noted that the use of orthovoltage may have reduced because of equipment availability and hence high energy linear accelerator treatment might be utilised in some centres. </w:t>
      </w:r>
      <w:r w:rsidR="00626351">
        <w:t xml:space="preserve">MSAC considered that </w:t>
      </w:r>
      <w:r w:rsidR="00105F72">
        <w:t xml:space="preserve">the appropriate comparator costs could not be </w:t>
      </w:r>
      <w:r>
        <w:t>resolved</w:t>
      </w:r>
      <w:r w:rsidR="00105F72">
        <w:t xml:space="preserve"> at this time due to the conflicting expert advice. MSAC considered that</w:t>
      </w:r>
      <w:r w:rsidR="00200B1E">
        <w:t xml:space="preserve"> </w:t>
      </w:r>
      <w:r w:rsidR="00B06F97" w:rsidRPr="00B06F97">
        <w:t xml:space="preserve">a more robust estimate of the comparator cost that is evidence based and considers the different </w:t>
      </w:r>
      <w:r w:rsidR="002D2F2B">
        <w:t>radiation therapies</w:t>
      </w:r>
      <w:r w:rsidR="00B06F97" w:rsidRPr="00B06F97">
        <w:t xml:space="preserve"> used to treat the proposed patient population across Australia</w:t>
      </w:r>
      <w:r w:rsidR="00837EF0">
        <w:t xml:space="preserve"> </w:t>
      </w:r>
      <w:r w:rsidR="00DE74CA">
        <w:t>is</w:t>
      </w:r>
      <w:r w:rsidR="00837EF0">
        <w:t xml:space="preserve"> required</w:t>
      </w:r>
      <w:r>
        <w:t>.</w:t>
      </w:r>
      <w:r w:rsidR="003A0920">
        <w:t xml:space="preserve"> This </w:t>
      </w:r>
      <w:r w:rsidR="00492AEC">
        <w:t xml:space="preserve">estimate </w:t>
      </w:r>
      <w:r w:rsidR="003A0920">
        <w:t xml:space="preserve">should </w:t>
      </w:r>
      <w:r w:rsidR="00492AEC">
        <w:t>specify</w:t>
      </w:r>
      <w:r w:rsidR="003A0920">
        <w:t xml:space="preserve"> the</w:t>
      </w:r>
      <w:r w:rsidR="008E4435">
        <w:t xml:space="preserve"> type of</w:t>
      </w:r>
      <w:r w:rsidR="003A0920">
        <w:t xml:space="preserve"> EBRT modalities</w:t>
      </w:r>
      <w:r w:rsidR="008E4435">
        <w:t xml:space="preserve">, </w:t>
      </w:r>
      <w:r w:rsidR="008E4435" w:rsidRPr="008E4435">
        <w:t>weighting of the modalities</w:t>
      </w:r>
      <w:r w:rsidR="003A0920">
        <w:t xml:space="preserve"> and fraction</w:t>
      </w:r>
      <w:r w:rsidR="008E4435">
        <w:t xml:space="preserve"> schedules used </w:t>
      </w:r>
      <w:r w:rsidR="003A0920">
        <w:t xml:space="preserve">and also whether any patients are being treated with contact brachytherapy using a radiation mould (note brachytherapy was included in the PICO but excluded from the ADAR based on the applicant’s clinical expert advice). </w:t>
      </w:r>
      <w:r w:rsidR="00952246">
        <w:t>MSAC also considered that, assuming</w:t>
      </w:r>
      <w:r w:rsidR="00B44A6B">
        <w:t xml:space="preserve"> a clinical claim of non-inferior safety and effectiveness is maintained, the applicant would need to present </w:t>
      </w:r>
      <w:r w:rsidR="00EA4994">
        <w:t>a</w:t>
      </w:r>
      <w:r w:rsidR="00A2641D">
        <w:t xml:space="preserve">n appropriately revised economic analysis (i.e., a </w:t>
      </w:r>
      <w:r w:rsidR="00EA4994">
        <w:t>cost-minimisation analysis</w:t>
      </w:r>
      <w:r w:rsidR="00A2641D">
        <w:t>).</w:t>
      </w:r>
    </w:p>
    <w:p w14:paraId="03923844" w14:textId="608A4AF4" w:rsidR="009E27D6" w:rsidRDefault="009E27D6" w:rsidP="009E27D6">
      <w:r w:rsidRPr="00D72FEE">
        <w:t>MSAC considered the financial</w:t>
      </w:r>
      <w:r w:rsidR="005531FC">
        <w:t xml:space="preserve"> estimate</w:t>
      </w:r>
      <w:r w:rsidRPr="00D72FEE">
        <w:t>s to be very uncertain</w:t>
      </w:r>
      <w:r w:rsidR="00825899">
        <w:t>. MSAC noted the issues raised in the economic analysis regarding the EBRT modality, weight</w:t>
      </w:r>
      <w:r w:rsidR="00F55615">
        <w:t>ing</w:t>
      </w:r>
      <w:r w:rsidR="00825899">
        <w:t xml:space="preserve"> and fraction</w:t>
      </w:r>
      <w:r w:rsidR="00302449">
        <w:t xml:space="preserve"> </w:t>
      </w:r>
      <w:r w:rsidR="00825899">
        <w:t>s</w:t>
      </w:r>
      <w:r w:rsidR="00302449">
        <w:t>chedules</w:t>
      </w:r>
      <w:r w:rsidR="00825899">
        <w:t xml:space="preserve"> also created significant uncertainty in the</w:t>
      </w:r>
      <w:r w:rsidR="006C64FE">
        <w:t xml:space="preserve"> ADAR’s</w:t>
      </w:r>
      <w:r w:rsidR="00825899">
        <w:t xml:space="preserve"> financial analysis. MSAC also noted that t</w:t>
      </w:r>
      <w:r>
        <w:t xml:space="preserve">he population size </w:t>
      </w:r>
      <w:r w:rsidR="002B3099">
        <w:t>was</w:t>
      </w:r>
      <w:r>
        <w:t xml:space="preserve"> based on expert opinion</w:t>
      </w:r>
      <w:r w:rsidR="00573EE7">
        <w:t xml:space="preserve"> that could not be verified</w:t>
      </w:r>
      <w:r w:rsidR="00CC3AE0">
        <w:t xml:space="preserve"> and that</w:t>
      </w:r>
      <w:r w:rsidR="00873B52">
        <w:t xml:space="preserve"> </w:t>
      </w:r>
      <w:r w:rsidR="00294D4D">
        <w:t>registry data</w:t>
      </w:r>
      <w:r w:rsidR="006C6BA7">
        <w:t xml:space="preserve"> </w:t>
      </w:r>
      <w:r w:rsidR="00A02B69">
        <w:t>(</w:t>
      </w:r>
      <w:r w:rsidR="006C6BA7">
        <w:t xml:space="preserve">that </w:t>
      </w:r>
      <w:r w:rsidR="00A02B69">
        <w:t>includes Australian patients)</w:t>
      </w:r>
      <w:r w:rsidR="00294D4D">
        <w:t xml:space="preserve"> </w:t>
      </w:r>
      <w:r w:rsidR="00EB0906">
        <w:t xml:space="preserve">that may help inform utilisation </w:t>
      </w:r>
      <w:r w:rsidR="00294D4D">
        <w:t xml:space="preserve">was not </w:t>
      </w:r>
      <w:r w:rsidR="00873B52">
        <w:t>yet available</w:t>
      </w:r>
      <w:r w:rsidR="00BE6AF1">
        <w:t>.</w:t>
      </w:r>
      <w:r>
        <w:t xml:space="preserve"> MSAC </w:t>
      </w:r>
      <w:r w:rsidR="00DB15FE">
        <w:t xml:space="preserve">considered that </w:t>
      </w:r>
      <w:r>
        <w:t xml:space="preserve">a </w:t>
      </w:r>
      <w:r w:rsidRPr="003D6983">
        <w:t xml:space="preserve">more </w:t>
      </w:r>
      <w:r>
        <w:t>robust</w:t>
      </w:r>
      <w:r w:rsidRPr="003D6983">
        <w:t xml:space="preserve"> estimate of population size</w:t>
      </w:r>
      <w:r w:rsidR="00DB15FE">
        <w:t xml:space="preserve"> is required</w:t>
      </w:r>
      <w:r>
        <w:t xml:space="preserve">. </w:t>
      </w:r>
      <w:r w:rsidR="00ED623D">
        <w:t xml:space="preserve">MSAC noted that </w:t>
      </w:r>
      <w:r w:rsidR="00896817">
        <w:t xml:space="preserve">the </w:t>
      </w:r>
      <w:r w:rsidR="001235BB">
        <w:t>ADAR estimate</w:t>
      </w:r>
      <w:r w:rsidR="004C2441">
        <w:t>d</w:t>
      </w:r>
      <w:r w:rsidR="001235BB">
        <w:t xml:space="preserve"> that MBS listing of </w:t>
      </w:r>
      <w:r>
        <w:t>Re</w:t>
      </w:r>
      <w:r>
        <w:noBreakHyphen/>
        <w:t>188</w:t>
      </w:r>
      <w:r w:rsidR="00E1240F" w:rsidRPr="00E1240F">
        <w:rPr>
          <w:bCs/>
        </w:rPr>
        <w:t xml:space="preserve"> </w:t>
      </w:r>
      <w:r w:rsidR="00E1240F">
        <w:rPr>
          <w:bCs/>
        </w:rPr>
        <w:t>brachytherapy</w:t>
      </w:r>
      <w:r>
        <w:t xml:space="preserve"> </w:t>
      </w:r>
      <w:r w:rsidR="001235BB">
        <w:t xml:space="preserve">would result in a </w:t>
      </w:r>
      <w:r>
        <w:t xml:space="preserve">cost saving </w:t>
      </w:r>
      <w:r w:rsidR="00704BD2">
        <w:t xml:space="preserve">of </w:t>
      </w:r>
      <w:r w:rsidR="0043446D">
        <w:t xml:space="preserve">approximately </w:t>
      </w:r>
      <w:r w:rsidR="00D66610">
        <w:t>$35</w:t>
      </w:r>
      <w:r w:rsidR="0043446D">
        <w:t xml:space="preserve"> million over 6 years</w:t>
      </w:r>
      <w:r w:rsidR="004C2441">
        <w:t>. However,</w:t>
      </w:r>
      <w:r w:rsidR="00F11777">
        <w:t xml:space="preserve"> MSAC</w:t>
      </w:r>
      <w:r w:rsidR="004C2441">
        <w:t xml:space="preserve"> noted that sensitivity analyses exploring the uncertainty in the EBRT costing indicate that</w:t>
      </w:r>
      <w:r w:rsidR="00E848DD">
        <w:t xml:space="preserve"> </w:t>
      </w:r>
      <w:r w:rsidR="004C2441">
        <w:t>the claim</w:t>
      </w:r>
      <w:r w:rsidR="000C369A">
        <w:t>ed</w:t>
      </w:r>
      <w:r w:rsidR="004C2441">
        <w:t xml:space="preserve"> cost savings </w:t>
      </w:r>
      <w:r w:rsidR="000B4C21">
        <w:t>may not be realised depending on the EBRT modalities, weightings and fractionation schedules</w:t>
      </w:r>
      <w:r w:rsidR="00D90CB4">
        <w:t xml:space="preserve"> used</w:t>
      </w:r>
      <w:r>
        <w:t xml:space="preserve">. MSAC considered that </w:t>
      </w:r>
      <w:r w:rsidR="00C8057E">
        <w:t xml:space="preserve">the financial </w:t>
      </w:r>
      <w:r w:rsidR="00EF0E48">
        <w:t xml:space="preserve">impact </w:t>
      </w:r>
      <w:r w:rsidR="00D714CE">
        <w:t xml:space="preserve">of listing Re-188 brachytherapy </w:t>
      </w:r>
      <w:r w:rsidR="0038027B">
        <w:t xml:space="preserve">on the MBS </w:t>
      </w:r>
      <w:r w:rsidR="00D714CE">
        <w:t xml:space="preserve">was highly uncertain at this time. </w:t>
      </w:r>
      <w:r w:rsidR="00C8057E">
        <w:t xml:space="preserve"> </w:t>
      </w:r>
    </w:p>
    <w:p w14:paraId="1B853FC7" w14:textId="2443AD33" w:rsidR="009E27D6" w:rsidRDefault="006F04B7" w:rsidP="009E27D6">
      <w:pPr>
        <w:rPr>
          <w:bCs/>
        </w:rPr>
      </w:pPr>
      <w:r>
        <w:rPr>
          <w:bCs/>
        </w:rPr>
        <w:lastRenderedPageBreak/>
        <w:t xml:space="preserve">Overall, </w:t>
      </w:r>
      <w:r w:rsidR="009E27D6">
        <w:rPr>
          <w:bCs/>
        </w:rPr>
        <w:t xml:space="preserve">MSAC did not support </w:t>
      </w:r>
      <w:r>
        <w:rPr>
          <w:bCs/>
        </w:rPr>
        <w:t>MBS listing of Re-188 brachytherapy</w:t>
      </w:r>
      <w:r w:rsidR="009E27D6">
        <w:rPr>
          <w:bCs/>
        </w:rPr>
        <w:t xml:space="preserve"> </w:t>
      </w:r>
      <w:r w:rsidR="00E640E3">
        <w:rPr>
          <w:bCs/>
        </w:rPr>
        <w:t xml:space="preserve">as MSAC considered </w:t>
      </w:r>
      <w:r w:rsidR="009E27D6">
        <w:rPr>
          <w:bCs/>
        </w:rPr>
        <w:t xml:space="preserve">the </w:t>
      </w:r>
      <w:r w:rsidR="00B568AA">
        <w:rPr>
          <w:bCs/>
        </w:rPr>
        <w:t xml:space="preserve">comparative safety and effectiveness of </w:t>
      </w:r>
      <w:r w:rsidR="009E27D6">
        <w:rPr>
          <w:bCs/>
        </w:rPr>
        <w:t>Re</w:t>
      </w:r>
      <w:r w:rsidR="009E27D6">
        <w:rPr>
          <w:bCs/>
        </w:rPr>
        <w:noBreakHyphen/>
        <w:t>188</w:t>
      </w:r>
      <w:r w:rsidR="001F4F76">
        <w:rPr>
          <w:bCs/>
        </w:rPr>
        <w:t xml:space="preserve"> brachytherapy</w:t>
      </w:r>
      <w:r w:rsidR="009E27D6">
        <w:rPr>
          <w:bCs/>
        </w:rPr>
        <w:t xml:space="preserve"> versus </w:t>
      </w:r>
      <w:r w:rsidR="009E27D6" w:rsidRPr="00740759">
        <w:rPr>
          <w:bCs/>
        </w:rPr>
        <w:t>EBRT</w:t>
      </w:r>
      <w:r w:rsidR="00B568AA">
        <w:rPr>
          <w:bCs/>
        </w:rPr>
        <w:t xml:space="preserve"> was</w:t>
      </w:r>
      <w:r w:rsidR="009E27D6">
        <w:rPr>
          <w:bCs/>
        </w:rPr>
        <w:t xml:space="preserve"> </w:t>
      </w:r>
      <w:r w:rsidR="009E27D6" w:rsidRPr="00740759">
        <w:rPr>
          <w:bCs/>
        </w:rPr>
        <w:t>too uncertain at present</w:t>
      </w:r>
      <w:r w:rsidR="009E27D6">
        <w:rPr>
          <w:bCs/>
        </w:rPr>
        <w:t xml:space="preserve">. </w:t>
      </w:r>
      <w:r w:rsidR="00542569" w:rsidRPr="29E763D3">
        <w:t>MSAC noted an ongoing prospective study for Re-188 brachytherapy (the EPIC</w:t>
      </w:r>
      <w:r w:rsidR="008F7028">
        <w:t>-Skin</w:t>
      </w:r>
      <w:r w:rsidR="00542569" w:rsidRPr="29E763D3">
        <w:t xml:space="preserve"> study) may improve the level of evidence for Re-188 brachytherapy once completed. </w:t>
      </w:r>
      <w:r w:rsidR="006700CC">
        <w:t xml:space="preserve">MSAC also considered </w:t>
      </w:r>
      <w:r w:rsidR="006700CC">
        <w:rPr>
          <w:bCs/>
        </w:rPr>
        <w:t>t</w:t>
      </w:r>
      <w:r w:rsidR="009E27D6">
        <w:rPr>
          <w:bCs/>
        </w:rPr>
        <w:t xml:space="preserve">he economic and financial </w:t>
      </w:r>
      <w:r w:rsidR="00B03954">
        <w:rPr>
          <w:bCs/>
        </w:rPr>
        <w:t>analyses were highly</w:t>
      </w:r>
      <w:r w:rsidR="009E27D6" w:rsidRPr="00740759">
        <w:rPr>
          <w:bCs/>
        </w:rPr>
        <w:t xml:space="preserve"> uncertain</w:t>
      </w:r>
      <w:r w:rsidR="009E27D6">
        <w:rPr>
          <w:bCs/>
        </w:rPr>
        <w:t>,</w:t>
      </w:r>
      <w:r w:rsidR="009E27D6" w:rsidRPr="00740759">
        <w:rPr>
          <w:bCs/>
        </w:rPr>
        <w:t xml:space="preserve"> </w:t>
      </w:r>
      <w:r w:rsidR="00A205CC">
        <w:rPr>
          <w:bCs/>
        </w:rPr>
        <w:t>due to u</w:t>
      </w:r>
      <w:r w:rsidR="00951146">
        <w:rPr>
          <w:bCs/>
        </w:rPr>
        <w:t>ncertainty in</w:t>
      </w:r>
      <w:r w:rsidR="009E27D6" w:rsidRPr="00740759">
        <w:rPr>
          <w:bCs/>
        </w:rPr>
        <w:t xml:space="preserve"> </w:t>
      </w:r>
      <w:r w:rsidR="00196901">
        <w:rPr>
          <w:bCs/>
        </w:rPr>
        <w:t>the comparator costings (</w:t>
      </w:r>
      <w:r w:rsidR="00FD66C0">
        <w:rPr>
          <w:bCs/>
        </w:rPr>
        <w:t xml:space="preserve">due </w:t>
      </w:r>
      <w:r w:rsidR="00470A7F">
        <w:rPr>
          <w:bCs/>
        </w:rPr>
        <w:t>to conflicting expert advice regarding</w:t>
      </w:r>
      <w:r w:rsidR="00FD66C0">
        <w:rPr>
          <w:bCs/>
        </w:rPr>
        <w:t xml:space="preserve"> the </w:t>
      </w:r>
      <w:r w:rsidR="00FD66C0" w:rsidRPr="00FD66C0">
        <w:rPr>
          <w:bCs/>
        </w:rPr>
        <w:t>appropriate EBRT modalities, weighting of the modalities and fractionation schedules</w:t>
      </w:r>
      <w:r w:rsidR="00FD66C0">
        <w:rPr>
          <w:bCs/>
        </w:rPr>
        <w:t>)</w:t>
      </w:r>
      <w:r w:rsidR="009E27D6">
        <w:rPr>
          <w:bCs/>
        </w:rPr>
        <w:t>,</w:t>
      </w:r>
      <w:r w:rsidR="009E27D6" w:rsidRPr="00740759">
        <w:rPr>
          <w:bCs/>
        </w:rPr>
        <w:t xml:space="preserve"> and the</w:t>
      </w:r>
      <w:r w:rsidR="002F4683">
        <w:rPr>
          <w:bCs/>
        </w:rPr>
        <w:t xml:space="preserve"> inability to verify the</w:t>
      </w:r>
      <w:r w:rsidR="00E86D3E">
        <w:rPr>
          <w:bCs/>
        </w:rPr>
        <w:t xml:space="preserve"> estimated</w:t>
      </w:r>
      <w:r w:rsidR="009E27D6" w:rsidRPr="00740759">
        <w:rPr>
          <w:bCs/>
        </w:rPr>
        <w:t xml:space="preserve"> number of patients in</w:t>
      </w:r>
      <w:r w:rsidR="009E27D6">
        <w:rPr>
          <w:bCs/>
        </w:rPr>
        <w:t xml:space="preserve"> the</w:t>
      </w:r>
      <w:r w:rsidR="009E27D6" w:rsidRPr="00740759">
        <w:rPr>
          <w:bCs/>
        </w:rPr>
        <w:t xml:space="preserve"> defined population</w:t>
      </w:r>
      <w:r w:rsidR="002F4683">
        <w:rPr>
          <w:bCs/>
        </w:rPr>
        <w:t xml:space="preserve"> that would use Re-188 brachytherapy</w:t>
      </w:r>
      <w:r w:rsidR="009E27D6">
        <w:rPr>
          <w:bCs/>
        </w:rPr>
        <w:t>.</w:t>
      </w:r>
    </w:p>
    <w:p w14:paraId="61EC7C2C" w14:textId="33A5C4C4" w:rsidR="009E27D6" w:rsidRDefault="00363187" w:rsidP="009E27D6">
      <w:pPr>
        <w:rPr>
          <w:bCs/>
        </w:rPr>
      </w:pPr>
      <w:r>
        <w:rPr>
          <w:bCs/>
        </w:rPr>
        <w:t>M</w:t>
      </w:r>
      <w:r w:rsidR="009E27D6">
        <w:rPr>
          <w:bCs/>
        </w:rPr>
        <w:t xml:space="preserve">SAC </w:t>
      </w:r>
      <w:r w:rsidR="002B0A34">
        <w:rPr>
          <w:bCs/>
        </w:rPr>
        <w:t xml:space="preserve">considered </w:t>
      </w:r>
      <w:r w:rsidR="004A4FB4">
        <w:rPr>
          <w:bCs/>
        </w:rPr>
        <w:t xml:space="preserve">that </w:t>
      </w:r>
      <w:r w:rsidR="00EE3D84">
        <w:rPr>
          <w:bCs/>
        </w:rPr>
        <w:t xml:space="preserve">any resubmission would need to </w:t>
      </w:r>
      <w:r w:rsidR="00F70410">
        <w:rPr>
          <w:bCs/>
        </w:rPr>
        <w:t>include</w:t>
      </w:r>
      <w:r w:rsidR="009E27D6">
        <w:rPr>
          <w:bCs/>
        </w:rPr>
        <w:t>:</w:t>
      </w:r>
    </w:p>
    <w:p w14:paraId="48649DBE" w14:textId="2AA00AD0" w:rsidR="009E27D6" w:rsidRPr="008F5608" w:rsidRDefault="009E27D6" w:rsidP="002252F8">
      <w:pPr>
        <w:pStyle w:val="ListParagraph"/>
        <w:numPr>
          <w:ilvl w:val="0"/>
          <w:numId w:val="23"/>
        </w:numPr>
        <w:spacing w:before="0" w:after="0" w:line="240" w:lineRule="auto"/>
      </w:pPr>
      <w:r>
        <w:t>an i</w:t>
      </w:r>
      <w:r w:rsidRPr="008F5608">
        <w:t>mprove</w:t>
      </w:r>
      <w:r>
        <w:t>d</w:t>
      </w:r>
      <w:r w:rsidRPr="008F5608">
        <w:t xml:space="preserve"> evidence base for </w:t>
      </w:r>
      <w:r w:rsidR="00070D32">
        <w:t xml:space="preserve">the comparative safety (including </w:t>
      </w:r>
      <w:r w:rsidRPr="008F5608">
        <w:t>long</w:t>
      </w:r>
      <w:r>
        <w:t>-</w:t>
      </w:r>
      <w:r w:rsidRPr="008F5608">
        <w:t>term safety</w:t>
      </w:r>
      <w:r w:rsidR="00070D32">
        <w:t>)</w:t>
      </w:r>
      <w:r w:rsidRPr="008F5608">
        <w:t xml:space="preserve"> and eff</w:t>
      </w:r>
      <w:r w:rsidR="00070D32">
        <w:t>ectiveness for Re-188 brachytherap</w:t>
      </w:r>
      <w:r w:rsidR="00286980">
        <w:t>y</w:t>
      </w:r>
      <w:r>
        <w:t>,</w:t>
      </w:r>
      <w:r w:rsidRPr="008F5608">
        <w:t xml:space="preserve"> </w:t>
      </w:r>
      <w:r w:rsidR="00D66414">
        <w:t xml:space="preserve">e.g., include data </w:t>
      </w:r>
      <w:r>
        <w:t>from the EPIC</w:t>
      </w:r>
      <w:r w:rsidR="008F7028">
        <w:t>-Skin</w:t>
      </w:r>
      <w:r>
        <w:t xml:space="preserve"> study and any relevant registry data</w:t>
      </w:r>
    </w:p>
    <w:p w14:paraId="397AB6D0" w14:textId="17479378" w:rsidR="00F97A53" w:rsidRDefault="00F97A53" w:rsidP="002252F8">
      <w:pPr>
        <w:pStyle w:val="ListParagraph"/>
        <w:numPr>
          <w:ilvl w:val="0"/>
          <w:numId w:val="23"/>
        </w:numPr>
        <w:spacing w:before="0" w:after="0" w:line="240" w:lineRule="auto"/>
      </w:pPr>
      <w:r>
        <w:t xml:space="preserve">a more robust estimate of the comparator EBRT cost that is evidence based and considers the </w:t>
      </w:r>
      <w:r w:rsidRPr="00C30FF0">
        <w:t xml:space="preserve">different EBRT modalities </w:t>
      </w:r>
      <w:r>
        <w:t>used</w:t>
      </w:r>
      <w:r w:rsidRPr="00C30FF0">
        <w:t xml:space="preserve"> </w:t>
      </w:r>
      <w:r>
        <w:t xml:space="preserve">(including type of modalities, weighting and fractionation schedules) to treat the proposed patient population </w:t>
      </w:r>
      <w:r w:rsidRPr="00C30FF0">
        <w:t>across Australia</w:t>
      </w:r>
      <w:r w:rsidR="00AD5177">
        <w:t xml:space="preserve">. This should </w:t>
      </w:r>
      <w:r w:rsidR="006A059A">
        <w:t xml:space="preserve">specify whether orthovoltage or </w:t>
      </w:r>
      <w:r w:rsidR="0098521E">
        <w:rPr>
          <w:rFonts w:eastAsia="Segoe UI"/>
        </w:rPr>
        <w:t xml:space="preserve">high energy linear accelerator treatment is the standard of care and the rationale for this </w:t>
      </w:r>
      <w:r w:rsidR="00112693">
        <w:rPr>
          <w:rFonts w:eastAsia="Segoe UI"/>
        </w:rPr>
        <w:t>determination (especially given the cost differential between the modalities)</w:t>
      </w:r>
    </w:p>
    <w:p w14:paraId="5856FF19" w14:textId="2AD70575" w:rsidR="009E27D6" w:rsidRDefault="00F97A53" w:rsidP="002252F8">
      <w:pPr>
        <w:pStyle w:val="ListParagraph"/>
        <w:numPr>
          <w:ilvl w:val="0"/>
          <w:numId w:val="23"/>
        </w:numPr>
        <w:spacing w:before="0" w:after="0" w:line="240" w:lineRule="auto"/>
      </w:pPr>
      <w:r w:rsidRPr="00F97A53">
        <w:t xml:space="preserve">a more transparent </w:t>
      </w:r>
      <w:r>
        <w:t xml:space="preserve">estimation of the </w:t>
      </w:r>
      <w:r w:rsidR="009E27D6" w:rsidRPr="008F5608">
        <w:t>number of individuals in the</w:t>
      </w:r>
      <w:r w:rsidR="009E27D6">
        <w:t xml:space="preserve"> eligible</w:t>
      </w:r>
      <w:r w:rsidR="009E27D6" w:rsidRPr="008F5608">
        <w:t xml:space="preserve"> population</w:t>
      </w:r>
      <w:r>
        <w:t xml:space="preserve"> and </w:t>
      </w:r>
      <w:r w:rsidRPr="00F97A53">
        <w:t xml:space="preserve">justification for the estimated </w:t>
      </w:r>
      <w:r w:rsidR="00410481">
        <w:t xml:space="preserve">number of patients that would </w:t>
      </w:r>
      <w:r w:rsidRPr="00F97A53">
        <w:t>utilis</w:t>
      </w:r>
      <w:r w:rsidR="00410481">
        <w:t>e Re-188 brachytherapy</w:t>
      </w:r>
    </w:p>
    <w:p w14:paraId="3BDBD971" w14:textId="7C31A77A" w:rsidR="00AC63F0" w:rsidRDefault="00AC63F0" w:rsidP="002252F8">
      <w:pPr>
        <w:pStyle w:val="ListParagraph"/>
        <w:numPr>
          <w:ilvl w:val="0"/>
          <w:numId w:val="23"/>
        </w:numPr>
        <w:spacing w:before="0" w:after="0" w:line="240" w:lineRule="auto"/>
      </w:pPr>
      <w:r>
        <w:t>any additional research that can be conducted into patient preferences for this treatment relative to comparators</w:t>
      </w:r>
    </w:p>
    <w:p w14:paraId="4160BB7D" w14:textId="56FDB523" w:rsidR="009E27D6" w:rsidRDefault="00231C14" w:rsidP="002252F8">
      <w:pPr>
        <w:pStyle w:val="ListParagraph"/>
        <w:numPr>
          <w:ilvl w:val="0"/>
          <w:numId w:val="23"/>
        </w:numPr>
        <w:spacing w:before="0" w:after="0" w:line="240" w:lineRule="auto"/>
      </w:pPr>
      <w:r>
        <w:t>revised</w:t>
      </w:r>
      <w:r w:rsidR="009E27D6">
        <w:t xml:space="preserve"> MBS item descriptor</w:t>
      </w:r>
      <w:r>
        <w:t>(s)</w:t>
      </w:r>
      <w:r w:rsidR="009E27D6">
        <w:t xml:space="preserve"> with </w:t>
      </w:r>
      <w:r>
        <w:t>revi</w:t>
      </w:r>
      <w:r w:rsidR="00FD4D4C">
        <w:t>s</w:t>
      </w:r>
      <w:r>
        <w:t>ed</w:t>
      </w:r>
      <w:r w:rsidR="009E27D6">
        <w:t xml:space="preserve"> approach to fees for varying lesion sizes</w:t>
      </w:r>
    </w:p>
    <w:p w14:paraId="370583A7" w14:textId="5E1ADDE6" w:rsidR="009E27D6" w:rsidRDefault="009E27D6" w:rsidP="002252F8">
      <w:pPr>
        <w:pStyle w:val="ListParagraph"/>
        <w:numPr>
          <w:ilvl w:val="0"/>
          <w:numId w:val="23"/>
        </w:numPr>
        <w:spacing w:before="0" w:after="0" w:line="240" w:lineRule="auto"/>
      </w:pPr>
      <w:r>
        <w:t xml:space="preserve">consideration </w:t>
      </w:r>
      <w:r w:rsidR="00FD4D4C">
        <w:t>and specification</w:t>
      </w:r>
      <w:r>
        <w:t xml:space="preserve"> of which </w:t>
      </w:r>
      <w:r w:rsidR="000B175A">
        <w:t xml:space="preserve">health </w:t>
      </w:r>
      <w:r>
        <w:t>profession</w:t>
      </w:r>
      <w:r w:rsidR="000B175A">
        <w:t>als</w:t>
      </w:r>
      <w:r>
        <w:t xml:space="preserve"> deliver the treatment and how batching of patients can be achieved to minimise wastage</w:t>
      </w:r>
    </w:p>
    <w:p w14:paraId="0BD17CE8" w14:textId="3EAF3012" w:rsidR="00634BCD" w:rsidRDefault="000315E9" w:rsidP="00632C30">
      <w:pPr>
        <w:pStyle w:val="ListParagraph"/>
        <w:numPr>
          <w:ilvl w:val="0"/>
          <w:numId w:val="23"/>
        </w:numPr>
        <w:spacing w:before="0" w:after="0" w:line="240" w:lineRule="auto"/>
      </w:pPr>
      <w:r>
        <w:t xml:space="preserve">revised </w:t>
      </w:r>
      <w:r w:rsidR="000F3040">
        <w:t>economic and financial analyses</w:t>
      </w:r>
      <w:r w:rsidR="00EE304C">
        <w:t>.</w:t>
      </w:r>
    </w:p>
    <w:p w14:paraId="6710B69D" w14:textId="3BDB1727" w:rsidR="00772829" w:rsidRPr="00CE28E3" w:rsidRDefault="00F76D74" w:rsidP="002A18BE">
      <w:pPr>
        <w:pStyle w:val="Heading2"/>
        <w:numPr>
          <w:ilvl w:val="1"/>
          <w:numId w:val="0"/>
        </w:numPr>
      </w:pPr>
      <w:r>
        <w:t>4.</w:t>
      </w:r>
      <w:r>
        <w:tab/>
      </w:r>
      <w:r w:rsidR="48B63FC6">
        <w:t>Background</w:t>
      </w:r>
      <w:bookmarkEnd w:id="4"/>
    </w:p>
    <w:p w14:paraId="4D7253D4" w14:textId="7F07255D" w:rsidR="3282D99E" w:rsidRDefault="3282D99E" w:rsidP="10820A97">
      <w:pPr>
        <w:spacing w:line="257" w:lineRule="auto"/>
        <w:rPr>
          <w:rFonts w:eastAsia="Franklin Gothic Book" w:cs="Franklin Gothic Book"/>
        </w:rPr>
      </w:pPr>
      <w:r w:rsidRPr="10820A97">
        <w:rPr>
          <w:rFonts w:eastAsia="Franklin Gothic Book" w:cs="Franklin Gothic Book"/>
        </w:rPr>
        <w:t>MSAC has not previously considered high dose brachytherapy with Re-188 for patients with certain keratinocyte cancer.</w:t>
      </w:r>
      <w:bookmarkStart w:id="6" w:name="_Hlk69734557"/>
      <w:bookmarkStart w:id="7" w:name="_Hlk68275617"/>
    </w:p>
    <w:p w14:paraId="6F52500A" w14:textId="49446DE5" w:rsidR="00772829" w:rsidRPr="00CE28E3" w:rsidRDefault="00F76D74" w:rsidP="002A18BE">
      <w:pPr>
        <w:pStyle w:val="Heading2"/>
        <w:numPr>
          <w:ilvl w:val="1"/>
          <w:numId w:val="0"/>
        </w:numPr>
      </w:pPr>
      <w:bookmarkStart w:id="8" w:name="_Toc69491417"/>
      <w:bookmarkEnd w:id="6"/>
      <w:bookmarkEnd w:id="7"/>
      <w:r>
        <w:t>5</w:t>
      </w:r>
      <w:r w:rsidR="00C36633">
        <w:t>.</w:t>
      </w:r>
      <w:r w:rsidR="00C36633">
        <w:tab/>
      </w:r>
      <w:r w:rsidR="00772829" w:rsidRPr="00CE28E3">
        <w:t>Prerequisites to implementation of any funding advice</w:t>
      </w:r>
      <w:bookmarkEnd w:id="8"/>
    </w:p>
    <w:p w14:paraId="170ABA5F" w14:textId="119C927A" w:rsidR="00A3260E" w:rsidRPr="00A3260E" w:rsidRDefault="10C83004" w:rsidP="00A3260E">
      <w:pPr>
        <w:pStyle w:val="Instructionaltext"/>
        <w:rPr>
          <w:color w:val="auto"/>
        </w:rPr>
      </w:pPr>
      <w:r w:rsidRPr="60A161BB">
        <w:rPr>
          <w:color w:val="auto"/>
        </w:rPr>
        <w:t xml:space="preserve">The Rhenium Skin Cancer Therapy (Rhenium-SCT) </w:t>
      </w:r>
      <w:r w:rsidR="005545B1">
        <w:rPr>
          <w:color w:val="auto"/>
        </w:rPr>
        <w:t>system</w:t>
      </w:r>
      <w:r w:rsidR="003C1576">
        <w:rPr>
          <w:color w:val="auto"/>
        </w:rPr>
        <w:t xml:space="preserve"> for treating </w:t>
      </w:r>
      <w:r w:rsidR="003C1576" w:rsidRPr="60A161BB">
        <w:rPr>
          <w:color w:val="auto"/>
        </w:rPr>
        <w:t xml:space="preserve">skin cancer using the radioisotope </w:t>
      </w:r>
      <w:r w:rsidR="003C1576">
        <w:rPr>
          <w:color w:val="auto"/>
        </w:rPr>
        <w:t>R</w:t>
      </w:r>
      <w:r w:rsidR="003C1576" w:rsidRPr="60A161BB">
        <w:rPr>
          <w:color w:val="auto"/>
        </w:rPr>
        <w:t>henium-188</w:t>
      </w:r>
      <w:r w:rsidR="005545B1">
        <w:rPr>
          <w:color w:val="auto"/>
        </w:rPr>
        <w:t xml:space="preserve"> is included on the Australian Register of Therapeutic Goods (ARTG) (see</w:t>
      </w:r>
      <w:r w:rsidR="00AB366E">
        <w:rPr>
          <w:color w:val="auto"/>
        </w:rPr>
        <w:t xml:space="preserve"> </w:t>
      </w:r>
      <w:r w:rsidR="00730979">
        <w:rPr>
          <w:color w:val="auto"/>
        </w:rPr>
        <w:fldChar w:fldCharType="begin"/>
      </w:r>
      <w:r w:rsidR="00730979">
        <w:rPr>
          <w:color w:val="auto"/>
        </w:rPr>
        <w:instrText xml:space="preserve"> REF _Ref133396620 \h </w:instrText>
      </w:r>
      <w:r w:rsidR="003848F1">
        <w:rPr>
          <w:color w:val="auto"/>
        </w:rPr>
        <w:instrText xml:space="preserve"> \* MERGEFORMAT </w:instrText>
      </w:r>
      <w:r w:rsidR="00730979">
        <w:rPr>
          <w:color w:val="auto"/>
        </w:rPr>
      </w:r>
      <w:r w:rsidR="00730979">
        <w:rPr>
          <w:color w:val="auto"/>
        </w:rPr>
        <w:fldChar w:fldCharType="separate"/>
      </w:r>
      <w:r w:rsidR="009228FB" w:rsidRPr="00F227EA">
        <w:rPr>
          <w:color w:val="auto"/>
        </w:rPr>
        <w:t>Table 1</w:t>
      </w:r>
      <w:r w:rsidR="00730979">
        <w:rPr>
          <w:color w:val="auto"/>
        </w:rPr>
        <w:fldChar w:fldCharType="end"/>
      </w:r>
      <w:r w:rsidR="00730979">
        <w:rPr>
          <w:color w:val="auto"/>
        </w:rPr>
        <w:t>).</w:t>
      </w:r>
      <w:bookmarkStart w:id="9" w:name="_Ref133396620"/>
      <w:r w:rsidR="00A3260E">
        <w:br w:type="page"/>
      </w:r>
    </w:p>
    <w:p w14:paraId="18C2ED50" w14:textId="7E301E63" w:rsidR="003C1576" w:rsidRPr="003C1576" w:rsidRDefault="00A11BFE" w:rsidP="00A11BFE">
      <w:pPr>
        <w:pStyle w:val="Caption"/>
        <w:rPr>
          <w:rFonts w:ascii="Segoe UI" w:hAnsi="Segoe UI" w:cs="Segoe UI"/>
          <w:b w:val="0"/>
          <w:bCs w:val="0"/>
          <w:sz w:val="18"/>
          <w:szCs w:val="18"/>
          <w:lang w:eastAsia="en-AU"/>
        </w:rPr>
      </w:pPr>
      <w:r>
        <w:lastRenderedPageBreak/>
        <w:t xml:space="preserve">Table </w:t>
      </w:r>
      <w:r w:rsidR="00BC1AC8">
        <w:fldChar w:fldCharType="begin"/>
      </w:r>
      <w:r w:rsidR="00BC1AC8">
        <w:instrText xml:space="preserve"> SEQ Table \* ARABIC </w:instrText>
      </w:r>
      <w:r w:rsidR="00BC1AC8">
        <w:fldChar w:fldCharType="separate"/>
      </w:r>
      <w:r w:rsidR="009228FB">
        <w:rPr>
          <w:noProof/>
        </w:rPr>
        <w:t>1</w:t>
      </w:r>
      <w:r w:rsidR="00BC1AC8">
        <w:rPr>
          <w:noProof/>
        </w:rPr>
        <w:fldChar w:fldCharType="end"/>
      </w:r>
      <w:bookmarkEnd w:id="9"/>
      <w:r>
        <w:t xml:space="preserve">  </w:t>
      </w:r>
      <w:r w:rsidR="003C1576">
        <w:rPr>
          <w:rFonts w:cs="Segoe UI"/>
          <w:lang w:eastAsia="en-AU"/>
        </w:rPr>
        <w:t>ARTG entries for Rhenium-SCT</w:t>
      </w:r>
      <w:r w:rsidR="003C1576" w:rsidRPr="003C1576">
        <w:rPr>
          <w:rFonts w:cs="Segoe UI"/>
          <w:lang w:eastAsia="en-AU"/>
        </w:rPr>
        <w:t> </w:t>
      </w:r>
    </w:p>
    <w:tbl>
      <w:tblPr>
        <w:tblStyle w:val="TableGrid1"/>
        <w:tblW w:w="9064"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
      <w:tblGrid>
        <w:gridCol w:w="1091"/>
        <w:gridCol w:w="4146"/>
        <w:gridCol w:w="1701"/>
        <w:gridCol w:w="2126"/>
      </w:tblGrid>
      <w:tr w:rsidR="00671E96" w:rsidRPr="003C1576" w14:paraId="00E5AF2C" w14:textId="75ADCC79" w:rsidTr="00302BDD">
        <w:trPr>
          <w:cnfStyle w:val="100000000000" w:firstRow="1" w:lastRow="0" w:firstColumn="0" w:lastColumn="0" w:oddVBand="0" w:evenVBand="0" w:oddHBand="0" w:evenHBand="0" w:firstRowFirstColumn="0" w:firstRowLastColumn="0" w:lastRowFirstColumn="0" w:lastRowLastColumn="0"/>
          <w:trHeight w:val="300"/>
        </w:trPr>
        <w:tc>
          <w:tcPr>
            <w:tcW w:w="1091" w:type="dxa"/>
            <w:tcBorders>
              <w:top w:val="single" w:sz="6" w:space="0" w:color="auto"/>
              <w:left w:val="single" w:sz="6" w:space="0" w:color="auto"/>
              <w:bottom w:val="single" w:sz="6" w:space="0" w:color="auto"/>
              <w:right w:val="single" w:sz="6" w:space="0" w:color="auto"/>
            </w:tcBorders>
            <w:shd w:val="clear" w:color="auto" w:fill="FFFFFF"/>
            <w:hideMark/>
          </w:tcPr>
          <w:p w14:paraId="0916CE56" w14:textId="6CB2B1E3" w:rsidR="00671E96" w:rsidRPr="003C1576" w:rsidRDefault="00671E96" w:rsidP="003C1576">
            <w:pPr>
              <w:spacing w:before="0" w:after="0"/>
              <w:textAlignment w:val="baseline"/>
              <w:rPr>
                <w:rFonts w:ascii="Times New Roman" w:hAnsi="Times New Roman"/>
                <w:b/>
                <w:bCs/>
                <w:sz w:val="24"/>
                <w:szCs w:val="24"/>
              </w:rPr>
            </w:pPr>
            <w:r w:rsidRPr="003C1576">
              <w:rPr>
                <w:rFonts w:ascii="Arial Narrow" w:hAnsi="Arial Narrow"/>
                <w:b/>
                <w:bCs/>
              </w:rPr>
              <w:t xml:space="preserve">Product name </w:t>
            </w:r>
            <w:r>
              <w:rPr>
                <w:rFonts w:ascii="Arial Narrow" w:hAnsi="Arial Narrow"/>
                <w:b/>
                <w:bCs/>
              </w:rPr>
              <w:t>and</w:t>
            </w:r>
            <w:r w:rsidRPr="003C1576">
              <w:rPr>
                <w:rFonts w:ascii="Arial Narrow" w:hAnsi="Arial Narrow"/>
                <w:b/>
                <w:bCs/>
              </w:rPr>
              <w:t xml:space="preserve"> Sponsor </w:t>
            </w:r>
          </w:p>
        </w:tc>
        <w:tc>
          <w:tcPr>
            <w:tcW w:w="4146" w:type="dxa"/>
            <w:tcBorders>
              <w:top w:val="single" w:sz="6" w:space="0" w:color="auto"/>
              <w:left w:val="single" w:sz="6" w:space="0" w:color="auto"/>
              <w:bottom w:val="single" w:sz="6" w:space="0" w:color="auto"/>
              <w:right w:val="single" w:sz="6" w:space="0" w:color="auto"/>
            </w:tcBorders>
            <w:shd w:val="clear" w:color="auto" w:fill="FFFFFF"/>
            <w:hideMark/>
          </w:tcPr>
          <w:p w14:paraId="4AF67C87" w14:textId="77777777" w:rsidR="00671E96" w:rsidRPr="003C1576" w:rsidRDefault="00671E96" w:rsidP="003C1576">
            <w:pPr>
              <w:spacing w:before="0" w:after="0"/>
              <w:textAlignment w:val="baseline"/>
              <w:rPr>
                <w:rFonts w:ascii="Times New Roman" w:hAnsi="Times New Roman"/>
                <w:b/>
                <w:bCs/>
                <w:sz w:val="24"/>
                <w:szCs w:val="24"/>
              </w:rPr>
            </w:pPr>
            <w:r w:rsidRPr="003C1576">
              <w:rPr>
                <w:rFonts w:ascii="Arial Narrow" w:hAnsi="Arial Narrow"/>
                <w:b/>
                <w:bCs/>
              </w:rPr>
              <w:t>ARTG summary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6D14253A" w14:textId="77777777" w:rsidR="00671E96" w:rsidRPr="003C1576" w:rsidRDefault="00671E96" w:rsidP="003C1576">
            <w:pPr>
              <w:spacing w:before="0" w:after="0"/>
              <w:textAlignment w:val="baseline"/>
              <w:rPr>
                <w:rFonts w:ascii="Times New Roman" w:hAnsi="Times New Roman"/>
                <w:b/>
                <w:bCs/>
                <w:sz w:val="24"/>
                <w:szCs w:val="24"/>
              </w:rPr>
            </w:pPr>
            <w:r w:rsidRPr="003C1576">
              <w:rPr>
                <w:rFonts w:ascii="Arial Narrow" w:hAnsi="Arial Narrow"/>
                <w:b/>
                <w:bCs/>
              </w:rPr>
              <w:t>Functional description </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38E50846" w14:textId="77777777" w:rsidR="00671E96" w:rsidRPr="003C1576" w:rsidRDefault="00671E96" w:rsidP="003C1576">
            <w:pPr>
              <w:spacing w:before="0" w:after="0"/>
              <w:textAlignment w:val="baseline"/>
              <w:rPr>
                <w:rFonts w:ascii="Times New Roman" w:hAnsi="Times New Roman"/>
                <w:b/>
                <w:bCs/>
                <w:sz w:val="24"/>
                <w:szCs w:val="24"/>
              </w:rPr>
            </w:pPr>
            <w:r w:rsidRPr="003C1576">
              <w:rPr>
                <w:rFonts w:ascii="Arial Narrow" w:hAnsi="Arial Narrow"/>
                <w:b/>
                <w:bCs/>
              </w:rPr>
              <w:t>Intended purpose </w:t>
            </w:r>
          </w:p>
        </w:tc>
      </w:tr>
      <w:tr w:rsidR="00671E96" w:rsidRPr="003C1576" w14:paraId="30751288" w14:textId="53B1547B" w:rsidTr="00302BDD">
        <w:trPr>
          <w:trHeight w:val="300"/>
        </w:trPr>
        <w:tc>
          <w:tcPr>
            <w:tcW w:w="1091" w:type="dxa"/>
            <w:tcBorders>
              <w:top w:val="single" w:sz="6" w:space="0" w:color="auto"/>
              <w:left w:val="single" w:sz="6" w:space="0" w:color="auto"/>
              <w:bottom w:val="single" w:sz="6" w:space="0" w:color="auto"/>
              <w:right w:val="single" w:sz="6" w:space="0" w:color="auto"/>
            </w:tcBorders>
            <w:shd w:val="clear" w:color="auto" w:fill="FFFFFF"/>
            <w:hideMark/>
          </w:tcPr>
          <w:p w14:paraId="797AC82D" w14:textId="2DED7773" w:rsidR="00671E96" w:rsidRPr="00E630A1" w:rsidRDefault="00671E96" w:rsidP="003C1576">
            <w:pPr>
              <w:spacing w:before="0" w:after="0"/>
              <w:textAlignment w:val="baseline"/>
              <w:rPr>
                <w:rFonts w:ascii="Arial Narrow" w:hAnsi="Arial Narrow"/>
              </w:rPr>
            </w:pPr>
            <w:r w:rsidRPr="00E630A1">
              <w:rPr>
                <w:rFonts w:ascii="Arial Narrow" w:hAnsi="Arial Narrow"/>
              </w:rPr>
              <w:t>Rhenium-</w:t>
            </w:r>
            <w:r>
              <w:rPr>
                <w:rFonts w:ascii="Arial Narrow" w:hAnsi="Arial Narrow"/>
              </w:rPr>
              <w:t>SCT</w:t>
            </w:r>
            <w:r w:rsidRPr="00E630A1">
              <w:rPr>
                <w:rFonts w:ascii="Arial Narrow" w:hAnsi="Arial Narrow"/>
              </w:rPr>
              <w:t xml:space="preserve"> ® </w:t>
            </w:r>
          </w:p>
          <w:p w14:paraId="5C9A866C" w14:textId="77777777" w:rsidR="00671E96" w:rsidRPr="00E630A1" w:rsidRDefault="00671E96" w:rsidP="003C1576">
            <w:pPr>
              <w:spacing w:before="0" w:after="0"/>
              <w:textAlignment w:val="baseline"/>
              <w:rPr>
                <w:rFonts w:ascii="Arial Narrow" w:hAnsi="Arial Narrow"/>
              </w:rPr>
            </w:pPr>
          </w:p>
          <w:p w14:paraId="22D29BC7" w14:textId="25A05106" w:rsidR="00671E96" w:rsidRPr="00E630A1" w:rsidRDefault="00671E96" w:rsidP="003C1576">
            <w:pPr>
              <w:spacing w:before="0" w:after="0"/>
              <w:textAlignment w:val="baseline"/>
              <w:rPr>
                <w:rFonts w:ascii="Arial Narrow" w:hAnsi="Arial Narrow"/>
              </w:rPr>
            </w:pPr>
            <w:r w:rsidRPr="00E630A1">
              <w:rPr>
                <w:rFonts w:ascii="Arial Narrow" w:hAnsi="Arial Narrow"/>
              </w:rPr>
              <w:t>OncoBeta Therapeutics Pty Ltd</w:t>
            </w:r>
          </w:p>
        </w:tc>
        <w:tc>
          <w:tcPr>
            <w:tcW w:w="4146" w:type="dxa"/>
            <w:tcBorders>
              <w:top w:val="single" w:sz="6" w:space="0" w:color="auto"/>
              <w:left w:val="single" w:sz="6" w:space="0" w:color="auto"/>
              <w:bottom w:val="single" w:sz="6" w:space="0" w:color="auto"/>
              <w:right w:val="single" w:sz="6" w:space="0" w:color="auto"/>
            </w:tcBorders>
            <w:shd w:val="clear" w:color="auto" w:fill="FFFFFF"/>
            <w:hideMark/>
          </w:tcPr>
          <w:p w14:paraId="04AEE09C" w14:textId="24C4A65C" w:rsidR="00671E96" w:rsidRPr="00E630A1" w:rsidRDefault="00671E96" w:rsidP="003C1576">
            <w:pPr>
              <w:spacing w:before="0" w:after="0"/>
              <w:textAlignment w:val="baseline"/>
              <w:rPr>
                <w:rFonts w:ascii="Arial Narrow" w:hAnsi="Arial Narrow"/>
              </w:rPr>
            </w:pPr>
            <w:r w:rsidRPr="00E630A1">
              <w:rPr>
                <w:rFonts w:ascii="Arial Narrow" w:hAnsi="Arial Narrow"/>
                <w:b/>
                <w:bCs/>
              </w:rPr>
              <w:t>ARTG ID:</w:t>
            </w:r>
            <w:r w:rsidRPr="00E630A1">
              <w:rPr>
                <w:rFonts w:ascii="Arial Narrow" w:hAnsi="Arial Narrow"/>
              </w:rPr>
              <w:t xml:space="preserve"> </w:t>
            </w:r>
            <w:r>
              <w:rPr>
                <w:rFonts w:ascii="Arial Narrow" w:hAnsi="Arial Narrow"/>
              </w:rPr>
              <w:t>400142</w:t>
            </w:r>
          </w:p>
          <w:p w14:paraId="43EB86CE" w14:textId="2C59A726" w:rsidR="00671E96" w:rsidRPr="00E630A1" w:rsidRDefault="00671E96" w:rsidP="003C1576">
            <w:pPr>
              <w:spacing w:before="0" w:after="0"/>
              <w:textAlignment w:val="baseline"/>
              <w:rPr>
                <w:rFonts w:ascii="Arial Narrow" w:hAnsi="Arial Narrow"/>
              </w:rPr>
            </w:pPr>
            <w:r w:rsidRPr="00E630A1">
              <w:rPr>
                <w:rFonts w:ascii="Arial Narrow" w:hAnsi="Arial Narrow"/>
                <w:b/>
                <w:bCs/>
              </w:rPr>
              <w:t>Start date</w:t>
            </w:r>
            <w:r w:rsidRPr="00E630A1">
              <w:rPr>
                <w:rFonts w:ascii="Arial Narrow" w:hAnsi="Arial Narrow"/>
              </w:rPr>
              <w:t xml:space="preserve">: </w:t>
            </w:r>
            <w:r>
              <w:rPr>
                <w:rFonts w:ascii="Arial Narrow" w:hAnsi="Arial Narrow"/>
              </w:rPr>
              <w:t>24 November 2022</w:t>
            </w:r>
          </w:p>
          <w:p w14:paraId="3D9F6746" w14:textId="7D9D6E03" w:rsidR="00671E96" w:rsidRPr="00E630A1" w:rsidRDefault="00671E96" w:rsidP="003C1576">
            <w:pPr>
              <w:spacing w:before="0" w:after="0"/>
              <w:textAlignment w:val="baseline"/>
              <w:rPr>
                <w:rFonts w:ascii="Arial Narrow" w:hAnsi="Arial Narrow"/>
              </w:rPr>
            </w:pPr>
            <w:r w:rsidRPr="00E630A1">
              <w:rPr>
                <w:rFonts w:ascii="Arial Narrow" w:hAnsi="Arial Narrow"/>
                <w:b/>
                <w:bCs/>
              </w:rPr>
              <w:t>Category</w:t>
            </w:r>
            <w:r w:rsidRPr="00E630A1">
              <w:rPr>
                <w:rFonts w:ascii="Arial Narrow" w:hAnsi="Arial Narrow"/>
              </w:rPr>
              <w:t xml:space="preserve">: </w:t>
            </w:r>
            <w:r>
              <w:rPr>
                <w:rFonts w:ascii="Arial Narrow" w:hAnsi="Arial Narrow"/>
              </w:rPr>
              <w:t>Medical Devices Class IIb</w:t>
            </w:r>
          </w:p>
          <w:p w14:paraId="6B13F940" w14:textId="565BAD4C" w:rsidR="00671E96" w:rsidRDefault="00671E96" w:rsidP="003C1576">
            <w:pPr>
              <w:spacing w:before="0" w:after="0"/>
              <w:textAlignment w:val="baseline"/>
              <w:rPr>
                <w:rFonts w:ascii="Arial Narrow" w:hAnsi="Arial Narrow"/>
              </w:rPr>
            </w:pPr>
            <w:r w:rsidRPr="00E630A1">
              <w:rPr>
                <w:rFonts w:ascii="Arial Narrow" w:hAnsi="Arial Narrow"/>
                <w:b/>
                <w:bCs/>
              </w:rPr>
              <w:t>GMDN</w:t>
            </w:r>
            <w:r w:rsidRPr="00E630A1">
              <w:rPr>
                <w:rFonts w:ascii="Arial Narrow" w:hAnsi="Arial Narrow"/>
              </w:rPr>
              <w:t xml:space="preserve">: </w:t>
            </w:r>
            <w:r w:rsidRPr="0041617E">
              <w:rPr>
                <w:rFonts w:ascii="Arial Narrow" w:hAnsi="Arial Narrow"/>
              </w:rPr>
              <w:t>38299 Radionuclide system, therapeutic, brachytherapy, manual</w:t>
            </w:r>
          </w:p>
          <w:p w14:paraId="3C434785" w14:textId="77777777" w:rsidR="00671E96" w:rsidRDefault="00671E96" w:rsidP="003C1576">
            <w:pPr>
              <w:spacing w:before="0" w:after="0"/>
              <w:textAlignment w:val="baseline"/>
              <w:rPr>
                <w:rFonts w:ascii="Arial Narrow" w:hAnsi="Arial Narrow"/>
              </w:rPr>
            </w:pPr>
          </w:p>
          <w:p w14:paraId="3F6BB93D" w14:textId="0DDA1854" w:rsidR="00671E96" w:rsidRPr="00E630A1" w:rsidRDefault="00671E96" w:rsidP="007A2914">
            <w:pPr>
              <w:spacing w:before="0" w:after="0"/>
              <w:textAlignment w:val="baseline"/>
              <w:rPr>
                <w:rFonts w:ascii="Arial Narrow" w:hAnsi="Arial Narrow"/>
              </w:rPr>
            </w:pPr>
            <w:r w:rsidRPr="00E630A1">
              <w:rPr>
                <w:rFonts w:ascii="Arial Narrow" w:hAnsi="Arial Narrow"/>
                <w:b/>
                <w:bCs/>
              </w:rPr>
              <w:t>ARTG ID:</w:t>
            </w:r>
            <w:r w:rsidRPr="00E630A1">
              <w:rPr>
                <w:rFonts w:ascii="Arial Narrow" w:hAnsi="Arial Narrow"/>
              </w:rPr>
              <w:t xml:space="preserve"> </w:t>
            </w:r>
            <w:r>
              <w:rPr>
                <w:rFonts w:ascii="Arial Narrow" w:hAnsi="Arial Narrow"/>
              </w:rPr>
              <w:t>351390</w:t>
            </w:r>
          </w:p>
          <w:p w14:paraId="22AE1D32" w14:textId="7086664F" w:rsidR="00671E96" w:rsidRPr="00E630A1" w:rsidRDefault="00671E96" w:rsidP="007A2914">
            <w:pPr>
              <w:spacing w:before="0" w:after="0"/>
              <w:textAlignment w:val="baseline"/>
              <w:rPr>
                <w:rFonts w:ascii="Arial Narrow" w:hAnsi="Arial Narrow"/>
              </w:rPr>
            </w:pPr>
            <w:r w:rsidRPr="00E630A1">
              <w:rPr>
                <w:rFonts w:ascii="Arial Narrow" w:hAnsi="Arial Narrow"/>
                <w:b/>
                <w:bCs/>
              </w:rPr>
              <w:t>Start date</w:t>
            </w:r>
            <w:r w:rsidRPr="00E630A1">
              <w:rPr>
                <w:rFonts w:ascii="Arial Narrow" w:hAnsi="Arial Narrow"/>
              </w:rPr>
              <w:t xml:space="preserve">: </w:t>
            </w:r>
            <w:r>
              <w:rPr>
                <w:rFonts w:ascii="Arial Narrow" w:hAnsi="Arial Narrow"/>
              </w:rPr>
              <w:t>9 December 2020</w:t>
            </w:r>
          </w:p>
          <w:p w14:paraId="0CA2DE4F" w14:textId="07018195" w:rsidR="00671E96" w:rsidRPr="00E630A1" w:rsidRDefault="00671E96" w:rsidP="007A2914">
            <w:pPr>
              <w:spacing w:before="0" w:after="0"/>
              <w:textAlignment w:val="baseline"/>
              <w:rPr>
                <w:rFonts w:ascii="Arial Narrow" w:hAnsi="Arial Narrow"/>
              </w:rPr>
            </w:pPr>
            <w:r w:rsidRPr="00E630A1">
              <w:rPr>
                <w:rFonts w:ascii="Arial Narrow" w:hAnsi="Arial Narrow"/>
                <w:b/>
                <w:bCs/>
              </w:rPr>
              <w:t>Category</w:t>
            </w:r>
            <w:r w:rsidRPr="00E630A1">
              <w:rPr>
                <w:rFonts w:ascii="Arial Narrow" w:hAnsi="Arial Narrow"/>
              </w:rPr>
              <w:t xml:space="preserve">: </w:t>
            </w:r>
            <w:r>
              <w:rPr>
                <w:rFonts w:ascii="Arial Narrow" w:hAnsi="Arial Narrow"/>
              </w:rPr>
              <w:t>Medical Device Class IIb</w:t>
            </w:r>
          </w:p>
          <w:p w14:paraId="2749CB7D" w14:textId="4EEAA6CE" w:rsidR="00671E96" w:rsidRPr="00E630A1" w:rsidRDefault="00671E96" w:rsidP="007A2914">
            <w:pPr>
              <w:spacing w:before="0" w:after="0"/>
              <w:textAlignment w:val="baseline"/>
              <w:rPr>
                <w:rFonts w:ascii="Arial Narrow" w:hAnsi="Arial Narrow"/>
              </w:rPr>
            </w:pPr>
            <w:r w:rsidRPr="00E630A1">
              <w:rPr>
                <w:rFonts w:ascii="Arial Narrow" w:hAnsi="Arial Narrow"/>
                <w:b/>
                <w:bCs/>
              </w:rPr>
              <w:t>GMDN</w:t>
            </w:r>
            <w:r w:rsidRPr="00E630A1">
              <w:rPr>
                <w:rFonts w:ascii="Arial Narrow" w:hAnsi="Arial Narrow"/>
              </w:rPr>
              <w:t>:</w:t>
            </w:r>
            <w:r w:rsidRPr="009B2A44">
              <w:t xml:space="preserve"> </w:t>
            </w:r>
            <w:r w:rsidRPr="009B2A44">
              <w:rPr>
                <w:rFonts w:ascii="Arial Narrow" w:hAnsi="Arial Narrow"/>
              </w:rPr>
              <w:t>38299 Radionuclide system, therapeutic, brachytherapy, manual</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51032D5" w14:textId="5442A11F" w:rsidR="00671E96" w:rsidRPr="00E630A1" w:rsidRDefault="00671E96" w:rsidP="003C1576">
            <w:pPr>
              <w:spacing w:before="0" w:after="0"/>
              <w:textAlignment w:val="baseline"/>
              <w:rPr>
                <w:rFonts w:ascii="Arial Narrow" w:hAnsi="Arial Narrow"/>
              </w:rPr>
            </w:pPr>
            <w:r>
              <w:rPr>
                <w:rFonts w:ascii="Arial Narrow" w:hAnsi="Arial Narrow"/>
              </w:rPr>
              <w:t xml:space="preserve">High-dose brachytherapy with Rhenium-188 </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697AE699" w14:textId="4BBF310C" w:rsidR="00671E96" w:rsidRPr="00E630A1" w:rsidRDefault="00671E96" w:rsidP="003C1576">
            <w:pPr>
              <w:spacing w:before="0" w:after="0"/>
              <w:textAlignment w:val="baseline"/>
              <w:rPr>
                <w:rFonts w:ascii="Arial Narrow" w:hAnsi="Arial Narrow"/>
              </w:rPr>
            </w:pPr>
            <w:r>
              <w:rPr>
                <w:rFonts w:ascii="Arial Narrow" w:hAnsi="Arial Narrow"/>
              </w:rPr>
              <w:t>Treating certain keratinocyte skin cancers using the radioisotope Rhenium-188</w:t>
            </w:r>
          </w:p>
        </w:tc>
      </w:tr>
    </w:tbl>
    <w:p w14:paraId="215F671E" w14:textId="763489C0" w:rsidR="003C1576" w:rsidRDefault="003C1576" w:rsidP="00671E96">
      <w:pPr>
        <w:pStyle w:val="Tablenotes0"/>
        <w:spacing w:before="0"/>
      </w:pPr>
      <w:r>
        <w:t>Source: ARTG website</w:t>
      </w:r>
      <w:r w:rsidR="00D618F3">
        <w:t xml:space="preserve">: </w:t>
      </w:r>
      <w:hyperlink r:id="rId9" w:history="1">
        <w:r w:rsidR="00D618F3" w:rsidRPr="00D618F3">
          <w:rPr>
            <w:rStyle w:val="Hyperlink"/>
          </w:rPr>
          <w:t>www.tga.gov.au/resources/artg</w:t>
        </w:r>
      </w:hyperlink>
      <w:r>
        <w:t>, accessed</w:t>
      </w:r>
      <w:r w:rsidR="00D618F3">
        <w:t xml:space="preserve"> 26 April 2023</w:t>
      </w:r>
      <w:r w:rsidR="00F461A7">
        <w:t>.</w:t>
      </w:r>
    </w:p>
    <w:p w14:paraId="79148D1A" w14:textId="6696B2FD" w:rsidR="003C1576" w:rsidRDefault="003C1576" w:rsidP="008F0B69">
      <w:pPr>
        <w:pStyle w:val="Tablenotes0"/>
      </w:pPr>
      <w:r>
        <w:t xml:space="preserve">Abbreviations: </w:t>
      </w:r>
      <w:r>
        <w:rPr>
          <w:rStyle w:val="normaltextrun"/>
          <w:color w:val="000000"/>
          <w:szCs w:val="18"/>
          <w:shd w:val="clear" w:color="auto" w:fill="FFFFFF"/>
        </w:rPr>
        <w:t>ARTG ID</w:t>
      </w:r>
      <w:r w:rsidR="00F63C95">
        <w:rPr>
          <w:rStyle w:val="normaltextrun"/>
          <w:color w:val="000000"/>
          <w:szCs w:val="18"/>
          <w:shd w:val="clear" w:color="auto" w:fill="FFFFFF"/>
        </w:rPr>
        <w:t>=</w:t>
      </w:r>
      <w:r>
        <w:rPr>
          <w:rStyle w:val="normaltextrun"/>
          <w:color w:val="000000"/>
          <w:szCs w:val="18"/>
          <w:shd w:val="clear" w:color="auto" w:fill="FFFFFF"/>
        </w:rPr>
        <w:t xml:space="preserve"> Australian Register of Therapeutic Goods identification; GMDN</w:t>
      </w:r>
      <w:r w:rsidR="00F63C95">
        <w:rPr>
          <w:rStyle w:val="normaltextrun"/>
          <w:color w:val="000000"/>
          <w:szCs w:val="18"/>
          <w:shd w:val="clear" w:color="auto" w:fill="FFFFFF"/>
        </w:rPr>
        <w:t>=</w:t>
      </w:r>
      <w:r>
        <w:rPr>
          <w:rStyle w:val="normaltextrun"/>
          <w:color w:val="000000"/>
          <w:szCs w:val="18"/>
          <w:shd w:val="clear" w:color="auto" w:fill="FFFFFF"/>
        </w:rPr>
        <w:t xml:space="preserve"> Global Medical Device Nomenclature</w:t>
      </w:r>
      <w:r w:rsidR="00FC53F6">
        <w:rPr>
          <w:rStyle w:val="normaltextrun"/>
          <w:color w:val="000000"/>
          <w:szCs w:val="18"/>
          <w:shd w:val="clear" w:color="auto" w:fill="FFFFFF"/>
        </w:rPr>
        <w:t>; SCT</w:t>
      </w:r>
      <w:r w:rsidR="00F63C95">
        <w:rPr>
          <w:rStyle w:val="normaltextrun"/>
          <w:color w:val="000000"/>
          <w:szCs w:val="18"/>
          <w:shd w:val="clear" w:color="auto" w:fill="FFFFFF"/>
        </w:rPr>
        <w:t>=</w:t>
      </w:r>
      <w:r w:rsidR="00FC53F6">
        <w:rPr>
          <w:rStyle w:val="normaltextrun"/>
          <w:color w:val="000000"/>
          <w:szCs w:val="18"/>
          <w:shd w:val="clear" w:color="auto" w:fill="FFFFFF"/>
        </w:rPr>
        <w:t xml:space="preserve"> skin cancer therapy; TGA</w:t>
      </w:r>
      <w:r w:rsidR="00F63C95">
        <w:rPr>
          <w:rStyle w:val="normaltextrun"/>
          <w:color w:val="000000"/>
          <w:szCs w:val="18"/>
          <w:shd w:val="clear" w:color="auto" w:fill="FFFFFF"/>
        </w:rPr>
        <w:t>=</w:t>
      </w:r>
      <w:r w:rsidR="00FC53F6">
        <w:rPr>
          <w:rStyle w:val="normaltextrun"/>
          <w:color w:val="000000"/>
          <w:szCs w:val="18"/>
          <w:shd w:val="clear" w:color="auto" w:fill="FFFFFF"/>
        </w:rPr>
        <w:t xml:space="preserve"> Therapeutic Goods Administration</w:t>
      </w:r>
      <w:r w:rsidR="00F461A7">
        <w:rPr>
          <w:rStyle w:val="normaltextrun"/>
          <w:color w:val="000000"/>
          <w:szCs w:val="18"/>
          <w:shd w:val="clear" w:color="auto" w:fill="FFFFFF"/>
        </w:rPr>
        <w:t>.</w:t>
      </w:r>
    </w:p>
    <w:p w14:paraId="44C3B242" w14:textId="3FA3A3F6" w:rsidR="00772829" w:rsidRPr="00CE28E3" w:rsidRDefault="00F76D74" w:rsidP="002A18BE">
      <w:pPr>
        <w:pStyle w:val="Heading2"/>
        <w:numPr>
          <w:ilvl w:val="1"/>
          <w:numId w:val="0"/>
        </w:numPr>
      </w:pPr>
      <w:bookmarkStart w:id="10" w:name="_Toc69491418"/>
      <w:r>
        <w:t>6</w:t>
      </w:r>
      <w:r w:rsidR="335DE50E">
        <w:t>.</w:t>
      </w:r>
      <w:r w:rsidR="00C36633">
        <w:tab/>
      </w:r>
      <w:r w:rsidR="038E1C84">
        <w:t>Proposal for public funding</w:t>
      </w:r>
      <w:bookmarkEnd w:id="10"/>
    </w:p>
    <w:p w14:paraId="509F31D0" w14:textId="21DDA5DD" w:rsidR="008408FE" w:rsidRDefault="005545B1" w:rsidP="00E9015A">
      <w:pPr>
        <w:pStyle w:val="Instructionaltext"/>
        <w:rPr>
          <w:color w:val="auto"/>
        </w:rPr>
      </w:pPr>
      <w:r>
        <w:rPr>
          <w:color w:val="auto"/>
        </w:rPr>
        <w:t>The ADAR proposed t</w:t>
      </w:r>
      <w:r w:rsidR="75F96C19" w:rsidRPr="11265896">
        <w:rPr>
          <w:color w:val="auto"/>
        </w:rPr>
        <w:t>hree new MBS item</w:t>
      </w:r>
      <w:r w:rsidR="00DA1B3E">
        <w:rPr>
          <w:color w:val="auto"/>
        </w:rPr>
        <w:t>s</w:t>
      </w:r>
      <w:r w:rsidR="75F96C19" w:rsidRPr="11265896">
        <w:rPr>
          <w:color w:val="auto"/>
        </w:rPr>
        <w:t xml:space="preserve"> </w:t>
      </w:r>
      <w:r w:rsidR="009B772C">
        <w:rPr>
          <w:color w:val="auto"/>
        </w:rPr>
        <w:t xml:space="preserve">for </w:t>
      </w:r>
      <w:r>
        <w:rPr>
          <w:color w:val="auto"/>
        </w:rPr>
        <w:t xml:space="preserve">high-dose </w:t>
      </w:r>
      <w:r w:rsidRPr="003848F1">
        <w:rPr>
          <w:color w:val="auto"/>
        </w:rPr>
        <w:t xml:space="preserve">brachytherapy with Re-188 for </w:t>
      </w:r>
      <w:r w:rsidR="00935FEC" w:rsidRPr="003848F1">
        <w:rPr>
          <w:color w:val="auto"/>
        </w:rPr>
        <w:t xml:space="preserve">treatment of </w:t>
      </w:r>
      <w:r w:rsidR="00935FEC" w:rsidRPr="003848F1">
        <w:rPr>
          <w:color w:val="auto"/>
          <w:lang w:val="en-US" w:eastAsia="ja-JP"/>
        </w:rPr>
        <w:t>cutaneous basal cell carcinoma (BCC) or cutaneous squamous cell carcinoma (SCC)</w:t>
      </w:r>
      <w:r w:rsidR="75F96C19" w:rsidRPr="003848F1">
        <w:rPr>
          <w:color w:val="auto"/>
        </w:rPr>
        <w:t xml:space="preserve"> which would be specific to Re-188 brachytherapy, but not necessarily Rhenium-SCT® system</w:t>
      </w:r>
      <w:r w:rsidR="00935FEC" w:rsidRPr="003848F1">
        <w:rPr>
          <w:color w:val="auto"/>
        </w:rPr>
        <w:t xml:space="preserve"> (</w:t>
      </w:r>
      <w:r w:rsidR="003B0FAA" w:rsidRPr="003848F1">
        <w:rPr>
          <w:color w:val="auto"/>
        </w:rPr>
        <w:fldChar w:fldCharType="begin"/>
      </w:r>
      <w:r w:rsidR="003B0FAA" w:rsidRPr="0048762B">
        <w:rPr>
          <w:color w:val="auto"/>
        </w:rPr>
        <w:instrText xml:space="preserve"> REF _Ref133396620 \h </w:instrText>
      </w:r>
      <w:r w:rsidR="008408FE">
        <w:rPr>
          <w:color w:val="auto"/>
        </w:rPr>
        <w:instrText xml:space="preserve"> \* MERGEFORMAT </w:instrText>
      </w:r>
      <w:r w:rsidR="003B0FAA" w:rsidRPr="003848F1">
        <w:rPr>
          <w:color w:val="auto"/>
        </w:rPr>
      </w:r>
      <w:r w:rsidR="003B0FAA" w:rsidRPr="003848F1">
        <w:rPr>
          <w:color w:val="auto"/>
        </w:rPr>
        <w:fldChar w:fldCharType="separate"/>
      </w:r>
      <w:r w:rsidR="009228FB" w:rsidRPr="00F227EA">
        <w:rPr>
          <w:color w:val="auto"/>
        </w:rPr>
        <w:t>Table 1</w:t>
      </w:r>
      <w:r w:rsidR="003B0FAA" w:rsidRPr="003848F1">
        <w:rPr>
          <w:color w:val="auto"/>
        </w:rPr>
        <w:fldChar w:fldCharType="end"/>
      </w:r>
      <w:r w:rsidR="00935FEC" w:rsidRPr="003848F1">
        <w:rPr>
          <w:color w:val="auto"/>
        </w:rPr>
        <w:t>)</w:t>
      </w:r>
      <w:r w:rsidR="75F96C19" w:rsidRPr="003848F1">
        <w:rPr>
          <w:color w:val="auto"/>
        </w:rPr>
        <w:t xml:space="preserve">. </w:t>
      </w:r>
    </w:p>
    <w:p w14:paraId="63E086EA" w14:textId="0367B4BE" w:rsidR="00126F57" w:rsidRPr="003848F1" w:rsidRDefault="00D02E92" w:rsidP="11265896">
      <w:pPr>
        <w:pStyle w:val="Instructionaltext"/>
        <w:rPr>
          <w:color w:val="auto"/>
        </w:rPr>
      </w:pPr>
      <w:r>
        <w:rPr>
          <w:color w:val="auto"/>
        </w:rPr>
        <w:t>T</w:t>
      </w:r>
      <w:r w:rsidR="00E9015A" w:rsidRPr="11265896">
        <w:rPr>
          <w:color w:val="auto"/>
        </w:rPr>
        <w:t>he proposed three-tiered banding structure for the new</w:t>
      </w:r>
      <w:r w:rsidR="00E9015A">
        <w:rPr>
          <w:color w:val="auto"/>
        </w:rPr>
        <w:t xml:space="preserve"> MBS</w:t>
      </w:r>
      <w:r w:rsidR="00E9015A" w:rsidRPr="11265896">
        <w:rPr>
          <w:color w:val="auto"/>
        </w:rPr>
        <w:t xml:space="preserve"> items is arbitrary, being based on expected differences in the cost</w:t>
      </w:r>
      <w:r w:rsidR="00E9015A">
        <w:rPr>
          <w:color w:val="auto"/>
        </w:rPr>
        <w:t xml:space="preserve"> of</w:t>
      </w:r>
      <w:r w:rsidR="00E9015A" w:rsidRPr="11265896">
        <w:rPr>
          <w:color w:val="auto"/>
        </w:rPr>
        <w:t xml:space="preserve"> the Re-188 compound by the size of the lesion. </w:t>
      </w:r>
      <w:r w:rsidR="00E9015A">
        <w:rPr>
          <w:color w:val="auto"/>
        </w:rPr>
        <w:t>These</w:t>
      </w:r>
      <w:r w:rsidR="00E9015A" w:rsidRPr="11265896">
        <w:rPr>
          <w:color w:val="auto"/>
        </w:rPr>
        <w:t xml:space="preserve"> bands are consistent with the </w:t>
      </w:r>
      <w:r w:rsidR="00BD542C">
        <w:rPr>
          <w:color w:val="auto"/>
        </w:rPr>
        <w:t xml:space="preserve">ratified </w:t>
      </w:r>
      <w:r w:rsidR="00E9015A" w:rsidRPr="11265896">
        <w:rPr>
          <w:color w:val="auto"/>
        </w:rPr>
        <w:t xml:space="preserve"> PICO</w:t>
      </w:r>
      <w:r w:rsidR="00BD542C">
        <w:rPr>
          <w:color w:val="auto"/>
        </w:rPr>
        <w:t xml:space="preserve"> confirmation (</w:t>
      </w:r>
      <w:hyperlink r:id="rId10" w:history="1">
        <w:r w:rsidR="00BD542C" w:rsidRPr="001441CD">
          <w:rPr>
            <w:rStyle w:val="Hyperlink"/>
          </w:rPr>
          <w:t>MSAC 1657 Ratified PICO Confirmation</w:t>
        </w:r>
      </w:hyperlink>
      <w:r w:rsidR="00BD542C">
        <w:rPr>
          <w:color w:val="auto"/>
        </w:rPr>
        <w:t>)</w:t>
      </w:r>
      <w:r w:rsidR="00E9015A">
        <w:rPr>
          <w:color w:val="auto"/>
        </w:rPr>
        <w:t>.</w:t>
      </w:r>
    </w:p>
    <w:p w14:paraId="0FF35F81" w14:textId="6CAD4229" w:rsidR="75F96C19" w:rsidRDefault="75F96C19" w:rsidP="00F14079">
      <w:r w:rsidRPr="11265896">
        <w:t xml:space="preserve">The </w:t>
      </w:r>
      <w:r w:rsidR="00B71DB3">
        <w:t xml:space="preserve">ADAR </w:t>
      </w:r>
      <w:r w:rsidR="00935FEC">
        <w:t>proposed to create three new MBS items</w:t>
      </w:r>
      <w:r w:rsidR="00A8415A">
        <w:t xml:space="preserve"> (</w:t>
      </w:r>
      <w:r w:rsidR="00A8415A">
        <w:fldChar w:fldCharType="begin"/>
      </w:r>
      <w:r w:rsidR="00A8415A">
        <w:instrText xml:space="preserve"> REF _Ref133402533 \h </w:instrText>
      </w:r>
      <w:r w:rsidR="00A8415A">
        <w:fldChar w:fldCharType="separate"/>
      </w:r>
      <w:r w:rsidR="009228FB">
        <w:t xml:space="preserve">Table </w:t>
      </w:r>
      <w:r w:rsidR="009228FB">
        <w:rPr>
          <w:noProof/>
        </w:rPr>
        <w:t>2</w:t>
      </w:r>
      <w:r w:rsidR="00A8415A">
        <w:fldChar w:fldCharType="end"/>
      </w:r>
      <w:r w:rsidR="00A8415A">
        <w:t>)</w:t>
      </w:r>
      <w:r w:rsidR="00953F55">
        <w:t xml:space="preserve"> </w:t>
      </w:r>
      <w:r w:rsidR="00935FEC">
        <w:t xml:space="preserve">instead of amending existing brachytherapy </w:t>
      </w:r>
      <w:r w:rsidRPr="11265896">
        <w:t xml:space="preserve">MBS items for construction and application of a radioactive mould to an external surface and associated planning/verification services (15536, 15351, 15354, 15357 </w:t>
      </w:r>
      <w:r w:rsidR="00873F6B">
        <w:t>and</w:t>
      </w:r>
      <w:r w:rsidRPr="11265896">
        <w:t xml:space="preserve"> 15800)</w:t>
      </w:r>
      <w:r w:rsidR="00935FEC">
        <w:t xml:space="preserve">. </w:t>
      </w:r>
      <w:r w:rsidR="00935FEC" w:rsidDel="009D3E1A">
        <w:t xml:space="preserve">The ADAR claimed that </w:t>
      </w:r>
      <w:r w:rsidR="00935FEC" w:rsidRPr="11265896" w:rsidDel="009D3E1A">
        <w:t xml:space="preserve">it </w:t>
      </w:r>
      <w:r w:rsidR="00935FEC" w:rsidDel="009D3E1A">
        <w:t>would not be</w:t>
      </w:r>
      <w:r w:rsidR="00935FEC" w:rsidRPr="11265896" w:rsidDel="009D3E1A">
        <w:t xml:space="preserve"> optimal to </w:t>
      </w:r>
      <w:r w:rsidR="00935FEC" w:rsidDel="009D3E1A">
        <w:t>include Re-188 brachytherapy</w:t>
      </w:r>
      <w:r w:rsidR="00935FEC" w:rsidRPr="11265896" w:rsidDel="009D3E1A">
        <w:t xml:space="preserve"> within existing</w:t>
      </w:r>
      <w:r w:rsidR="00935FEC" w:rsidDel="009D3E1A">
        <w:t xml:space="preserve"> MBS items </w:t>
      </w:r>
      <w:r w:rsidRPr="11265896" w:rsidDel="009D3E1A">
        <w:t>due to fundamental differences in the methods and costs involved in the respective brachytherapy modalities.</w:t>
      </w:r>
      <w:r w:rsidR="008A230D" w:rsidDel="009D3E1A">
        <w:t xml:space="preserve"> </w:t>
      </w:r>
      <w:r w:rsidR="00D95A15">
        <w:t xml:space="preserve"> </w:t>
      </w:r>
    </w:p>
    <w:p w14:paraId="359FA942" w14:textId="2EC6DAAD" w:rsidR="00A11BFE" w:rsidRPr="0047066B" w:rsidRDefault="00195229" w:rsidP="00A26891">
      <w:pPr>
        <w:pStyle w:val="Caption"/>
      </w:pPr>
      <w:bookmarkStart w:id="11" w:name="_Ref133402533"/>
      <w:r>
        <w:t xml:space="preserve">Table </w:t>
      </w:r>
      <w:r w:rsidR="00BC1AC8">
        <w:fldChar w:fldCharType="begin"/>
      </w:r>
      <w:r w:rsidR="00BC1AC8">
        <w:instrText xml:space="preserve"> SEQ Table \* ARABIC </w:instrText>
      </w:r>
      <w:r w:rsidR="00BC1AC8">
        <w:fldChar w:fldCharType="separate"/>
      </w:r>
      <w:r w:rsidR="009228FB">
        <w:rPr>
          <w:noProof/>
        </w:rPr>
        <w:t>2</w:t>
      </w:r>
      <w:r w:rsidR="00BC1AC8">
        <w:rPr>
          <w:noProof/>
        </w:rPr>
        <w:fldChar w:fldCharType="end"/>
      </w:r>
      <w:bookmarkEnd w:id="11"/>
      <w:r>
        <w:t xml:space="preserve"> ADAR proposed MBS item descri</w:t>
      </w:r>
      <w:r w:rsidR="00A11BFE">
        <w:t>ptors for high-dose brachytherapy with Rhenium-188 for keratinocyte cancers</w:t>
      </w:r>
    </w:p>
    <w:tbl>
      <w:tblPr>
        <w:tblStyle w:val="TableGrid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3328A9" w:rsidRPr="0047066B" w14:paraId="7A70B700" w14:textId="77777777" w:rsidTr="11265896">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3D0F23B9" w:rsidR="003328A9" w:rsidRPr="0047066B" w:rsidRDefault="30AAE1A9" w:rsidP="00C325BC">
            <w:pPr>
              <w:pStyle w:val="Tabletext0"/>
              <w:rPr>
                <w:b/>
                <w:bCs/>
              </w:rPr>
            </w:pPr>
            <w:r w:rsidRPr="0047066B">
              <w:rPr>
                <w:b/>
                <w:bCs/>
              </w:rPr>
              <w:t xml:space="preserve">Category </w:t>
            </w:r>
            <w:r w:rsidR="03F976D3" w:rsidRPr="0047066B">
              <w:rPr>
                <w:b/>
                <w:bCs/>
              </w:rPr>
              <w:t>3</w:t>
            </w:r>
            <w:r w:rsidRPr="0047066B">
              <w:rPr>
                <w:b/>
                <w:bCs/>
              </w:rPr>
              <w:t xml:space="preserve"> – </w:t>
            </w:r>
            <w:r w:rsidR="39F4D17F" w:rsidRPr="0047066B">
              <w:rPr>
                <w:b/>
                <w:bCs/>
              </w:rPr>
              <w:t>Therapeutic Procedures – Group T2 - Radiation Oncology; Subgroup 4 - Brachytherapy</w:t>
            </w:r>
          </w:p>
        </w:tc>
      </w:tr>
      <w:tr w:rsidR="11265896" w:rsidRPr="008A230D" w14:paraId="0D975EBD" w14:textId="77777777" w:rsidTr="0047066B">
        <w:trPr>
          <w:trHeight w:val="285"/>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00B978" w14:textId="346E323E" w:rsidR="19BE8E8C" w:rsidRPr="0047066B" w:rsidRDefault="19BE8E8C" w:rsidP="00C325BC">
            <w:pPr>
              <w:pStyle w:val="Tabletext0"/>
              <w:rPr>
                <w:b/>
                <w:bCs/>
                <w:lang w:val="en-US" w:eastAsia="ja-JP"/>
              </w:rPr>
            </w:pPr>
            <w:r w:rsidRPr="0047066B">
              <w:rPr>
                <w:b/>
                <w:bCs/>
                <w:lang w:val="en-US" w:eastAsia="ja-JP"/>
              </w:rPr>
              <w:t>MBS item XXXX</w:t>
            </w:r>
            <w:r w:rsidRPr="0047066B">
              <w:rPr>
                <w:b/>
                <w:bCs/>
                <w:vertAlign w:val="subscript"/>
                <w:lang w:val="en-US" w:eastAsia="ja-JP"/>
              </w:rPr>
              <w:t>1</w:t>
            </w:r>
          </w:p>
        </w:tc>
      </w:tr>
      <w:tr w:rsidR="003328A9" w:rsidRPr="008A230D" w14:paraId="05A9B76F" w14:textId="77777777" w:rsidTr="008A230D">
        <w:trPr>
          <w:trHeight w:val="268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25647" w14:textId="2B48FA0A" w:rsidR="003328A9" w:rsidRPr="008A230D" w:rsidRDefault="2B2277A9" w:rsidP="00C325BC">
            <w:pPr>
              <w:pStyle w:val="Tabletext0"/>
              <w:rPr>
                <w:lang w:val="en-US" w:eastAsia="ja-JP"/>
              </w:rPr>
            </w:pPr>
            <w:r w:rsidRPr="008A230D">
              <w:rPr>
                <w:lang w:val="en-US" w:eastAsia="ja-JP"/>
              </w:rPr>
              <w:t>Epidermal radioisotope therapy, using rhenium-188, of a cutaneous basal cell carcinoma (BCC) or cutaneous squamous cell carcinoma (SCC) if:</w:t>
            </w:r>
          </w:p>
          <w:p w14:paraId="62E57205" w14:textId="4892D344" w:rsidR="003328A9" w:rsidRPr="008A230D" w:rsidRDefault="2B2277A9" w:rsidP="00C325BC">
            <w:pPr>
              <w:pStyle w:val="Tabletext0"/>
            </w:pPr>
            <w:r w:rsidRPr="008A230D">
              <w:rPr>
                <w:lang w:val="en-US" w:eastAsia="ja-JP"/>
              </w:rPr>
              <w:t>a) malignancy has been confirmed and other diagnoses excluded by histological examination; and</w:t>
            </w:r>
          </w:p>
          <w:p w14:paraId="514CA226" w14:textId="3D3DFB3C" w:rsidR="003328A9" w:rsidRPr="008A230D" w:rsidRDefault="2B2277A9" w:rsidP="00C325BC">
            <w:pPr>
              <w:pStyle w:val="Tabletext0"/>
            </w:pPr>
            <w:r w:rsidRPr="008A230D">
              <w:rPr>
                <w:lang w:val="en-US" w:eastAsia="ja-JP"/>
              </w:rPr>
              <w:t>b) the maximum depth of the lesion is less than or equal to 3 mm; and</w:t>
            </w:r>
          </w:p>
          <w:p w14:paraId="4B45FA2F" w14:textId="4DC724B2" w:rsidR="003328A9" w:rsidRPr="008A230D" w:rsidRDefault="2B2277A9" w:rsidP="00C325BC">
            <w:pPr>
              <w:pStyle w:val="Tabletext0"/>
            </w:pPr>
            <w:r w:rsidRPr="008A230D">
              <w:rPr>
                <w:lang w:val="en-US" w:eastAsia="ja-JP"/>
              </w:rPr>
              <w:t>c) the area of the lesion is at least 1.5 cm</w:t>
            </w:r>
            <w:r w:rsidRPr="001B0EF6">
              <w:rPr>
                <w:vertAlign w:val="superscript"/>
                <w:lang w:val="en-US" w:eastAsia="ja-JP"/>
              </w:rPr>
              <w:t>2</w:t>
            </w:r>
            <w:r w:rsidRPr="008A230D">
              <w:rPr>
                <w:lang w:val="en-US" w:eastAsia="ja-JP"/>
              </w:rPr>
              <w:t xml:space="preserve"> but no more than 3.0 cm</w:t>
            </w:r>
            <w:r w:rsidRPr="001B0EF6">
              <w:rPr>
                <w:vertAlign w:val="superscript"/>
                <w:lang w:val="en-US" w:eastAsia="ja-JP"/>
              </w:rPr>
              <w:t>2</w:t>
            </w:r>
            <w:r w:rsidRPr="008A230D">
              <w:rPr>
                <w:lang w:val="en-US" w:eastAsia="ja-JP"/>
              </w:rPr>
              <w:t>; and</w:t>
            </w:r>
          </w:p>
          <w:p w14:paraId="153C8023" w14:textId="0152B094" w:rsidR="003328A9" w:rsidRPr="008A230D" w:rsidRDefault="2B2277A9" w:rsidP="00C325BC">
            <w:pPr>
              <w:pStyle w:val="Tabletext0"/>
            </w:pPr>
            <w:r w:rsidRPr="008A230D">
              <w:rPr>
                <w:lang w:val="en-US" w:eastAsia="ja-JP"/>
              </w:rPr>
              <w:t>d) the lesion is located on the nose, eyebrow, lip, ear, digit, genitalia, shin or collarbone or a contiguous area; and</w:t>
            </w:r>
          </w:p>
          <w:p w14:paraId="0DB28EAB" w14:textId="5A85415C" w:rsidR="003328A9" w:rsidRPr="008A230D" w:rsidRDefault="2B2277A9" w:rsidP="00C325BC">
            <w:pPr>
              <w:pStyle w:val="Tabletext0"/>
            </w:pPr>
            <w:r w:rsidRPr="008A230D">
              <w:rPr>
                <w:lang w:val="en-US" w:eastAsia="ja-JP"/>
              </w:rPr>
              <w:t>e) the patient has comorbidities that prevent surgical excision, or has refused surgery; and</w:t>
            </w:r>
          </w:p>
          <w:p w14:paraId="644C6591" w14:textId="72BCE909" w:rsidR="003328A9" w:rsidRPr="008A230D" w:rsidRDefault="2B2277A9" w:rsidP="00C325BC">
            <w:pPr>
              <w:pStyle w:val="Tabletext0"/>
            </w:pPr>
            <w:r w:rsidRPr="008A230D">
              <w:rPr>
                <w:lang w:val="en-US" w:eastAsia="ja-JP"/>
              </w:rPr>
              <w:t>g) the service is provided by a suitably trained nuclear medicine physician or radiation oncologist in an approved facility; and</w:t>
            </w:r>
          </w:p>
          <w:p w14:paraId="3EEC2DE6" w14:textId="1D8F45D3" w:rsidR="003328A9" w:rsidRPr="008A230D" w:rsidRDefault="2B2277A9" w:rsidP="00C325BC">
            <w:pPr>
              <w:pStyle w:val="Tabletext0"/>
            </w:pPr>
            <w:r w:rsidRPr="008A230D">
              <w:rPr>
                <w:lang w:val="en-US" w:eastAsia="ja-JP"/>
              </w:rPr>
              <w:t xml:space="preserve">h) the service is referred </w:t>
            </w:r>
            <w:r w:rsidR="6E9B3BE0" w:rsidRPr="64CB703A">
              <w:rPr>
                <w:lang w:val="en-US" w:eastAsia="ja-JP"/>
              </w:rPr>
              <w:t>to</w:t>
            </w:r>
            <w:r w:rsidR="56389AE9" w:rsidRPr="64CB703A">
              <w:rPr>
                <w:lang w:val="en-US" w:eastAsia="ja-JP"/>
              </w:rPr>
              <w:t xml:space="preserve"> </w:t>
            </w:r>
            <w:r w:rsidRPr="008A230D">
              <w:rPr>
                <w:lang w:val="en-US" w:eastAsia="ja-JP"/>
              </w:rPr>
              <w:t>by a specialist dermatologist or plastic surgeon.</w:t>
            </w:r>
          </w:p>
        </w:tc>
      </w:tr>
      <w:tr w:rsidR="003328A9" w:rsidRPr="008A230D" w14:paraId="190EE027" w14:textId="77777777" w:rsidTr="1126589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DFDC" w14:textId="698D97A4" w:rsidR="00A3260E" w:rsidRPr="008A230D" w:rsidRDefault="30AAE1A9" w:rsidP="00A3260E">
            <w:pPr>
              <w:pStyle w:val="Tabletext0"/>
              <w:spacing w:after="480"/>
            </w:pPr>
            <w:r w:rsidRPr="008A230D">
              <w:t xml:space="preserve">Fee: </w:t>
            </w:r>
            <w:r w:rsidR="0FA36E30" w:rsidRPr="008A230D">
              <w:t>$3,420.00</w:t>
            </w:r>
          </w:p>
        </w:tc>
      </w:tr>
      <w:tr w:rsidR="11265896" w:rsidRPr="008A230D" w14:paraId="5FD12E49" w14:textId="77777777" w:rsidTr="0047066B">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3DAFAC" w14:textId="4081AC6D" w:rsidR="59565A26" w:rsidRPr="0047066B" w:rsidRDefault="59565A26" w:rsidP="00C325BC">
            <w:pPr>
              <w:pStyle w:val="Tabletext0"/>
              <w:rPr>
                <w:b/>
                <w:bCs/>
                <w:vertAlign w:val="subscript"/>
                <w:lang w:val="en-US" w:eastAsia="ja-JP"/>
              </w:rPr>
            </w:pPr>
            <w:r w:rsidRPr="0047066B">
              <w:rPr>
                <w:b/>
                <w:bCs/>
                <w:lang w:val="en-US" w:eastAsia="ja-JP"/>
              </w:rPr>
              <w:lastRenderedPageBreak/>
              <w:t>MBS item *XXXX</w:t>
            </w:r>
            <w:r w:rsidRPr="0047066B">
              <w:rPr>
                <w:b/>
                <w:bCs/>
                <w:vertAlign w:val="subscript"/>
                <w:lang w:val="en-US" w:eastAsia="ja-JP"/>
              </w:rPr>
              <w:t>2</w:t>
            </w:r>
          </w:p>
        </w:tc>
      </w:tr>
      <w:tr w:rsidR="11265896" w:rsidRPr="008A230D" w14:paraId="43701373" w14:textId="77777777" w:rsidTr="11265896">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36456" w14:textId="429A7037" w:rsidR="2027AA87" w:rsidRPr="008A230D" w:rsidRDefault="2027AA87" w:rsidP="00C325BC">
            <w:pPr>
              <w:pStyle w:val="Tabletext0"/>
            </w:pPr>
            <w:r w:rsidRPr="008A230D">
              <w:t>Epidermal radioisotope therapy, using rhenium-188, of a cutaneous basal cell carcinoma (BCC) or cutaneous squamous cell carcinoma (SCC) if:</w:t>
            </w:r>
          </w:p>
          <w:p w14:paraId="2FF68B93" w14:textId="6417C0CE" w:rsidR="2027AA87" w:rsidRPr="008A230D" w:rsidRDefault="2027AA87" w:rsidP="00C325BC">
            <w:pPr>
              <w:pStyle w:val="Tabletext0"/>
            </w:pPr>
            <w:r w:rsidRPr="008A230D">
              <w:t>a) malignancy has been confirmed and other diagnoses excluded by histological examination; and</w:t>
            </w:r>
          </w:p>
          <w:p w14:paraId="67251B32" w14:textId="7405A2B6" w:rsidR="2027AA87" w:rsidRPr="008A230D" w:rsidRDefault="2027AA87" w:rsidP="00C325BC">
            <w:pPr>
              <w:pStyle w:val="Tabletext0"/>
            </w:pPr>
            <w:r w:rsidRPr="008A230D">
              <w:t>b) the maximum depth of the lesion is less than or equal to 3 mm; and</w:t>
            </w:r>
          </w:p>
          <w:p w14:paraId="34323576" w14:textId="66AE94F9" w:rsidR="2027AA87" w:rsidRPr="008A230D" w:rsidRDefault="2027AA87" w:rsidP="00C325BC">
            <w:pPr>
              <w:pStyle w:val="Tabletext0"/>
            </w:pPr>
            <w:r w:rsidRPr="008A230D">
              <w:t>c) the area of the lesion is at least 3.1 cm</w:t>
            </w:r>
            <w:r w:rsidRPr="00C5340F">
              <w:rPr>
                <w:vertAlign w:val="superscript"/>
              </w:rPr>
              <w:t>2</w:t>
            </w:r>
            <w:r w:rsidRPr="008A230D">
              <w:t xml:space="preserve"> but no more than 5.0 cm</w:t>
            </w:r>
            <w:r w:rsidRPr="00C5340F">
              <w:rPr>
                <w:vertAlign w:val="superscript"/>
              </w:rPr>
              <w:t>2</w:t>
            </w:r>
            <w:r w:rsidRPr="008A230D">
              <w:t>; and</w:t>
            </w:r>
          </w:p>
          <w:p w14:paraId="4F9C4AE4" w14:textId="2F6AF6F0" w:rsidR="2027AA87" w:rsidRPr="008A230D" w:rsidRDefault="2027AA87" w:rsidP="00C325BC">
            <w:pPr>
              <w:pStyle w:val="Tabletext0"/>
            </w:pPr>
            <w:r w:rsidRPr="008A230D">
              <w:t>d) the lesion is located on the nose, eyebrow, lip, ear, digit, genitalia, shin or collarbone or a contiguous area; and</w:t>
            </w:r>
          </w:p>
          <w:p w14:paraId="66B7F548" w14:textId="3CF32E73" w:rsidR="2027AA87" w:rsidRPr="008A230D" w:rsidRDefault="2027AA87" w:rsidP="00C325BC">
            <w:pPr>
              <w:pStyle w:val="Tabletext0"/>
            </w:pPr>
            <w:r w:rsidRPr="008A230D">
              <w:t>e) the patient has comorbidities that prevent surgical excision, or has refused surgery; and</w:t>
            </w:r>
          </w:p>
          <w:p w14:paraId="5C5E54E1" w14:textId="245D66BE" w:rsidR="2027AA87" w:rsidRPr="008A230D" w:rsidRDefault="2027AA87" w:rsidP="00C325BC">
            <w:pPr>
              <w:pStyle w:val="Tabletext0"/>
            </w:pPr>
            <w:r w:rsidRPr="008A230D">
              <w:t>g) the service is provided by a suitably trained nuclear medicine physician or radiation oncologist in an approved facility; and</w:t>
            </w:r>
          </w:p>
          <w:p w14:paraId="499F90A2" w14:textId="0B86AE5B" w:rsidR="2027AA87" w:rsidRPr="008A230D" w:rsidRDefault="2027AA87" w:rsidP="00C325BC">
            <w:pPr>
              <w:pStyle w:val="Tabletext0"/>
            </w:pPr>
            <w:r w:rsidRPr="008A230D">
              <w:t>h) the service is referred by a specialist dermatologist or plastic surgeon</w:t>
            </w:r>
            <w:r w:rsidR="76710911" w:rsidRPr="008A230D">
              <w:t>.</w:t>
            </w:r>
          </w:p>
        </w:tc>
      </w:tr>
      <w:tr w:rsidR="11265896" w:rsidRPr="008A230D" w14:paraId="2B801042" w14:textId="77777777" w:rsidTr="11265896">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28DA0" w14:textId="7CC9E05E" w:rsidR="59565A26" w:rsidRPr="008A230D" w:rsidRDefault="59565A26" w:rsidP="00C325BC">
            <w:pPr>
              <w:pStyle w:val="Tabletext0"/>
            </w:pPr>
            <w:r w:rsidRPr="008A230D">
              <w:t>Fee: $</w:t>
            </w:r>
            <w:r w:rsidR="6198ECA6" w:rsidRPr="008A230D">
              <w:t>4,781.00</w:t>
            </w:r>
          </w:p>
        </w:tc>
      </w:tr>
      <w:tr w:rsidR="11265896" w:rsidRPr="008A230D" w14:paraId="2353B6EB" w14:textId="77777777" w:rsidTr="0022561B">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F45E15" w14:textId="49C0A478" w:rsidR="59565A26" w:rsidRPr="0022561B" w:rsidRDefault="59565A26" w:rsidP="00C325BC">
            <w:pPr>
              <w:pStyle w:val="Tabletext0"/>
              <w:rPr>
                <w:b/>
                <w:bCs/>
                <w:vertAlign w:val="subscript"/>
                <w:lang w:val="en-US" w:eastAsia="ja-JP"/>
              </w:rPr>
            </w:pPr>
            <w:r w:rsidRPr="0022561B">
              <w:rPr>
                <w:b/>
                <w:bCs/>
                <w:lang w:val="en-US" w:eastAsia="ja-JP"/>
              </w:rPr>
              <w:t>MBS item *XXXX</w:t>
            </w:r>
            <w:r w:rsidRPr="0022561B">
              <w:rPr>
                <w:b/>
                <w:bCs/>
                <w:vertAlign w:val="subscript"/>
                <w:lang w:val="en-US" w:eastAsia="ja-JP"/>
              </w:rPr>
              <w:t>3</w:t>
            </w:r>
          </w:p>
        </w:tc>
      </w:tr>
      <w:tr w:rsidR="11265896" w:rsidRPr="008A230D" w14:paraId="0BFEF2B2" w14:textId="77777777" w:rsidTr="11265896">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6BDD25" w14:textId="72EB1E49" w:rsidR="3D9A5970" w:rsidRPr="008A230D" w:rsidRDefault="3D9A5970" w:rsidP="00C325BC">
            <w:pPr>
              <w:pStyle w:val="Tabletext0"/>
            </w:pPr>
            <w:r w:rsidRPr="008A230D">
              <w:t>Epidermal radioisotope therapy, using rhenium-188, of a cutaneous basal cell carcinoma (BCC) or cutaneous squamous cell carcinoma (SCC) if:</w:t>
            </w:r>
          </w:p>
          <w:p w14:paraId="322B8A12" w14:textId="2CDD9307" w:rsidR="3D9A5970" w:rsidRPr="008A230D" w:rsidRDefault="3D9A5970" w:rsidP="00C325BC">
            <w:pPr>
              <w:pStyle w:val="Tabletext0"/>
            </w:pPr>
            <w:r w:rsidRPr="008A230D">
              <w:t>a) malignancy has been confirmed and other diagnoses excluded by histological examination; and</w:t>
            </w:r>
          </w:p>
          <w:p w14:paraId="1034B26A" w14:textId="6DC515D6" w:rsidR="3D9A5970" w:rsidRPr="008A230D" w:rsidRDefault="3D9A5970" w:rsidP="00C325BC">
            <w:pPr>
              <w:pStyle w:val="Tabletext0"/>
            </w:pPr>
            <w:r w:rsidRPr="008A230D">
              <w:t>b) the maximum depth of the lesion is less than or equal to 3 mm; and</w:t>
            </w:r>
          </w:p>
          <w:p w14:paraId="50A3F60B" w14:textId="267FB787" w:rsidR="3D9A5970" w:rsidRPr="008A230D" w:rsidRDefault="3D9A5970" w:rsidP="00C325BC">
            <w:pPr>
              <w:pStyle w:val="Tabletext0"/>
            </w:pPr>
            <w:r w:rsidRPr="008A230D">
              <w:t>c) the area of the lesion is at least 5.1 cm</w:t>
            </w:r>
            <w:r w:rsidRPr="00C5340F">
              <w:rPr>
                <w:vertAlign w:val="superscript"/>
              </w:rPr>
              <w:t>2</w:t>
            </w:r>
            <w:r w:rsidRPr="008A230D">
              <w:t xml:space="preserve"> but no more than 8.0 cm</w:t>
            </w:r>
            <w:r w:rsidRPr="00C5340F">
              <w:rPr>
                <w:vertAlign w:val="superscript"/>
              </w:rPr>
              <w:t>2</w:t>
            </w:r>
            <w:r w:rsidRPr="008A230D">
              <w:t>; and</w:t>
            </w:r>
          </w:p>
          <w:p w14:paraId="0D14E87D" w14:textId="3B1A9BD9" w:rsidR="3D9A5970" w:rsidRPr="008A230D" w:rsidRDefault="3D9A5970" w:rsidP="00C325BC">
            <w:pPr>
              <w:pStyle w:val="Tabletext0"/>
            </w:pPr>
            <w:r w:rsidRPr="008A230D">
              <w:t>d) the lesion is located on the nose, eyebrow, lip, ear, digit, genitalia, shin or collarbone or a contiguous area; and</w:t>
            </w:r>
          </w:p>
          <w:p w14:paraId="04613EDC" w14:textId="1EC49849" w:rsidR="3D9A5970" w:rsidRPr="008A230D" w:rsidRDefault="3D9A5970" w:rsidP="00C325BC">
            <w:pPr>
              <w:pStyle w:val="Tabletext0"/>
            </w:pPr>
            <w:r w:rsidRPr="008A230D">
              <w:t>e) the patient has comorbidities that prevent surgical excision, or has refused surgery; and</w:t>
            </w:r>
          </w:p>
          <w:p w14:paraId="0989CB70" w14:textId="41F668FE" w:rsidR="3D9A5970" w:rsidRPr="008A230D" w:rsidRDefault="3D9A5970" w:rsidP="00C325BC">
            <w:pPr>
              <w:pStyle w:val="Tabletext0"/>
            </w:pPr>
            <w:r w:rsidRPr="008A230D">
              <w:t>g) the service is provided by a suitably trained nuclear medicine physician or radiation oncologist in an approved facility; and</w:t>
            </w:r>
          </w:p>
          <w:p w14:paraId="3A5C2532" w14:textId="24FB6959" w:rsidR="3D9A5970" w:rsidRPr="008A230D" w:rsidRDefault="3D9A5970" w:rsidP="00C325BC">
            <w:pPr>
              <w:pStyle w:val="Tabletext0"/>
            </w:pPr>
            <w:r w:rsidRPr="008A230D">
              <w:t>h) the service is referred by a specialist dermatologist or plastic surgeon.</w:t>
            </w:r>
          </w:p>
        </w:tc>
      </w:tr>
      <w:tr w:rsidR="11265896" w:rsidRPr="008A230D" w14:paraId="67CA0172" w14:textId="77777777" w:rsidTr="11265896">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B4D09" w14:textId="69B383CD" w:rsidR="59565A26" w:rsidRPr="008A230D" w:rsidRDefault="59565A26" w:rsidP="00C325BC">
            <w:pPr>
              <w:pStyle w:val="Tabletext0"/>
            </w:pPr>
            <w:r w:rsidRPr="008A230D">
              <w:t>Fee: $</w:t>
            </w:r>
            <w:r w:rsidR="1F27B810" w:rsidRPr="008A230D">
              <w:t>6,726.00</w:t>
            </w:r>
          </w:p>
        </w:tc>
      </w:tr>
    </w:tbl>
    <w:p w14:paraId="435DBAF5" w14:textId="27F71AEA" w:rsidR="00E613F9" w:rsidRDefault="00E613F9" w:rsidP="003848F1">
      <w:pPr>
        <w:pStyle w:val="Tablenotes0"/>
        <w:spacing w:before="0"/>
      </w:pPr>
      <w:bookmarkStart w:id="12" w:name="_Ref129261843"/>
      <w:bookmarkStart w:id="13" w:name="_Ref130558210"/>
      <w:r>
        <w:t xml:space="preserve">Source: </w:t>
      </w:r>
      <w:r w:rsidR="00F11FE0">
        <w:t>Table 1-2</w:t>
      </w:r>
      <w:r w:rsidR="00872D0B">
        <w:t xml:space="preserve">, </w:t>
      </w:r>
      <w:r w:rsidR="00E54142">
        <w:t xml:space="preserve">pg </w:t>
      </w:r>
      <w:r w:rsidR="00770842">
        <w:t>23</w:t>
      </w:r>
      <w:r w:rsidR="00E54142">
        <w:t xml:space="preserve"> of MSAC 1657 ADAR+in-line commentary</w:t>
      </w:r>
    </w:p>
    <w:p w14:paraId="554F5514" w14:textId="5508A9F7" w:rsidR="4C04E3CE" w:rsidRDefault="00E613F9" w:rsidP="4C04E3CE">
      <w:pPr>
        <w:pStyle w:val="Tablenotes0"/>
      </w:pPr>
      <w:r>
        <w:t xml:space="preserve">Abbreviations: </w:t>
      </w:r>
      <w:r w:rsidR="00770842">
        <w:t xml:space="preserve">MBS Items </w:t>
      </w:r>
      <w:r w:rsidR="00297603">
        <w:t>XXXX</w:t>
      </w:r>
      <w:r w:rsidR="00770842" w:rsidRPr="00297603">
        <w:rPr>
          <w:vertAlign w:val="subscript"/>
        </w:rPr>
        <w:t>1</w:t>
      </w:r>
      <w:r w:rsidR="00770842">
        <w:t xml:space="preserve">, </w:t>
      </w:r>
      <w:r w:rsidR="00297603">
        <w:t>XXXX</w:t>
      </w:r>
      <w:r w:rsidR="00770842" w:rsidRPr="00297603">
        <w:rPr>
          <w:vertAlign w:val="subscript"/>
        </w:rPr>
        <w:t>2</w:t>
      </w:r>
      <w:r w:rsidR="00770842">
        <w:t xml:space="preserve">, </w:t>
      </w:r>
      <w:r w:rsidR="00297603">
        <w:t>XXXX</w:t>
      </w:r>
      <w:r w:rsidR="00770842" w:rsidRPr="00297603">
        <w:rPr>
          <w:vertAlign w:val="subscript"/>
        </w:rPr>
        <w:t>3</w:t>
      </w:r>
      <w:r w:rsidR="00770842">
        <w:t xml:space="preserve"> are the proposed three new items</w:t>
      </w:r>
      <w:r w:rsidR="00297603">
        <w:t xml:space="preserve"> described by the Applicant.</w:t>
      </w:r>
      <w:bookmarkEnd w:id="12"/>
      <w:bookmarkEnd w:id="13"/>
    </w:p>
    <w:p w14:paraId="0FF756D0" w14:textId="5ECB6485" w:rsidR="000835EA" w:rsidRDefault="002A551A" w:rsidP="00B60552">
      <w:r>
        <w:t xml:space="preserve">A breakdown of the cost components for the proposed MBS fees is presented in </w:t>
      </w:r>
      <w:r w:rsidR="00504F5C">
        <w:fldChar w:fldCharType="begin"/>
      </w:r>
      <w:r w:rsidR="00504F5C">
        <w:instrText xml:space="preserve"> REF _Ref138267174 \h </w:instrText>
      </w:r>
      <w:r w:rsidR="00504F5C">
        <w:fldChar w:fldCharType="separate"/>
      </w:r>
      <w:r w:rsidR="00504F5C">
        <w:t xml:space="preserve">Table </w:t>
      </w:r>
      <w:r w:rsidR="00504F5C">
        <w:rPr>
          <w:noProof/>
        </w:rPr>
        <w:t>3</w:t>
      </w:r>
      <w:r w:rsidR="00504F5C">
        <w:fldChar w:fldCharType="end"/>
      </w:r>
      <w:r>
        <w:rPr>
          <w:rFonts w:ascii="Arial Narrow" w:hAnsi="Arial Narrow" w:cs="Arial"/>
          <w:sz w:val="18"/>
        </w:rPr>
        <w:fldChar w:fldCharType="begin"/>
      </w:r>
      <w:r>
        <w:instrText xml:space="preserve"> REF _Ref133842865 \h </w:instrText>
      </w:r>
      <w:r>
        <w:rPr>
          <w:rFonts w:ascii="Arial Narrow" w:hAnsi="Arial Narrow" w:cs="Arial"/>
          <w:sz w:val="18"/>
        </w:rPr>
      </w:r>
      <w:r>
        <w:rPr>
          <w:rFonts w:ascii="Arial Narrow" w:hAnsi="Arial Narrow" w:cs="Arial"/>
          <w:sz w:val="18"/>
        </w:rPr>
        <w:fldChar w:fldCharType="end"/>
      </w:r>
      <w:r>
        <w:t>.</w:t>
      </w:r>
      <w:r w:rsidR="00FA4452">
        <w:t xml:space="preserve"> </w:t>
      </w:r>
      <w:r w:rsidR="00C066CF">
        <w:t>The ADAR pro</w:t>
      </w:r>
      <w:r w:rsidR="009C11FE">
        <w:t>p</w:t>
      </w:r>
      <w:r w:rsidR="00C066CF">
        <w:t>osed</w:t>
      </w:r>
      <w:r w:rsidR="00CD273D">
        <w:t xml:space="preserve"> MBS fees would include the entire workflow of the nuclear medicine facility</w:t>
      </w:r>
      <w:r w:rsidR="00CD273D" w:rsidRPr="00A81457">
        <w:t xml:space="preserve"> </w:t>
      </w:r>
      <w:r w:rsidR="00CD273D">
        <w:t>from admission of a referred patient with definitive histology and appropriate marking of the treatment area to their discharge into the community, irrespective of the specific arrangements for provision of the service within individual clinics.</w:t>
      </w:r>
      <w:r w:rsidR="00DC24C4">
        <w:t xml:space="preserve"> T</w:t>
      </w:r>
      <w:r w:rsidR="00F16941">
        <w:t xml:space="preserve">he </w:t>
      </w:r>
      <w:r w:rsidR="00A07266">
        <w:t xml:space="preserve">ADAR </w:t>
      </w:r>
      <w:r w:rsidR="005C553E">
        <w:t xml:space="preserve">applied the following </w:t>
      </w:r>
      <w:r w:rsidR="00A07266">
        <w:t>k</w:t>
      </w:r>
      <w:r w:rsidR="000835EA">
        <w:t>ey assumptions</w:t>
      </w:r>
      <w:r w:rsidR="005C553E">
        <w:t xml:space="preserve"> when </w:t>
      </w:r>
      <w:r w:rsidR="00E03842">
        <w:t>estimating the costs</w:t>
      </w:r>
      <w:r w:rsidR="00C066CF">
        <w:t xml:space="preserve"> components for </w:t>
      </w:r>
      <w:r w:rsidR="00D16479">
        <w:t>the proposed MBS fee</w:t>
      </w:r>
      <w:r w:rsidR="00FA4452">
        <w:t>s</w:t>
      </w:r>
      <w:r w:rsidR="00585F84">
        <w:fldChar w:fldCharType="begin"/>
      </w:r>
      <w:r w:rsidR="00585F84">
        <w:instrText xml:space="preserve"> REF _Ref133842865 \h </w:instrText>
      </w:r>
      <w:r w:rsidR="00585F84">
        <w:fldChar w:fldCharType="end"/>
      </w:r>
      <w:r w:rsidR="000835EA">
        <w:t>:</w:t>
      </w:r>
    </w:p>
    <w:p w14:paraId="1ECA1AB8" w14:textId="5BC07B3B" w:rsidR="000835EA" w:rsidRDefault="000835EA" w:rsidP="002252F8">
      <w:pPr>
        <w:pStyle w:val="ListParagraph"/>
        <w:numPr>
          <w:ilvl w:val="0"/>
          <w:numId w:val="13"/>
        </w:numPr>
      </w:pPr>
      <w:r>
        <w:t>The average transported cost of each Re-188 carpoule is approximately $14,000</w:t>
      </w:r>
      <w:r w:rsidR="00510221">
        <w:t>.</w:t>
      </w:r>
    </w:p>
    <w:p w14:paraId="4A6FBE50" w14:textId="02446E11" w:rsidR="000835EA" w:rsidRDefault="000835EA" w:rsidP="002252F8">
      <w:pPr>
        <w:pStyle w:val="ListParagraph"/>
        <w:numPr>
          <w:ilvl w:val="0"/>
          <w:numId w:val="13"/>
        </w:numPr>
      </w:pPr>
      <w:r>
        <w:t>Each carpoule contains sufficient compound to treat lesions with total area of approximately 18 cm</w:t>
      </w:r>
      <w:r w:rsidRPr="00CB7C27">
        <w:rPr>
          <w:vertAlign w:val="superscript"/>
        </w:rPr>
        <w:t>2</w:t>
      </w:r>
      <w:r w:rsidR="00510221">
        <w:t>.</w:t>
      </w:r>
      <w:r>
        <w:t xml:space="preserve"> </w:t>
      </w:r>
    </w:p>
    <w:p w14:paraId="3BE4E91E" w14:textId="00AB9DCB" w:rsidR="000835EA" w:rsidRDefault="000835EA" w:rsidP="002252F8">
      <w:pPr>
        <w:pStyle w:val="ListParagraph"/>
        <w:numPr>
          <w:ilvl w:val="0"/>
          <w:numId w:val="13"/>
        </w:numPr>
      </w:pPr>
      <w:r>
        <w:t xml:space="preserve">Capital equipment costs of approximately $200,000 </w:t>
      </w:r>
      <w:r w:rsidR="00F72B26">
        <w:t>were</w:t>
      </w:r>
      <w:r>
        <w:t xml:space="preserve"> amortised over 5 years, with 260 clinic days per year and 8 patients per day</w:t>
      </w:r>
      <w:r w:rsidR="00510221">
        <w:t>.</w:t>
      </w:r>
    </w:p>
    <w:p w14:paraId="57CFE682" w14:textId="2AA769B0" w:rsidR="000835EA" w:rsidRDefault="000835EA" w:rsidP="002252F8">
      <w:pPr>
        <w:pStyle w:val="ListParagraph"/>
        <w:numPr>
          <w:ilvl w:val="0"/>
          <w:numId w:val="13"/>
        </w:numPr>
      </w:pPr>
      <w:r>
        <w:t>Specialist, nursing and technician time of approximately 3 hours per patient in a discrete clinical setting</w:t>
      </w:r>
      <w:r w:rsidR="00510221">
        <w:t>.</w:t>
      </w:r>
      <w:r>
        <w:t xml:space="preserve"> </w:t>
      </w:r>
    </w:p>
    <w:p w14:paraId="5DCAF56C" w14:textId="09014EE5" w:rsidR="000835EA" w:rsidRDefault="000835EA" w:rsidP="002252F8">
      <w:pPr>
        <w:pStyle w:val="ListParagraph"/>
        <w:numPr>
          <w:ilvl w:val="0"/>
          <w:numId w:val="13"/>
        </w:numPr>
      </w:pPr>
      <w:r>
        <w:t>Overhead costs derived for a dedicated privately operated Re-188</w:t>
      </w:r>
      <w:r w:rsidR="00F91AB1" w:rsidRPr="00F91AB1">
        <w:rPr>
          <w:color w:val="000000" w:themeColor="text1"/>
        </w:rPr>
        <w:t xml:space="preserve"> </w:t>
      </w:r>
      <w:r w:rsidR="00F91AB1">
        <w:rPr>
          <w:color w:val="000000" w:themeColor="text1"/>
        </w:rPr>
        <w:t>brachytherapy</w:t>
      </w:r>
      <w:r>
        <w:t xml:space="preserve"> clinic treating approximately 8 patients per day</w:t>
      </w:r>
      <w:r w:rsidR="00CB7C27">
        <w:t>.</w:t>
      </w:r>
    </w:p>
    <w:p w14:paraId="169CD135" w14:textId="7FEB55BE" w:rsidR="000835EA" w:rsidRDefault="000835EA" w:rsidP="002252F8">
      <w:pPr>
        <w:pStyle w:val="ListParagraph"/>
        <w:numPr>
          <w:ilvl w:val="0"/>
          <w:numId w:val="13"/>
        </w:numPr>
      </w:pPr>
      <w:r>
        <w:t>Total cost for each tier calculated for the mid-point of the dose range: 2.25, 4.0 and 6.5</w:t>
      </w:r>
      <w:r w:rsidR="00A3260E">
        <w:t> </w:t>
      </w:r>
      <w:r>
        <w:t>cm</w:t>
      </w:r>
      <w:r w:rsidRPr="00CB7C27">
        <w:rPr>
          <w:vertAlign w:val="superscript"/>
        </w:rPr>
        <w:t>2</w:t>
      </w:r>
      <w:r w:rsidR="00CB7C27">
        <w:t>.</w:t>
      </w:r>
    </w:p>
    <w:p w14:paraId="213311AC" w14:textId="7797D441" w:rsidR="00097837" w:rsidRDefault="00097837" w:rsidP="002252F8">
      <w:pPr>
        <w:pStyle w:val="ListParagraph"/>
        <w:numPr>
          <w:ilvl w:val="1"/>
          <w:numId w:val="13"/>
        </w:numPr>
      </w:pPr>
      <w:r>
        <w:t>That is, the cost of Re-188</w:t>
      </w:r>
      <w:r w:rsidRPr="008C137D">
        <w:t xml:space="preserve"> carpoule </w:t>
      </w:r>
      <w:r>
        <w:t>(</w:t>
      </w:r>
      <w:r w:rsidRPr="008C137D">
        <w:t>$14,000</w:t>
      </w:r>
      <w:r>
        <w:t>)</w:t>
      </w:r>
      <w:r w:rsidRPr="008C137D">
        <w:t xml:space="preserve"> </w:t>
      </w:r>
      <w:r>
        <w:t xml:space="preserve">was divided by </w:t>
      </w:r>
      <w:r w:rsidRPr="008C137D">
        <w:t>18 to get a cost per cm</w:t>
      </w:r>
      <w:r>
        <w:rPr>
          <w:vertAlign w:val="superscript"/>
        </w:rPr>
        <w:t>2</w:t>
      </w:r>
      <w:r w:rsidRPr="008C137D">
        <w:t xml:space="preserve"> </w:t>
      </w:r>
      <w:r>
        <w:t xml:space="preserve">which was </w:t>
      </w:r>
      <w:r w:rsidRPr="008C137D">
        <w:t>then multipl</w:t>
      </w:r>
      <w:r>
        <w:t>ied</w:t>
      </w:r>
      <w:r w:rsidRPr="008C137D">
        <w:t xml:space="preserve"> by </w:t>
      </w:r>
      <w:r w:rsidR="00660268">
        <w:t>the mid-point of the dose range</w:t>
      </w:r>
      <w:r>
        <w:t xml:space="preserve">. </w:t>
      </w:r>
      <w:r w:rsidR="00660268">
        <w:t xml:space="preserve">E.g., </w:t>
      </w:r>
      <w:r>
        <w:t>for lesions 1.5-3.0 cm</w:t>
      </w:r>
      <w:r w:rsidRPr="00976EAB">
        <w:rPr>
          <w:vertAlign w:val="superscript"/>
        </w:rPr>
        <w:t>2</w:t>
      </w:r>
      <w:r>
        <w:t xml:space="preserve">, the cost of Re-188 was calculated as $14,000 divided by 18 multiplied by </w:t>
      </w:r>
      <w:r w:rsidRPr="008C137D">
        <w:t>2.25</w:t>
      </w:r>
      <w:r>
        <w:t xml:space="preserve"> which equals $1,750.</w:t>
      </w:r>
    </w:p>
    <w:p w14:paraId="3856B210" w14:textId="7056DB5F" w:rsidR="00A827D0" w:rsidRPr="00B959F5" w:rsidRDefault="00A827D0" w:rsidP="00A827D0">
      <w:pPr>
        <w:pStyle w:val="Caption"/>
        <w:rPr>
          <w:rFonts w:eastAsia="Arial Nova" w:cs="Arial Nova"/>
        </w:rPr>
      </w:pPr>
      <w:bookmarkStart w:id="14" w:name="_Ref138267174"/>
      <w:r>
        <w:lastRenderedPageBreak/>
        <w:t xml:space="preserve">Table </w:t>
      </w:r>
      <w:r w:rsidR="00BC1AC8">
        <w:fldChar w:fldCharType="begin"/>
      </w:r>
      <w:r w:rsidR="00BC1AC8">
        <w:instrText xml:space="preserve"> SEQ Table \* ARABIC </w:instrText>
      </w:r>
      <w:r w:rsidR="00BC1AC8">
        <w:fldChar w:fldCharType="separate"/>
      </w:r>
      <w:r w:rsidR="009228FB">
        <w:rPr>
          <w:noProof/>
        </w:rPr>
        <w:t>3</w:t>
      </w:r>
      <w:r w:rsidR="00BC1AC8">
        <w:rPr>
          <w:noProof/>
        </w:rPr>
        <w:fldChar w:fldCharType="end"/>
      </w:r>
      <w:bookmarkEnd w:id="14"/>
      <w:r>
        <w:t xml:space="preserve">  </w:t>
      </w:r>
      <w:r w:rsidRPr="00B959F5">
        <w:rPr>
          <w:rFonts w:eastAsia="Arial Nova" w:cs="Arial Nova"/>
        </w:rPr>
        <w:t>Breakdown of estimated costs of high-dose brachytherapy with Rhenium-188</w:t>
      </w:r>
    </w:p>
    <w:tbl>
      <w:tblPr>
        <w:tblStyle w:val="TableGrid"/>
        <w:tblW w:w="9016" w:type="dxa"/>
        <w:tblLayout w:type="fixed"/>
        <w:tblLook w:val="04A0" w:firstRow="1" w:lastRow="0" w:firstColumn="1" w:lastColumn="0" w:noHBand="0" w:noVBand="1"/>
      </w:tblPr>
      <w:tblGrid>
        <w:gridCol w:w="2254"/>
        <w:gridCol w:w="2254"/>
        <w:gridCol w:w="2254"/>
        <w:gridCol w:w="2254"/>
      </w:tblGrid>
      <w:tr w:rsidR="00A827D0" w:rsidRPr="008A230D" w14:paraId="12F974A7" w14:textId="77777777" w:rsidTr="00516466">
        <w:trPr>
          <w:cantSplit/>
          <w:trHeight w:val="300"/>
          <w:tblHeader/>
        </w:trPr>
        <w:tc>
          <w:tcPr>
            <w:tcW w:w="22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F9D26C" w14:textId="77777777" w:rsidR="00A827D0" w:rsidRPr="00095F75" w:rsidRDefault="00A827D0" w:rsidP="00516466">
            <w:pPr>
              <w:pStyle w:val="TableText"/>
              <w:rPr>
                <w:b/>
                <w:bCs/>
              </w:rPr>
            </w:pPr>
            <w:r w:rsidRPr="00095F75">
              <w:rPr>
                <w:b/>
                <w:bCs/>
              </w:rPr>
              <w:t>Item</w:t>
            </w:r>
          </w:p>
        </w:tc>
        <w:tc>
          <w:tcPr>
            <w:tcW w:w="22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0A656E" w14:textId="77777777" w:rsidR="00A827D0" w:rsidRPr="00095F75" w:rsidRDefault="00A827D0" w:rsidP="00516466">
            <w:pPr>
              <w:pStyle w:val="TableText"/>
              <w:jc w:val="center"/>
              <w:rPr>
                <w:b/>
                <w:bCs/>
                <w:vertAlign w:val="superscript"/>
              </w:rPr>
            </w:pPr>
            <w:r w:rsidRPr="00095F75">
              <w:rPr>
                <w:b/>
                <w:bCs/>
              </w:rPr>
              <w:t>Lesions 1.5-3.0 cm</w:t>
            </w:r>
            <w:r w:rsidRPr="00095F75">
              <w:rPr>
                <w:b/>
                <w:bCs/>
                <w:vertAlign w:val="superscript"/>
              </w:rPr>
              <w:t>2</w:t>
            </w:r>
          </w:p>
        </w:tc>
        <w:tc>
          <w:tcPr>
            <w:tcW w:w="22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E211E4" w14:textId="77777777" w:rsidR="00A827D0" w:rsidRPr="00095F75" w:rsidRDefault="00A827D0" w:rsidP="00516466">
            <w:pPr>
              <w:pStyle w:val="TableText"/>
              <w:jc w:val="center"/>
              <w:rPr>
                <w:b/>
                <w:bCs/>
                <w:vertAlign w:val="superscript"/>
              </w:rPr>
            </w:pPr>
            <w:r w:rsidRPr="00095F75">
              <w:rPr>
                <w:b/>
                <w:bCs/>
              </w:rPr>
              <w:t>Lesions 3.1-5.0 cm</w:t>
            </w:r>
            <w:r w:rsidRPr="00095F75">
              <w:rPr>
                <w:b/>
                <w:bCs/>
                <w:vertAlign w:val="superscript"/>
              </w:rPr>
              <w:t>2</w:t>
            </w:r>
          </w:p>
        </w:tc>
        <w:tc>
          <w:tcPr>
            <w:tcW w:w="22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D52501" w14:textId="77777777" w:rsidR="00A827D0" w:rsidRPr="00095F75" w:rsidRDefault="00A827D0" w:rsidP="00516466">
            <w:pPr>
              <w:pStyle w:val="TableText"/>
              <w:jc w:val="center"/>
              <w:rPr>
                <w:b/>
                <w:bCs/>
                <w:vertAlign w:val="superscript"/>
              </w:rPr>
            </w:pPr>
            <w:r w:rsidRPr="00095F75">
              <w:rPr>
                <w:b/>
                <w:bCs/>
              </w:rPr>
              <w:t>Lesions 5.1-8.0 cm</w:t>
            </w:r>
            <w:r w:rsidRPr="00095F75">
              <w:rPr>
                <w:b/>
                <w:bCs/>
                <w:vertAlign w:val="superscript"/>
              </w:rPr>
              <w:t>2</w:t>
            </w:r>
          </w:p>
        </w:tc>
      </w:tr>
      <w:tr w:rsidR="00A827D0" w:rsidRPr="008A230D" w14:paraId="4523F7EB"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6FCE39E" w14:textId="77777777" w:rsidR="00A827D0" w:rsidRPr="00946269" w:rsidRDefault="00A827D0" w:rsidP="00516466">
            <w:pPr>
              <w:pStyle w:val="Tabletext0"/>
              <w:rPr>
                <w:rFonts w:eastAsia="Arial Nova"/>
                <w:vertAlign w:val="superscript"/>
              </w:rPr>
            </w:pPr>
            <w:r w:rsidRPr="008A230D">
              <w:rPr>
                <w:rFonts w:eastAsia="Arial Nova"/>
              </w:rPr>
              <w:t>Re-188 compound</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EB4D9AD" w14:textId="77777777" w:rsidR="00A827D0" w:rsidRPr="008A230D" w:rsidRDefault="00A827D0" w:rsidP="00516466">
            <w:pPr>
              <w:pStyle w:val="Tabletext0"/>
              <w:jc w:val="center"/>
              <w:rPr>
                <w:rFonts w:eastAsia="Arial Nova"/>
              </w:rPr>
            </w:pPr>
            <w:r w:rsidRPr="008A230D">
              <w:rPr>
                <w:rFonts w:eastAsia="Arial Nova"/>
              </w:rPr>
              <w:t>$1,750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B0F7AF1" w14:textId="77777777" w:rsidR="00A827D0" w:rsidRPr="008A230D" w:rsidRDefault="00A827D0" w:rsidP="00516466">
            <w:pPr>
              <w:pStyle w:val="Tabletext0"/>
              <w:jc w:val="center"/>
              <w:rPr>
                <w:rFonts w:eastAsia="Arial Nova"/>
              </w:rPr>
            </w:pPr>
            <w:r w:rsidRPr="008A230D">
              <w:rPr>
                <w:rFonts w:eastAsia="Arial Nova"/>
              </w:rPr>
              <w:t>$3,111</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BEC5920" w14:textId="77777777" w:rsidR="00A827D0" w:rsidRPr="008A230D" w:rsidRDefault="00A827D0" w:rsidP="00516466">
            <w:pPr>
              <w:pStyle w:val="Tabletext0"/>
              <w:jc w:val="center"/>
              <w:rPr>
                <w:rFonts w:eastAsia="Arial Nova"/>
              </w:rPr>
            </w:pPr>
            <w:r w:rsidRPr="008A230D">
              <w:rPr>
                <w:rFonts w:eastAsia="Arial Nova"/>
              </w:rPr>
              <w:t>$5,056</w:t>
            </w:r>
          </w:p>
        </w:tc>
      </w:tr>
      <w:tr w:rsidR="00A827D0" w:rsidRPr="008A230D" w14:paraId="21E7565B"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FEABD4D" w14:textId="77777777" w:rsidR="00A827D0" w:rsidRPr="00946269" w:rsidRDefault="00A827D0" w:rsidP="00516466">
            <w:pPr>
              <w:pStyle w:val="Tabletext0"/>
              <w:rPr>
                <w:rFonts w:eastAsia="Arial Nova"/>
                <w:vertAlign w:val="superscript"/>
              </w:rPr>
            </w:pPr>
            <w:r w:rsidRPr="008A230D">
              <w:rPr>
                <w:rFonts w:eastAsia="Arial Nova"/>
              </w:rPr>
              <w:t>General consumables</w:t>
            </w:r>
            <w:r>
              <w:rPr>
                <w:rFonts w:eastAsia="Arial Nova"/>
                <w:vertAlign w:val="superscript"/>
              </w:rPr>
              <w:t>1</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B6CFF07" w14:textId="77777777" w:rsidR="00A827D0" w:rsidRPr="008A230D" w:rsidRDefault="00A827D0" w:rsidP="00516466">
            <w:pPr>
              <w:pStyle w:val="Tabletext0"/>
              <w:jc w:val="center"/>
              <w:rPr>
                <w:rFonts w:eastAsia="Arial Nova"/>
              </w:rPr>
            </w:pPr>
            <w:r w:rsidRPr="008A230D">
              <w:rPr>
                <w:rFonts w:eastAsia="Arial Nova"/>
              </w:rPr>
              <w:t>$50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F807107" w14:textId="77777777" w:rsidR="00A827D0" w:rsidRPr="008A230D" w:rsidRDefault="00A827D0" w:rsidP="00516466">
            <w:pPr>
              <w:pStyle w:val="Tabletext0"/>
              <w:jc w:val="center"/>
              <w:rPr>
                <w:rFonts w:eastAsia="Arial Nova"/>
              </w:rPr>
            </w:pPr>
            <w:r w:rsidRPr="008A230D">
              <w:rPr>
                <w:rFonts w:eastAsia="Arial Nova"/>
              </w:rPr>
              <w:t>$50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D7D104E" w14:textId="77777777" w:rsidR="00A827D0" w:rsidRPr="008A230D" w:rsidRDefault="00A827D0" w:rsidP="00516466">
            <w:pPr>
              <w:pStyle w:val="Tabletext0"/>
              <w:jc w:val="center"/>
              <w:rPr>
                <w:rFonts w:eastAsia="Arial Nova"/>
              </w:rPr>
            </w:pPr>
            <w:r w:rsidRPr="008A230D">
              <w:rPr>
                <w:rFonts w:eastAsia="Arial Nova"/>
              </w:rPr>
              <w:t>$50</w:t>
            </w:r>
          </w:p>
        </w:tc>
      </w:tr>
      <w:tr w:rsidR="00A827D0" w:rsidRPr="008A230D" w14:paraId="71FD084E"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2E8A89E" w14:textId="77777777" w:rsidR="00A827D0" w:rsidRPr="00946269" w:rsidRDefault="00A827D0" w:rsidP="00516466">
            <w:pPr>
              <w:pStyle w:val="Tabletext0"/>
              <w:rPr>
                <w:rFonts w:eastAsia="Arial Nova"/>
                <w:vertAlign w:val="superscript"/>
              </w:rPr>
            </w:pPr>
            <w:r w:rsidRPr="008A230D">
              <w:rPr>
                <w:rFonts w:eastAsia="Arial Nova"/>
              </w:rPr>
              <w:t>Specialists</w:t>
            </w:r>
            <w:r>
              <w:rPr>
                <w:rFonts w:eastAsia="Arial Nova"/>
                <w:vertAlign w:val="superscript"/>
              </w:rPr>
              <w:t>2</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2997AC7" w14:textId="77777777" w:rsidR="00A827D0" w:rsidRPr="008A230D" w:rsidRDefault="00A827D0" w:rsidP="00516466">
            <w:pPr>
              <w:pStyle w:val="Tabletext0"/>
              <w:jc w:val="center"/>
              <w:rPr>
                <w:rFonts w:eastAsia="Arial Nova"/>
              </w:rPr>
            </w:pPr>
            <w:r w:rsidRPr="008A230D">
              <w:rPr>
                <w:rFonts w:eastAsia="Arial Nova"/>
              </w:rPr>
              <w:t>$500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5082C24" w14:textId="77777777" w:rsidR="00A827D0" w:rsidRPr="008A230D" w:rsidRDefault="00A827D0" w:rsidP="00516466">
            <w:pPr>
              <w:pStyle w:val="Tabletext0"/>
              <w:jc w:val="center"/>
              <w:rPr>
                <w:rFonts w:eastAsia="Arial Nova"/>
              </w:rPr>
            </w:pPr>
            <w:r w:rsidRPr="008A230D">
              <w:rPr>
                <w:rFonts w:eastAsia="Arial Nova"/>
              </w:rPr>
              <w:t>$500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59220B2" w14:textId="77777777" w:rsidR="00A827D0" w:rsidRPr="008A230D" w:rsidRDefault="00A827D0" w:rsidP="00516466">
            <w:pPr>
              <w:pStyle w:val="Tabletext0"/>
              <w:jc w:val="center"/>
              <w:rPr>
                <w:rFonts w:eastAsia="Arial Nova"/>
              </w:rPr>
            </w:pPr>
            <w:r w:rsidRPr="008A230D">
              <w:rPr>
                <w:rFonts w:eastAsia="Arial Nova"/>
              </w:rPr>
              <w:t>$500</w:t>
            </w:r>
          </w:p>
        </w:tc>
      </w:tr>
      <w:tr w:rsidR="00A827D0" w:rsidRPr="008A230D" w14:paraId="43FE536A"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33488A8" w14:textId="77777777" w:rsidR="00A827D0" w:rsidRPr="008A230D" w:rsidRDefault="00A827D0" w:rsidP="00516466">
            <w:pPr>
              <w:pStyle w:val="Tabletext0"/>
              <w:rPr>
                <w:rFonts w:eastAsia="Arial Nova"/>
              </w:rPr>
            </w:pPr>
            <w:r w:rsidRPr="008A230D">
              <w:rPr>
                <w:rFonts w:eastAsia="Arial Nova"/>
              </w:rPr>
              <w:t>Nursing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16B534C" w14:textId="77777777" w:rsidR="00A827D0" w:rsidRPr="008A230D" w:rsidRDefault="00A827D0" w:rsidP="00516466">
            <w:pPr>
              <w:pStyle w:val="Tabletext0"/>
              <w:jc w:val="center"/>
              <w:rPr>
                <w:rFonts w:eastAsia="Arial Nova"/>
              </w:rPr>
            </w:pPr>
            <w:r w:rsidRPr="008A230D">
              <w:rPr>
                <w:rFonts w:eastAsia="Arial Nova"/>
              </w:rPr>
              <w:t>$300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D676246" w14:textId="77777777" w:rsidR="00A827D0" w:rsidRPr="008A230D" w:rsidRDefault="00A827D0" w:rsidP="00516466">
            <w:pPr>
              <w:pStyle w:val="Tabletext0"/>
              <w:jc w:val="center"/>
              <w:rPr>
                <w:rFonts w:eastAsia="Arial Nova"/>
              </w:rPr>
            </w:pPr>
            <w:r w:rsidRPr="008A230D">
              <w:rPr>
                <w:rFonts w:eastAsia="Arial Nova"/>
              </w:rPr>
              <w:t>$300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2320533" w14:textId="77777777" w:rsidR="00A827D0" w:rsidRPr="008A230D" w:rsidRDefault="00A827D0" w:rsidP="00516466">
            <w:pPr>
              <w:pStyle w:val="Tabletext0"/>
              <w:jc w:val="center"/>
              <w:rPr>
                <w:rFonts w:eastAsia="Arial Nova"/>
              </w:rPr>
            </w:pPr>
            <w:r w:rsidRPr="008A230D">
              <w:rPr>
                <w:rFonts w:eastAsia="Arial Nova"/>
              </w:rPr>
              <w:t>$300</w:t>
            </w:r>
          </w:p>
        </w:tc>
      </w:tr>
      <w:tr w:rsidR="00A827D0" w:rsidRPr="008A230D" w14:paraId="278A93FA"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ED2D3D7" w14:textId="77777777" w:rsidR="00A827D0" w:rsidRPr="008A230D" w:rsidRDefault="00A827D0" w:rsidP="00516466">
            <w:pPr>
              <w:pStyle w:val="Tabletext0"/>
              <w:rPr>
                <w:rFonts w:eastAsia="Arial Nova"/>
              </w:rPr>
            </w:pPr>
            <w:r w:rsidRPr="008A230D">
              <w:rPr>
                <w:rFonts w:eastAsia="Arial Nova"/>
              </w:rPr>
              <w:t>Technician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91599C6" w14:textId="77777777" w:rsidR="00A827D0" w:rsidRPr="008A230D" w:rsidRDefault="00A827D0" w:rsidP="00516466">
            <w:pPr>
              <w:pStyle w:val="Tabletext0"/>
              <w:jc w:val="center"/>
              <w:rPr>
                <w:rFonts w:eastAsia="Arial Nova"/>
              </w:rPr>
            </w:pPr>
            <w:r w:rsidRPr="008A230D">
              <w:rPr>
                <w:rFonts w:eastAsia="Arial Nova"/>
              </w:rPr>
              <w:t>$300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CB92362" w14:textId="77777777" w:rsidR="00A827D0" w:rsidRPr="008A230D" w:rsidRDefault="00A827D0" w:rsidP="00516466">
            <w:pPr>
              <w:pStyle w:val="Tabletext0"/>
              <w:jc w:val="center"/>
              <w:rPr>
                <w:rFonts w:eastAsia="Arial Nova"/>
              </w:rPr>
            </w:pPr>
            <w:r w:rsidRPr="008A230D">
              <w:rPr>
                <w:rFonts w:eastAsia="Arial Nova"/>
              </w:rPr>
              <w:t>$300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58F5A5E" w14:textId="77777777" w:rsidR="00A827D0" w:rsidRPr="008A230D" w:rsidRDefault="00A827D0" w:rsidP="00516466">
            <w:pPr>
              <w:pStyle w:val="Tabletext0"/>
              <w:jc w:val="center"/>
              <w:rPr>
                <w:rFonts w:eastAsia="Arial Nova"/>
              </w:rPr>
            </w:pPr>
            <w:r w:rsidRPr="008A230D">
              <w:rPr>
                <w:rFonts w:eastAsia="Arial Nova"/>
              </w:rPr>
              <w:t>$300</w:t>
            </w:r>
          </w:p>
        </w:tc>
      </w:tr>
      <w:tr w:rsidR="00A827D0" w:rsidRPr="008A230D" w14:paraId="3BEFB898"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A5BB0C5" w14:textId="77777777" w:rsidR="00A827D0" w:rsidRPr="00946269" w:rsidRDefault="00A827D0" w:rsidP="00516466">
            <w:pPr>
              <w:pStyle w:val="Tabletext0"/>
              <w:rPr>
                <w:rFonts w:eastAsia="Arial Nova"/>
                <w:vertAlign w:val="superscript"/>
              </w:rPr>
            </w:pPr>
            <w:r w:rsidRPr="008A230D">
              <w:rPr>
                <w:rFonts w:eastAsia="Arial Nova"/>
              </w:rPr>
              <w:t>Capital depreciation</w:t>
            </w:r>
            <w:r>
              <w:rPr>
                <w:rFonts w:eastAsia="Arial Nova"/>
                <w:vertAlign w:val="superscript"/>
              </w:rPr>
              <w:t>3</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A992BF6" w14:textId="77777777" w:rsidR="00A827D0" w:rsidRPr="008A230D" w:rsidRDefault="00A827D0" w:rsidP="00516466">
            <w:pPr>
              <w:pStyle w:val="Tabletext0"/>
              <w:jc w:val="center"/>
              <w:rPr>
                <w:rFonts w:eastAsia="Arial Nova"/>
              </w:rPr>
            </w:pPr>
            <w:r w:rsidRPr="008A230D">
              <w:rPr>
                <w:rFonts w:eastAsia="Arial Nova"/>
              </w:rPr>
              <w:t>$20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138779F" w14:textId="77777777" w:rsidR="00A827D0" w:rsidRPr="008A230D" w:rsidRDefault="00A827D0" w:rsidP="00516466">
            <w:pPr>
              <w:pStyle w:val="Tabletext0"/>
              <w:jc w:val="center"/>
              <w:rPr>
                <w:rFonts w:eastAsia="Arial Nova"/>
              </w:rPr>
            </w:pPr>
            <w:r w:rsidRPr="008A230D">
              <w:rPr>
                <w:rFonts w:eastAsia="Arial Nova"/>
              </w:rPr>
              <w:t>$20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E520752" w14:textId="77777777" w:rsidR="00A827D0" w:rsidRPr="008A230D" w:rsidRDefault="00A827D0" w:rsidP="00516466">
            <w:pPr>
              <w:pStyle w:val="Tabletext0"/>
              <w:jc w:val="center"/>
              <w:rPr>
                <w:rFonts w:eastAsia="Arial Nova"/>
              </w:rPr>
            </w:pPr>
            <w:r w:rsidRPr="008A230D">
              <w:rPr>
                <w:rFonts w:eastAsia="Arial Nova"/>
              </w:rPr>
              <w:t>$20</w:t>
            </w:r>
          </w:p>
        </w:tc>
      </w:tr>
      <w:tr w:rsidR="00A827D0" w:rsidRPr="008A230D" w14:paraId="6A9A728A"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68976F5" w14:textId="77777777" w:rsidR="00A827D0" w:rsidRPr="00946269" w:rsidRDefault="00A827D0" w:rsidP="00516466">
            <w:pPr>
              <w:pStyle w:val="Tabletext0"/>
              <w:rPr>
                <w:rFonts w:eastAsia="Arial Nova"/>
                <w:vertAlign w:val="superscript"/>
              </w:rPr>
            </w:pPr>
            <w:r w:rsidRPr="008A230D">
              <w:rPr>
                <w:rFonts w:eastAsia="Arial Nova"/>
              </w:rPr>
              <w:t>Overheads</w:t>
            </w:r>
            <w:r>
              <w:rPr>
                <w:rFonts w:eastAsia="Arial Nova"/>
                <w:vertAlign w:val="superscript"/>
              </w:rPr>
              <w:t>4</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2A589BF" w14:textId="77777777" w:rsidR="00A827D0" w:rsidRPr="008A230D" w:rsidRDefault="00A827D0" w:rsidP="00516466">
            <w:pPr>
              <w:pStyle w:val="Tabletext0"/>
              <w:jc w:val="center"/>
              <w:rPr>
                <w:rFonts w:eastAsia="Arial Nova"/>
              </w:rPr>
            </w:pPr>
            <w:r w:rsidRPr="008A230D">
              <w:rPr>
                <w:rFonts w:eastAsia="Arial Nova"/>
              </w:rPr>
              <w:t>$500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3A217DC" w14:textId="77777777" w:rsidR="00A827D0" w:rsidRPr="008A230D" w:rsidRDefault="00A827D0" w:rsidP="00516466">
            <w:pPr>
              <w:pStyle w:val="Tabletext0"/>
              <w:jc w:val="center"/>
              <w:rPr>
                <w:rFonts w:eastAsia="Arial Nova"/>
              </w:rPr>
            </w:pPr>
            <w:r w:rsidRPr="008A230D">
              <w:rPr>
                <w:rFonts w:eastAsia="Arial Nova"/>
              </w:rPr>
              <w:t>$500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C7A4AF5" w14:textId="77777777" w:rsidR="00A827D0" w:rsidRPr="008A230D" w:rsidRDefault="00A827D0" w:rsidP="00516466">
            <w:pPr>
              <w:pStyle w:val="Tabletext0"/>
              <w:jc w:val="center"/>
              <w:rPr>
                <w:rFonts w:eastAsia="Arial Nova"/>
              </w:rPr>
            </w:pPr>
            <w:r w:rsidRPr="008A230D">
              <w:rPr>
                <w:rFonts w:eastAsia="Arial Nova"/>
              </w:rPr>
              <w:t>$500</w:t>
            </w:r>
          </w:p>
        </w:tc>
      </w:tr>
      <w:tr w:rsidR="00A827D0" w:rsidRPr="008A230D" w14:paraId="3FE5DB59" w14:textId="77777777" w:rsidTr="00516466">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2291AA8" w14:textId="77777777" w:rsidR="00A827D0" w:rsidRPr="008A230D" w:rsidRDefault="00A827D0" w:rsidP="00516466">
            <w:pPr>
              <w:pStyle w:val="Tabletext0"/>
              <w:rPr>
                <w:rFonts w:eastAsia="Arial Nova"/>
              </w:rPr>
            </w:pPr>
            <w:r w:rsidRPr="008A230D">
              <w:rPr>
                <w:rFonts w:eastAsia="Arial Nova"/>
              </w:rPr>
              <w:t>Total</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DF088E8" w14:textId="77777777" w:rsidR="00A827D0" w:rsidRPr="008A230D" w:rsidRDefault="00A827D0" w:rsidP="00516466">
            <w:pPr>
              <w:pStyle w:val="Tabletext0"/>
              <w:jc w:val="center"/>
              <w:rPr>
                <w:rFonts w:eastAsia="Arial Nova"/>
              </w:rPr>
            </w:pPr>
            <w:r w:rsidRPr="008A230D">
              <w:rPr>
                <w:rFonts w:eastAsia="Arial Nova"/>
              </w:rPr>
              <w:t>$3,420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FC0F902" w14:textId="77777777" w:rsidR="00A827D0" w:rsidRPr="008A230D" w:rsidRDefault="00A827D0" w:rsidP="00516466">
            <w:pPr>
              <w:pStyle w:val="Tabletext0"/>
              <w:jc w:val="center"/>
              <w:rPr>
                <w:rFonts w:eastAsia="Arial Nova"/>
              </w:rPr>
            </w:pPr>
            <w:r w:rsidRPr="008A230D">
              <w:rPr>
                <w:rFonts w:eastAsia="Arial Nova"/>
              </w:rPr>
              <w:t>$4,781</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91D9B91" w14:textId="77777777" w:rsidR="00A827D0" w:rsidRPr="008A230D" w:rsidRDefault="00A827D0" w:rsidP="00516466">
            <w:pPr>
              <w:pStyle w:val="Tabletext0"/>
              <w:jc w:val="center"/>
              <w:rPr>
                <w:rFonts w:eastAsia="Arial Nova"/>
              </w:rPr>
            </w:pPr>
            <w:r w:rsidRPr="008A230D">
              <w:rPr>
                <w:rFonts w:eastAsia="Arial Nova"/>
              </w:rPr>
              <w:t>$6,726</w:t>
            </w:r>
          </w:p>
        </w:tc>
      </w:tr>
    </w:tbl>
    <w:p w14:paraId="701CBEB8" w14:textId="77777777" w:rsidR="00A827D0" w:rsidRDefault="00A827D0" w:rsidP="00D91DA2">
      <w:pPr>
        <w:pStyle w:val="Tablenotes0"/>
        <w:spacing w:before="0"/>
      </w:pPr>
      <w:r>
        <w:t>Source: Table 1-1, pg 22 of MSAC 1657 ADAR+in-line commentary</w:t>
      </w:r>
    </w:p>
    <w:p w14:paraId="19CD8D6F" w14:textId="77777777" w:rsidR="00A827D0" w:rsidRDefault="00A827D0" w:rsidP="00D91DA2">
      <w:pPr>
        <w:pStyle w:val="Tablenotes0"/>
      </w:pPr>
      <w:r>
        <w:rPr>
          <w:vertAlign w:val="superscript"/>
        </w:rPr>
        <w:t>1</w:t>
      </w:r>
      <w:r>
        <w:t xml:space="preserve"> General consumables: foil, gloves, waste containers.</w:t>
      </w:r>
    </w:p>
    <w:p w14:paraId="7DB7A713" w14:textId="77777777" w:rsidR="00A827D0" w:rsidRPr="00B60FB4" w:rsidRDefault="00A827D0" w:rsidP="00D91DA2">
      <w:pPr>
        <w:pStyle w:val="Tablenotes0"/>
      </w:pPr>
      <w:r w:rsidRPr="00946269">
        <w:rPr>
          <w:vertAlign w:val="superscript"/>
        </w:rPr>
        <w:t>2</w:t>
      </w:r>
      <w:r>
        <w:t xml:space="preserve"> Clinical input from a multidisciplinary care team: specialists, nurses, technicians.</w:t>
      </w:r>
    </w:p>
    <w:p w14:paraId="0991763F" w14:textId="77777777" w:rsidR="00A827D0" w:rsidRDefault="00A827D0" w:rsidP="00D91DA2">
      <w:pPr>
        <w:pStyle w:val="Tablenotes0"/>
      </w:pPr>
      <w:r w:rsidRPr="00946269">
        <w:rPr>
          <w:vertAlign w:val="superscript"/>
        </w:rPr>
        <w:t>3</w:t>
      </w:r>
      <w:r>
        <w:t xml:space="preserve"> Capital depreciation on the required capital equipment: application system, measurement, and waste stations.</w:t>
      </w:r>
    </w:p>
    <w:p w14:paraId="5C1522A4" w14:textId="1C90BAE1" w:rsidR="00E73878" w:rsidRDefault="00A827D0" w:rsidP="00D87D0C">
      <w:pPr>
        <w:pStyle w:val="Tablenotes0"/>
      </w:pPr>
      <w:r w:rsidRPr="00946269">
        <w:rPr>
          <w:vertAlign w:val="superscript"/>
        </w:rPr>
        <w:t>4</w:t>
      </w:r>
      <w:r>
        <w:t xml:space="preserve"> Attributable overhead costs of the facility: administration, rent, insurance.</w:t>
      </w:r>
    </w:p>
    <w:p w14:paraId="73DD9619" w14:textId="280E5BE4" w:rsidR="009B4490" w:rsidRDefault="009F4445" w:rsidP="00F14079">
      <w:pPr>
        <w:spacing w:before="0" w:after="200" w:line="276" w:lineRule="auto"/>
      </w:pPr>
      <w:r w:rsidRPr="00F14079">
        <w:t xml:space="preserve">The </w:t>
      </w:r>
      <w:r w:rsidR="00552AE3">
        <w:t>c</w:t>
      </w:r>
      <w:r w:rsidRPr="00F14079">
        <w:t xml:space="preserve">ommentary noted </w:t>
      </w:r>
      <w:r w:rsidR="009B4490">
        <w:t>the following issues</w:t>
      </w:r>
      <w:r w:rsidR="00E67A43">
        <w:t xml:space="preserve"> with </w:t>
      </w:r>
      <w:r w:rsidR="00A74CD7">
        <w:t>the proposed MBS items and fees</w:t>
      </w:r>
      <w:r w:rsidR="009B4490">
        <w:t xml:space="preserve">: </w:t>
      </w:r>
    </w:p>
    <w:p w14:paraId="57161224" w14:textId="77777777" w:rsidR="005D13A1" w:rsidRPr="006969B9" w:rsidRDefault="005D13A1" w:rsidP="002252F8">
      <w:pPr>
        <w:pStyle w:val="ListParagraph"/>
        <w:numPr>
          <w:ilvl w:val="0"/>
          <w:numId w:val="14"/>
        </w:numPr>
        <w:contextualSpacing w:val="0"/>
        <w:rPr>
          <w:b/>
        </w:rPr>
      </w:pPr>
      <w:r w:rsidRPr="00E312E7">
        <w:rPr>
          <w:bCs/>
        </w:rPr>
        <w:t>The single fee structure does not allow for economies in scale when treating a patient with multiple lesions</w:t>
      </w:r>
      <w:r w:rsidRPr="006969B9">
        <w:rPr>
          <w:bCs/>
        </w:rPr>
        <w:t xml:space="preserve">. </w:t>
      </w:r>
    </w:p>
    <w:p w14:paraId="16D4344C" w14:textId="44F6B57B" w:rsidR="009B4490" w:rsidRPr="00BC2FFE" w:rsidRDefault="009B4490" w:rsidP="00D334C7">
      <w:pPr>
        <w:pStyle w:val="ListParagraph"/>
        <w:ind w:left="731"/>
        <w:contextualSpacing w:val="0"/>
        <w:rPr>
          <w:b/>
        </w:rPr>
      </w:pPr>
      <w:r>
        <w:rPr>
          <w:bCs/>
        </w:rPr>
        <w:t xml:space="preserve">The three </w:t>
      </w:r>
      <w:r w:rsidR="00736FA1">
        <w:rPr>
          <w:bCs/>
        </w:rPr>
        <w:t>proposed</w:t>
      </w:r>
      <w:r>
        <w:rPr>
          <w:bCs/>
        </w:rPr>
        <w:t xml:space="preserve"> MBS items </w:t>
      </w:r>
      <w:r w:rsidR="00103A21">
        <w:rPr>
          <w:bCs/>
        </w:rPr>
        <w:t>are</w:t>
      </w:r>
      <w:r>
        <w:rPr>
          <w:bCs/>
        </w:rPr>
        <w:t xml:space="preserve"> each for treating a single lesion </w:t>
      </w:r>
      <w:r w:rsidR="00F32C34">
        <w:rPr>
          <w:bCs/>
        </w:rPr>
        <w:t>(within one of the 3</w:t>
      </w:r>
      <w:r w:rsidR="00A3260E">
        <w:rPr>
          <w:bCs/>
        </w:rPr>
        <w:t> </w:t>
      </w:r>
      <w:r w:rsidR="002D4307">
        <w:rPr>
          <w:bCs/>
        </w:rPr>
        <w:t>lesion size ranges)</w:t>
      </w:r>
      <w:r>
        <w:rPr>
          <w:bCs/>
        </w:rPr>
        <w:t xml:space="preserve">. </w:t>
      </w:r>
      <w:r w:rsidR="00776131">
        <w:rPr>
          <w:bCs/>
        </w:rPr>
        <w:t>However, s</w:t>
      </w:r>
      <w:r>
        <w:rPr>
          <w:bCs/>
        </w:rPr>
        <w:t xml:space="preserve">ome patients may have more than one lesion, but the single MBS fee structure does not allow for economies of scale when treating a single patient with multiple lesions. </w:t>
      </w:r>
      <w:r w:rsidR="00377465">
        <w:rPr>
          <w:bCs/>
        </w:rPr>
        <w:t>That is</w:t>
      </w:r>
      <w:r>
        <w:rPr>
          <w:bCs/>
        </w:rPr>
        <w:t>, the proposed items include $1100 for s</w:t>
      </w:r>
      <w:r w:rsidRPr="007D44E5">
        <w:rPr>
          <w:bCs/>
        </w:rPr>
        <w:t>pecialist, nursing and technician time of approximately 3 hours per patient</w:t>
      </w:r>
      <w:r>
        <w:rPr>
          <w:bCs/>
        </w:rPr>
        <w:t>. If a patient had 3</w:t>
      </w:r>
      <w:r w:rsidR="00A3260E">
        <w:rPr>
          <w:bCs/>
        </w:rPr>
        <w:t> </w:t>
      </w:r>
      <w:r>
        <w:rPr>
          <w:bCs/>
        </w:rPr>
        <w:t>lesions</w:t>
      </w:r>
      <w:r w:rsidR="000533C7">
        <w:rPr>
          <w:bCs/>
        </w:rPr>
        <w:t xml:space="preserve"> </w:t>
      </w:r>
      <w:r w:rsidR="00831699">
        <w:rPr>
          <w:bCs/>
        </w:rPr>
        <w:t xml:space="preserve">each </w:t>
      </w:r>
      <w:r w:rsidR="00B431EB">
        <w:rPr>
          <w:bCs/>
        </w:rPr>
        <w:t>meas</w:t>
      </w:r>
      <w:r w:rsidR="00997443">
        <w:rPr>
          <w:bCs/>
        </w:rPr>
        <w:t xml:space="preserve">uring </w:t>
      </w:r>
      <w:r w:rsidR="00831699">
        <w:rPr>
          <w:bCs/>
        </w:rPr>
        <w:t>8 cm</w:t>
      </w:r>
      <w:r w:rsidR="00932775">
        <w:rPr>
          <w:bCs/>
          <w:vertAlign w:val="superscript"/>
        </w:rPr>
        <w:t>2</w:t>
      </w:r>
      <w:r w:rsidR="00932775">
        <w:rPr>
          <w:bCs/>
        </w:rPr>
        <w:t xml:space="preserve"> </w:t>
      </w:r>
      <w:r w:rsidR="000533C7">
        <w:rPr>
          <w:bCs/>
        </w:rPr>
        <w:t xml:space="preserve">treated, this </w:t>
      </w:r>
      <w:r w:rsidR="0091635F">
        <w:rPr>
          <w:bCs/>
        </w:rPr>
        <w:t>c</w:t>
      </w:r>
      <w:r w:rsidR="000533C7">
        <w:rPr>
          <w:bCs/>
        </w:rPr>
        <w:t xml:space="preserve">ould attract </w:t>
      </w:r>
      <w:r w:rsidR="00C23EB9">
        <w:rPr>
          <w:bCs/>
        </w:rPr>
        <w:t>the MBS fee three times</w:t>
      </w:r>
      <w:r w:rsidR="00835D32">
        <w:rPr>
          <w:bCs/>
        </w:rPr>
        <w:t xml:space="preserve"> which</w:t>
      </w:r>
      <w:r>
        <w:rPr>
          <w:bCs/>
        </w:rPr>
        <w:t xml:space="preserve"> would </w:t>
      </w:r>
      <w:r w:rsidR="00835D32">
        <w:rPr>
          <w:bCs/>
        </w:rPr>
        <w:t>equate to</w:t>
      </w:r>
      <w:r>
        <w:rPr>
          <w:bCs/>
        </w:rPr>
        <w:t xml:space="preserve"> $3300 in staff time costs</w:t>
      </w:r>
      <w:r w:rsidR="00C47BC3">
        <w:rPr>
          <w:bCs/>
        </w:rPr>
        <w:t xml:space="preserve"> to treat </w:t>
      </w:r>
      <w:r w:rsidR="00997443">
        <w:rPr>
          <w:bCs/>
        </w:rPr>
        <w:t>a single</w:t>
      </w:r>
      <w:r w:rsidR="00C47BC3">
        <w:rPr>
          <w:bCs/>
        </w:rPr>
        <w:t xml:space="preserve"> patient</w:t>
      </w:r>
      <w:r w:rsidR="00997443">
        <w:rPr>
          <w:bCs/>
        </w:rPr>
        <w:t xml:space="preserve"> within one episode</w:t>
      </w:r>
      <w:r>
        <w:rPr>
          <w:bCs/>
        </w:rPr>
        <w:t xml:space="preserve">. This may not be commensurate with the staff time costs for treating a single patient with 3 lesions. </w:t>
      </w:r>
    </w:p>
    <w:p w14:paraId="0C7ADFC9" w14:textId="77777777" w:rsidR="00F25CC2" w:rsidRPr="00E312E7" w:rsidRDefault="00857FEC" w:rsidP="002252F8">
      <w:pPr>
        <w:pStyle w:val="ListParagraph"/>
        <w:numPr>
          <w:ilvl w:val="0"/>
          <w:numId w:val="14"/>
        </w:numPr>
        <w:contextualSpacing w:val="0"/>
        <w:rPr>
          <w:b/>
        </w:rPr>
      </w:pPr>
      <w:r w:rsidRPr="00E312E7">
        <w:rPr>
          <w:bCs/>
        </w:rPr>
        <w:t xml:space="preserve">The ADAR has not addressed </w:t>
      </w:r>
      <w:r w:rsidR="00F25CC2" w:rsidRPr="00E312E7">
        <w:rPr>
          <w:bCs/>
        </w:rPr>
        <w:t xml:space="preserve">batching and wastage. </w:t>
      </w:r>
    </w:p>
    <w:p w14:paraId="65E6FAC9" w14:textId="748E1E2A" w:rsidR="009B4490" w:rsidRPr="00BC2FFE" w:rsidRDefault="009B4490" w:rsidP="00D334C7">
      <w:pPr>
        <w:pStyle w:val="ListParagraph"/>
        <w:spacing w:line="240" w:lineRule="auto"/>
        <w:ind w:left="731"/>
        <w:contextualSpacing w:val="0"/>
        <w:rPr>
          <w:b/>
        </w:rPr>
      </w:pPr>
      <w:r>
        <w:rPr>
          <w:bCs/>
        </w:rPr>
        <w:t>The cost component for the Re-188 compound in each of the three proposed MBS items is estimated based on the amount of compound required to treat the average lesion size for each of the three proposed items (i.e. for lesions 1.5-3.0 cm</w:t>
      </w:r>
      <w:r>
        <w:rPr>
          <w:bCs/>
          <w:vertAlign w:val="superscript"/>
        </w:rPr>
        <w:t xml:space="preserve">2, </w:t>
      </w:r>
      <w:r>
        <w:rPr>
          <w:bCs/>
        </w:rPr>
        <w:t>an average lesion size of 2.25 cm</w:t>
      </w:r>
      <w:r w:rsidRPr="00BC2FFE">
        <w:rPr>
          <w:bCs/>
          <w:vertAlign w:val="superscript"/>
        </w:rPr>
        <w:t>2</w:t>
      </w:r>
      <w:r>
        <w:rPr>
          <w:bCs/>
        </w:rPr>
        <w:t xml:space="preserve"> </w:t>
      </w:r>
      <w:r w:rsidR="00B4695F">
        <w:rPr>
          <w:bCs/>
        </w:rPr>
        <w:t xml:space="preserve">to </w:t>
      </w:r>
      <w:r>
        <w:rPr>
          <w:bCs/>
        </w:rPr>
        <w:t xml:space="preserve">calculate the $1,750 Re-188 compound cost component). However, the Re-188 compound is supplied in a carpoule ($14,000) </w:t>
      </w:r>
      <w:r w:rsidR="009F4445" w:rsidRPr="00F14079">
        <w:t>that</w:t>
      </w:r>
      <w:r w:rsidR="009F4445">
        <w:t xml:space="preserve"> </w:t>
      </w:r>
      <w:r>
        <w:rPr>
          <w:bCs/>
        </w:rPr>
        <w:t>contains enough compound to treat 18 cm</w:t>
      </w:r>
      <w:r>
        <w:rPr>
          <w:bCs/>
          <w:vertAlign w:val="superscript"/>
        </w:rPr>
        <w:t>2</w:t>
      </w:r>
      <w:r>
        <w:rPr>
          <w:bCs/>
        </w:rPr>
        <w:t xml:space="preserve">. The ADAR approach to costing the RE-188 compound component of the MBS fee implies that batching is required (i.e. one carpoule is used to treat multiple patients with a single lesion and/or a patient with multiple lesions). Some wastage may occur which will vary depending on how efficiently lesions are batched. It is unclear if patients would be charged out-of-pocket costs for any wastage. </w:t>
      </w:r>
      <w:r w:rsidR="00297009">
        <w:rPr>
          <w:bCs/>
        </w:rPr>
        <w:t>This could be significant (</w:t>
      </w:r>
      <w:r w:rsidR="004365DA">
        <w:rPr>
          <w:bCs/>
        </w:rPr>
        <w:t xml:space="preserve">e.g. </w:t>
      </w:r>
      <w:r w:rsidR="00297009">
        <w:rPr>
          <w:bCs/>
        </w:rPr>
        <w:t>potentially $777 per cm</w:t>
      </w:r>
      <w:r w:rsidR="00297009">
        <w:rPr>
          <w:bCs/>
          <w:vertAlign w:val="superscript"/>
        </w:rPr>
        <w:t>2</w:t>
      </w:r>
      <w:r w:rsidR="00297009">
        <w:rPr>
          <w:bCs/>
        </w:rPr>
        <w:t xml:space="preserve"> wastage</w:t>
      </w:r>
      <w:r w:rsidR="004365DA">
        <w:rPr>
          <w:bCs/>
        </w:rPr>
        <w:t xml:space="preserve"> based on $14,000 for a carpoule that can treat 18 cm</w:t>
      </w:r>
      <w:r w:rsidR="004365DA">
        <w:rPr>
          <w:bCs/>
          <w:vertAlign w:val="superscript"/>
        </w:rPr>
        <w:t>2</w:t>
      </w:r>
      <w:r w:rsidR="00297009">
        <w:rPr>
          <w:bCs/>
        </w:rPr>
        <w:t>)</w:t>
      </w:r>
      <w:r>
        <w:rPr>
          <w:bCs/>
        </w:rPr>
        <w:t>. The ADAR has not addressed the issue of batching or wastage and has not accounted for this in the economic or financial analysis.</w:t>
      </w:r>
    </w:p>
    <w:p w14:paraId="44C4C35B" w14:textId="065964EB" w:rsidR="00D262E8" w:rsidRPr="00E312E7" w:rsidRDefault="00D262E8" w:rsidP="002252F8">
      <w:pPr>
        <w:pStyle w:val="ListParagraph"/>
        <w:numPr>
          <w:ilvl w:val="0"/>
          <w:numId w:val="14"/>
        </w:numPr>
        <w:spacing w:line="276" w:lineRule="auto"/>
        <w:ind w:left="726" w:hanging="357"/>
        <w:contextualSpacing w:val="0"/>
      </w:pPr>
      <w:r w:rsidRPr="00E312E7">
        <w:t xml:space="preserve">Discrepancy in the </w:t>
      </w:r>
      <w:r w:rsidR="00F25CC2" w:rsidRPr="00E312E7">
        <w:t>are</w:t>
      </w:r>
      <w:r w:rsidR="00B143C2" w:rsidRPr="00E312E7">
        <w:t xml:space="preserve">a treated by </w:t>
      </w:r>
      <w:r w:rsidRPr="00E312E7">
        <w:t>one carpoule</w:t>
      </w:r>
      <w:r w:rsidR="00C00DD2" w:rsidRPr="00E312E7">
        <w:t xml:space="preserve"> (</w:t>
      </w:r>
      <w:r w:rsidR="008B1C97" w:rsidRPr="00E312E7">
        <w:t>18 cm</w:t>
      </w:r>
      <w:r w:rsidR="008B1C97" w:rsidRPr="00E312E7">
        <w:rPr>
          <w:vertAlign w:val="superscript"/>
        </w:rPr>
        <w:t>2</w:t>
      </w:r>
      <w:r w:rsidR="008B1C97" w:rsidRPr="00E312E7">
        <w:t xml:space="preserve"> vs 25 cm</w:t>
      </w:r>
      <w:r w:rsidR="008B1C97" w:rsidRPr="00E312E7">
        <w:rPr>
          <w:vertAlign w:val="superscript"/>
        </w:rPr>
        <w:t>2</w:t>
      </w:r>
      <w:r w:rsidR="008B1C97" w:rsidRPr="00E312E7">
        <w:t>)</w:t>
      </w:r>
      <w:r w:rsidRPr="00E312E7">
        <w:t>.</w:t>
      </w:r>
    </w:p>
    <w:p w14:paraId="165A56E8" w14:textId="5761EF75" w:rsidR="009F4445" w:rsidRPr="009F4445" w:rsidRDefault="00EB174D" w:rsidP="00D772A3">
      <w:pPr>
        <w:pStyle w:val="ListParagraph"/>
        <w:spacing w:line="276" w:lineRule="auto"/>
        <w:ind w:left="731"/>
        <w:contextualSpacing w:val="0"/>
      </w:pPr>
      <w:r>
        <w:t>In</w:t>
      </w:r>
      <w:r w:rsidR="00F44B0B">
        <w:t xml:space="preserve"> </w:t>
      </w:r>
      <w:r w:rsidR="00F44B0B" w:rsidRPr="00D334C7">
        <w:rPr>
          <w:bCs/>
        </w:rPr>
        <w:t xml:space="preserve">the </w:t>
      </w:r>
      <w:r w:rsidR="00525BA3">
        <w:rPr>
          <w:bCs/>
        </w:rPr>
        <w:t>ratified</w:t>
      </w:r>
      <w:r w:rsidR="00F44B0B" w:rsidRPr="00D334C7">
        <w:rPr>
          <w:bCs/>
        </w:rPr>
        <w:t xml:space="preserve"> PICO</w:t>
      </w:r>
      <w:r w:rsidR="00525BA3">
        <w:rPr>
          <w:bCs/>
        </w:rPr>
        <w:t xml:space="preserve"> confirmation</w:t>
      </w:r>
      <w:r w:rsidR="00F44B0B" w:rsidRPr="00D334C7">
        <w:rPr>
          <w:bCs/>
        </w:rPr>
        <w:t>,</w:t>
      </w:r>
      <w:r w:rsidR="009F4445" w:rsidRPr="00D334C7">
        <w:rPr>
          <w:bCs/>
        </w:rPr>
        <w:t xml:space="preserve"> </w:t>
      </w:r>
      <w:r w:rsidR="00D262E8" w:rsidRPr="00D334C7">
        <w:rPr>
          <w:bCs/>
        </w:rPr>
        <w:t>it is stated</w:t>
      </w:r>
      <w:r w:rsidR="009F4445" w:rsidRPr="00D334C7">
        <w:rPr>
          <w:bCs/>
        </w:rPr>
        <w:t xml:space="preserve"> that one carpoule of Re-188 filled with approximately 300mg of the Re-188 compound which is sufficient to treat an area of up to </w:t>
      </w:r>
      <w:r w:rsidR="6B773F4F" w:rsidRPr="00D334C7">
        <w:rPr>
          <w:bCs/>
        </w:rPr>
        <w:t>25</w:t>
      </w:r>
      <w:r w:rsidR="6A97AD5E" w:rsidRPr="00D334C7">
        <w:rPr>
          <w:bCs/>
        </w:rPr>
        <w:t xml:space="preserve"> </w:t>
      </w:r>
      <w:r w:rsidR="009F4445" w:rsidRPr="00D334C7">
        <w:rPr>
          <w:bCs/>
        </w:rPr>
        <w:t>cm</w:t>
      </w:r>
      <w:r w:rsidR="00F44B0B" w:rsidRPr="00A771C8">
        <w:rPr>
          <w:vertAlign w:val="superscript"/>
        </w:rPr>
        <w:t>2</w:t>
      </w:r>
      <w:r w:rsidR="009F4445" w:rsidRPr="00D334C7">
        <w:rPr>
          <w:bCs/>
        </w:rPr>
        <w:t xml:space="preserve"> (</w:t>
      </w:r>
      <w:r w:rsidR="00525BA3">
        <w:rPr>
          <w:bCs/>
        </w:rPr>
        <w:t>MSAC 1657 Ratified</w:t>
      </w:r>
      <w:r w:rsidR="009F4445" w:rsidRPr="00D334C7">
        <w:rPr>
          <w:bCs/>
        </w:rPr>
        <w:t xml:space="preserve"> PICO</w:t>
      </w:r>
      <w:r w:rsidR="00525BA3">
        <w:rPr>
          <w:bCs/>
        </w:rPr>
        <w:t xml:space="preserve"> Confirmation</w:t>
      </w:r>
      <w:r w:rsidR="009F4445" w:rsidRPr="00D334C7">
        <w:rPr>
          <w:bCs/>
        </w:rPr>
        <w:t xml:space="preserve">, page 20). </w:t>
      </w:r>
      <w:r w:rsidR="00AA3C23" w:rsidRPr="00D334C7">
        <w:rPr>
          <w:bCs/>
        </w:rPr>
        <w:t>However</w:t>
      </w:r>
      <w:r w:rsidR="00EE41C3" w:rsidRPr="00D334C7">
        <w:rPr>
          <w:bCs/>
        </w:rPr>
        <w:t>,</w:t>
      </w:r>
      <w:r w:rsidR="00AA3C23" w:rsidRPr="00D334C7">
        <w:rPr>
          <w:bCs/>
        </w:rPr>
        <w:t xml:space="preserve"> in the ADAR </w:t>
      </w:r>
      <w:r w:rsidR="00C00DD2" w:rsidRPr="00D334C7">
        <w:rPr>
          <w:bCs/>
        </w:rPr>
        <w:t>it is stated</w:t>
      </w:r>
      <w:r w:rsidR="00AA3C23" w:rsidRPr="00D334C7">
        <w:rPr>
          <w:bCs/>
        </w:rPr>
        <w:t xml:space="preserve"> that </w:t>
      </w:r>
      <w:r w:rsidR="00B86D25" w:rsidRPr="00D334C7">
        <w:rPr>
          <w:bCs/>
        </w:rPr>
        <w:t xml:space="preserve">each carpoule contains enough compound to treat a lesion area with </w:t>
      </w:r>
      <w:r w:rsidR="00B86D25" w:rsidRPr="00D334C7">
        <w:rPr>
          <w:bCs/>
        </w:rPr>
        <w:lastRenderedPageBreak/>
        <w:t>approximately 18</w:t>
      </w:r>
      <w:r w:rsidR="70F68C73" w:rsidRPr="00D334C7">
        <w:rPr>
          <w:bCs/>
        </w:rPr>
        <w:t xml:space="preserve"> </w:t>
      </w:r>
      <w:r w:rsidR="41A30D54" w:rsidRPr="00D334C7">
        <w:rPr>
          <w:bCs/>
        </w:rPr>
        <w:t>cm</w:t>
      </w:r>
      <w:r w:rsidR="6B773F4F" w:rsidRPr="00A771C8">
        <w:rPr>
          <w:vertAlign w:val="superscript"/>
        </w:rPr>
        <w:t>2</w:t>
      </w:r>
      <w:r w:rsidR="009F4445" w:rsidRPr="00D334C7">
        <w:rPr>
          <w:bCs/>
        </w:rPr>
        <w:t>.</w:t>
      </w:r>
      <w:r w:rsidR="006D47A6" w:rsidRPr="00D334C7">
        <w:rPr>
          <w:bCs/>
        </w:rPr>
        <w:t xml:space="preserve"> </w:t>
      </w:r>
      <w:r w:rsidR="00C7779E" w:rsidRPr="00D334C7">
        <w:rPr>
          <w:bCs/>
        </w:rPr>
        <w:t>This</w:t>
      </w:r>
      <w:r w:rsidR="00A3474A" w:rsidRPr="00D334C7">
        <w:rPr>
          <w:bCs/>
        </w:rPr>
        <w:t xml:space="preserve"> discrepancy in </w:t>
      </w:r>
      <w:r w:rsidR="00C7779E" w:rsidRPr="00D334C7">
        <w:rPr>
          <w:bCs/>
        </w:rPr>
        <w:t xml:space="preserve">the assumed </w:t>
      </w:r>
      <w:r w:rsidR="00AA2ECD" w:rsidRPr="00D334C7">
        <w:rPr>
          <w:bCs/>
        </w:rPr>
        <w:t>lesion areas treated by the Re-188 compound</w:t>
      </w:r>
      <w:r w:rsidR="00C7779E" w:rsidRPr="00D334C7">
        <w:rPr>
          <w:bCs/>
        </w:rPr>
        <w:t xml:space="preserve"> should be clarified by the applicant </w:t>
      </w:r>
      <w:r w:rsidR="00AA2ECD" w:rsidRPr="00D334C7">
        <w:rPr>
          <w:bCs/>
        </w:rPr>
        <w:t xml:space="preserve">to aid </w:t>
      </w:r>
      <w:r w:rsidR="00F76F68" w:rsidRPr="00D334C7">
        <w:rPr>
          <w:bCs/>
        </w:rPr>
        <w:t xml:space="preserve">ESC and MSAC </w:t>
      </w:r>
      <w:r w:rsidR="00AA2ECD" w:rsidRPr="00D334C7">
        <w:rPr>
          <w:bCs/>
        </w:rPr>
        <w:t>decision making.</w:t>
      </w:r>
    </w:p>
    <w:p w14:paraId="7204E230" w14:textId="5E860D48" w:rsidR="00E51DF1" w:rsidRPr="006969B9" w:rsidRDefault="006E08E8" w:rsidP="002252F8">
      <w:pPr>
        <w:pStyle w:val="ListParagraph"/>
        <w:numPr>
          <w:ilvl w:val="0"/>
          <w:numId w:val="14"/>
        </w:numPr>
        <w:spacing w:line="276" w:lineRule="auto"/>
        <w:contextualSpacing w:val="0"/>
      </w:pPr>
      <w:r w:rsidRPr="00E312E7">
        <w:t xml:space="preserve">Justification for the </w:t>
      </w:r>
      <w:r w:rsidR="00011773" w:rsidRPr="00E312E7">
        <w:t>costs for</w:t>
      </w:r>
      <w:r w:rsidR="00E51DF1" w:rsidRPr="00E312E7">
        <w:t xml:space="preserve"> staff cost components</w:t>
      </w:r>
      <w:r w:rsidR="00174EC3" w:rsidRPr="006969B9">
        <w:t>.</w:t>
      </w:r>
    </w:p>
    <w:p w14:paraId="60182021" w14:textId="345AAACD" w:rsidR="004C222A" w:rsidRPr="00003046" w:rsidRDefault="00AB6B52" w:rsidP="00D772A3">
      <w:pPr>
        <w:pStyle w:val="ListParagraph"/>
        <w:spacing w:line="276" w:lineRule="auto"/>
        <w:ind w:left="731"/>
        <w:contextualSpacing w:val="0"/>
      </w:pPr>
      <w:r>
        <w:t xml:space="preserve">The </w:t>
      </w:r>
      <w:r w:rsidR="00552AE3">
        <w:t>c</w:t>
      </w:r>
      <w:r>
        <w:t xml:space="preserve">ommentary noted that the type of staff cost components in </w:t>
      </w:r>
      <w:r w:rsidR="009228FB">
        <w:fldChar w:fldCharType="begin"/>
      </w:r>
      <w:r w:rsidR="009228FB">
        <w:instrText xml:space="preserve"> REF _Ref138267174 \h </w:instrText>
      </w:r>
      <w:r w:rsidR="009228FB">
        <w:fldChar w:fldCharType="separate"/>
      </w:r>
      <w:r w:rsidR="009228FB">
        <w:t xml:space="preserve">Table </w:t>
      </w:r>
      <w:r w:rsidR="009228FB">
        <w:rPr>
          <w:noProof/>
        </w:rPr>
        <w:t>3</w:t>
      </w:r>
      <w:r w:rsidR="009228FB">
        <w:fldChar w:fldCharType="end"/>
      </w:r>
      <w:r>
        <w:t xml:space="preserve"> align with the clinical workflow for Re-188 brachytherapy treatment depicted in </w:t>
      </w:r>
      <w:r>
        <w:fldChar w:fldCharType="begin"/>
      </w:r>
      <w:r>
        <w:instrText xml:space="preserve"> REF _Ref134634620 \h </w:instrText>
      </w:r>
      <w:r>
        <w:fldChar w:fldCharType="separate"/>
      </w:r>
      <w:r w:rsidR="009228FB">
        <w:t xml:space="preserve">Figure </w:t>
      </w:r>
      <w:r w:rsidR="009228FB">
        <w:rPr>
          <w:noProof/>
        </w:rPr>
        <w:t>1</w:t>
      </w:r>
      <w:r>
        <w:fldChar w:fldCharType="end"/>
      </w:r>
      <w:r>
        <w:t>. However, t</w:t>
      </w:r>
      <w:r w:rsidR="00E51DF1">
        <w:t xml:space="preserve">he </w:t>
      </w:r>
      <w:r w:rsidR="00552AE3">
        <w:t>c</w:t>
      </w:r>
      <w:r w:rsidR="00E51DF1">
        <w:t xml:space="preserve">ommentary </w:t>
      </w:r>
      <w:r w:rsidR="006C55F4">
        <w:t>considered that</w:t>
      </w:r>
      <w:r w:rsidR="00E51DF1">
        <w:t xml:space="preserve"> t</w:t>
      </w:r>
      <w:r w:rsidR="004C222A">
        <w:t xml:space="preserve">he costs </w:t>
      </w:r>
      <w:r w:rsidR="00370E14">
        <w:t>included for</w:t>
      </w:r>
      <w:r w:rsidR="004C222A">
        <w:t xml:space="preserve"> </w:t>
      </w:r>
      <w:r w:rsidR="006C55F4">
        <w:t xml:space="preserve">specialists, nursing and technician included in </w:t>
      </w:r>
      <w:r w:rsidR="009228FB">
        <w:fldChar w:fldCharType="begin"/>
      </w:r>
      <w:r w:rsidR="009228FB">
        <w:instrText xml:space="preserve"> REF _Ref138267174 \h </w:instrText>
      </w:r>
      <w:r w:rsidR="009228FB">
        <w:fldChar w:fldCharType="separate"/>
      </w:r>
      <w:r w:rsidR="009228FB">
        <w:t xml:space="preserve">Table </w:t>
      </w:r>
      <w:r w:rsidR="009228FB">
        <w:rPr>
          <w:noProof/>
        </w:rPr>
        <w:t>3</w:t>
      </w:r>
      <w:r w:rsidR="009228FB">
        <w:fldChar w:fldCharType="end"/>
      </w:r>
      <w:r w:rsidR="004C222A">
        <w:t xml:space="preserve"> were not</w:t>
      </w:r>
      <w:r w:rsidR="00146E26">
        <w:t xml:space="preserve"> adequately</w:t>
      </w:r>
      <w:r w:rsidR="004C222A">
        <w:t xml:space="preserve"> justified in the ADAR. </w:t>
      </w:r>
      <w:r w:rsidR="00E5246C">
        <w:t>In regard to specialist costs,</w:t>
      </w:r>
      <w:r w:rsidR="00937F56">
        <w:t xml:space="preserve"> </w:t>
      </w:r>
      <w:r w:rsidR="00867751">
        <w:t xml:space="preserve">the ADAR stated that </w:t>
      </w:r>
      <w:r w:rsidR="00867751" w:rsidRPr="00867751">
        <w:t xml:space="preserve">it is assumed that all patients will require one initial specialist consultation with a dermatologist, radiation oncologist or plastic surgeon (MBS Item 104, 100% Schedule Fee: $91.80) for diagnosis and referral and a subsequent follow up consultation with the same specialist (MBS Item 105, 100% Schedule Fee: $46.15) to assess the outcome of the treatment. </w:t>
      </w:r>
      <w:r w:rsidR="005A6FFF">
        <w:rPr>
          <w:lang w:val="en-US"/>
        </w:rPr>
        <w:t xml:space="preserve">However, there was insufficient information to understand and justify </w:t>
      </w:r>
      <w:r w:rsidR="00545685">
        <w:rPr>
          <w:lang w:val="en-US"/>
        </w:rPr>
        <w:t xml:space="preserve">how the </w:t>
      </w:r>
      <w:r w:rsidR="005A6FFF">
        <w:rPr>
          <w:lang w:val="en-US"/>
        </w:rPr>
        <w:t>estimated $500</w:t>
      </w:r>
      <w:r w:rsidR="00545685">
        <w:rPr>
          <w:lang w:val="en-US"/>
        </w:rPr>
        <w:t xml:space="preserve"> for specialists was derived. </w:t>
      </w:r>
      <w:r w:rsidR="005A6FFF">
        <w:rPr>
          <w:lang w:val="en-US"/>
        </w:rPr>
        <w:t xml:space="preserve"> </w:t>
      </w:r>
      <w:r w:rsidR="00545685">
        <w:rPr>
          <w:lang w:val="en-US"/>
        </w:rPr>
        <w:t xml:space="preserve">Similarly, </w:t>
      </w:r>
      <w:r w:rsidR="00F46244">
        <w:rPr>
          <w:lang w:val="en-US"/>
        </w:rPr>
        <w:t>n</w:t>
      </w:r>
      <w:r w:rsidR="004C222A">
        <w:rPr>
          <w:lang w:val="en-US"/>
        </w:rPr>
        <w:t xml:space="preserve">ursing costs of $300 and </w:t>
      </w:r>
      <w:r w:rsidR="00F46244">
        <w:rPr>
          <w:lang w:val="en-US"/>
        </w:rPr>
        <w:t>t</w:t>
      </w:r>
      <w:r w:rsidR="004C222A">
        <w:rPr>
          <w:lang w:val="en-US"/>
        </w:rPr>
        <w:t>echnician costs of $300</w:t>
      </w:r>
      <w:r w:rsidR="00F46244">
        <w:rPr>
          <w:lang w:val="en-US"/>
        </w:rPr>
        <w:t xml:space="preserve"> are included but there is no further information justifying</w:t>
      </w:r>
      <w:r w:rsidR="004C222A">
        <w:rPr>
          <w:lang w:val="en-US"/>
        </w:rPr>
        <w:t xml:space="preserve"> how the costs were attributed</w:t>
      </w:r>
      <w:r w:rsidR="0016112E">
        <w:rPr>
          <w:lang w:val="en-US"/>
        </w:rPr>
        <w:t>.</w:t>
      </w:r>
    </w:p>
    <w:p w14:paraId="2BBE6D08" w14:textId="43699184" w:rsidR="00F93490" w:rsidRDefault="00F93490" w:rsidP="00F93490">
      <w:r>
        <w:rPr>
          <w:noProof/>
          <w:lang w:val="en-US"/>
        </w:rPr>
        <w:lastRenderedPageBreak/>
        <w:drawing>
          <wp:inline distT="0" distB="0" distL="0" distR="0" wp14:anchorId="440044FA" wp14:editId="3DD6FDA7">
            <wp:extent cx="5731510" cy="7239000"/>
            <wp:effectExtent l="0" t="0" r="2540" b="9525"/>
            <wp:docPr id="2" name="Picture 2" descr="Clinical workflow for treatment of non-melanoma skin cancers with Re-188 brachy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nical workflow for treatment of non-melanoma skin cancers with Re-188 brachytherapy"/>
                    <pic:cNvPicPr/>
                  </pic:nvPicPr>
                  <pic:blipFill>
                    <a:blip r:embed="rId11">
                      <a:extLst>
                        <a:ext uri="{28A0092B-C50C-407E-A947-70E740481C1C}">
                          <a14:useLocalDpi xmlns:a14="http://schemas.microsoft.com/office/drawing/2010/main" val="0"/>
                        </a:ext>
                      </a:extLst>
                    </a:blip>
                    <a:stretch>
                      <a:fillRect/>
                    </a:stretch>
                  </pic:blipFill>
                  <pic:spPr>
                    <a:xfrm>
                      <a:off x="0" y="0"/>
                      <a:ext cx="5731510" cy="7239000"/>
                    </a:xfrm>
                    <a:prstGeom prst="rect">
                      <a:avLst/>
                    </a:prstGeom>
                  </pic:spPr>
                </pic:pic>
              </a:graphicData>
            </a:graphic>
          </wp:inline>
        </w:drawing>
      </w:r>
    </w:p>
    <w:p w14:paraId="419F36D2" w14:textId="77777777" w:rsidR="009228FB" w:rsidRDefault="009228FB" w:rsidP="009228FB">
      <w:pPr>
        <w:pStyle w:val="Caption"/>
      </w:pPr>
      <w:bookmarkStart w:id="15" w:name="_Ref134634620"/>
      <w:r>
        <w:t xml:space="preserve">Figure </w:t>
      </w:r>
      <w:r>
        <w:fldChar w:fldCharType="begin"/>
      </w:r>
      <w:r>
        <w:instrText>SEQ Figure \* ARABIC</w:instrText>
      </w:r>
      <w:r>
        <w:fldChar w:fldCharType="separate"/>
      </w:r>
      <w:r>
        <w:rPr>
          <w:noProof/>
        </w:rPr>
        <w:t>1</w:t>
      </w:r>
      <w:r>
        <w:fldChar w:fldCharType="end"/>
      </w:r>
      <w:bookmarkEnd w:id="15"/>
      <w:r>
        <w:t xml:space="preserve"> Clinical workflow for treatment of non-melanoma skin cancers with Re-188 </w:t>
      </w:r>
      <w:r>
        <w:rPr>
          <w:color w:val="000000" w:themeColor="text1"/>
        </w:rPr>
        <w:t>brachytherapy</w:t>
      </w:r>
    </w:p>
    <w:p w14:paraId="4D36CF1A" w14:textId="03D5D988" w:rsidR="00F93490" w:rsidRPr="00F76D74" w:rsidRDefault="00F93490" w:rsidP="00F76D74">
      <w:pPr>
        <w:keepNext/>
        <w:rPr>
          <w:rFonts w:ascii="Arial Narrow" w:hAnsi="Arial Narrow" w:cs="Arial"/>
          <w:snapToGrid w:val="0"/>
          <w:sz w:val="18"/>
          <w:szCs w:val="20"/>
        </w:rPr>
      </w:pPr>
      <w:r w:rsidRPr="003848F1">
        <w:rPr>
          <w:rStyle w:val="TablenotesChar"/>
          <w:rFonts w:eastAsiaTheme="minorHAnsi"/>
        </w:rPr>
        <w:t xml:space="preserve">Source: </w:t>
      </w:r>
      <w:r w:rsidR="00674DFD">
        <w:rPr>
          <w:rStyle w:val="TablenotesChar"/>
          <w:rFonts w:eastAsiaTheme="minorHAnsi"/>
        </w:rPr>
        <w:t xml:space="preserve">MSAC 1675 ADAR, </w:t>
      </w:r>
      <w:r w:rsidR="001E2AC0">
        <w:rPr>
          <w:rStyle w:val="TablenotesChar"/>
          <w:rFonts w:eastAsiaTheme="minorHAnsi"/>
        </w:rPr>
        <w:t xml:space="preserve">Attachment - </w:t>
      </w:r>
      <w:r w:rsidRPr="003848F1">
        <w:rPr>
          <w:rStyle w:val="TablenotesChar"/>
          <w:rFonts w:eastAsiaTheme="minorHAnsi"/>
        </w:rPr>
        <w:t xml:space="preserve">Clinical Evaluation </w:t>
      </w:r>
      <w:r w:rsidR="001E2AC0">
        <w:rPr>
          <w:rStyle w:val="TablenotesChar"/>
          <w:rFonts w:eastAsiaTheme="minorHAnsi"/>
        </w:rPr>
        <w:t>R</w:t>
      </w:r>
      <w:r w:rsidRPr="003848F1">
        <w:rPr>
          <w:rStyle w:val="TablenotesChar"/>
          <w:rFonts w:eastAsiaTheme="minorHAnsi"/>
        </w:rPr>
        <w:t xml:space="preserve">eport </w:t>
      </w:r>
    </w:p>
    <w:p w14:paraId="34E0B08F" w14:textId="3D24F25E" w:rsidR="00772829" w:rsidRPr="00CE28E3" w:rsidRDefault="00F76D74" w:rsidP="002A18BE">
      <w:pPr>
        <w:pStyle w:val="Heading2"/>
        <w:numPr>
          <w:ilvl w:val="1"/>
          <w:numId w:val="0"/>
        </w:numPr>
      </w:pPr>
      <w:bookmarkStart w:id="16" w:name="_Toc69491419"/>
      <w:r>
        <w:t>7</w:t>
      </w:r>
      <w:r w:rsidR="0487D518">
        <w:t>.</w:t>
      </w:r>
      <w:r w:rsidR="00C36633">
        <w:tab/>
      </w:r>
      <w:r w:rsidR="48B63FC6">
        <w:t>Population</w:t>
      </w:r>
      <w:bookmarkEnd w:id="16"/>
      <w:r w:rsidR="48B63FC6">
        <w:t xml:space="preserve"> </w:t>
      </w:r>
    </w:p>
    <w:p w14:paraId="6C11AB5B" w14:textId="7F29B7DA" w:rsidR="000B34C8" w:rsidRDefault="002635F4" w:rsidP="00EF36FD">
      <w:pPr>
        <w:spacing w:line="257" w:lineRule="auto"/>
      </w:pPr>
      <w:r>
        <w:rPr>
          <w:rFonts w:eastAsia="Franklin Gothic Book" w:cs="Franklin Gothic Book"/>
        </w:rPr>
        <w:t>T</w:t>
      </w:r>
      <w:r w:rsidR="4908234B" w:rsidRPr="71ED1F69">
        <w:rPr>
          <w:rFonts w:eastAsia="Franklin Gothic Book" w:cs="Franklin Gothic Book"/>
        </w:rPr>
        <w:t xml:space="preserve">he </w:t>
      </w:r>
      <w:r w:rsidR="006519BA">
        <w:rPr>
          <w:rFonts w:eastAsia="Franklin Gothic Book" w:cs="Franklin Gothic Book"/>
        </w:rPr>
        <w:t>ADAR</w:t>
      </w:r>
      <w:r w:rsidR="00A67042">
        <w:rPr>
          <w:rFonts w:eastAsia="Franklin Gothic Book" w:cs="Franklin Gothic Book"/>
        </w:rPr>
        <w:t xml:space="preserve"> defined the population as </w:t>
      </w:r>
      <w:r w:rsidR="002F74DA">
        <w:t>patients with histologically confirmed BCC or SCC, of relatively shallow depth and moderate size</w:t>
      </w:r>
      <w:r w:rsidR="00EB683B">
        <w:t xml:space="preserve"> </w:t>
      </w:r>
      <w:r w:rsidR="001B7C43">
        <w:t>(depth ≤3 mm and area 1.5-8.0 cm</w:t>
      </w:r>
      <w:r w:rsidR="001B7C43" w:rsidRPr="3B34FBC2">
        <w:rPr>
          <w:rStyle w:val="FontSuperscript"/>
        </w:rPr>
        <w:t>2</w:t>
      </w:r>
      <w:r w:rsidR="001B7C43">
        <w:rPr>
          <w:rStyle w:val="FontSuperscript"/>
          <w:vertAlign w:val="baseline"/>
        </w:rPr>
        <w:t>)</w:t>
      </w:r>
      <w:r w:rsidR="002F74DA">
        <w:t xml:space="preserve">, located on the </w:t>
      </w:r>
      <w:r w:rsidR="002F74DA">
        <w:lastRenderedPageBreak/>
        <w:t xml:space="preserve">nose, eyebrow, lip, ear, digit, genitalia, shin or collarbone, or a contiguous area, who have comorbidities that would prevent surgical excision, or who otherwise refuse surgery. </w:t>
      </w:r>
    </w:p>
    <w:p w14:paraId="5A1856BE" w14:textId="68EE83E8" w:rsidR="007B7911" w:rsidRDefault="000B34C8" w:rsidP="00C02916">
      <w:pPr>
        <w:autoSpaceDE w:val="0"/>
        <w:autoSpaceDN w:val="0"/>
        <w:adjustRightInd w:val="0"/>
        <w:spacing w:after="120"/>
      </w:pPr>
      <w:r>
        <w:t xml:space="preserve">The </w:t>
      </w:r>
      <w:r w:rsidR="00CE30D6">
        <w:t xml:space="preserve">commentary noted the </w:t>
      </w:r>
      <w:r>
        <w:t>ADAR ha</w:t>
      </w:r>
      <w:r w:rsidR="00FE467C">
        <w:t>d</w:t>
      </w:r>
      <w:r>
        <w:t xml:space="preserve"> expanded the population in the ratified PICO</w:t>
      </w:r>
      <w:r w:rsidR="00C02916">
        <w:t xml:space="preserve"> </w:t>
      </w:r>
      <w:r w:rsidR="00525BA3">
        <w:t xml:space="preserve">confirmation </w:t>
      </w:r>
      <w:r w:rsidR="00C02916">
        <w:t>(</w:t>
      </w:r>
      <w:hyperlink r:id="rId12" w:history="1">
        <w:r w:rsidR="00C02916" w:rsidRPr="00C02916">
          <w:rPr>
            <w:rStyle w:val="Hyperlink"/>
          </w:rPr>
          <w:t xml:space="preserve">MSAC 1657 </w:t>
        </w:r>
        <w:r w:rsidR="00674DEB">
          <w:rPr>
            <w:rStyle w:val="Hyperlink"/>
          </w:rPr>
          <w:t>R</w:t>
        </w:r>
        <w:r w:rsidR="008D2E6D">
          <w:rPr>
            <w:rStyle w:val="Hyperlink"/>
          </w:rPr>
          <w:t xml:space="preserve">atified </w:t>
        </w:r>
        <w:r w:rsidR="00C02916" w:rsidRPr="00C02916">
          <w:rPr>
            <w:rStyle w:val="Hyperlink"/>
          </w:rPr>
          <w:t>PICO Confirmation</w:t>
        </w:r>
      </w:hyperlink>
      <w:r w:rsidR="00C02916">
        <w:t>)</w:t>
      </w:r>
      <w:r>
        <w:t xml:space="preserve"> to include </w:t>
      </w:r>
      <w:r w:rsidR="00C7696A">
        <w:t xml:space="preserve">patients </w:t>
      </w:r>
      <w:r>
        <w:t>‘</w:t>
      </w:r>
      <w:r w:rsidR="00C7696A">
        <w:t xml:space="preserve">who </w:t>
      </w:r>
      <w:r>
        <w:t xml:space="preserve">otherwise </w:t>
      </w:r>
      <w:r w:rsidR="00C7696A">
        <w:t>refuse surgery</w:t>
      </w:r>
      <w:r>
        <w:t>’</w:t>
      </w:r>
      <w:r w:rsidR="00C7696A">
        <w:t>.</w:t>
      </w:r>
      <w:r>
        <w:t xml:space="preserve"> </w:t>
      </w:r>
      <w:r w:rsidR="00E373CF">
        <w:t>The</w:t>
      </w:r>
      <w:r>
        <w:t xml:space="preserve"> clinical assessment of comorbidities</w:t>
      </w:r>
      <w:r w:rsidR="00C02916">
        <w:t xml:space="preserve"> that would prevent surgical excision</w:t>
      </w:r>
      <w:r>
        <w:t xml:space="preserve"> on </w:t>
      </w:r>
      <w:r w:rsidR="00C02916">
        <w:t xml:space="preserve">a </w:t>
      </w:r>
      <w:r>
        <w:t>case-by-case basis</w:t>
      </w:r>
      <w:r w:rsidR="00E373CF">
        <w:t xml:space="preserve"> already</w:t>
      </w:r>
      <w:r>
        <w:t xml:space="preserve"> </w:t>
      </w:r>
      <w:r w:rsidRPr="000B34C8">
        <w:t xml:space="preserve">creates difficulties for defining a PICO and for tightening the proposed MBS descriptor to avoid unintended use outside of the proposed population. </w:t>
      </w:r>
    </w:p>
    <w:p w14:paraId="3CB55884" w14:textId="77777777" w:rsidR="00304B06" w:rsidRDefault="005A072A" w:rsidP="00EF36FD">
      <w:pPr>
        <w:spacing w:line="257" w:lineRule="auto"/>
        <w:rPr>
          <w:rFonts w:eastAsia="Franklin Gothic Book" w:cs="Franklin Gothic Book"/>
        </w:rPr>
      </w:pPr>
      <w:r>
        <w:rPr>
          <w:rFonts w:eastAsia="Franklin Gothic Book" w:cs="Franklin Gothic Book"/>
        </w:rPr>
        <w:t>The ADAR</w:t>
      </w:r>
      <w:r w:rsidR="4908234B" w:rsidRPr="71ED1F69">
        <w:rPr>
          <w:rFonts w:eastAsia="Franklin Gothic Book" w:cs="Franklin Gothic Book"/>
        </w:rPr>
        <w:t xml:space="preserve"> </w:t>
      </w:r>
      <w:r w:rsidR="00304B06">
        <w:rPr>
          <w:rFonts w:eastAsia="Franklin Gothic Book" w:cs="Franklin Gothic Book"/>
        </w:rPr>
        <w:t xml:space="preserve">also </w:t>
      </w:r>
      <w:r w:rsidR="4908234B" w:rsidRPr="71ED1F69">
        <w:rPr>
          <w:rFonts w:eastAsia="Franklin Gothic Book" w:cs="Franklin Gothic Book"/>
        </w:rPr>
        <w:t xml:space="preserve">mentioned some rarer lesions. These come under a third group of keratinocyte dysplasia (&lt;1% of keratinocyte cancers) and </w:t>
      </w:r>
      <w:r w:rsidR="008C22FB">
        <w:rPr>
          <w:rFonts w:eastAsia="Franklin Gothic Book" w:cs="Franklin Gothic Book"/>
        </w:rPr>
        <w:t>include</w:t>
      </w:r>
      <w:r w:rsidR="4908234B" w:rsidRPr="71ED1F69">
        <w:rPr>
          <w:rFonts w:eastAsia="Franklin Gothic Book" w:cs="Franklin Gothic Book"/>
        </w:rPr>
        <w:t xml:space="preserve"> some additional conditions</w:t>
      </w:r>
      <w:r w:rsidR="00230B3E">
        <w:rPr>
          <w:rFonts w:eastAsia="Franklin Gothic Book" w:cs="Franklin Gothic Book"/>
        </w:rPr>
        <w:t xml:space="preserve"> that </w:t>
      </w:r>
      <w:r w:rsidR="008C22FB">
        <w:rPr>
          <w:rFonts w:eastAsia="Franklin Gothic Book" w:cs="Franklin Gothic Book"/>
        </w:rPr>
        <w:t>were un</w:t>
      </w:r>
      <w:r w:rsidR="00230B3E">
        <w:rPr>
          <w:rFonts w:eastAsia="Franklin Gothic Book" w:cs="Franklin Gothic Book"/>
        </w:rPr>
        <w:t>clarified</w:t>
      </w:r>
      <w:r w:rsidR="4908234B" w:rsidRPr="71ED1F69">
        <w:rPr>
          <w:rFonts w:eastAsia="Franklin Gothic Book" w:cs="Franklin Gothic Book"/>
        </w:rPr>
        <w:t>: solar keratosis; Bowen’s Disease/Bowenoid keratosis a precancerous form of lesion for SCC; Actinic keratoses a precancerous form of lesion for SCC; extramammary Paget’s disease.</w:t>
      </w:r>
      <w:r w:rsidR="00BE21F6">
        <w:rPr>
          <w:rFonts w:eastAsia="Franklin Gothic Book" w:cs="Franklin Gothic Book"/>
        </w:rPr>
        <w:t xml:space="preserve"> </w:t>
      </w:r>
    </w:p>
    <w:p w14:paraId="166DEDFB" w14:textId="0C1ECE93" w:rsidR="00310C3F" w:rsidRPr="00330A0A" w:rsidRDefault="0C127757" w:rsidP="10820A97">
      <w:pPr>
        <w:spacing w:line="257" w:lineRule="auto"/>
        <w:rPr>
          <w:rFonts w:eastAsia="Franklin Gothic Book" w:cs="Franklin Gothic Book"/>
        </w:rPr>
      </w:pPr>
      <w:r w:rsidRPr="10820A97">
        <w:rPr>
          <w:rFonts w:eastAsia="Franklin Gothic Book" w:cs="Franklin Gothic Book"/>
        </w:rPr>
        <w:t xml:space="preserve">In current practice, patients with suspected keratinocyte cancer typically present initially to a </w:t>
      </w:r>
      <w:r w:rsidR="2E961ACE" w:rsidRPr="10820A97">
        <w:rPr>
          <w:rFonts w:eastAsia="Franklin Gothic Book" w:cs="Franklin Gothic Book"/>
        </w:rPr>
        <w:t>general practitioner</w:t>
      </w:r>
      <w:r w:rsidRPr="10820A97">
        <w:rPr>
          <w:rFonts w:eastAsia="Franklin Gothic Book" w:cs="Franklin Gothic Book"/>
        </w:rPr>
        <w:t>, who</w:t>
      </w:r>
      <w:r w:rsidR="00A4363B">
        <w:rPr>
          <w:rFonts w:eastAsia="Franklin Gothic Book" w:cs="Franklin Gothic Book"/>
        </w:rPr>
        <w:t>,</w:t>
      </w:r>
      <w:r w:rsidRPr="10820A97">
        <w:rPr>
          <w:rFonts w:eastAsia="Franklin Gothic Book" w:cs="Franklin Gothic Book"/>
        </w:rPr>
        <w:t xml:space="preserve"> in the majority of cases</w:t>
      </w:r>
      <w:r w:rsidR="17896CDA" w:rsidRPr="10820A97">
        <w:rPr>
          <w:rFonts w:eastAsia="Franklin Gothic Book" w:cs="Franklin Gothic Book"/>
        </w:rPr>
        <w:t>,</w:t>
      </w:r>
      <w:r w:rsidRPr="10820A97">
        <w:rPr>
          <w:rFonts w:eastAsia="Franklin Gothic Book" w:cs="Franklin Gothic Book"/>
        </w:rPr>
        <w:t xml:space="preserve"> surgically excises the lesion or prescribes one of several available topical therapies, with or without concurrent histology. Higher risk lesions, those in a challenging anatomical location, or patients with relevant limiting comorbidities or other objections to surgery, would usually be referred to a dermatologist, radiation oncologist or plastic surgeon, who in many cases would collaborate with a representative of the other speciality within a multidisciplinary care model.</w:t>
      </w:r>
    </w:p>
    <w:p w14:paraId="5E09F208" w14:textId="2D875185" w:rsidR="00310C3F" w:rsidRPr="00330A0A" w:rsidRDefault="0C127757" w:rsidP="10820A97">
      <w:pPr>
        <w:spacing w:line="257" w:lineRule="auto"/>
        <w:rPr>
          <w:rFonts w:eastAsia="Franklin Gothic Book" w:cs="Franklin Gothic Book"/>
        </w:rPr>
      </w:pPr>
      <w:r w:rsidRPr="10820A97">
        <w:rPr>
          <w:rFonts w:eastAsia="Franklin Gothic Book" w:cs="Franklin Gothic Book"/>
        </w:rPr>
        <w:t xml:space="preserve">The proposed </w:t>
      </w:r>
      <w:r w:rsidR="004A273D">
        <w:rPr>
          <w:rFonts w:eastAsia="Franklin Gothic Book" w:cs="Franklin Gothic Book"/>
        </w:rPr>
        <w:t xml:space="preserve">clinical </w:t>
      </w:r>
      <w:r w:rsidRPr="10820A97">
        <w:rPr>
          <w:rFonts w:eastAsia="Franklin Gothic Book" w:cs="Franklin Gothic Book"/>
        </w:rPr>
        <w:t>management algorithm</w:t>
      </w:r>
      <w:r w:rsidR="004A273D">
        <w:rPr>
          <w:rFonts w:eastAsia="Franklin Gothic Book" w:cs="Franklin Gothic Book"/>
        </w:rPr>
        <w:t xml:space="preserve"> showing</w:t>
      </w:r>
      <w:r w:rsidRPr="10820A97">
        <w:rPr>
          <w:rFonts w:eastAsia="Franklin Gothic Book" w:cs="Franklin Gothic Book"/>
        </w:rPr>
        <w:t xml:space="preserve"> the addition of </w:t>
      </w:r>
      <w:r w:rsidR="00565312" w:rsidRPr="001F0ED6">
        <w:t xml:space="preserve">Re-188 </w:t>
      </w:r>
      <w:r w:rsidRPr="10820A97">
        <w:rPr>
          <w:rFonts w:eastAsia="Franklin Gothic Book" w:cs="Franklin Gothic Book"/>
        </w:rPr>
        <w:t>brachytherapy as an alternative to other radiotherapy modalities</w:t>
      </w:r>
      <w:r w:rsidR="00C02916">
        <w:rPr>
          <w:rFonts w:eastAsia="Franklin Gothic Book" w:cs="Franklin Gothic Book"/>
        </w:rPr>
        <w:t xml:space="preserve"> </w:t>
      </w:r>
      <w:r w:rsidR="004A273D">
        <w:rPr>
          <w:rFonts w:eastAsia="Franklin Gothic Book" w:cs="Franklin Gothic Book"/>
        </w:rPr>
        <w:t xml:space="preserve">is presented in </w:t>
      </w:r>
      <w:r w:rsidR="00127D53">
        <w:rPr>
          <w:rFonts w:eastAsia="Franklin Gothic Book" w:cs="Franklin Gothic Book"/>
        </w:rPr>
        <w:fldChar w:fldCharType="begin"/>
      </w:r>
      <w:r w:rsidR="00127D53">
        <w:rPr>
          <w:rFonts w:eastAsia="Franklin Gothic Book" w:cs="Franklin Gothic Book"/>
        </w:rPr>
        <w:instrText xml:space="preserve"> REF _Ref134704965 \h </w:instrText>
      </w:r>
      <w:r w:rsidR="00127D53">
        <w:rPr>
          <w:rFonts w:eastAsia="Franklin Gothic Book" w:cs="Franklin Gothic Book"/>
        </w:rPr>
      </w:r>
      <w:r w:rsidR="00127D53">
        <w:rPr>
          <w:rFonts w:eastAsia="Franklin Gothic Book" w:cs="Franklin Gothic Book"/>
        </w:rPr>
        <w:fldChar w:fldCharType="separate"/>
      </w:r>
      <w:r w:rsidR="009228FB">
        <w:t xml:space="preserve">Figure </w:t>
      </w:r>
      <w:r w:rsidR="009228FB">
        <w:rPr>
          <w:noProof/>
        </w:rPr>
        <w:t>2</w:t>
      </w:r>
      <w:r w:rsidR="00127D53">
        <w:rPr>
          <w:rFonts w:eastAsia="Franklin Gothic Book" w:cs="Franklin Gothic Book"/>
        </w:rPr>
        <w:fldChar w:fldCharType="end"/>
      </w:r>
      <w:r w:rsidR="00127D53">
        <w:rPr>
          <w:rFonts w:eastAsia="Franklin Gothic Book" w:cs="Franklin Gothic Book"/>
        </w:rPr>
        <w:t xml:space="preserve">. </w:t>
      </w:r>
      <w:r w:rsidR="004A273D">
        <w:rPr>
          <w:rFonts w:eastAsia="Franklin Gothic Book" w:cs="Franklin Gothic Book"/>
        </w:rPr>
        <w:t>Note this algorithm does not depict the clinical pathway for patients ‘who otherwise refuse surgery’ but</w:t>
      </w:r>
      <w:r w:rsidR="008676B6">
        <w:rPr>
          <w:rFonts w:eastAsia="Franklin Gothic Book" w:cs="Franklin Gothic Book"/>
        </w:rPr>
        <w:t xml:space="preserve"> the </w:t>
      </w:r>
      <w:r w:rsidR="00552AE3">
        <w:rPr>
          <w:rFonts w:eastAsia="Franklin Gothic Book" w:cs="Franklin Gothic Book"/>
        </w:rPr>
        <w:t>c</w:t>
      </w:r>
      <w:r w:rsidR="008676B6">
        <w:rPr>
          <w:rFonts w:eastAsia="Franklin Gothic Book" w:cs="Franklin Gothic Book"/>
        </w:rPr>
        <w:t>ommentary considered that</w:t>
      </w:r>
      <w:r w:rsidR="004A273D">
        <w:rPr>
          <w:rFonts w:eastAsia="Franklin Gothic Book" w:cs="Franklin Gothic Book"/>
        </w:rPr>
        <w:t xml:space="preserve"> </w:t>
      </w:r>
      <w:r w:rsidR="00C91653">
        <w:rPr>
          <w:rFonts w:eastAsia="Franklin Gothic Book" w:cs="Franklin Gothic Book"/>
        </w:rPr>
        <w:t xml:space="preserve">this pathway </w:t>
      </w:r>
      <w:r w:rsidR="004A273D">
        <w:rPr>
          <w:rFonts w:eastAsia="Franklin Gothic Book" w:cs="Franklin Gothic Book"/>
        </w:rPr>
        <w:t>may be similar to</w:t>
      </w:r>
      <w:r w:rsidR="00C91653">
        <w:rPr>
          <w:rFonts w:eastAsia="Franklin Gothic Book" w:cs="Franklin Gothic Book"/>
        </w:rPr>
        <w:t xml:space="preserve"> the pathway for</w:t>
      </w:r>
      <w:r w:rsidR="004A273D">
        <w:rPr>
          <w:rFonts w:eastAsia="Franklin Gothic Book" w:cs="Franklin Gothic Book"/>
        </w:rPr>
        <w:t xml:space="preserve"> patients contraindicated to surgery.</w:t>
      </w:r>
    </w:p>
    <w:p w14:paraId="43FF11CA" w14:textId="091DD70C" w:rsidR="00310C3F" w:rsidRDefault="0C127757" w:rsidP="10820A97">
      <w:pPr>
        <w:spacing w:line="257" w:lineRule="auto"/>
        <w:rPr>
          <w:rFonts w:eastAsia="Franklin Gothic Book" w:cs="Franklin Gothic Book"/>
        </w:rPr>
      </w:pPr>
      <w:r w:rsidRPr="10820A97">
        <w:rPr>
          <w:rFonts w:eastAsia="Franklin Gothic Book" w:cs="Franklin Gothic Book"/>
        </w:rPr>
        <w:t xml:space="preserve">At an individual patient level, </w:t>
      </w:r>
      <w:r w:rsidR="00565312" w:rsidRPr="001F0ED6">
        <w:t xml:space="preserve">Re-188 </w:t>
      </w:r>
      <w:r w:rsidRPr="10820A97">
        <w:rPr>
          <w:rFonts w:eastAsia="Franklin Gothic Book" w:cs="Franklin Gothic Book"/>
        </w:rPr>
        <w:t xml:space="preserve">brachytherapy would directly substitute other modalities of radiotherapy, with the two approaches almost never being used consecutively for the same lesion. However, at a population level, it is envisaged that </w:t>
      </w:r>
      <w:r w:rsidR="00565312" w:rsidRPr="001F0ED6">
        <w:t xml:space="preserve">Re-188 </w:t>
      </w:r>
      <w:r w:rsidRPr="10820A97">
        <w:rPr>
          <w:rFonts w:eastAsia="Franklin Gothic Book" w:cs="Franklin Gothic Book"/>
        </w:rPr>
        <w:t xml:space="preserve">brachytherapy would sit permanently alongside other radiation therapy techniques in the management algorithm, as </w:t>
      </w:r>
      <w:r w:rsidR="00D5286E">
        <w:rPr>
          <w:rFonts w:eastAsia="Franklin Gothic Book" w:cs="Franklin Gothic Book"/>
        </w:rPr>
        <w:t xml:space="preserve">an </w:t>
      </w:r>
      <w:r w:rsidRPr="10820A97">
        <w:rPr>
          <w:rFonts w:eastAsia="Franklin Gothic Book" w:cs="Franklin Gothic Book"/>
        </w:rPr>
        <w:t>alternative treatment technique appropriate only in limited specified clinical circumstances.</w:t>
      </w:r>
    </w:p>
    <w:p w14:paraId="5B18B0CE" w14:textId="20FFD35B" w:rsidR="00310C3F" w:rsidRDefault="0C127757" w:rsidP="003841AD">
      <w:pPr>
        <w:pStyle w:val="Instructionaltext"/>
        <w:spacing w:after="0"/>
        <w:jc w:val="center"/>
      </w:pPr>
      <w:r>
        <w:rPr>
          <w:noProof/>
        </w:rPr>
        <w:lastRenderedPageBreak/>
        <w:drawing>
          <wp:inline distT="0" distB="0" distL="0" distR="0" wp14:anchorId="0BCBB020" wp14:editId="297801ED">
            <wp:extent cx="4410075" cy="6262827"/>
            <wp:effectExtent l="0" t="0" r="0" b="0"/>
            <wp:docPr id="1843844962" name="Picture 1843844962" descr="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44962" name="Picture 1843844962" descr="Proposed clinical management algorithm "/>
                    <pic:cNvPicPr/>
                  </pic:nvPicPr>
                  <pic:blipFill>
                    <a:blip r:embed="rId13">
                      <a:extLst>
                        <a:ext uri="{28A0092B-C50C-407E-A947-70E740481C1C}">
                          <a14:useLocalDpi xmlns:a14="http://schemas.microsoft.com/office/drawing/2010/main" val="0"/>
                        </a:ext>
                      </a:extLst>
                    </a:blip>
                    <a:stretch>
                      <a:fillRect/>
                    </a:stretch>
                  </pic:blipFill>
                  <pic:spPr>
                    <a:xfrm>
                      <a:off x="0" y="0"/>
                      <a:ext cx="4448020" cy="6316713"/>
                    </a:xfrm>
                    <a:prstGeom prst="rect">
                      <a:avLst/>
                    </a:prstGeom>
                  </pic:spPr>
                </pic:pic>
              </a:graphicData>
            </a:graphic>
          </wp:inline>
        </w:drawing>
      </w:r>
    </w:p>
    <w:p w14:paraId="5CAF0C58" w14:textId="7709CCA5" w:rsidR="00BE21F6" w:rsidRPr="004A273D" w:rsidRDefault="00127D53" w:rsidP="00127D53">
      <w:pPr>
        <w:pStyle w:val="Caption"/>
        <w:rPr>
          <w:rFonts w:ascii="Times New Roman" w:eastAsiaTheme="minorHAnsi" w:hAnsi="Times New Roman"/>
          <w:sz w:val="24"/>
          <w:szCs w:val="24"/>
          <w:lang w:eastAsia="en-AU"/>
        </w:rPr>
      </w:pPr>
      <w:bookmarkStart w:id="17" w:name="_Ref134704965"/>
      <w:bookmarkStart w:id="18" w:name="_Ref133412508"/>
      <w:r>
        <w:t xml:space="preserve">Figure </w:t>
      </w:r>
      <w:r w:rsidR="00BC1AC8">
        <w:fldChar w:fldCharType="begin"/>
      </w:r>
      <w:r w:rsidR="00BC1AC8">
        <w:instrText xml:space="preserve"> SEQ Figure \* ARABIC </w:instrText>
      </w:r>
      <w:r w:rsidR="00BC1AC8">
        <w:fldChar w:fldCharType="separate"/>
      </w:r>
      <w:r w:rsidR="009228FB">
        <w:rPr>
          <w:noProof/>
        </w:rPr>
        <w:t>2</w:t>
      </w:r>
      <w:r w:rsidR="00BC1AC8">
        <w:rPr>
          <w:noProof/>
        </w:rPr>
        <w:fldChar w:fldCharType="end"/>
      </w:r>
      <w:bookmarkEnd w:id="17"/>
      <w:r>
        <w:t xml:space="preserve"> </w:t>
      </w:r>
      <w:r w:rsidR="7017816B" w:rsidRPr="1F1C482E">
        <w:rPr>
          <w:rFonts w:eastAsia="Franklin Gothic Book" w:cs="Franklin Gothic Book"/>
        </w:rPr>
        <w:t>Proposed clinical management algorithm</w:t>
      </w:r>
      <w:bookmarkEnd w:id="18"/>
      <w:r w:rsidR="7017816B" w:rsidRPr="1F1C482E">
        <w:rPr>
          <w:rFonts w:ascii="Times New Roman" w:hAnsi="Times New Roman"/>
          <w:sz w:val="24"/>
          <w:szCs w:val="24"/>
          <w:lang w:eastAsia="en-AU"/>
        </w:rPr>
        <w:t xml:space="preserve"> </w:t>
      </w:r>
    </w:p>
    <w:p w14:paraId="5918F51E" w14:textId="3B4F3335" w:rsidR="00BE21F6" w:rsidRPr="00EB1069" w:rsidRDefault="00BE21F6" w:rsidP="00781EF6">
      <w:pPr>
        <w:pStyle w:val="Tablenotes"/>
      </w:pPr>
      <w:r w:rsidRPr="00781EF6">
        <w:t>Source: Figure 1-4, page 20 of MSAC 1657 ADAR</w:t>
      </w:r>
      <w:r w:rsidR="004B0E44">
        <w:t xml:space="preserve">+in-line </w:t>
      </w:r>
      <w:r w:rsidR="00552AE3">
        <w:t>c</w:t>
      </w:r>
      <w:r w:rsidR="004B0E44">
        <w:t>ommentary</w:t>
      </w:r>
      <w:r w:rsidR="00B118A7">
        <w:br/>
      </w:r>
      <w:r w:rsidR="008D1967">
        <w:t xml:space="preserve">Abbreviations: </w:t>
      </w:r>
      <w:r w:rsidR="00B118A7">
        <w:t>BCC</w:t>
      </w:r>
      <w:r w:rsidR="00154E78">
        <w:t>=</w:t>
      </w:r>
      <w:r w:rsidR="00154E78" w:rsidRPr="00154E78">
        <w:t xml:space="preserve"> Basal Cell Carcinoma</w:t>
      </w:r>
      <w:r w:rsidR="00B118A7">
        <w:t>; GP</w:t>
      </w:r>
      <w:r w:rsidR="00EA47A8">
        <w:t>=</w:t>
      </w:r>
      <w:r w:rsidR="00EA47A8" w:rsidRPr="00EA47A8">
        <w:t xml:space="preserve"> General Practitioner</w:t>
      </w:r>
      <w:r w:rsidR="00B118A7">
        <w:t>; SCC=</w:t>
      </w:r>
      <w:r w:rsidR="00154E78" w:rsidRPr="00154E78">
        <w:t xml:space="preserve"> Squamous Cell Carcinoma</w:t>
      </w:r>
    </w:p>
    <w:p w14:paraId="66BDFCC1" w14:textId="4BAE3EBC" w:rsidR="00772829" w:rsidRPr="00CE28E3" w:rsidRDefault="00F76D74" w:rsidP="002A18BE">
      <w:pPr>
        <w:pStyle w:val="Heading2"/>
        <w:numPr>
          <w:ilvl w:val="0"/>
          <w:numId w:val="0"/>
        </w:numPr>
      </w:pPr>
      <w:bookmarkStart w:id="19" w:name="_Toc69491420"/>
      <w:r>
        <w:t>8</w:t>
      </w:r>
      <w:r w:rsidR="00C36633">
        <w:t>.</w:t>
      </w:r>
      <w:r w:rsidR="00C36633">
        <w:tab/>
      </w:r>
      <w:r w:rsidR="00772829" w:rsidRPr="00CE28E3">
        <w:t>Comparator</w:t>
      </w:r>
      <w:bookmarkEnd w:id="19"/>
    </w:p>
    <w:p w14:paraId="3B3EBAB8" w14:textId="370BECC3" w:rsidR="005E27A2" w:rsidRDefault="005E27A2" w:rsidP="005E27A2">
      <w:pPr>
        <w:pStyle w:val="Instructionaltext"/>
        <w:rPr>
          <w:color w:val="auto"/>
        </w:rPr>
      </w:pPr>
      <w:r>
        <w:rPr>
          <w:color w:val="auto"/>
        </w:rPr>
        <w:t xml:space="preserve">The comparator in the ratified PICO </w:t>
      </w:r>
      <w:r w:rsidR="00674DEB">
        <w:rPr>
          <w:color w:val="auto"/>
        </w:rPr>
        <w:t xml:space="preserve">confirmation </w:t>
      </w:r>
      <w:r>
        <w:rPr>
          <w:color w:val="auto"/>
        </w:rPr>
        <w:t xml:space="preserve">was </w:t>
      </w:r>
      <w:r w:rsidR="00BC1AEA">
        <w:rPr>
          <w:color w:val="auto"/>
        </w:rPr>
        <w:t>radiation</w:t>
      </w:r>
      <w:r>
        <w:rPr>
          <w:color w:val="auto"/>
        </w:rPr>
        <w:t xml:space="preserve"> therapy which encompassed </w:t>
      </w:r>
      <w:r w:rsidR="00341735">
        <w:rPr>
          <w:color w:val="auto"/>
        </w:rPr>
        <w:t>external beam radiation therapy (EBR</w:t>
      </w:r>
      <w:r w:rsidR="00BC1AEA">
        <w:rPr>
          <w:color w:val="auto"/>
        </w:rPr>
        <w:t>T</w:t>
      </w:r>
      <w:r w:rsidR="00F95030">
        <w:rPr>
          <w:color w:val="auto"/>
        </w:rPr>
        <w:t xml:space="preserve">) </w:t>
      </w:r>
      <w:r w:rsidR="00341735">
        <w:rPr>
          <w:color w:val="auto"/>
        </w:rPr>
        <w:t xml:space="preserve">and brachytherapy. </w:t>
      </w:r>
      <w:r w:rsidR="00EB209D">
        <w:rPr>
          <w:color w:val="auto"/>
        </w:rPr>
        <w:t>R</w:t>
      </w:r>
      <w:r w:rsidR="00EB209D" w:rsidRPr="00D95707">
        <w:rPr>
          <w:color w:val="auto"/>
        </w:rPr>
        <w:t xml:space="preserve">adiation therapy is an effective treatment that is well suited and currently used for primary treatment of the small proportion of </w:t>
      </w:r>
      <w:r w:rsidR="00EB209D" w:rsidRPr="00081764">
        <w:rPr>
          <w:color w:val="auto"/>
        </w:rPr>
        <w:t xml:space="preserve">patients with </w:t>
      </w:r>
      <w:r w:rsidR="00EB209D" w:rsidRPr="00D95707">
        <w:rPr>
          <w:color w:val="auto"/>
        </w:rPr>
        <w:t xml:space="preserve">BCC and SCC that present particular problems for conventional surgery. </w:t>
      </w:r>
    </w:p>
    <w:p w14:paraId="0ECD8B61" w14:textId="5F86BF78" w:rsidR="00EF5BC9" w:rsidRDefault="00F44595" w:rsidP="00A3260E">
      <w:pPr>
        <w:pStyle w:val="Instructionaltext"/>
        <w:keepNext/>
        <w:keepLines/>
        <w:rPr>
          <w:color w:val="auto"/>
        </w:rPr>
      </w:pPr>
      <w:r>
        <w:rPr>
          <w:color w:val="auto"/>
        </w:rPr>
        <w:lastRenderedPageBreak/>
        <w:t xml:space="preserve">The </w:t>
      </w:r>
      <w:r w:rsidR="009114EE">
        <w:rPr>
          <w:color w:val="auto"/>
        </w:rPr>
        <w:t xml:space="preserve">ADAR </w:t>
      </w:r>
      <w:r>
        <w:rPr>
          <w:color w:val="auto"/>
        </w:rPr>
        <w:t>d</w:t>
      </w:r>
      <w:r w:rsidR="002612AA">
        <w:rPr>
          <w:color w:val="auto"/>
        </w:rPr>
        <w:t xml:space="preserve">efined </w:t>
      </w:r>
      <w:r w:rsidR="00EF5BC9">
        <w:rPr>
          <w:color w:val="auto"/>
        </w:rPr>
        <w:t>radiation therapy</w:t>
      </w:r>
      <w:r w:rsidR="006D67FA">
        <w:rPr>
          <w:color w:val="auto"/>
        </w:rPr>
        <w:t xml:space="preserve"> as</w:t>
      </w:r>
      <w:r w:rsidR="00183542">
        <w:t xml:space="preserve"> </w:t>
      </w:r>
      <w:r w:rsidR="00183542" w:rsidRPr="00E972CB">
        <w:rPr>
          <w:color w:val="auto"/>
        </w:rPr>
        <w:t>conventionally fractionated regimen of EBRT</w:t>
      </w:r>
      <w:r w:rsidR="00EF5BC9">
        <w:rPr>
          <w:color w:val="auto"/>
        </w:rPr>
        <w:t xml:space="preserve"> with </w:t>
      </w:r>
      <w:r w:rsidR="007613C0">
        <w:rPr>
          <w:color w:val="auto"/>
        </w:rPr>
        <w:t>either</w:t>
      </w:r>
      <w:r w:rsidR="00EF5BC9">
        <w:rPr>
          <w:color w:val="auto"/>
        </w:rPr>
        <w:t>:</w:t>
      </w:r>
    </w:p>
    <w:p w14:paraId="53E0E073" w14:textId="079C49D5" w:rsidR="002B01DD" w:rsidRDefault="00B53452" w:rsidP="00A3260E">
      <w:pPr>
        <w:pStyle w:val="Instructionaltext"/>
        <w:keepNext/>
        <w:keepLines/>
        <w:numPr>
          <w:ilvl w:val="0"/>
          <w:numId w:val="14"/>
        </w:numPr>
        <w:rPr>
          <w:color w:val="auto"/>
        </w:rPr>
      </w:pPr>
      <w:r>
        <w:rPr>
          <w:color w:val="auto"/>
        </w:rPr>
        <w:t>3D mega</w:t>
      </w:r>
      <w:r w:rsidR="00471C83">
        <w:rPr>
          <w:color w:val="auto"/>
        </w:rPr>
        <w:t xml:space="preserve">voltage </w:t>
      </w:r>
      <w:r w:rsidR="00BC3664">
        <w:rPr>
          <w:color w:val="auto"/>
        </w:rPr>
        <w:t xml:space="preserve">EBRT </w:t>
      </w:r>
      <w:r w:rsidR="00471C83">
        <w:rPr>
          <w:color w:val="auto"/>
        </w:rPr>
        <w:t xml:space="preserve">(termed </w:t>
      </w:r>
      <w:r w:rsidR="00183542" w:rsidRPr="00E972CB">
        <w:rPr>
          <w:color w:val="auto"/>
        </w:rPr>
        <w:t>LINAC</w:t>
      </w:r>
      <w:r w:rsidR="00471C83">
        <w:rPr>
          <w:color w:val="auto"/>
        </w:rPr>
        <w:t xml:space="preserve"> by the ADAR)</w:t>
      </w:r>
      <w:r w:rsidR="00183542" w:rsidRPr="00E972CB">
        <w:rPr>
          <w:color w:val="auto"/>
        </w:rPr>
        <w:t xml:space="preserve"> </w:t>
      </w:r>
      <w:r w:rsidR="00526163">
        <w:rPr>
          <w:color w:val="auto"/>
        </w:rPr>
        <w:t xml:space="preserve">– MBS items </w:t>
      </w:r>
      <w:r w:rsidR="000E060F">
        <w:rPr>
          <w:color w:val="auto"/>
        </w:rPr>
        <w:t xml:space="preserve">15550, </w:t>
      </w:r>
      <w:r w:rsidR="00FA1D02">
        <w:rPr>
          <w:color w:val="auto"/>
        </w:rPr>
        <w:t xml:space="preserve">15562, 15254 and 15700 </w:t>
      </w:r>
      <w:r w:rsidR="00183542" w:rsidRPr="00E972CB">
        <w:rPr>
          <w:color w:val="auto"/>
        </w:rPr>
        <w:t xml:space="preserve">or </w:t>
      </w:r>
    </w:p>
    <w:p w14:paraId="0A5D14D9" w14:textId="0C1E0616" w:rsidR="005B6781" w:rsidRPr="008F02AC" w:rsidRDefault="008F02AC" w:rsidP="002252F8">
      <w:pPr>
        <w:pStyle w:val="Instructionaltext"/>
        <w:numPr>
          <w:ilvl w:val="0"/>
          <w:numId w:val="14"/>
        </w:numPr>
        <w:rPr>
          <w:color w:val="auto"/>
        </w:rPr>
      </w:pPr>
      <w:r w:rsidRPr="008F02AC">
        <w:rPr>
          <w:color w:val="auto"/>
        </w:rPr>
        <w:t>i</w:t>
      </w:r>
      <w:r w:rsidR="007613C0" w:rsidRPr="008F02AC">
        <w:rPr>
          <w:color w:val="auto"/>
        </w:rPr>
        <w:t>ntensity modulated radiation therapy (IMRT) or</w:t>
      </w:r>
      <w:r>
        <w:rPr>
          <w:color w:val="auto"/>
        </w:rPr>
        <w:t xml:space="preserve"> v</w:t>
      </w:r>
      <w:r w:rsidR="007613C0" w:rsidRPr="008F02AC">
        <w:rPr>
          <w:color w:val="auto"/>
        </w:rPr>
        <w:t>olumetric modulated arc therapy (VMAT)</w:t>
      </w:r>
      <w:r w:rsidR="00526163" w:rsidRPr="008F02AC">
        <w:rPr>
          <w:color w:val="auto"/>
        </w:rPr>
        <w:t xml:space="preserve"> – MBS items </w:t>
      </w:r>
      <w:r w:rsidR="00183542" w:rsidRPr="008F02AC">
        <w:rPr>
          <w:color w:val="auto"/>
        </w:rPr>
        <w:t xml:space="preserve">5555, 15565, 15275 </w:t>
      </w:r>
      <w:r w:rsidR="00873F6B" w:rsidRPr="008F02AC">
        <w:rPr>
          <w:color w:val="auto"/>
        </w:rPr>
        <w:t>and</w:t>
      </w:r>
      <w:r w:rsidR="00183542" w:rsidRPr="008F02AC">
        <w:rPr>
          <w:color w:val="auto"/>
        </w:rPr>
        <w:t xml:space="preserve"> 15715</w:t>
      </w:r>
      <w:r w:rsidR="006D67FA" w:rsidRPr="008F02AC">
        <w:rPr>
          <w:color w:val="auto"/>
        </w:rPr>
        <w:t>.</w:t>
      </w:r>
      <w:r w:rsidR="004768C9" w:rsidRPr="008F02AC">
        <w:rPr>
          <w:color w:val="auto"/>
        </w:rPr>
        <w:t xml:space="preserve"> </w:t>
      </w:r>
    </w:p>
    <w:p w14:paraId="7D5A1C8C" w14:textId="11C9146C" w:rsidR="002C4A85" w:rsidRDefault="002C4A85" w:rsidP="00E76AE0">
      <w:pPr>
        <w:pStyle w:val="Instructionaltext"/>
      </w:pPr>
      <w:r>
        <w:rPr>
          <w:color w:val="auto"/>
        </w:rPr>
        <w:t xml:space="preserve">Note: </w:t>
      </w:r>
      <w:r w:rsidRPr="003C2DB8">
        <w:rPr>
          <w:color w:val="auto"/>
        </w:rPr>
        <w:t xml:space="preserve">LINAC (linear accelerator) can be used to deliver </w:t>
      </w:r>
      <w:r w:rsidR="00DC6FDD" w:rsidRPr="003C2DB8">
        <w:rPr>
          <w:color w:val="auto"/>
        </w:rPr>
        <w:t>x-ray</w:t>
      </w:r>
      <w:r w:rsidR="00FF0463">
        <w:rPr>
          <w:color w:val="auto"/>
        </w:rPr>
        <w:t xml:space="preserve"> (photons)</w:t>
      </w:r>
      <w:r w:rsidR="00DC6FDD" w:rsidRPr="003C2DB8">
        <w:rPr>
          <w:color w:val="auto"/>
        </w:rPr>
        <w:t xml:space="preserve"> or electron</w:t>
      </w:r>
      <w:r w:rsidR="00F2031C" w:rsidRPr="003C2DB8">
        <w:rPr>
          <w:color w:val="auto"/>
        </w:rPr>
        <w:t xml:space="preserve"> beam RT, in </w:t>
      </w:r>
      <w:r w:rsidRPr="003C2DB8">
        <w:rPr>
          <w:color w:val="auto"/>
        </w:rPr>
        <w:t xml:space="preserve">2D </w:t>
      </w:r>
      <w:r w:rsidR="00F2031C" w:rsidRPr="003C2DB8">
        <w:rPr>
          <w:color w:val="auto"/>
        </w:rPr>
        <w:t>or 3D at low or high energies (megavoltage)</w:t>
      </w:r>
      <w:r w:rsidR="003F11F4" w:rsidRPr="003C2DB8">
        <w:rPr>
          <w:color w:val="auto"/>
        </w:rPr>
        <w:t xml:space="preserve"> and also</w:t>
      </w:r>
      <w:r w:rsidRPr="003C2DB8">
        <w:rPr>
          <w:color w:val="auto"/>
        </w:rPr>
        <w:t xml:space="preserve"> IMRT/VMAT. Based on the MBS items selected by the ADAR, the ADAR reference to LINAC encompassed 3D megavoltage </w:t>
      </w:r>
      <w:r w:rsidR="009C11FE" w:rsidRPr="003C2DB8">
        <w:rPr>
          <w:color w:val="auto"/>
        </w:rPr>
        <w:t>EBRT</w:t>
      </w:r>
      <w:r w:rsidR="00F30FB2" w:rsidRPr="003C2DB8">
        <w:rPr>
          <w:color w:val="auto"/>
        </w:rPr>
        <w:t>. Therefore, 3D megavoltage has been used throughout this document instead of LINAC</w:t>
      </w:r>
      <w:r w:rsidRPr="003C2DB8">
        <w:rPr>
          <w:color w:val="auto"/>
        </w:rPr>
        <w:t>.</w:t>
      </w:r>
    </w:p>
    <w:p w14:paraId="69011619" w14:textId="6A2134DF" w:rsidR="00310C3F" w:rsidRDefault="0085384A" w:rsidP="00E76AE0">
      <w:pPr>
        <w:pStyle w:val="Instructionaltext"/>
        <w:rPr>
          <w:color w:val="auto"/>
        </w:rPr>
      </w:pPr>
      <w:r>
        <w:rPr>
          <w:color w:val="auto"/>
        </w:rPr>
        <w:t>While the clinical evidence base for EBRT included other EBRT modalities</w:t>
      </w:r>
      <w:r w:rsidR="003F11F4">
        <w:rPr>
          <w:color w:val="auto"/>
        </w:rPr>
        <w:t>,</w:t>
      </w:r>
      <w:r>
        <w:rPr>
          <w:color w:val="auto"/>
        </w:rPr>
        <w:t xml:space="preserve"> such as </w:t>
      </w:r>
      <w:r w:rsidR="006510B5">
        <w:rPr>
          <w:color w:val="auto"/>
        </w:rPr>
        <w:t>superficial or o</w:t>
      </w:r>
      <w:r w:rsidR="006510B5" w:rsidRPr="00D772A3">
        <w:rPr>
          <w:color w:val="auto"/>
        </w:rPr>
        <w:t xml:space="preserve">rthovoltage </w:t>
      </w:r>
      <w:r w:rsidR="006510B5">
        <w:rPr>
          <w:color w:val="auto"/>
        </w:rPr>
        <w:t>x-ray</w:t>
      </w:r>
      <w:r w:rsidR="00995C9F">
        <w:rPr>
          <w:color w:val="auto"/>
        </w:rPr>
        <w:t xml:space="preserve"> EBRT</w:t>
      </w:r>
      <w:r>
        <w:rPr>
          <w:color w:val="auto"/>
        </w:rPr>
        <w:t>, t</w:t>
      </w:r>
      <w:r w:rsidR="00F87B7C">
        <w:rPr>
          <w:color w:val="auto"/>
        </w:rPr>
        <w:t xml:space="preserve">he ADAR did not include </w:t>
      </w:r>
      <w:r w:rsidR="00995C9F">
        <w:rPr>
          <w:color w:val="auto"/>
        </w:rPr>
        <w:t xml:space="preserve">these </w:t>
      </w:r>
      <w:r w:rsidR="004768C9" w:rsidRPr="00D772A3">
        <w:rPr>
          <w:color w:val="auto"/>
        </w:rPr>
        <w:t>EBRT</w:t>
      </w:r>
      <w:r w:rsidR="00C9353C">
        <w:rPr>
          <w:color w:val="auto"/>
        </w:rPr>
        <w:t xml:space="preserve"> modalities</w:t>
      </w:r>
      <w:r w:rsidR="00205A30">
        <w:rPr>
          <w:color w:val="auto"/>
        </w:rPr>
        <w:t xml:space="preserve"> in the economic and financial analysis. </w:t>
      </w:r>
      <w:r w:rsidR="00995C9F">
        <w:rPr>
          <w:color w:val="auto"/>
        </w:rPr>
        <w:t>Superficial and o</w:t>
      </w:r>
      <w:r w:rsidR="00512521">
        <w:rPr>
          <w:color w:val="auto"/>
        </w:rPr>
        <w:t>rthovoltage</w:t>
      </w:r>
      <w:r w:rsidR="00995C9F">
        <w:rPr>
          <w:color w:val="auto"/>
        </w:rPr>
        <w:t xml:space="preserve"> </w:t>
      </w:r>
      <w:r w:rsidR="00885C21">
        <w:rPr>
          <w:color w:val="auto"/>
        </w:rPr>
        <w:t>EBRT</w:t>
      </w:r>
      <w:r w:rsidR="00512521">
        <w:rPr>
          <w:color w:val="auto"/>
        </w:rPr>
        <w:t xml:space="preserve"> is</w:t>
      </w:r>
      <w:r w:rsidR="00EC0915" w:rsidRPr="00D772A3">
        <w:rPr>
          <w:color w:val="auto"/>
        </w:rPr>
        <w:t xml:space="preserve"> </w:t>
      </w:r>
      <w:r w:rsidR="00796412">
        <w:rPr>
          <w:color w:val="auto"/>
        </w:rPr>
        <w:t xml:space="preserve">commonly </w:t>
      </w:r>
      <w:r w:rsidR="004768C9" w:rsidRPr="00D772A3">
        <w:rPr>
          <w:color w:val="auto"/>
        </w:rPr>
        <w:t>used for non-melanomatous skin cancer</w:t>
      </w:r>
      <w:r w:rsidR="005D20B0">
        <w:rPr>
          <w:color w:val="auto"/>
        </w:rPr>
        <w:t xml:space="preserve"> therefore exclusion of orthovoltage from EBRT comparator in the economic and financial analysis may not have been appr</w:t>
      </w:r>
      <w:r w:rsidR="00885C21">
        <w:rPr>
          <w:color w:val="auto"/>
        </w:rPr>
        <w:t>opriate</w:t>
      </w:r>
      <w:r w:rsidR="00E334E4" w:rsidRPr="00D772A3">
        <w:rPr>
          <w:color w:val="auto"/>
        </w:rPr>
        <w:t xml:space="preserve">. </w:t>
      </w:r>
    </w:p>
    <w:p w14:paraId="2D226D95" w14:textId="010ECCB1" w:rsidR="00526163" w:rsidRPr="00F44595" w:rsidRDefault="00204C2E" w:rsidP="00840FE9">
      <w:r>
        <w:t xml:space="preserve">The ADAR </w:t>
      </w:r>
      <w:r w:rsidR="00EF7210">
        <w:t xml:space="preserve">also </w:t>
      </w:r>
      <w:r>
        <w:t>did not include brachytherapy</w:t>
      </w:r>
      <w:r w:rsidR="00C41ED0">
        <w:t xml:space="preserve"> as per the ratified PICO</w:t>
      </w:r>
      <w:r w:rsidR="00674DEB">
        <w:t xml:space="preserve"> confirmation</w:t>
      </w:r>
      <w:r>
        <w:t xml:space="preserve">. </w:t>
      </w:r>
      <w:r w:rsidR="00427F73">
        <w:t>T</w:t>
      </w:r>
      <w:r w:rsidR="00427F73" w:rsidRPr="0046265F">
        <w:t xml:space="preserve">he MBS includes a series of items for external brachytherapy </w:t>
      </w:r>
      <w:r w:rsidR="00993BAE" w:rsidRPr="11265896">
        <w:t xml:space="preserve">for construction and application of a radioactive mould to an external surface and associated planning/verification services </w:t>
      </w:r>
      <w:r w:rsidR="00427F73" w:rsidRPr="0046265F">
        <w:t>that can be used for treatment of keratinocyte cancers (15536, 15351, 15354, 15357 and 15800)</w:t>
      </w:r>
      <w:r w:rsidR="00427F73">
        <w:t>.</w:t>
      </w:r>
      <w:r w:rsidR="0046265F" w:rsidRPr="0046265F">
        <w:t xml:space="preserve"> </w:t>
      </w:r>
      <w:r w:rsidR="00C94807">
        <w:t xml:space="preserve">The ADAR </w:t>
      </w:r>
      <w:r w:rsidR="000C79DA">
        <w:t xml:space="preserve">excluded brachytherapy based on </w:t>
      </w:r>
      <w:r w:rsidR="00564B83">
        <w:t xml:space="preserve">the applicant’s </w:t>
      </w:r>
      <w:r w:rsidR="00C94807">
        <w:t xml:space="preserve">clinical </w:t>
      </w:r>
      <w:r w:rsidR="00564B83">
        <w:t xml:space="preserve">expert </w:t>
      </w:r>
      <w:r w:rsidR="00C94807">
        <w:t xml:space="preserve">advice </w:t>
      </w:r>
      <w:r w:rsidR="000C79DA">
        <w:t xml:space="preserve">that </w:t>
      </w:r>
      <w:r w:rsidR="00C94807">
        <w:t xml:space="preserve">suggested </w:t>
      </w:r>
      <w:r w:rsidR="000C79DA">
        <w:t>the brachytherapy MBS items</w:t>
      </w:r>
      <w:r w:rsidR="002A6AC7">
        <w:t xml:space="preserve"> </w:t>
      </w:r>
      <w:r w:rsidR="00C94807">
        <w:t>were rarely used for the treatment of keratinocyte cancers</w:t>
      </w:r>
      <w:r w:rsidR="00A16522">
        <w:t xml:space="preserve">. </w:t>
      </w:r>
    </w:p>
    <w:p w14:paraId="47BC3A84" w14:textId="62636186" w:rsidR="00772829" w:rsidRPr="00CE28E3" w:rsidRDefault="00F76D74" w:rsidP="002A18BE">
      <w:pPr>
        <w:pStyle w:val="Heading2"/>
        <w:numPr>
          <w:ilvl w:val="1"/>
          <w:numId w:val="0"/>
        </w:numPr>
      </w:pPr>
      <w:bookmarkStart w:id="20" w:name="_Toc69491421"/>
      <w:r>
        <w:t>9</w:t>
      </w:r>
      <w:r w:rsidR="00C36633">
        <w:t>.</w:t>
      </w:r>
      <w:r w:rsidR="00C36633">
        <w:tab/>
      </w:r>
      <w:r w:rsidR="00772829" w:rsidRPr="00CE28E3">
        <w:t xml:space="preserve">Summary of public consultation </w:t>
      </w:r>
      <w:r w:rsidR="0052575D">
        <w:t>input</w:t>
      </w:r>
      <w:bookmarkEnd w:id="20"/>
    </w:p>
    <w:p w14:paraId="7C8D82BD" w14:textId="77777777" w:rsidR="000F35D1" w:rsidRPr="003C2DB8" w:rsidRDefault="000F35D1" w:rsidP="000F35D1">
      <w:r w:rsidRPr="003C2DB8">
        <w:t xml:space="preserve">Consultation feedback was received from the following five organisations, including four (4) medical specialist colleges, one (1) consumer organisation and </w:t>
      </w:r>
      <w:r>
        <w:t>six</w:t>
      </w:r>
      <w:r w:rsidRPr="003C2DB8">
        <w:t xml:space="preserve"> (</w:t>
      </w:r>
      <w:r>
        <w:t>6</w:t>
      </w:r>
      <w:r w:rsidRPr="003C2DB8">
        <w:t>) individual specialist physician</w:t>
      </w:r>
      <w:r>
        <w:t>s</w:t>
      </w:r>
      <w:r w:rsidRPr="003C2DB8">
        <w:t>:</w:t>
      </w:r>
    </w:p>
    <w:p w14:paraId="5BDD9541" w14:textId="77777777" w:rsidR="000F35D1" w:rsidRDefault="000F35D1" w:rsidP="000F35D1">
      <w:pPr>
        <w:pStyle w:val="ListParagraph"/>
        <w:numPr>
          <w:ilvl w:val="0"/>
          <w:numId w:val="20"/>
        </w:numPr>
        <w:rPr>
          <w:rFonts w:eastAsia="Franklin Gothic Book" w:cs="Franklin Gothic Book"/>
        </w:rPr>
      </w:pPr>
      <w:r w:rsidRPr="5AAC7A2C">
        <w:rPr>
          <w:rFonts w:eastAsia="Franklin Gothic Book" w:cs="Franklin Gothic Book"/>
        </w:rPr>
        <w:t xml:space="preserve">Australasian Association of Nuclear Medicine Specialists (AANMS) </w:t>
      </w:r>
    </w:p>
    <w:p w14:paraId="5EB3BD8C" w14:textId="77777777" w:rsidR="000F35D1" w:rsidRDefault="000F35D1" w:rsidP="000F35D1">
      <w:pPr>
        <w:pStyle w:val="ListParagraph"/>
        <w:numPr>
          <w:ilvl w:val="0"/>
          <w:numId w:val="20"/>
        </w:numPr>
        <w:rPr>
          <w:rFonts w:eastAsia="Franklin Gothic Book" w:cs="Franklin Gothic Book"/>
        </w:rPr>
      </w:pPr>
      <w:r w:rsidRPr="5AAC7A2C">
        <w:rPr>
          <w:rFonts w:eastAsia="Franklin Gothic Book" w:cs="Franklin Gothic Book"/>
        </w:rPr>
        <w:t xml:space="preserve">Australasian College of Dermatologists (ACD) </w:t>
      </w:r>
    </w:p>
    <w:p w14:paraId="307B8305" w14:textId="77777777" w:rsidR="000F35D1" w:rsidRDefault="000F35D1" w:rsidP="000F35D1">
      <w:pPr>
        <w:pStyle w:val="ListParagraph"/>
        <w:numPr>
          <w:ilvl w:val="0"/>
          <w:numId w:val="20"/>
        </w:numPr>
        <w:rPr>
          <w:rFonts w:eastAsia="Franklin Gothic Book" w:cs="Franklin Gothic Book"/>
        </w:rPr>
      </w:pPr>
      <w:r w:rsidRPr="5AAC7A2C">
        <w:rPr>
          <w:rFonts w:eastAsia="Franklin Gothic Book" w:cs="Franklin Gothic Book"/>
        </w:rPr>
        <w:t xml:space="preserve">Australian Society of Plastic Surgeons (ASPS)  </w:t>
      </w:r>
    </w:p>
    <w:p w14:paraId="0D5E2485" w14:textId="77777777" w:rsidR="000F35D1" w:rsidRDefault="000F35D1" w:rsidP="000F35D1">
      <w:pPr>
        <w:pStyle w:val="ListParagraph"/>
        <w:numPr>
          <w:ilvl w:val="0"/>
          <w:numId w:val="20"/>
        </w:numPr>
        <w:rPr>
          <w:rFonts w:eastAsia="Franklin Gothic Book" w:cs="Franklin Gothic Book"/>
        </w:rPr>
      </w:pPr>
      <w:r w:rsidRPr="5AAC7A2C">
        <w:rPr>
          <w:rFonts w:eastAsia="Franklin Gothic Book" w:cs="Franklin Gothic Book"/>
        </w:rPr>
        <w:t>Melanoma and Skin Cancer Advocacy Network (MSCAN)</w:t>
      </w:r>
    </w:p>
    <w:p w14:paraId="6FABC3A7" w14:textId="77777777" w:rsidR="000F35D1" w:rsidRDefault="000F35D1" w:rsidP="000F35D1">
      <w:pPr>
        <w:pStyle w:val="ListParagraph"/>
        <w:numPr>
          <w:ilvl w:val="0"/>
          <w:numId w:val="20"/>
        </w:numPr>
        <w:rPr>
          <w:rFonts w:eastAsia="Franklin Gothic Book" w:cs="Franklin Gothic Book"/>
        </w:rPr>
      </w:pPr>
      <w:r w:rsidRPr="5AAC7A2C">
        <w:rPr>
          <w:rFonts w:eastAsia="Franklin Gothic Book" w:cs="Franklin Gothic Book"/>
        </w:rPr>
        <w:t>Royal Australian and New Zealand College of Radiologists (RANZCR)</w:t>
      </w:r>
      <w:r>
        <w:rPr>
          <w:rFonts w:eastAsia="Franklin Gothic Book" w:cs="Franklin Gothic Book"/>
        </w:rPr>
        <w:t>.</w:t>
      </w:r>
    </w:p>
    <w:p w14:paraId="2B7DC67F" w14:textId="58B03532" w:rsidR="000F35D1" w:rsidRPr="003C2DB8" w:rsidRDefault="000F35D1" w:rsidP="000F35D1">
      <w:r w:rsidRPr="003C2DB8">
        <w:t>MSCAN was broadly supportive of the application, while ACD, ASPS and RANZCR were broadly not supportive of the application. AANMS supported the application for the intended purpose but considered the application had been mis-titled with the inclusion of the word ‘brachytherapy’</w:t>
      </w:r>
      <w:r>
        <w:t>. Further, AANMS also noted that the supporting evidence remains limited and is awaiting the results of the EPIC</w:t>
      </w:r>
      <w:r w:rsidR="008F7028">
        <w:t>-Skin study</w:t>
      </w:r>
      <w:r w:rsidRPr="003C2DB8">
        <w:t xml:space="preserve">.  </w:t>
      </w:r>
    </w:p>
    <w:p w14:paraId="1334AE1C" w14:textId="77777777" w:rsidR="000F35D1" w:rsidRPr="003C2DB8" w:rsidRDefault="000F35D1" w:rsidP="000F35D1">
      <w:r w:rsidRPr="003C2DB8">
        <w:t xml:space="preserve">The benefits of the proposed medical service for patients were considered to be: </w:t>
      </w:r>
    </w:p>
    <w:p w14:paraId="670835F2" w14:textId="77777777" w:rsidR="000F35D1" w:rsidRDefault="000F35D1" w:rsidP="000F35D1">
      <w:pPr>
        <w:pStyle w:val="ListParagraph"/>
        <w:numPr>
          <w:ilvl w:val="0"/>
          <w:numId w:val="19"/>
        </w:numPr>
        <w:rPr>
          <w:rFonts w:eastAsia="Franklin Gothic Book" w:cs="Franklin Gothic Book"/>
        </w:rPr>
      </w:pPr>
      <w:r w:rsidRPr="5AAC7A2C">
        <w:rPr>
          <w:rFonts w:eastAsia="Franklin Gothic Book" w:cs="Franklin Gothic Book"/>
        </w:rPr>
        <w:t xml:space="preserve">shorter treatment times meaning less time away from home, family, and work, particularly as the proposed intervention only requires one treatment </w:t>
      </w:r>
    </w:p>
    <w:p w14:paraId="410A7395" w14:textId="77777777" w:rsidR="000F35D1" w:rsidRDefault="000F35D1" w:rsidP="000F35D1">
      <w:pPr>
        <w:pStyle w:val="ListParagraph"/>
        <w:numPr>
          <w:ilvl w:val="0"/>
          <w:numId w:val="19"/>
        </w:numPr>
        <w:rPr>
          <w:rFonts w:eastAsia="Franklin Gothic Book" w:cs="Franklin Gothic Book"/>
        </w:rPr>
      </w:pPr>
      <w:r w:rsidRPr="5AAC7A2C">
        <w:rPr>
          <w:rFonts w:eastAsia="Franklin Gothic Book" w:cs="Franklin Gothic Book"/>
        </w:rPr>
        <w:t xml:space="preserve">it can be delivered without anaesthetic in an outpatient setting, </w:t>
      </w:r>
    </w:p>
    <w:p w14:paraId="4900FFD5" w14:textId="77777777" w:rsidR="000F35D1" w:rsidRDefault="000F35D1" w:rsidP="000F35D1">
      <w:pPr>
        <w:pStyle w:val="ListParagraph"/>
        <w:numPr>
          <w:ilvl w:val="0"/>
          <w:numId w:val="19"/>
        </w:numPr>
        <w:rPr>
          <w:rFonts w:eastAsia="Franklin Gothic Book" w:cs="Franklin Gothic Book"/>
        </w:rPr>
      </w:pPr>
      <w:r w:rsidRPr="5AAC7A2C">
        <w:rPr>
          <w:rFonts w:eastAsia="Franklin Gothic Book" w:cs="Franklin Gothic Book"/>
        </w:rPr>
        <w:t xml:space="preserve">the proposed intervention is a non-invasive pain-free alternative to surgery, particularly for thin lesions, or where surgery would be considered disfiguring, too difficult or not tolerated, especially on sensitive parts of the face, or BCC’s in very hard to treat areas, </w:t>
      </w:r>
    </w:p>
    <w:p w14:paraId="46636D03" w14:textId="77777777" w:rsidR="000F35D1" w:rsidRDefault="000F35D1" w:rsidP="000F35D1">
      <w:pPr>
        <w:pStyle w:val="ListParagraph"/>
        <w:numPr>
          <w:ilvl w:val="0"/>
          <w:numId w:val="19"/>
        </w:numPr>
        <w:rPr>
          <w:rFonts w:eastAsia="Franklin Gothic Book" w:cs="Franklin Gothic Book"/>
        </w:rPr>
      </w:pPr>
      <w:r>
        <w:rPr>
          <w:rFonts w:eastAsia="Franklin Gothic Book" w:cs="Franklin Gothic Book"/>
        </w:rPr>
        <w:t>it has a good cosmetic result,</w:t>
      </w:r>
    </w:p>
    <w:p w14:paraId="6F59F5BC" w14:textId="77777777" w:rsidR="000F35D1" w:rsidRDefault="000F35D1" w:rsidP="000F35D1">
      <w:pPr>
        <w:pStyle w:val="ListParagraph"/>
        <w:numPr>
          <w:ilvl w:val="0"/>
          <w:numId w:val="19"/>
        </w:numPr>
        <w:rPr>
          <w:rFonts w:eastAsia="Franklin Gothic Book" w:cs="Franklin Gothic Book"/>
        </w:rPr>
      </w:pPr>
      <w:r w:rsidRPr="5AAC7A2C">
        <w:rPr>
          <w:rFonts w:eastAsia="Franklin Gothic Book" w:cs="Franklin Gothic Book"/>
        </w:rPr>
        <w:t xml:space="preserve">it appears to have a rapid turnaround from decision to treat to treatment. </w:t>
      </w:r>
    </w:p>
    <w:p w14:paraId="693531D8" w14:textId="77777777" w:rsidR="000F35D1" w:rsidRPr="003C2DB8" w:rsidRDefault="000F35D1" w:rsidP="000F35D1">
      <w:r w:rsidRPr="003C2DB8">
        <w:lastRenderedPageBreak/>
        <w:t>MSCAN further stated that publicly funding the proposed intervention would increase access, while ensuring service delivery at a competitive and fair price and reduce public skin cancer waiting lists.</w:t>
      </w:r>
      <w:r>
        <w:t xml:space="preserve"> </w:t>
      </w:r>
    </w:p>
    <w:p w14:paraId="38C611BF" w14:textId="77777777" w:rsidR="000F35D1" w:rsidRPr="003C2DB8" w:rsidRDefault="000F35D1" w:rsidP="000F35D1">
      <w:r w:rsidRPr="003C2DB8">
        <w:t xml:space="preserve">There were many disadvantages and concerns raised in the consultation feedback in regard to the proposed intervention such as: </w:t>
      </w:r>
    </w:p>
    <w:p w14:paraId="21A3A3E8"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the application provided insufficient evidence of safety and efficacy for the proposed intervention including the durability of treatment, recurrence rates, long-term side effects/risks, and does not appear to provide a benefit over established radiation therapy technology,</w:t>
      </w:r>
    </w:p>
    <w:p w14:paraId="1DD3B4C1"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the studies in the application are mainly retrospective and very small, with the potential for conflict of interests for clinicians employed or paid by the technology-supplier, and the absence of randomised head-to-head comparison of the proposed treatment with the standard of care, </w:t>
      </w:r>
    </w:p>
    <w:p w14:paraId="5DCA0FCD"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the radiation safety and protection of patients and healthcare providers, </w:t>
      </w:r>
    </w:p>
    <w:p w14:paraId="2BCD1473"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risk of exceeding lifetime radiation limits in case of retreatments, </w:t>
      </w:r>
    </w:p>
    <w:p w14:paraId="7596459C"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adherence to procedures related to precise documentation of treated areas and administered radiation dose, </w:t>
      </w:r>
    </w:p>
    <w:p w14:paraId="20F9569A" w14:textId="77777777" w:rsidR="000F35D1" w:rsidRDefault="000F35D1" w:rsidP="000F35D1">
      <w:pPr>
        <w:pStyle w:val="ListParagraph"/>
        <w:numPr>
          <w:ilvl w:val="0"/>
          <w:numId w:val="18"/>
        </w:numPr>
        <w:rPr>
          <w:rFonts w:eastAsia="Franklin Gothic Book" w:cs="Franklin Gothic Book"/>
        </w:rPr>
      </w:pPr>
      <w:r>
        <w:rPr>
          <w:rFonts w:eastAsia="Franklin Gothic Book" w:cs="Franklin Gothic Book"/>
        </w:rPr>
        <w:t>most</w:t>
      </w:r>
      <w:r w:rsidRPr="009E3867">
        <w:rPr>
          <w:rFonts w:eastAsia="Franklin Gothic Book" w:cs="Franklin Gothic Book"/>
        </w:rPr>
        <w:t xml:space="preserve"> thin tumours are </w:t>
      </w:r>
      <w:r>
        <w:rPr>
          <w:rFonts w:eastAsia="Franklin Gothic Book" w:cs="Franklin Gothic Book"/>
        </w:rPr>
        <w:t xml:space="preserve">easily and </w:t>
      </w:r>
      <w:r w:rsidRPr="009E3867">
        <w:rPr>
          <w:rFonts w:eastAsia="Franklin Gothic Book" w:cs="Franklin Gothic Book"/>
        </w:rPr>
        <w:t>effectively treated by other modalities especially surgery</w:t>
      </w:r>
      <w:r>
        <w:rPr>
          <w:rFonts w:eastAsia="Franklin Gothic Book" w:cs="Franklin Gothic Book"/>
        </w:rPr>
        <w:t xml:space="preserve"> and the theoretical benefit of avoiding surgery due to concerns with general anaesthesia may not be realised as most surgeries for small thin lesions can be done under local anaesthesia,</w:t>
      </w:r>
    </w:p>
    <w:p w14:paraId="187C1F33" w14:textId="77777777" w:rsidR="000F35D1" w:rsidRPr="009E3867" w:rsidRDefault="000F35D1" w:rsidP="000F35D1">
      <w:pPr>
        <w:pStyle w:val="ListParagraph"/>
        <w:numPr>
          <w:ilvl w:val="0"/>
          <w:numId w:val="18"/>
        </w:numPr>
        <w:rPr>
          <w:rFonts w:eastAsia="Franklin Gothic Book" w:cs="Franklin Gothic Book"/>
        </w:rPr>
      </w:pPr>
      <w:r w:rsidRPr="009E3867">
        <w:rPr>
          <w:rFonts w:eastAsia="Franklin Gothic Book" w:cs="Franklin Gothic Book"/>
        </w:rPr>
        <w:t>the treatment i</w:t>
      </w:r>
      <w:r>
        <w:rPr>
          <w:rFonts w:eastAsia="Franklin Gothic Book" w:cs="Franklin Gothic Book"/>
        </w:rPr>
        <w:t>s i</w:t>
      </w:r>
      <w:r w:rsidRPr="009E3867">
        <w:rPr>
          <w:rFonts w:eastAsia="Franklin Gothic Book" w:cs="Franklin Gothic Book"/>
        </w:rPr>
        <w:t>ncorrectly describe</w:t>
      </w:r>
      <w:r>
        <w:rPr>
          <w:rFonts w:eastAsia="Franklin Gothic Book" w:cs="Franklin Gothic Book"/>
        </w:rPr>
        <w:t>d</w:t>
      </w:r>
      <w:r w:rsidRPr="009E3867">
        <w:rPr>
          <w:rFonts w:eastAsia="Franklin Gothic Book" w:cs="Franklin Gothic Book"/>
        </w:rPr>
        <w:t xml:space="preserve"> as ‘non-invasive’</w:t>
      </w:r>
      <w:r>
        <w:rPr>
          <w:rFonts w:eastAsia="Franklin Gothic Book" w:cs="Franklin Gothic Book"/>
        </w:rPr>
        <w:t xml:space="preserve">, </w:t>
      </w:r>
      <w:r w:rsidRPr="009E3867">
        <w:rPr>
          <w:rFonts w:eastAsia="Franklin Gothic Book" w:cs="Franklin Gothic Book"/>
        </w:rPr>
        <w:t>Rhenium-188 therapy is still radiotherapy</w:t>
      </w:r>
      <w:r>
        <w:rPr>
          <w:rFonts w:eastAsia="Franklin Gothic Book" w:cs="Franklin Gothic Book"/>
        </w:rPr>
        <w:t xml:space="preserve"> with potential for l</w:t>
      </w:r>
      <w:r w:rsidRPr="009E3867">
        <w:rPr>
          <w:rFonts w:eastAsia="Franklin Gothic Book" w:cs="Franklin Gothic Book"/>
        </w:rPr>
        <w:t>ong-term consequences</w:t>
      </w:r>
      <w:r>
        <w:rPr>
          <w:rFonts w:eastAsia="Franklin Gothic Book" w:cs="Franklin Gothic Book"/>
        </w:rPr>
        <w:t>,</w:t>
      </w:r>
      <w:r w:rsidRPr="009E3867">
        <w:rPr>
          <w:rFonts w:eastAsia="Franklin Gothic Book" w:cs="Franklin Gothic Book"/>
        </w:rPr>
        <w:t xml:space="preserve"> </w:t>
      </w:r>
    </w:p>
    <w:p w14:paraId="6CC5A56A" w14:textId="77777777" w:rsidR="000F35D1" w:rsidRPr="002C4339"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the proposed treatment could have technical disadvantages including in regard to </w:t>
      </w:r>
      <w:r>
        <w:rPr>
          <w:rFonts w:eastAsia="Franklin Gothic Book" w:cs="Franklin Gothic Book"/>
        </w:rPr>
        <w:t>the</w:t>
      </w:r>
      <w:r w:rsidRPr="5AAC7A2C">
        <w:rPr>
          <w:rFonts w:eastAsia="Franklin Gothic Book" w:cs="Franklin Gothic Book"/>
        </w:rPr>
        <w:t xml:space="preserve"> cost</w:t>
      </w:r>
      <w:r>
        <w:rPr>
          <w:rFonts w:eastAsia="Franklin Gothic Book" w:cs="Franklin Gothic Book"/>
        </w:rPr>
        <w:t xml:space="preserve"> of the actual product and disposal of the nuclear waste</w:t>
      </w:r>
      <w:r w:rsidRPr="5AAC7A2C">
        <w:rPr>
          <w:rFonts w:eastAsia="Franklin Gothic Book" w:cs="Franklin Gothic Book"/>
        </w:rPr>
        <w:t>,</w:t>
      </w:r>
    </w:p>
    <w:p w14:paraId="7567D50E" w14:textId="77777777"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high dose-rate brachytherapy may cause an acute radiation skin reaction in the weeks following the treatment and that there is potential for significant long-term toxicity, </w:t>
      </w:r>
    </w:p>
    <w:p w14:paraId="2B657C8A" w14:textId="5508D6DC" w:rsidR="000F35D1" w:rsidRDefault="000F35D1" w:rsidP="000F35D1">
      <w:pPr>
        <w:pStyle w:val="ListParagraph"/>
        <w:numPr>
          <w:ilvl w:val="0"/>
          <w:numId w:val="18"/>
        </w:numPr>
        <w:rPr>
          <w:rFonts w:eastAsia="Franklin Gothic Book" w:cs="Franklin Gothic Book"/>
        </w:rPr>
      </w:pPr>
      <w:r w:rsidRPr="5AAC7A2C">
        <w:rPr>
          <w:rFonts w:eastAsia="Franklin Gothic Book" w:cs="Franklin Gothic Book"/>
        </w:rPr>
        <w:t xml:space="preserve">the proposed intervention does not appear to provide improved radiation dose-distributions or dose-rates compared with current radiation oncology techniques such as standard dual modality </w:t>
      </w:r>
      <w:r>
        <w:rPr>
          <w:rFonts w:eastAsia="Franklin Gothic Book" w:cs="Franklin Gothic Book"/>
        </w:rPr>
        <w:t>LINAC</w:t>
      </w:r>
      <w:r w:rsidRPr="5AAC7A2C">
        <w:rPr>
          <w:rFonts w:eastAsia="Franklin Gothic Book" w:cs="Franklin Gothic Book"/>
        </w:rPr>
        <w:t>s, High Dose-Rate (HDR) afterloaders or Superficial X-Rays (SXR)</w:t>
      </w:r>
      <w:r w:rsidR="00500CC2">
        <w:rPr>
          <w:rFonts w:eastAsia="Franklin Gothic Book" w:cs="Franklin Gothic Book"/>
        </w:rPr>
        <w:t>,</w:t>
      </w:r>
    </w:p>
    <w:p w14:paraId="6F6776BF" w14:textId="77777777" w:rsidR="000F35D1" w:rsidRDefault="000F35D1" w:rsidP="000F35D1">
      <w:pPr>
        <w:pStyle w:val="ListParagraph"/>
        <w:numPr>
          <w:ilvl w:val="0"/>
          <w:numId w:val="18"/>
        </w:numPr>
        <w:rPr>
          <w:rFonts w:eastAsia="Franklin Gothic Book" w:cs="Franklin Gothic Book"/>
        </w:rPr>
      </w:pPr>
      <w:r w:rsidRPr="009E3867">
        <w:rPr>
          <w:rFonts w:eastAsia="Franklin Gothic Book" w:cs="Franklin Gothic Book"/>
        </w:rPr>
        <w:t xml:space="preserve">the proposed setting </w:t>
      </w:r>
      <w:r>
        <w:rPr>
          <w:rFonts w:eastAsia="Franklin Gothic Book" w:cs="Franklin Gothic Book"/>
        </w:rPr>
        <w:t>is limited to</w:t>
      </w:r>
      <w:r w:rsidRPr="009E3867">
        <w:rPr>
          <w:rFonts w:eastAsia="Franklin Gothic Book" w:cs="Franklin Gothic Book"/>
        </w:rPr>
        <w:t xml:space="preserve"> accredited nuclear medicine facilities in public and private hospitals</w:t>
      </w:r>
      <w:r w:rsidRPr="5AAC7A2C">
        <w:rPr>
          <w:rFonts w:eastAsia="Franklin Gothic Book" w:cs="Franklin Gothic Book"/>
        </w:rPr>
        <w:t xml:space="preserve">. </w:t>
      </w:r>
    </w:p>
    <w:p w14:paraId="6F437B90" w14:textId="34D673C9" w:rsidR="000F35D1" w:rsidRDefault="000F35D1" w:rsidP="000F35D1">
      <w:r>
        <w:t>The feedback mostly supported the comparator nominated in the application, which was subsequently defined in the ratified PICO confirmation as radiation therapy, encompassing external beam radiation therapy and brachytherapy. However, RANZCR considered the main comparator would be superficial/orthovoltage radiation therapy as the application is for treatment of lesions less than 3mm thickness. RANZCR also noted that low energy electrons delivered using a LINAC would also be a viable alternative. Further, it is unlikely that VMAT would be a comparator except in difficult sites such as the scalp.</w:t>
      </w:r>
    </w:p>
    <w:p w14:paraId="0AE83F06" w14:textId="77777777" w:rsidR="000F35D1" w:rsidRDefault="000F35D1" w:rsidP="000F35D1">
      <w:r>
        <w:t>ACD considered that g</w:t>
      </w:r>
      <w:r w:rsidRPr="009E3867">
        <w:t>iven the radiation protection considerations for provision of this treatment, the proposed setting of accredited nuclear medicine facilities in public and private hospitals is appropriate.</w:t>
      </w:r>
      <w:r>
        <w:t xml:space="preserve"> </w:t>
      </w:r>
      <w:r w:rsidRPr="003C2DB8">
        <w:t xml:space="preserve">RANZCR considered that the proposed treatment delivery in accredited nuclear medicine facilities in specialist hospitals could restrict patient access to treatment, especially as it would be difficult to offer the treatment regularly in regional, rural, and remote locations. This could result in treatment delays and negatively impact patients. MSCAN agreed with this, stating that they were interested to know whether treatment facilities would be limited to metropolitan areas, and that they advocate for equitable access for Australians living in rural and regional </w:t>
      </w:r>
      <w:r w:rsidRPr="003C2DB8">
        <w:lastRenderedPageBreak/>
        <w:t>Australia.</w:t>
      </w:r>
      <w:r>
        <w:t xml:space="preserve"> AANMS noted that </w:t>
      </w:r>
      <w:r w:rsidRPr="009E3867">
        <w:t xml:space="preserve">limiting treatment to comprehensive nuclear medicine facilities </w:t>
      </w:r>
      <w:r>
        <w:t>would</w:t>
      </w:r>
      <w:r w:rsidRPr="009E3867">
        <w:t xml:space="preserve"> provide the highest level of safety</w:t>
      </w:r>
      <w:r>
        <w:t>, however considered there</w:t>
      </w:r>
      <w:r w:rsidRPr="009E3867">
        <w:t xml:space="preserve"> </w:t>
      </w:r>
      <w:r>
        <w:t>c</w:t>
      </w:r>
      <w:r w:rsidRPr="009E3867">
        <w:t xml:space="preserve">ould be restrictions in place </w:t>
      </w:r>
      <w:r>
        <w:t>initially which are</w:t>
      </w:r>
      <w:r w:rsidRPr="009E3867">
        <w:t xml:space="preserve"> reviewed after a comprehensive safety profile has been developed.</w:t>
      </w:r>
    </w:p>
    <w:p w14:paraId="0AC67877" w14:textId="77777777" w:rsidR="000F35D1" w:rsidRDefault="000F35D1" w:rsidP="000F35D1">
      <w:r>
        <w:t xml:space="preserve">The individual specialists were </w:t>
      </w:r>
      <w:r w:rsidRPr="009E3867">
        <w:t>particularly concerned with the proposal to target lesions in high</w:t>
      </w:r>
      <w:r>
        <w:t>-</w:t>
      </w:r>
      <w:r w:rsidRPr="009E3867">
        <w:t xml:space="preserve">risk sites such as the lip. </w:t>
      </w:r>
      <w:r>
        <w:t>They considered that</w:t>
      </w:r>
      <w:r w:rsidRPr="009E3867">
        <w:t xml:space="preserve"> it would be impossible to gain informed consent as there is insufficient data to inform the patients </w:t>
      </w:r>
      <w:r>
        <w:t>about the</w:t>
      </w:r>
      <w:r w:rsidRPr="009E3867">
        <w:t xml:space="preserve"> efficacy and safety relative to other widely available treatment modalities.</w:t>
      </w:r>
    </w:p>
    <w:p w14:paraId="7B0811F1" w14:textId="77777777" w:rsidR="000F35D1" w:rsidRDefault="000F35D1" w:rsidP="000F35D1">
      <w:r>
        <w:t xml:space="preserve">AANMS considered that the </w:t>
      </w:r>
      <w:r w:rsidRPr="009E3867">
        <w:t xml:space="preserve">referral pathway and </w:t>
      </w:r>
      <w:r>
        <w:t>proposed M</w:t>
      </w:r>
      <w:r w:rsidRPr="009E3867">
        <w:t xml:space="preserve">edicare descriptors </w:t>
      </w:r>
      <w:r>
        <w:t>should allow access for</w:t>
      </w:r>
      <w:r w:rsidRPr="009E3867">
        <w:t xml:space="preserve"> GPs who specialise in skin cancer. </w:t>
      </w:r>
      <w:r>
        <w:t>Particularly as t</w:t>
      </w:r>
      <w:r w:rsidRPr="009E3867">
        <w:t>his may incur additional cost</w:t>
      </w:r>
      <w:r>
        <w:t>s</w:t>
      </w:r>
      <w:r w:rsidRPr="009E3867">
        <w:t xml:space="preserve"> </w:t>
      </w:r>
      <w:r>
        <w:t>and limit access for the patients if</w:t>
      </w:r>
      <w:r w:rsidRPr="009E3867">
        <w:t xml:space="preserve"> referral to dermatologists and plastic surgeons</w:t>
      </w:r>
      <w:r>
        <w:t xml:space="preserve"> is required</w:t>
      </w:r>
      <w:r w:rsidRPr="009E3867">
        <w:t>. Current practice allows for direct referral from GP to radiation oncologists for assessment of appropriateness of treatment.</w:t>
      </w:r>
      <w:r>
        <w:t xml:space="preserve"> AANMS also consider that </w:t>
      </w:r>
      <w:r w:rsidRPr="009E3867">
        <w:t>the radiation specialist involved should be actively and directly involved in the application of the material</w:t>
      </w:r>
      <w:r>
        <w:t>.</w:t>
      </w:r>
    </w:p>
    <w:p w14:paraId="03C7A1F1" w14:textId="5C515622" w:rsidR="00772829" w:rsidRPr="00CE28E3" w:rsidRDefault="00F76D74" w:rsidP="002A18BE">
      <w:pPr>
        <w:pStyle w:val="Heading2"/>
        <w:numPr>
          <w:ilvl w:val="0"/>
          <w:numId w:val="0"/>
        </w:numPr>
      </w:pPr>
      <w:bookmarkStart w:id="21" w:name="_Toc69491422"/>
      <w:r>
        <w:t>10</w:t>
      </w:r>
      <w:r w:rsidR="00C36633">
        <w:t>.</w:t>
      </w:r>
      <w:r w:rsidR="00C36633">
        <w:tab/>
      </w:r>
      <w:r w:rsidR="00772829" w:rsidRPr="00CE28E3">
        <w:t>Characteristics of the evidence base</w:t>
      </w:r>
      <w:bookmarkEnd w:id="21"/>
    </w:p>
    <w:p w14:paraId="656EDB39" w14:textId="77777777" w:rsidR="009B08F9" w:rsidRDefault="00C909D2" w:rsidP="007B36B4">
      <w:r>
        <w:t xml:space="preserve">No direct evidence comparing safety and effectiveness of Re-188 brachytherapy with EBRT in patients with BCC and SCC were identified. </w:t>
      </w:r>
    </w:p>
    <w:p w14:paraId="3A799BE8" w14:textId="77777777" w:rsidR="009B08F9" w:rsidRDefault="009B08F9" w:rsidP="00D45F20">
      <w:pPr>
        <w:pStyle w:val="Heading3"/>
      </w:pPr>
      <w:r>
        <w:t>Characteristics of the evidence for Re-188 brachytherapy</w:t>
      </w:r>
    </w:p>
    <w:p w14:paraId="03D949FC" w14:textId="6496ECEC" w:rsidR="00FF3DCF" w:rsidRDefault="0048489C" w:rsidP="007B36B4">
      <w:r>
        <w:t xml:space="preserve">The ADAR included five single arm </w:t>
      </w:r>
      <w:r w:rsidR="00163B36">
        <w:t>studies</w:t>
      </w:r>
      <w:r w:rsidR="00CD3543">
        <w:t xml:space="preserve"> evaluating Re</w:t>
      </w:r>
      <w:r w:rsidR="00E94631">
        <w:t xml:space="preserve">-188 brachytherapy in </w:t>
      </w:r>
      <w:r w:rsidR="00920512">
        <w:t>BCC and SCC</w:t>
      </w:r>
      <w:r w:rsidR="00D503F3">
        <w:t>.</w:t>
      </w:r>
      <w:r w:rsidR="00D503F3" w:rsidRPr="00D503F3">
        <w:t xml:space="preserve"> </w:t>
      </w:r>
      <w:r w:rsidR="00D503F3">
        <w:t xml:space="preserve">Key features of the relevant evidence base are summarised in </w:t>
      </w:r>
      <w:r w:rsidR="007A2BB8">
        <w:fldChar w:fldCharType="begin"/>
      </w:r>
      <w:r w:rsidR="007A2BB8">
        <w:instrText xml:space="preserve"> REF _Ref134000277 \h </w:instrText>
      </w:r>
      <w:r w:rsidR="007A2BB8">
        <w:fldChar w:fldCharType="separate"/>
      </w:r>
      <w:r w:rsidR="009228FB">
        <w:t xml:space="preserve">Table </w:t>
      </w:r>
      <w:r w:rsidR="009228FB">
        <w:rPr>
          <w:noProof/>
        </w:rPr>
        <w:t>4</w:t>
      </w:r>
      <w:r w:rsidR="007A2BB8">
        <w:fldChar w:fldCharType="end"/>
      </w:r>
      <w:r w:rsidR="00C63642">
        <w:t>.</w:t>
      </w:r>
      <w:r w:rsidR="00D70CD1">
        <w:t xml:space="preserve"> Risk of bias for the included studies was re-assessed in the </w:t>
      </w:r>
      <w:r w:rsidR="007B25EE">
        <w:t>c</w:t>
      </w:r>
      <w:r w:rsidR="00D70CD1">
        <w:t>ommentary using Newcastle Ottawa Scale because the ADAR did not use an appropriate assessment tool.</w:t>
      </w:r>
      <w:r w:rsidR="00C63642">
        <w:t xml:space="preserve"> All five single arm studies had applicability issues</w:t>
      </w:r>
      <w:r w:rsidR="00AD3CC5">
        <w:t>.</w:t>
      </w:r>
      <w:r w:rsidR="00AD3CC5" w:rsidRPr="00AD3CC5">
        <w:t xml:space="preserve"> </w:t>
      </w:r>
      <w:r w:rsidR="004F3ECB">
        <w:t xml:space="preserve">Studies included patients that had single or multiple lesions. </w:t>
      </w:r>
      <w:r w:rsidR="00AD3CC5" w:rsidRPr="00AD3CC5">
        <w:t>In</w:t>
      </w:r>
      <w:r w:rsidR="001C6FC5">
        <w:t xml:space="preserve"> four</w:t>
      </w:r>
      <w:r w:rsidR="00AD3CC5" w:rsidRPr="00AD3CC5">
        <w:t xml:space="preserve"> studies that reported lesion size area, a proportion of patients (</w:t>
      </w:r>
      <w:r w:rsidR="007933D2">
        <w:t>percentage</w:t>
      </w:r>
      <w:r w:rsidR="00AD3CC5" w:rsidRPr="00AD3CC5">
        <w:t xml:space="preserve"> not always estimable) had lesion surface area larger than the surface area specified in the </w:t>
      </w:r>
      <w:r w:rsidR="00674DEB">
        <w:t xml:space="preserve">ratified </w:t>
      </w:r>
      <w:r w:rsidR="00470440" w:rsidRPr="11265896">
        <w:t>PICO</w:t>
      </w:r>
      <w:r w:rsidR="00674DEB">
        <w:t xml:space="preserve"> confirmation</w:t>
      </w:r>
      <w:r w:rsidR="00470440">
        <w:t xml:space="preserve"> </w:t>
      </w:r>
      <w:r w:rsidR="00546924">
        <w:t>(</w:t>
      </w:r>
      <w:r w:rsidR="00AD3CC5" w:rsidRPr="00546924">
        <w:t>&gt;</w:t>
      </w:r>
      <w:r w:rsidR="008E5DBB">
        <w:t xml:space="preserve"> </w:t>
      </w:r>
      <w:r w:rsidR="00AD3CC5" w:rsidRPr="00546924">
        <w:t>8.0 cm</w:t>
      </w:r>
      <w:r w:rsidR="00AD3CC5" w:rsidRPr="00A80ED6">
        <w:rPr>
          <w:vertAlign w:val="superscript"/>
        </w:rPr>
        <w:t>2</w:t>
      </w:r>
      <w:r w:rsidR="00AD3CC5" w:rsidRPr="00AD3CC5">
        <w:t>)</w:t>
      </w:r>
      <w:r w:rsidR="00380E5C">
        <w:t xml:space="preserve">. </w:t>
      </w:r>
      <w:r w:rsidR="00AA55EE" w:rsidRPr="00AA55EE">
        <w:t>Studies also included patients where previous treatments had failed or they refused surgery in addition to patients who had contraindications to surgery.</w:t>
      </w:r>
      <w:r w:rsidR="004F3D54">
        <w:t xml:space="preserve"> </w:t>
      </w:r>
      <w:r w:rsidR="00702A0F">
        <w:t>In o</w:t>
      </w:r>
      <w:r w:rsidR="000079CA">
        <w:t>ne study</w:t>
      </w:r>
      <w:r w:rsidR="00F10616">
        <w:rPr>
          <w:rStyle w:val="FootnoteReference"/>
        </w:rPr>
        <w:footnoteReference w:id="4"/>
      </w:r>
      <w:r w:rsidR="00702A0F">
        <w:t xml:space="preserve"> which evaluated 15 patients, </w:t>
      </w:r>
      <w:r w:rsidR="003E060C">
        <w:t xml:space="preserve">lesions of </w:t>
      </w:r>
      <w:r w:rsidR="005E3382">
        <w:t>nine</w:t>
      </w:r>
      <w:r w:rsidR="003E060C">
        <w:t xml:space="preserve"> patients were classified as </w:t>
      </w:r>
      <w:r w:rsidR="00785CE8">
        <w:t>SCC</w:t>
      </w:r>
      <w:r w:rsidR="00785CE8" w:rsidRPr="00785CE8">
        <w:rPr>
          <w:i/>
          <w:iCs/>
        </w:rPr>
        <w:t xml:space="preserve"> in situ</w:t>
      </w:r>
      <w:r w:rsidR="006E01D8">
        <w:t xml:space="preserve"> (T</w:t>
      </w:r>
      <w:r w:rsidR="00F07997">
        <w:t>is</w:t>
      </w:r>
      <w:r w:rsidR="00012DD5">
        <w:t xml:space="preserve">). These </w:t>
      </w:r>
      <w:r w:rsidR="00946171">
        <w:t xml:space="preserve">lesions </w:t>
      </w:r>
      <w:r w:rsidR="00012DD5">
        <w:t xml:space="preserve">are referred to as Bowen’s </w:t>
      </w:r>
      <w:r w:rsidR="00946171">
        <w:t>disease</w:t>
      </w:r>
      <w:r w:rsidR="00F10616">
        <w:t xml:space="preserve"> </w:t>
      </w:r>
      <w:r w:rsidR="00946171">
        <w:t xml:space="preserve">and </w:t>
      </w:r>
      <w:r w:rsidR="006F46C1">
        <w:t>are</w:t>
      </w:r>
      <w:r w:rsidR="00B27002">
        <w:t xml:space="preserve"> out of scope for the ADAR. </w:t>
      </w:r>
      <w:r w:rsidR="00347144">
        <w:t xml:space="preserve">Very few outcomes were reported across the included studies. </w:t>
      </w:r>
    </w:p>
    <w:p w14:paraId="1305D62B" w14:textId="1EA03F2C" w:rsidR="008452B9" w:rsidRDefault="008452B9" w:rsidP="008452B9">
      <w:r>
        <w:t>Four of the included studies, on Re-188 brachytherapy, were conducted at a single hospital, S.</w:t>
      </w:r>
      <w:r w:rsidR="00075A90">
        <w:t> </w:t>
      </w:r>
      <w:r>
        <w:t xml:space="preserve">Eugenio Hospital, Rome </w:t>
      </w:r>
      <w:r w:rsidRPr="00991A5A">
        <w:t>(Carrozzo et al. 2013, Sedda et al. 2008, Cipriani et al. 2017, Cipriani et al. 2020).</w:t>
      </w:r>
      <w:r>
        <w:t xml:space="preserve"> </w:t>
      </w:r>
      <w:r w:rsidR="004B31EC">
        <w:t>The commentary noted that n</w:t>
      </w:r>
      <w:r>
        <w:t xml:space="preserve">ot enough information </w:t>
      </w:r>
      <w:r w:rsidR="004B31EC">
        <w:t>was</w:t>
      </w:r>
      <w:r>
        <w:t xml:space="preserve"> available in the study articles to determine if the populations analysed in studies conducted at S. Eugenio Hospital in Rome are completely unique and independent of each other. There were some differences in the described populations and treatments within these studies, but also similarities in years the treatment was delivered (not reported for Sedda et al. 2008 and Cipriani et al. 2017) and follow-up duration. </w:t>
      </w:r>
    </w:p>
    <w:p w14:paraId="01652410" w14:textId="61F5F5C1" w:rsidR="008452B9" w:rsidRDefault="008452B9" w:rsidP="008452B9">
      <w:r>
        <w:t>Castellucci et al. 2021 was the best reported and the most applicable study for the ADAR.</w:t>
      </w:r>
    </w:p>
    <w:p w14:paraId="0B32C658" w14:textId="04A43788" w:rsidR="00185C86" w:rsidRDefault="000750EA" w:rsidP="007B36B4">
      <w:r>
        <w:lastRenderedPageBreak/>
        <w:t xml:space="preserve">The ADAR noted that a manuscript for an </w:t>
      </w:r>
      <w:r w:rsidR="009240A5">
        <w:t xml:space="preserve">unpublished </w:t>
      </w:r>
      <w:r w:rsidR="009240A5" w:rsidRPr="00261497">
        <w:t>study</w:t>
      </w:r>
      <w:r w:rsidR="00413E1C">
        <w:rPr>
          <w:rStyle w:val="FootnoteReference"/>
        </w:rPr>
        <w:footnoteReference w:id="5"/>
      </w:r>
      <w:r w:rsidR="009240A5">
        <w:t xml:space="preserve"> </w:t>
      </w:r>
      <w:r>
        <w:t>was available but did n</w:t>
      </w:r>
      <w:r w:rsidR="00F56D77">
        <w:t>ot incorpora</w:t>
      </w:r>
      <w:r>
        <w:t>te it</w:t>
      </w:r>
      <w:r w:rsidR="00F56D77">
        <w:t xml:space="preserve"> into the ADAR</w:t>
      </w:r>
      <w:r w:rsidR="00185C86" w:rsidRPr="00185C86">
        <w:t xml:space="preserve"> </w:t>
      </w:r>
      <w:r>
        <w:t xml:space="preserve">due to late availability of this data. The study </w:t>
      </w:r>
      <w:r w:rsidR="00185C86" w:rsidRPr="00185C86">
        <w:t xml:space="preserve">was reviewed </w:t>
      </w:r>
      <w:r>
        <w:t xml:space="preserve">in </w:t>
      </w:r>
      <w:r w:rsidR="00185C86" w:rsidRPr="00185C86">
        <w:t xml:space="preserve">the </w:t>
      </w:r>
      <w:r w:rsidR="007B25EE">
        <w:t>c</w:t>
      </w:r>
      <w:r w:rsidR="00185C86" w:rsidRPr="00185C86">
        <w:t>ommentary, and it was determined that its addition to the evidence base would not affect the clinical conclusions as it was of similar quality, applicability and reporting to the evidence base presented in the ADAR.</w:t>
      </w:r>
    </w:p>
    <w:p w14:paraId="7DE28EE5" w14:textId="4A50C8E0" w:rsidR="003D3D96" w:rsidRDefault="003D3D96" w:rsidP="003D3D96">
      <w:r>
        <w:t>The applicant’s pre-ESC response provided interim statistical analysis an ongoing international trial phase IV open label single-arm study (the EPIC</w:t>
      </w:r>
      <w:r w:rsidR="009228FB">
        <w:t>-Skin</w:t>
      </w:r>
      <w:r>
        <w:t xml:space="preserve"> study</w:t>
      </w:r>
      <w:r w:rsidR="0040538B">
        <w:rPr>
          <w:rStyle w:val="FootnoteReference"/>
        </w:rPr>
        <w:footnoteReference w:id="6"/>
      </w:r>
      <w:r>
        <w:t>) with recruitment sites in Australia. The study (N=182) aims to evaluate the response to Re-188 brachytherapy in patients with non-melanoma skin cancer</w:t>
      </w:r>
      <w:r w:rsidR="0032211A">
        <w:t xml:space="preserve"> (</w:t>
      </w:r>
      <w:r>
        <w:t>80% of patients had BCC</w:t>
      </w:r>
      <w:r w:rsidR="0032211A">
        <w:t xml:space="preserve"> and</w:t>
      </w:r>
      <w:r>
        <w:t xml:space="preserve"> 20% had SCC</w:t>
      </w:r>
      <w:r w:rsidR="0032211A">
        <w:t>)</w:t>
      </w:r>
      <w:r>
        <w:t xml:space="preserve">. </w:t>
      </w:r>
    </w:p>
    <w:p w14:paraId="5C66A806" w14:textId="7F2EDCDE" w:rsidR="00413E1C" w:rsidRPr="00F9075C" w:rsidRDefault="00027E6C" w:rsidP="00F9075C">
      <w:pPr>
        <w:spacing w:before="0" w:after="240" w:line="240" w:lineRule="auto"/>
        <w:rPr>
          <w:rFonts w:eastAsia="Times New Roman" w:cs="Times New Roman"/>
          <w:color w:val="000000"/>
          <w:szCs w:val="20"/>
          <w:lang w:eastAsia="en-AU"/>
        </w:rPr>
      </w:pPr>
      <w:r>
        <w:t xml:space="preserve">During the PICO confirmation stage, </w:t>
      </w:r>
      <w:r w:rsidR="00F5337F" w:rsidRPr="00F5337F">
        <w:t xml:space="preserve">the </w:t>
      </w:r>
      <w:r w:rsidR="00E01031">
        <w:t>a</w:t>
      </w:r>
      <w:r w:rsidR="00F5337F">
        <w:t xml:space="preserve">pplicant stated </w:t>
      </w:r>
      <w:r w:rsidR="00F5337F" w:rsidRPr="00F5337F">
        <w:t>inten</w:t>
      </w:r>
      <w:r w:rsidR="00F5337F">
        <w:t>tion</w:t>
      </w:r>
      <w:r w:rsidR="00F5337F" w:rsidRPr="00F5337F">
        <w:t>s to establish an international registry for keratinocyte cancers, which will include an Australian component to allow a better understanding of disease epidemiology as well the utility of Re-188 brachytherapy in its treatment.</w:t>
      </w:r>
      <w:r w:rsidR="00F5337F">
        <w:t xml:space="preserve"> Patients from the EPIC</w:t>
      </w:r>
      <w:r w:rsidR="009228FB">
        <w:t>-Skin</w:t>
      </w:r>
      <w:r w:rsidR="00F5337F">
        <w:t xml:space="preserve"> study would also be included in the registry. </w:t>
      </w:r>
      <w:r w:rsidR="00F9075C">
        <w:t>N</w:t>
      </w:r>
      <w:r w:rsidR="00F9075C" w:rsidRPr="00DC2288">
        <w:rPr>
          <w:rFonts w:eastAsia="Times New Roman" w:cs="Times New Roman"/>
          <w:color w:val="000000"/>
          <w:szCs w:val="20"/>
          <w:lang w:eastAsia="en-AU"/>
        </w:rPr>
        <w:t xml:space="preserve">o Australian registry data were </w:t>
      </w:r>
      <w:r w:rsidR="00F9075C">
        <w:rPr>
          <w:rFonts w:eastAsia="Times New Roman" w:cs="Times New Roman"/>
          <w:color w:val="000000"/>
          <w:szCs w:val="20"/>
          <w:lang w:eastAsia="en-AU"/>
        </w:rPr>
        <w:t>available from the registry</w:t>
      </w:r>
      <w:r w:rsidR="00F9075C" w:rsidRPr="00DC2288">
        <w:rPr>
          <w:rFonts w:eastAsia="Times New Roman" w:cs="Times New Roman"/>
          <w:color w:val="000000"/>
          <w:szCs w:val="20"/>
          <w:lang w:eastAsia="en-AU"/>
        </w:rPr>
        <w:t xml:space="preserve"> to inform the assessment of Re-188 brachytherapy.</w:t>
      </w:r>
      <w:r w:rsidR="00F9075C">
        <w:rPr>
          <w:rFonts w:eastAsia="Times New Roman" w:cs="Times New Roman"/>
          <w:color w:val="000000"/>
          <w:szCs w:val="20"/>
          <w:lang w:eastAsia="en-AU"/>
        </w:rPr>
        <w:t xml:space="preserve"> The pre-ESC response noted that work on the registry was initially delayed by work on the EPIC</w:t>
      </w:r>
      <w:r w:rsidR="009228FB">
        <w:rPr>
          <w:rFonts w:eastAsia="Times New Roman" w:cs="Times New Roman"/>
          <w:color w:val="000000"/>
          <w:szCs w:val="20"/>
          <w:lang w:eastAsia="en-AU"/>
        </w:rPr>
        <w:t>-Skin</w:t>
      </w:r>
      <w:r w:rsidR="00F9075C">
        <w:rPr>
          <w:rFonts w:eastAsia="Times New Roman" w:cs="Times New Roman"/>
          <w:color w:val="000000"/>
          <w:szCs w:val="20"/>
          <w:lang w:eastAsia="en-AU"/>
        </w:rPr>
        <w:t xml:space="preserve"> study but has now recommenced.</w:t>
      </w:r>
    </w:p>
    <w:p w14:paraId="2AB151CE" w14:textId="43DC3E0A" w:rsidR="00867AC2" w:rsidRPr="00360C9D" w:rsidRDefault="00867AC2" w:rsidP="00867AC2">
      <w:pPr>
        <w:pStyle w:val="Caption"/>
        <w:keepNext w:val="0"/>
      </w:pPr>
      <w:bookmarkStart w:id="22" w:name="_Ref133847268"/>
      <w:bookmarkStart w:id="23" w:name="_Ref134000277"/>
      <w:bookmarkStart w:id="24" w:name="_Ref134000075"/>
      <w:r>
        <w:t>Table</w:t>
      </w:r>
      <w:bookmarkEnd w:id="22"/>
      <w:r>
        <w:t xml:space="preserve"> </w:t>
      </w:r>
      <w:r>
        <w:fldChar w:fldCharType="begin"/>
      </w:r>
      <w:r>
        <w:instrText>SEQ Table \* ARABIC</w:instrText>
      </w:r>
      <w:r>
        <w:fldChar w:fldCharType="separate"/>
      </w:r>
      <w:r w:rsidR="009228FB">
        <w:rPr>
          <w:noProof/>
        </w:rPr>
        <w:t>4</w:t>
      </w:r>
      <w:r>
        <w:fldChar w:fldCharType="end"/>
      </w:r>
      <w:bookmarkEnd w:id="23"/>
      <w:r>
        <w:t xml:space="preserve">  </w:t>
      </w:r>
      <w:r w:rsidRPr="00CE28E3">
        <w:t xml:space="preserve">Key features of the included </w:t>
      </w:r>
      <w:r w:rsidRPr="00360C9D">
        <w:t xml:space="preserve">evidence </w:t>
      </w:r>
      <w:r>
        <w:t>on Re-188 brachytherapy in patients with keratinocyte cancer</w:t>
      </w:r>
    </w:p>
    <w:tbl>
      <w:tblPr>
        <w:tblStyle w:val="TableGrid"/>
        <w:tblW w:w="5000" w:type="pct"/>
        <w:tblLayout w:type="fixed"/>
        <w:tblLook w:val="04A0" w:firstRow="1" w:lastRow="0" w:firstColumn="1" w:lastColumn="0" w:noHBand="0" w:noVBand="1"/>
      </w:tblPr>
      <w:tblGrid>
        <w:gridCol w:w="1102"/>
        <w:gridCol w:w="846"/>
        <w:gridCol w:w="1167"/>
        <w:gridCol w:w="566"/>
        <w:gridCol w:w="1417"/>
        <w:gridCol w:w="1518"/>
        <w:gridCol w:w="1055"/>
        <w:gridCol w:w="1345"/>
      </w:tblGrid>
      <w:tr w:rsidR="00867AC2" w:rsidRPr="00CE28E3" w14:paraId="5903C840" w14:textId="77777777" w:rsidTr="00516466">
        <w:tc>
          <w:tcPr>
            <w:tcW w:w="611" w:type="pct"/>
          </w:tcPr>
          <w:p w14:paraId="6F9C10C4" w14:textId="77777777" w:rsidR="00867AC2" w:rsidRPr="00CE28E3" w:rsidRDefault="00867AC2" w:rsidP="00935EEE">
            <w:pPr>
              <w:pStyle w:val="In-tableHeading"/>
              <w:keepNext w:val="0"/>
            </w:pPr>
            <w:r w:rsidRPr="00CE28E3">
              <w:t>References</w:t>
            </w:r>
          </w:p>
        </w:tc>
        <w:tc>
          <w:tcPr>
            <w:tcW w:w="469" w:type="pct"/>
          </w:tcPr>
          <w:p w14:paraId="513C339A" w14:textId="77777777" w:rsidR="00867AC2" w:rsidRPr="00CE28E3" w:rsidRDefault="00867AC2" w:rsidP="00935EEE">
            <w:pPr>
              <w:pStyle w:val="In-tableHeading"/>
              <w:keepNext w:val="0"/>
              <w:jc w:val="center"/>
            </w:pPr>
            <w:r>
              <w:t>No. of patients</w:t>
            </w:r>
          </w:p>
        </w:tc>
        <w:tc>
          <w:tcPr>
            <w:tcW w:w="647" w:type="pct"/>
          </w:tcPr>
          <w:p w14:paraId="0D94734A" w14:textId="77777777" w:rsidR="00867AC2" w:rsidRPr="00CE28E3" w:rsidRDefault="00867AC2" w:rsidP="00935EEE">
            <w:pPr>
              <w:pStyle w:val="In-tableHeading"/>
              <w:keepNext w:val="0"/>
              <w:jc w:val="center"/>
            </w:pPr>
            <w:r w:rsidRPr="00CE28E3">
              <w:t>Design/</w:t>
            </w:r>
            <w:r>
              <w:t xml:space="preserve"> </w:t>
            </w:r>
            <w:r w:rsidRPr="00CE28E3">
              <w:t>duration</w:t>
            </w:r>
          </w:p>
        </w:tc>
        <w:tc>
          <w:tcPr>
            <w:tcW w:w="314" w:type="pct"/>
          </w:tcPr>
          <w:p w14:paraId="13179748" w14:textId="77777777" w:rsidR="00867AC2" w:rsidRPr="00CE28E3" w:rsidRDefault="00867AC2" w:rsidP="00935EEE">
            <w:pPr>
              <w:pStyle w:val="In-tableHeading"/>
              <w:keepNext w:val="0"/>
              <w:jc w:val="center"/>
            </w:pPr>
            <w:r w:rsidRPr="00CE28E3">
              <w:t>Risk of bias</w:t>
            </w:r>
          </w:p>
        </w:tc>
        <w:tc>
          <w:tcPr>
            <w:tcW w:w="786" w:type="pct"/>
          </w:tcPr>
          <w:p w14:paraId="0B135DE1" w14:textId="77777777" w:rsidR="00867AC2" w:rsidRPr="00CE28E3" w:rsidRDefault="00867AC2" w:rsidP="00935EEE">
            <w:pPr>
              <w:pStyle w:val="In-tableHeading"/>
              <w:keepNext w:val="0"/>
              <w:jc w:val="center"/>
            </w:pPr>
            <w:r w:rsidRPr="00CE28E3">
              <w:t>Patient population</w:t>
            </w:r>
          </w:p>
        </w:tc>
        <w:tc>
          <w:tcPr>
            <w:tcW w:w="842" w:type="pct"/>
          </w:tcPr>
          <w:p w14:paraId="0105477A" w14:textId="77777777" w:rsidR="00867AC2" w:rsidRPr="00CE28E3" w:rsidRDefault="00867AC2" w:rsidP="00935EEE">
            <w:pPr>
              <w:pStyle w:val="In-tableHeading"/>
              <w:keepNext w:val="0"/>
              <w:jc w:val="center"/>
            </w:pPr>
            <w:r>
              <w:t>Surface area and thickness</w:t>
            </w:r>
          </w:p>
        </w:tc>
        <w:tc>
          <w:tcPr>
            <w:tcW w:w="585" w:type="pct"/>
          </w:tcPr>
          <w:p w14:paraId="4293B26A" w14:textId="77777777" w:rsidR="00867AC2" w:rsidRPr="00CE28E3" w:rsidRDefault="00867AC2" w:rsidP="00935EEE">
            <w:pPr>
              <w:pStyle w:val="In-tableHeading"/>
              <w:keepNext w:val="0"/>
              <w:jc w:val="center"/>
            </w:pPr>
            <w:r>
              <w:t>No. of treatments</w:t>
            </w:r>
          </w:p>
        </w:tc>
        <w:tc>
          <w:tcPr>
            <w:tcW w:w="746" w:type="pct"/>
          </w:tcPr>
          <w:p w14:paraId="373074F6" w14:textId="77777777" w:rsidR="00867AC2" w:rsidRPr="00CE28E3" w:rsidRDefault="00867AC2" w:rsidP="00935EEE">
            <w:pPr>
              <w:pStyle w:val="In-tableHeading"/>
              <w:keepNext w:val="0"/>
              <w:jc w:val="center"/>
            </w:pPr>
            <w:r w:rsidRPr="00CE28E3">
              <w:t>Outcome(s)</w:t>
            </w:r>
          </w:p>
        </w:tc>
      </w:tr>
      <w:tr w:rsidR="00867AC2" w:rsidRPr="00CE28E3" w14:paraId="3F938360" w14:textId="77777777" w:rsidTr="00516466">
        <w:tc>
          <w:tcPr>
            <w:tcW w:w="611" w:type="pct"/>
          </w:tcPr>
          <w:p w14:paraId="012612A6" w14:textId="77777777" w:rsidR="00867AC2" w:rsidRPr="00CE28E3" w:rsidRDefault="00867AC2" w:rsidP="00935EEE">
            <w:pPr>
              <w:pStyle w:val="TableText"/>
              <w:spacing w:before="0" w:after="0"/>
              <w:rPr>
                <w:lang w:val="en-US"/>
              </w:rPr>
            </w:pPr>
            <w:r>
              <w:rPr>
                <w:lang w:val="en-US"/>
              </w:rPr>
              <w:t>Castellucci 2021</w:t>
            </w:r>
            <w:r>
              <w:rPr>
                <w:rStyle w:val="FootnoteReference"/>
                <w:lang w:val="en-US"/>
              </w:rPr>
              <w:footnoteReference w:id="7"/>
            </w:r>
          </w:p>
        </w:tc>
        <w:tc>
          <w:tcPr>
            <w:tcW w:w="469" w:type="pct"/>
          </w:tcPr>
          <w:p w14:paraId="2CA62427" w14:textId="32D986AB" w:rsidR="00867AC2" w:rsidRPr="00CE28E3" w:rsidRDefault="002207A0" w:rsidP="00935EEE">
            <w:pPr>
              <w:pStyle w:val="TableText"/>
              <w:spacing w:before="0" w:after="0"/>
              <w:jc w:val="center"/>
              <w:rPr>
                <w:lang w:val="en-US"/>
              </w:rPr>
            </w:pPr>
            <w:r>
              <w:rPr>
                <w:lang w:val="en-US"/>
              </w:rPr>
              <w:t>54</w:t>
            </w:r>
          </w:p>
        </w:tc>
        <w:tc>
          <w:tcPr>
            <w:tcW w:w="647" w:type="pct"/>
          </w:tcPr>
          <w:p w14:paraId="7CC5A855" w14:textId="77777777" w:rsidR="00867AC2" w:rsidRDefault="00867AC2" w:rsidP="00935EEE">
            <w:pPr>
              <w:pStyle w:val="TableText"/>
              <w:spacing w:before="0" w:after="0"/>
              <w:jc w:val="center"/>
              <w:rPr>
                <w:lang w:val="en-US"/>
              </w:rPr>
            </w:pPr>
            <w:r>
              <w:rPr>
                <w:lang w:val="en-US"/>
              </w:rPr>
              <w:t>Single arm, prospective</w:t>
            </w:r>
          </w:p>
          <w:p w14:paraId="45D7CB1D" w14:textId="77777777" w:rsidR="00867AC2" w:rsidRPr="00CE28E3" w:rsidRDefault="00867AC2" w:rsidP="00935EEE">
            <w:pPr>
              <w:pStyle w:val="TableText"/>
              <w:spacing w:before="0" w:after="0"/>
              <w:jc w:val="center"/>
              <w:rPr>
                <w:lang w:val="en-US"/>
              </w:rPr>
            </w:pPr>
            <w:r>
              <w:rPr>
                <w:lang w:val="en-US"/>
              </w:rPr>
              <w:t>Follow-up: 33 months</w:t>
            </w:r>
          </w:p>
        </w:tc>
        <w:tc>
          <w:tcPr>
            <w:tcW w:w="314" w:type="pct"/>
          </w:tcPr>
          <w:p w14:paraId="0297EDEE" w14:textId="77777777" w:rsidR="00867AC2" w:rsidRPr="00E312E7" w:rsidRDefault="00867AC2" w:rsidP="00935EEE">
            <w:pPr>
              <w:pStyle w:val="TableText"/>
              <w:spacing w:before="0" w:after="0"/>
              <w:jc w:val="center"/>
              <w:rPr>
                <w:iCs/>
                <w:lang w:val="en-US"/>
              </w:rPr>
            </w:pPr>
            <w:r w:rsidRPr="00E312E7">
              <w:rPr>
                <w:iCs/>
                <w:lang w:val="en-US"/>
              </w:rPr>
              <w:t>Fair</w:t>
            </w:r>
          </w:p>
        </w:tc>
        <w:tc>
          <w:tcPr>
            <w:tcW w:w="786" w:type="pct"/>
          </w:tcPr>
          <w:p w14:paraId="198F8780" w14:textId="77777777" w:rsidR="00867AC2" w:rsidRPr="00CE28E3" w:rsidRDefault="00867AC2" w:rsidP="00935EEE">
            <w:pPr>
              <w:pStyle w:val="TableText"/>
              <w:spacing w:before="0" w:after="0"/>
              <w:jc w:val="center"/>
              <w:rPr>
                <w:lang w:val="en-US"/>
              </w:rPr>
            </w:pPr>
            <w:r>
              <w:rPr>
                <w:lang w:val="en-US"/>
              </w:rPr>
              <w:t>BCC and/or SCC of the scalp, face, ears, fingers or another area where surgery or radiotherapy were difficult.</w:t>
            </w:r>
          </w:p>
        </w:tc>
        <w:tc>
          <w:tcPr>
            <w:tcW w:w="842" w:type="pct"/>
          </w:tcPr>
          <w:p w14:paraId="324DEA48" w14:textId="77777777" w:rsidR="00867AC2" w:rsidRDefault="00867AC2" w:rsidP="00935EEE">
            <w:pPr>
              <w:pStyle w:val="TableText"/>
              <w:spacing w:before="0" w:after="0"/>
              <w:jc w:val="center"/>
              <w:rPr>
                <w:lang w:val="en-US"/>
              </w:rPr>
            </w:pPr>
            <w:r>
              <w:rPr>
                <w:lang w:val="en-US"/>
              </w:rPr>
              <w:t>Surface area, m</w:t>
            </w:r>
            <w:r w:rsidRPr="000B411C">
              <w:rPr>
                <w:lang w:val="en-US"/>
              </w:rPr>
              <w:t xml:space="preserve">ean </w:t>
            </w:r>
            <w:r>
              <w:rPr>
                <w:lang w:val="en-US"/>
              </w:rPr>
              <w:t>(range) =</w:t>
            </w:r>
            <w:r w:rsidRPr="000B411C">
              <w:rPr>
                <w:lang w:val="en-US"/>
              </w:rPr>
              <w:t xml:space="preserve"> 7.0 cm</w:t>
            </w:r>
            <w:r w:rsidRPr="005E2D86">
              <w:rPr>
                <w:vertAlign w:val="superscript"/>
                <w:lang w:val="en-US"/>
              </w:rPr>
              <w:t>2</w:t>
            </w:r>
            <w:r w:rsidRPr="000B411C">
              <w:rPr>
                <w:lang w:val="en-US"/>
              </w:rPr>
              <w:t xml:space="preserve"> (1–36 cm</w:t>
            </w:r>
            <w:r w:rsidRPr="005E2D86">
              <w:rPr>
                <w:vertAlign w:val="superscript"/>
                <w:lang w:val="en-US"/>
              </w:rPr>
              <w:t>2</w:t>
            </w:r>
            <w:r w:rsidRPr="000B411C">
              <w:rPr>
                <w:lang w:val="en-US"/>
              </w:rPr>
              <w:t>),</w:t>
            </w:r>
          </w:p>
          <w:p w14:paraId="7221A026" w14:textId="77777777" w:rsidR="00867AC2" w:rsidRDefault="00867AC2" w:rsidP="00935EEE">
            <w:pPr>
              <w:pStyle w:val="TableText"/>
              <w:spacing w:before="0" w:after="0"/>
              <w:jc w:val="center"/>
              <w:rPr>
                <w:lang w:val="en-US"/>
              </w:rPr>
            </w:pPr>
            <w:r>
              <w:rPr>
                <w:lang w:val="en-US"/>
              </w:rPr>
              <w:t xml:space="preserve">Thickness, </w:t>
            </w:r>
            <w:r w:rsidRPr="000B411C">
              <w:rPr>
                <w:lang w:val="en-US"/>
              </w:rPr>
              <w:t>mean</w:t>
            </w:r>
            <w:r>
              <w:rPr>
                <w:lang w:val="en-US"/>
              </w:rPr>
              <w:t xml:space="preserve"> (range) =</w:t>
            </w:r>
            <w:r w:rsidRPr="000B411C">
              <w:rPr>
                <w:lang w:val="en-US"/>
              </w:rPr>
              <w:t xml:space="preserve"> 1.1 mm (0.2–2.5 mm)</w:t>
            </w:r>
          </w:p>
        </w:tc>
        <w:tc>
          <w:tcPr>
            <w:tcW w:w="585" w:type="pct"/>
          </w:tcPr>
          <w:p w14:paraId="0F09C366" w14:textId="77777777" w:rsidR="00867AC2" w:rsidRDefault="00867AC2" w:rsidP="00935EEE">
            <w:pPr>
              <w:pStyle w:val="TableText"/>
              <w:spacing w:before="0" w:after="0"/>
              <w:jc w:val="center"/>
              <w:rPr>
                <w:lang w:val="en-US"/>
              </w:rPr>
            </w:pPr>
            <w:r>
              <w:rPr>
                <w:lang w:val="en-US"/>
              </w:rPr>
              <w:t>1 treatment</w:t>
            </w:r>
          </w:p>
        </w:tc>
        <w:tc>
          <w:tcPr>
            <w:tcW w:w="746" w:type="pct"/>
          </w:tcPr>
          <w:p w14:paraId="0499E19F" w14:textId="77777777" w:rsidR="00867AC2" w:rsidRDefault="00867AC2" w:rsidP="00935EEE">
            <w:pPr>
              <w:pStyle w:val="TableText"/>
              <w:spacing w:before="0" w:after="0"/>
              <w:jc w:val="center"/>
              <w:rPr>
                <w:lang w:val="en-US"/>
              </w:rPr>
            </w:pPr>
            <w:r>
              <w:rPr>
                <w:lang w:val="en-US"/>
              </w:rPr>
              <w:t>Response to therapy</w:t>
            </w:r>
          </w:p>
          <w:p w14:paraId="1E7141C4" w14:textId="77777777" w:rsidR="00867AC2" w:rsidRDefault="00867AC2" w:rsidP="00935EEE">
            <w:pPr>
              <w:pStyle w:val="TableText"/>
              <w:spacing w:before="0" w:after="0"/>
              <w:jc w:val="center"/>
              <w:rPr>
                <w:lang w:val="en-US"/>
              </w:rPr>
            </w:pPr>
            <w:r>
              <w:rPr>
                <w:lang w:val="en-US"/>
              </w:rPr>
              <w:t>Early skin toxicity</w:t>
            </w:r>
          </w:p>
          <w:p w14:paraId="79F4CE19" w14:textId="77777777" w:rsidR="00867AC2" w:rsidRPr="00CE28E3" w:rsidRDefault="00867AC2" w:rsidP="00935EEE">
            <w:pPr>
              <w:pStyle w:val="TableText"/>
              <w:spacing w:before="0" w:after="0"/>
              <w:jc w:val="center"/>
              <w:rPr>
                <w:lang w:val="en-US"/>
              </w:rPr>
            </w:pPr>
            <w:r>
              <w:rPr>
                <w:lang w:val="en-US"/>
              </w:rPr>
              <w:t>Cosmetic results</w:t>
            </w:r>
          </w:p>
        </w:tc>
      </w:tr>
      <w:tr w:rsidR="00867AC2" w:rsidRPr="00CE28E3" w14:paraId="65729E45" w14:textId="77777777" w:rsidTr="00516466">
        <w:tc>
          <w:tcPr>
            <w:tcW w:w="611" w:type="pct"/>
          </w:tcPr>
          <w:p w14:paraId="1923E21A" w14:textId="77777777" w:rsidR="00867AC2" w:rsidRPr="00CE28E3" w:rsidRDefault="00867AC2" w:rsidP="00935EEE">
            <w:pPr>
              <w:pStyle w:val="TableText"/>
              <w:spacing w:before="0" w:after="0"/>
              <w:rPr>
                <w:lang w:val="en-US"/>
              </w:rPr>
            </w:pPr>
            <w:r>
              <w:rPr>
                <w:lang w:val="en-US"/>
              </w:rPr>
              <w:t>Carrozzo 2013</w:t>
            </w:r>
            <w:r>
              <w:rPr>
                <w:rStyle w:val="FootnoteReference"/>
                <w:lang w:val="en-US"/>
              </w:rPr>
              <w:footnoteReference w:id="8"/>
            </w:r>
          </w:p>
        </w:tc>
        <w:tc>
          <w:tcPr>
            <w:tcW w:w="469" w:type="pct"/>
          </w:tcPr>
          <w:p w14:paraId="10A5CC53" w14:textId="77777777" w:rsidR="00867AC2" w:rsidRPr="00CE28E3" w:rsidRDefault="00867AC2" w:rsidP="00935EEE">
            <w:pPr>
              <w:pStyle w:val="TableText"/>
              <w:spacing w:before="0" w:after="0"/>
              <w:jc w:val="center"/>
              <w:rPr>
                <w:lang w:val="en-US"/>
              </w:rPr>
            </w:pPr>
            <w:r>
              <w:rPr>
                <w:lang w:val="en-US"/>
              </w:rPr>
              <w:t>15</w:t>
            </w:r>
          </w:p>
        </w:tc>
        <w:tc>
          <w:tcPr>
            <w:tcW w:w="647" w:type="pct"/>
          </w:tcPr>
          <w:p w14:paraId="439C4D91" w14:textId="77777777" w:rsidR="00867AC2" w:rsidRDefault="00867AC2" w:rsidP="00935EEE">
            <w:pPr>
              <w:pStyle w:val="TableText"/>
              <w:spacing w:before="0" w:after="0"/>
              <w:jc w:val="center"/>
              <w:rPr>
                <w:lang w:val="en-US"/>
              </w:rPr>
            </w:pPr>
            <w:r>
              <w:rPr>
                <w:lang w:val="en-US"/>
              </w:rPr>
              <w:t>Single arm, prospective</w:t>
            </w:r>
          </w:p>
          <w:p w14:paraId="5E587D1B" w14:textId="77777777" w:rsidR="00867AC2" w:rsidRPr="00CE28E3" w:rsidRDefault="00867AC2" w:rsidP="00935EEE">
            <w:pPr>
              <w:pStyle w:val="TableText"/>
              <w:spacing w:before="0" w:after="0"/>
              <w:jc w:val="center"/>
              <w:rPr>
                <w:lang w:val="en-US"/>
              </w:rPr>
            </w:pPr>
            <w:r>
              <w:rPr>
                <w:lang w:val="en-US"/>
              </w:rPr>
              <w:t>Follow-up: up to 5 years (mean= 51 months)</w:t>
            </w:r>
          </w:p>
        </w:tc>
        <w:tc>
          <w:tcPr>
            <w:tcW w:w="314" w:type="pct"/>
          </w:tcPr>
          <w:p w14:paraId="03C44EF4" w14:textId="77777777" w:rsidR="00867AC2" w:rsidRPr="00E312E7" w:rsidRDefault="00867AC2" w:rsidP="00935EEE">
            <w:pPr>
              <w:pStyle w:val="TableText"/>
              <w:spacing w:before="0" w:after="0"/>
              <w:jc w:val="center"/>
              <w:rPr>
                <w:iCs/>
                <w:lang w:val="en-US"/>
              </w:rPr>
            </w:pPr>
            <w:r w:rsidRPr="00E312E7">
              <w:rPr>
                <w:iCs/>
                <w:lang w:val="en-US"/>
              </w:rPr>
              <w:t>Fair</w:t>
            </w:r>
          </w:p>
        </w:tc>
        <w:tc>
          <w:tcPr>
            <w:tcW w:w="786" w:type="pct"/>
          </w:tcPr>
          <w:p w14:paraId="1D158776" w14:textId="77777777" w:rsidR="00867AC2" w:rsidRPr="00CE28E3" w:rsidRDefault="00867AC2" w:rsidP="00935EEE">
            <w:pPr>
              <w:pStyle w:val="TableText"/>
              <w:spacing w:before="0" w:after="0"/>
              <w:jc w:val="center"/>
              <w:rPr>
                <w:lang w:val="en-US"/>
              </w:rPr>
            </w:pPr>
            <w:r>
              <w:rPr>
                <w:lang w:val="en-US"/>
              </w:rPr>
              <w:t>SCC of penis where previous treatments failed.</w:t>
            </w:r>
          </w:p>
        </w:tc>
        <w:tc>
          <w:tcPr>
            <w:tcW w:w="842" w:type="pct"/>
          </w:tcPr>
          <w:p w14:paraId="5DFA82C5" w14:textId="77777777" w:rsidR="00867AC2" w:rsidRDefault="00867AC2" w:rsidP="00935EEE">
            <w:pPr>
              <w:pStyle w:val="TableText"/>
              <w:spacing w:before="0" w:after="0"/>
              <w:jc w:val="center"/>
              <w:rPr>
                <w:lang w:val="en-US"/>
              </w:rPr>
            </w:pPr>
            <w:r>
              <w:rPr>
                <w:lang w:val="en-US"/>
              </w:rPr>
              <w:t>In situ (n =9)</w:t>
            </w:r>
          </w:p>
          <w:p w14:paraId="6E77B5A7" w14:textId="77777777" w:rsidR="00867AC2" w:rsidRDefault="00867AC2" w:rsidP="00935EEE">
            <w:pPr>
              <w:pStyle w:val="TableText"/>
              <w:spacing w:before="0" w:after="0"/>
              <w:jc w:val="center"/>
              <w:rPr>
                <w:lang w:val="en-US"/>
              </w:rPr>
            </w:pPr>
            <w:r>
              <w:rPr>
                <w:lang w:val="en-US"/>
              </w:rPr>
              <w:t>V</w:t>
            </w:r>
            <w:r w:rsidRPr="0035596D">
              <w:rPr>
                <w:lang w:val="en-US"/>
              </w:rPr>
              <w:t xml:space="preserve">errucous </w:t>
            </w:r>
            <w:r>
              <w:rPr>
                <w:lang w:val="en-US"/>
              </w:rPr>
              <w:t>(n=4)</w:t>
            </w:r>
          </w:p>
          <w:p w14:paraId="0180ABB4" w14:textId="77777777" w:rsidR="00867AC2" w:rsidRDefault="00867AC2" w:rsidP="00935EEE">
            <w:pPr>
              <w:pStyle w:val="TableText"/>
              <w:spacing w:before="0" w:after="0"/>
              <w:jc w:val="center"/>
              <w:rPr>
                <w:lang w:val="en-US"/>
              </w:rPr>
            </w:pPr>
            <w:r>
              <w:rPr>
                <w:lang w:val="en-US"/>
              </w:rPr>
              <w:t>Micro-invasive (n= 2)</w:t>
            </w:r>
          </w:p>
          <w:p w14:paraId="4047B863" w14:textId="77777777" w:rsidR="00867AC2" w:rsidRDefault="00867AC2" w:rsidP="00935EEE">
            <w:pPr>
              <w:pStyle w:val="TableText"/>
              <w:spacing w:before="0" w:after="0"/>
              <w:jc w:val="center"/>
              <w:rPr>
                <w:lang w:val="en-US"/>
              </w:rPr>
            </w:pPr>
            <w:r>
              <w:rPr>
                <w:lang w:val="en-US"/>
              </w:rPr>
              <w:t>Invasive (n= 1)</w:t>
            </w:r>
          </w:p>
        </w:tc>
        <w:tc>
          <w:tcPr>
            <w:tcW w:w="585" w:type="pct"/>
          </w:tcPr>
          <w:p w14:paraId="1A7976F3" w14:textId="77777777" w:rsidR="00867AC2" w:rsidRDefault="00867AC2" w:rsidP="00935EEE">
            <w:pPr>
              <w:pStyle w:val="TableText"/>
              <w:spacing w:before="0" w:after="0"/>
              <w:jc w:val="center"/>
              <w:rPr>
                <w:lang w:val="en-US"/>
              </w:rPr>
            </w:pPr>
            <w:r>
              <w:rPr>
                <w:lang w:val="en-US"/>
              </w:rPr>
              <w:t>1-3 treatments</w:t>
            </w:r>
          </w:p>
        </w:tc>
        <w:tc>
          <w:tcPr>
            <w:tcW w:w="746" w:type="pct"/>
          </w:tcPr>
          <w:p w14:paraId="40D50412" w14:textId="77777777" w:rsidR="00867AC2" w:rsidRDefault="00867AC2" w:rsidP="00935EEE">
            <w:pPr>
              <w:pStyle w:val="TableText"/>
              <w:spacing w:before="0" w:after="0"/>
              <w:jc w:val="center"/>
              <w:rPr>
                <w:lang w:val="en-US"/>
              </w:rPr>
            </w:pPr>
            <w:r>
              <w:rPr>
                <w:lang w:val="en-US"/>
              </w:rPr>
              <w:t>Response to therapy</w:t>
            </w:r>
          </w:p>
          <w:p w14:paraId="4709FE6E" w14:textId="77777777" w:rsidR="00867AC2" w:rsidRPr="00CE28E3" w:rsidRDefault="00867AC2" w:rsidP="00935EEE">
            <w:pPr>
              <w:pStyle w:val="TableText"/>
              <w:spacing w:before="0" w:after="0"/>
              <w:jc w:val="center"/>
              <w:rPr>
                <w:lang w:val="en-US"/>
              </w:rPr>
            </w:pPr>
            <w:r w:rsidRPr="00A16270">
              <w:rPr>
                <w:lang w:val="en-US"/>
              </w:rPr>
              <w:t>Pain/discomfort</w:t>
            </w:r>
          </w:p>
        </w:tc>
      </w:tr>
      <w:tr w:rsidR="00867AC2" w:rsidRPr="00CE28E3" w14:paraId="55A7AA06" w14:textId="77777777" w:rsidTr="00516466">
        <w:tc>
          <w:tcPr>
            <w:tcW w:w="611" w:type="pct"/>
          </w:tcPr>
          <w:p w14:paraId="792EB4E0" w14:textId="77777777" w:rsidR="00867AC2" w:rsidRPr="00CE28E3" w:rsidRDefault="00867AC2" w:rsidP="00935EEE">
            <w:pPr>
              <w:pStyle w:val="TableText"/>
              <w:spacing w:before="0" w:after="0"/>
              <w:rPr>
                <w:lang w:val="en-US"/>
              </w:rPr>
            </w:pPr>
            <w:r>
              <w:rPr>
                <w:lang w:val="en-US"/>
              </w:rPr>
              <w:t>Sedda 2008</w:t>
            </w:r>
            <w:r>
              <w:rPr>
                <w:rStyle w:val="FootnoteReference"/>
                <w:lang w:val="en-US"/>
              </w:rPr>
              <w:footnoteReference w:id="9"/>
            </w:r>
          </w:p>
        </w:tc>
        <w:tc>
          <w:tcPr>
            <w:tcW w:w="469" w:type="pct"/>
          </w:tcPr>
          <w:p w14:paraId="0FDDE03A" w14:textId="77777777" w:rsidR="00867AC2" w:rsidRPr="00CE28E3" w:rsidRDefault="00867AC2" w:rsidP="00935EEE">
            <w:pPr>
              <w:pStyle w:val="TableText"/>
              <w:spacing w:before="0" w:after="0"/>
              <w:jc w:val="center"/>
              <w:rPr>
                <w:lang w:val="en-US"/>
              </w:rPr>
            </w:pPr>
            <w:r>
              <w:rPr>
                <w:lang w:val="en-US"/>
              </w:rPr>
              <w:t>53</w:t>
            </w:r>
          </w:p>
        </w:tc>
        <w:tc>
          <w:tcPr>
            <w:tcW w:w="647" w:type="pct"/>
          </w:tcPr>
          <w:p w14:paraId="4DEFC572" w14:textId="77777777" w:rsidR="00867AC2" w:rsidRDefault="00867AC2" w:rsidP="00935EEE">
            <w:pPr>
              <w:pStyle w:val="TableText"/>
              <w:spacing w:before="0" w:after="0"/>
              <w:jc w:val="center"/>
              <w:rPr>
                <w:lang w:val="en-US"/>
              </w:rPr>
            </w:pPr>
            <w:r>
              <w:rPr>
                <w:lang w:val="en-US"/>
              </w:rPr>
              <w:t>Single arm, prospective</w:t>
            </w:r>
          </w:p>
          <w:p w14:paraId="02767EFC" w14:textId="77777777" w:rsidR="00867AC2" w:rsidRPr="00CE28E3" w:rsidRDefault="00867AC2" w:rsidP="00935EEE">
            <w:pPr>
              <w:pStyle w:val="TableText"/>
              <w:spacing w:before="0" w:after="0"/>
              <w:jc w:val="center"/>
              <w:rPr>
                <w:lang w:val="en-US"/>
              </w:rPr>
            </w:pPr>
            <w:r>
              <w:rPr>
                <w:lang w:val="en-US"/>
              </w:rPr>
              <w:t>Follow-up: 20-72 months (mean= 51 months)</w:t>
            </w:r>
          </w:p>
        </w:tc>
        <w:tc>
          <w:tcPr>
            <w:tcW w:w="314" w:type="pct"/>
          </w:tcPr>
          <w:p w14:paraId="16F2317D" w14:textId="77777777" w:rsidR="00867AC2" w:rsidRPr="00E312E7" w:rsidRDefault="00867AC2" w:rsidP="00935EEE">
            <w:pPr>
              <w:pStyle w:val="TableText"/>
              <w:spacing w:before="0" w:after="0"/>
              <w:jc w:val="center"/>
              <w:rPr>
                <w:iCs/>
                <w:lang w:val="en-US"/>
              </w:rPr>
            </w:pPr>
            <w:r w:rsidRPr="00E312E7">
              <w:rPr>
                <w:iCs/>
                <w:lang w:val="en-US"/>
              </w:rPr>
              <w:t>Fair</w:t>
            </w:r>
          </w:p>
        </w:tc>
        <w:tc>
          <w:tcPr>
            <w:tcW w:w="786" w:type="pct"/>
          </w:tcPr>
          <w:p w14:paraId="646134C5" w14:textId="77777777" w:rsidR="00867AC2" w:rsidRPr="00CE28E3" w:rsidRDefault="00867AC2" w:rsidP="00935EEE">
            <w:pPr>
              <w:pStyle w:val="TableText"/>
              <w:spacing w:before="0" w:after="0"/>
              <w:jc w:val="center"/>
              <w:rPr>
                <w:lang w:val="en-US"/>
              </w:rPr>
            </w:pPr>
            <w:r>
              <w:rPr>
                <w:lang w:val="en-US"/>
              </w:rPr>
              <w:t xml:space="preserve">BCC and/or SCC of the head or neck (70%), upper and lower limbs (22%), trunk and back (8%) who either relapsed or </w:t>
            </w:r>
            <w:r>
              <w:rPr>
                <w:lang w:val="en-US"/>
              </w:rPr>
              <w:lastRenderedPageBreak/>
              <w:t>surgery was not possible.</w:t>
            </w:r>
          </w:p>
        </w:tc>
        <w:tc>
          <w:tcPr>
            <w:tcW w:w="842" w:type="pct"/>
          </w:tcPr>
          <w:p w14:paraId="0032486E" w14:textId="77777777" w:rsidR="00867AC2" w:rsidRDefault="00867AC2" w:rsidP="00935EEE">
            <w:pPr>
              <w:pStyle w:val="TableText"/>
              <w:spacing w:before="0" w:after="0"/>
              <w:jc w:val="center"/>
              <w:rPr>
                <w:vertAlign w:val="superscript"/>
                <w:lang w:val="en-US"/>
              </w:rPr>
            </w:pPr>
            <w:r>
              <w:rPr>
                <w:lang w:val="en-US"/>
              </w:rPr>
              <w:lastRenderedPageBreak/>
              <w:t>BCC surface area, mean (SD) = 7.04 (8.9) cm</w:t>
            </w:r>
            <w:r>
              <w:rPr>
                <w:vertAlign w:val="superscript"/>
                <w:lang w:val="en-US"/>
              </w:rPr>
              <w:t>2</w:t>
            </w:r>
          </w:p>
          <w:p w14:paraId="241155CA" w14:textId="77777777" w:rsidR="00867AC2" w:rsidRDefault="00867AC2" w:rsidP="00935EEE">
            <w:pPr>
              <w:pStyle w:val="TableText"/>
              <w:spacing w:before="0" w:after="0"/>
              <w:jc w:val="center"/>
              <w:rPr>
                <w:vertAlign w:val="superscript"/>
                <w:lang w:val="en-US"/>
              </w:rPr>
            </w:pPr>
          </w:p>
          <w:p w14:paraId="4814F835" w14:textId="77777777" w:rsidR="00867AC2" w:rsidRPr="00F14079" w:rsidRDefault="00867AC2" w:rsidP="00935EEE">
            <w:pPr>
              <w:pStyle w:val="TableText"/>
              <w:spacing w:before="0" w:after="0"/>
              <w:jc w:val="center"/>
              <w:rPr>
                <w:vertAlign w:val="superscript"/>
                <w:lang w:val="en-US"/>
              </w:rPr>
            </w:pPr>
            <w:r>
              <w:rPr>
                <w:lang w:val="en-US"/>
              </w:rPr>
              <w:t>SCC surface area, mean (SD) = 14.6 (10.6) cm</w:t>
            </w:r>
            <w:r>
              <w:rPr>
                <w:vertAlign w:val="superscript"/>
                <w:lang w:val="en-US"/>
              </w:rPr>
              <w:t>2</w:t>
            </w:r>
          </w:p>
        </w:tc>
        <w:tc>
          <w:tcPr>
            <w:tcW w:w="585" w:type="pct"/>
          </w:tcPr>
          <w:p w14:paraId="6782D89A" w14:textId="77777777" w:rsidR="00867AC2" w:rsidRDefault="00867AC2" w:rsidP="00935EEE">
            <w:pPr>
              <w:pStyle w:val="TableText"/>
              <w:spacing w:before="0" w:after="0"/>
              <w:jc w:val="center"/>
              <w:rPr>
                <w:lang w:val="en-US"/>
              </w:rPr>
            </w:pPr>
            <w:r>
              <w:rPr>
                <w:lang w:val="en-US"/>
              </w:rPr>
              <w:t>1-3 treatments</w:t>
            </w:r>
          </w:p>
        </w:tc>
        <w:tc>
          <w:tcPr>
            <w:tcW w:w="746" w:type="pct"/>
          </w:tcPr>
          <w:p w14:paraId="21BC7380" w14:textId="77777777" w:rsidR="00867AC2" w:rsidRPr="00CE28E3" w:rsidRDefault="00867AC2" w:rsidP="00935EEE">
            <w:pPr>
              <w:pStyle w:val="TableText"/>
              <w:spacing w:before="0" w:after="0"/>
              <w:jc w:val="center"/>
              <w:rPr>
                <w:lang w:val="en-US"/>
              </w:rPr>
            </w:pPr>
            <w:r>
              <w:rPr>
                <w:lang w:val="en-US"/>
              </w:rPr>
              <w:t>Response to therapy</w:t>
            </w:r>
          </w:p>
        </w:tc>
      </w:tr>
      <w:tr w:rsidR="00867AC2" w:rsidRPr="00CE28E3" w14:paraId="6B4E4A6D" w14:textId="77777777" w:rsidTr="00516466">
        <w:tc>
          <w:tcPr>
            <w:tcW w:w="611" w:type="pct"/>
          </w:tcPr>
          <w:p w14:paraId="1C328EAF" w14:textId="77777777" w:rsidR="00867AC2" w:rsidRPr="00CE28E3" w:rsidRDefault="00867AC2" w:rsidP="00935EEE">
            <w:pPr>
              <w:pStyle w:val="TableText"/>
              <w:spacing w:before="0" w:after="0"/>
              <w:rPr>
                <w:lang w:val="en-US"/>
              </w:rPr>
            </w:pPr>
            <w:r>
              <w:rPr>
                <w:lang w:val="en-US"/>
              </w:rPr>
              <w:t>Cipriani 2020</w:t>
            </w:r>
            <w:r>
              <w:rPr>
                <w:rStyle w:val="FootnoteReference"/>
                <w:lang w:val="en-US"/>
              </w:rPr>
              <w:footnoteReference w:id="10"/>
            </w:r>
          </w:p>
        </w:tc>
        <w:tc>
          <w:tcPr>
            <w:tcW w:w="469" w:type="pct"/>
          </w:tcPr>
          <w:p w14:paraId="5A9895A2" w14:textId="77777777" w:rsidR="00867AC2" w:rsidRPr="00CE28E3" w:rsidRDefault="00867AC2" w:rsidP="00935EEE">
            <w:pPr>
              <w:pStyle w:val="TableText"/>
              <w:spacing w:before="0" w:after="0"/>
              <w:jc w:val="center"/>
              <w:rPr>
                <w:lang w:val="en-US"/>
              </w:rPr>
            </w:pPr>
            <w:r>
              <w:rPr>
                <w:lang w:val="en-US"/>
              </w:rPr>
              <w:t>52</w:t>
            </w:r>
          </w:p>
        </w:tc>
        <w:tc>
          <w:tcPr>
            <w:tcW w:w="647" w:type="pct"/>
          </w:tcPr>
          <w:p w14:paraId="2AB13B53" w14:textId="77777777" w:rsidR="00867AC2" w:rsidRDefault="00867AC2" w:rsidP="00935EEE">
            <w:pPr>
              <w:pStyle w:val="TableText"/>
              <w:spacing w:before="0" w:after="0"/>
              <w:jc w:val="center"/>
              <w:rPr>
                <w:lang w:val="en-US"/>
              </w:rPr>
            </w:pPr>
            <w:r>
              <w:rPr>
                <w:lang w:val="en-US"/>
              </w:rPr>
              <w:t>Single arm, retrospective</w:t>
            </w:r>
          </w:p>
          <w:p w14:paraId="6C3D9FF7" w14:textId="77777777" w:rsidR="00867AC2" w:rsidRPr="00CE28E3" w:rsidRDefault="00867AC2" w:rsidP="00935EEE">
            <w:pPr>
              <w:pStyle w:val="TableText"/>
              <w:spacing w:before="0" w:after="0"/>
              <w:jc w:val="center"/>
              <w:rPr>
                <w:lang w:val="en-US"/>
              </w:rPr>
            </w:pPr>
            <w:r>
              <w:rPr>
                <w:lang w:val="en-US"/>
              </w:rPr>
              <w:t>Follow-up had no regime (median= 296 days)</w:t>
            </w:r>
          </w:p>
        </w:tc>
        <w:tc>
          <w:tcPr>
            <w:tcW w:w="314" w:type="pct"/>
          </w:tcPr>
          <w:p w14:paraId="132EA525" w14:textId="77777777" w:rsidR="00867AC2" w:rsidRPr="00E312E7" w:rsidRDefault="00867AC2" w:rsidP="00935EEE">
            <w:pPr>
              <w:pStyle w:val="TableText"/>
              <w:spacing w:before="0" w:after="0"/>
              <w:jc w:val="center"/>
              <w:rPr>
                <w:iCs/>
                <w:lang w:val="en-US"/>
              </w:rPr>
            </w:pPr>
            <w:r w:rsidRPr="00E312E7">
              <w:rPr>
                <w:iCs/>
                <w:lang w:val="en-US"/>
              </w:rPr>
              <w:t>Poor</w:t>
            </w:r>
          </w:p>
        </w:tc>
        <w:tc>
          <w:tcPr>
            <w:tcW w:w="786" w:type="pct"/>
          </w:tcPr>
          <w:p w14:paraId="7F822AD2" w14:textId="77777777" w:rsidR="00867AC2" w:rsidRDefault="00867AC2" w:rsidP="00935EEE">
            <w:pPr>
              <w:pStyle w:val="TableText"/>
              <w:spacing w:before="0" w:after="0"/>
              <w:jc w:val="center"/>
              <w:rPr>
                <w:lang w:val="en-US"/>
              </w:rPr>
            </w:pPr>
            <w:r>
              <w:rPr>
                <w:lang w:val="en-US"/>
              </w:rPr>
              <w:t>BCC, SCC, Bowen’s disease or extramammary Paget’s disease.</w:t>
            </w:r>
          </w:p>
          <w:p w14:paraId="3FB1A4D6" w14:textId="77777777" w:rsidR="00867AC2" w:rsidRPr="00CE28E3" w:rsidRDefault="00867AC2" w:rsidP="00935EEE">
            <w:pPr>
              <w:pStyle w:val="TableText"/>
              <w:spacing w:before="0" w:after="0"/>
              <w:jc w:val="center"/>
              <w:rPr>
                <w:lang w:val="en-US"/>
              </w:rPr>
            </w:pPr>
            <w:r>
              <w:rPr>
                <w:lang w:val="en-US"/>
              </w:rPr>
              <w:t>Head and neck lesions (~73%)</w:t>
            </w:r>
          </w:p>
        </w:tc>
        <w:tc>
          <w:tcPr>
            <w:tcW w:w="842" w:type="pct"/>
          </w:tcPr>
          <w:p w14:paraId="1D0D8AF9" w14:textId="77777777" w:rsidR="00867AC2" w:rsidRDefault="00867AC2" w:rsidP="00935EEE">
            <w:pPr>
              <w:pStyle w:val="TableText"/>
              <w:spacing w:before="0" w:after="0"/>
              <w:jc w:val="center"/>
              <w:rPr>
                <w:vertAlign w:val="superscript"/>
                <w:lang w:val="en-US"/>
              </w:rPr>
            </w:pPr>
            <w:r>
              <w:rPr>
                <w:lang w:val="en-US"/>
              </w:rPr>
              <w:t>Treated area, mean (range) = 9.79 (0.3 – 60.5) cm</w:t>
            </w:r>
            <w:r>
              <w:rPr>
                <w:vertAlign w:val="superscript"/>
                <w:lang w:val="en-US"/>
              </w:rPr>
              <w:t>2</w:t>
            </w:r>
          </w:p>
          <w:p w14:paraId="2B993525" w14:textId="77777777" w:rsidR="00867AC2" w:rsidRPr="00F14079" w:rsidRDefault="00867AC2" w:rsidP="00935EEE">
            <w:pPr>
              <w:pStyle w:val="TableText"/>
              <w:spacing w:before="0" w:after="0"/>
              <w:jc w:val="center"/>
              <w:rPr>
                <w:vertAlign w:val="superscript"/>
                <w:lang w:val="en-US"/>
              </w:rPr>
            </w:pPr>
            <w:r>
              <w:rPr>
                <w:lang w:val="en-US"/>
              </w:rPr>
              <w:t>57% of the areas were 2-10 cm</w:t>
            </w:r>
            <w:r>
              <w:rPr>
                <w:vertAlign w:val="superscript"/>
                <w:lang w:val="en-US"/>
              </w:rPr>
              <w:t>2</w:t>
            </w:r>
          </w:p>
        </w:tc>
        <w:tc>
          <w:tcPr>
            <w:tcW w:w="585" w:type="pct"/>
          </w:tcPr>
          <w:p w14:paraId="2F98993F" w14:textId="77777777" w:rsidR="00867AC2" w:rsidRDefault="00867AC2" w:rsidP="00935EEE">
            <w:pPr>
              <w:pStyle w:val="TableText"/>
              <w:spacing w:before="0" w:after="0"/>
              <w:jc w:val="center"/>
              <w:rPr>
                <w:lang w:val="en-US"/>
              </w:rPr>
            </w:pPr>
            <w:r>
              <w:rPr>
                <w:lang w:val="en-US"/>
              </w:rPr>
              <w:t>1 treatment</w:t>
            </w:r>
          </w:p>
        </w:tc>
        <w:tc>
          <w:tcPr>
            <w:tcW w:w="746" w:type="pct"/>
          </w:tcPr>
          <w:p w14:paraId="0C3BC056" w14:textId="77777777" w:rsidR="00867AC2" w:rsidRPr="00CE28E3" w:rsidRDefault="00867AC2" w:rsidP="00935EEE">
            <w:pPr>
              <w:pStyle w:val="TableText"/>
              <w:spacing w:before="0" w:after="0"/>
              <w:jc w:val="center"/>
              <w:rPr>
                <w:lang w:val="en-US"/>
              </w:rPr>
            </w:pPr>
            <w:r>
              <w:rPr>
                <w:lang w:val="en-US"/>
              </w:rPr>
              <w:t>Response to therapy</w:t>
            </w:r>
            <w:r w:rsidRPr="00DC3AB7">
              <w:rPr>
                <w:lang w:val="en-US"/>
              </w:rPr>
              <w:t xml:space="preserve"> Complications</w:t>
            </w:r>
          </w:p>
        </w:tc>
      </w:tr>
      <w:tr w:rsidR="00867AC2" w:rsidRPr="00CE28E3" w14:paraId="552A4AE5" w14:textId="77777777" w:rsidTr="00516466">
        <w:tc>
          <w:tcPr>
            <w:tcW w:w="611" w:type="pct"/>
          </w:tcPr>
          <w:p w14:paraId="358A37BA" w14:textId="77777777" w:rsidR="00867AC2" w:rsidRPr="00CE28E3" w:rsidRDefault="00867AC2" w:rsidP="00935EEE">
            <w:pPr>
              <w:pStyle w:val="TableText"/>
              <w:spacing w:before="0" w:after="0"/>
              <w:rPr>
                <w:lang w:val="en-US"/>
              </w:rPr>
            </w:pPr>
            <w:r>
              <w:rPr>
                <w:lang w:val="en-US"/>
              </w:rPr>
              <w:t>Cipriani 2017</w:t>
            </w:r>
            <w:r>
              <w:rPr>
                <w:rStyle w:val="FootnoteReference"/>
                <w:lang w:val="en-US"/>
              </w:rPr>
              <w:footnoteReference w:id="11"/>
            </w:r>
          </w:p>
        </w:tc>
        <w:tc>
          <w:tcPr>
            <w:tcW w:w="469" w:type="pct"/>
          </w:tcPr>
          <w:p w14:paraId="1288A56D" w14:textId="77777777" w:rsidR="00867AC2" w:rsidRPr="00CE28E3" w:rsidRDefault="00867AC2" w:rsidP="00935EEE">
            <w:pPr>
              <w:pStyle w:val="TableText"/>
              <w:spacing w:before="0" w:after="0"/>
              <w:jc w:val="center"/>
              <w:rPr>
                <w:lang w:val="en-US"/>
              </w:rPr>
            </w:pPr>
            <w:r>
              <w:rPr>
                <w:lang w:val="en-US"/>
              </w:rPr>
              <w:t>43</w:t>
            </w:r>
          </w:p>
        </w:tc>
        <w:tc>
          <w:tcPr>
            <w:tcW w:w="647" w:type="pct"/>
          </w:tcPr>
          <w:p w14:paraId="1F3F0BAF" w14:textId="77777777" w:rsidR="00867AC2" w:rsidRDefault="00867AC2" w:rsidP="00935EEE">
            <w:pPr>
              <w:pStyle w:val="TableText"/>
              <w:spacing w:before="0" w:after="0"/>
              <w:jc w:val="center"/>
              <w:rPr>
                <w:lang w:val="en-US"/>
              </w:rPr>
            </w:pPr>
            <w:r>
              <w:rPr>
                <w:lang w:val="en-US"/>
              </w:rPr>
              <w:t>Single arm, retrospective</w:t>
            </w:r>
          </w:p>
          <w:p w14:paraId="50AFFE2F" w14:textId="77777777" w:rsidR="00867AC2" w:rsidRPr="00CE28E3" w:rsidRDefault="00867AC2" w:rsidP="00935EEE">
            <w:pPr>
              <w:pStyle w:val="TableText"/>
              <w:spacing w:before="0" w:after="0"/>
              <w:jc w:val="center"/>
              <w:rPr>
                <w:lang w:val="en-US"/>
              </w:rPr>
            </w:pPr>
            <w:r>
              <w:rPr>
                <w:lang w:val="en-US"/>
              </w:rPr>
              <w:t>mean= 288 days)</w:t>
            </w:r>
          </w:p>
        </w:tc>
        <w:tc>
          <w:tcPr>
            <w:tcW w:w="314" w:type="pct"/>
          </w:tcPr>
          <w:p w14:paraId="0AB7211A" w14:textId="77777777" w:rsidR="00867AC2" w:rsidRPr="00926B1B" w:rsidRDefault="00867AC2" w:rsidP="00935EEE">
            <w:pPr>
              <w:pStyle w:val="TableText"/>
              <w:spacing w:before="0" w:after="0"/>
              <w:jc w:val="center"/>
              <w:rPr>
                <w:iCs/>
                <w:lang w:val="en-US"/>
              </w:rPr>
            </w:pPr>
            <w:r w:rsidRPr="00E312E7">
              <w:rPr>
                <w:iCs/>
                <w:lang w:val="en-US"/>
              </w:rPr>
              <w:t>Poor</w:t>
            </w:r>
          </w:p>
        </w:tc>
        <w:tc>
          <w:tcPr>
            <w:tcW w:w="786" w:type="pct"/>
          </w:tcPr>
          <w:p w14:paraId="2E7D959F" w14:textId="77777777" w:rsidR="00867AC2" w:rsidRPr="00CE28E3" w:rsidRDefault="00867AC2" w:rsidP="00935EEE">
            <w:pPr>
              <w:pStyle w:val="TableText"/>
              <w:spacing w:before="0" w:after="0"/>
              <w:jc w:val="center"/>
              <w:rPr>
                <w:lang w:val="en-US"/>
              </w:rPr>
            </w:pPr>
            <w:r>
              <w:rPr>
                <w:lang w:val="en-US"/>
              </w:rPr>
              <w:t>BCC, SCC all over body in whom surgery was not indicated or had previously failed.</w:t>
            </w:r>
          </w:p>
        </w:tc>
        <w:tc>
          <w:tcPr>
            <w:tcW w:w="842" w:type="pct"/>
          </w:tcPr>
          <w:p w14:paraId="22E1D0ED" w14:textId="77777777" w:rsidR="00867AC2" w:rsidRPr="00DC3AB7" w:rsidRDefault="00867AC2" w:rsidP="00935EEE">
            <w:pPr>
              <w:pStyle w:val="TableText"/>
              <w:spacing w:before="0" w:after="0"/>
              <w:jc w:val="center"/>
              <w:rPr>
                <w:lang w:val="en-US"/>
              </w:rPr>
            </w:pPr>
            <w:r>
              <w:rPr>
                <w:lang w:val="en-US"/>
              </w:rPr>
              <w:t>Treated area, mean (range) = 5 (1-49) cm</w:t>
            </w:r>
            <w:r>
              <w:rPr>
                <w:vertAlign w:val="superscript"/>
                <w:lang w:val="en-US"/>
              </w:rPr>
              <w:t>2</w:t>
            </w:r>
          </w:p>
        </w:tc>
        <w:tc>
          <w:tcPr>
            <w:tcW w:w="585" w:type="pct"/>
          </w:tcPr>
          <w:p w14:paraId="4C18D79C" w14:textId="77777777" w:rsidR="00867AC2" w:rsidRPr="00DC3AB7" w:rsidRDefault="00867AC2" w:rsidP="00935EEE">
            <w:pPr>
              <w:pStyle w:val="TableText"/>
              <w:spacing w:before="0" w:after="0"/>
              <w:jc w:val="center"/>
              <w:rPr>
                <w:lang w:val="en-US"/>
              </w:rPr>
            </w:pPr>
            <w:r>
              <w:rPr>
                <w:lang w:val="en-US"/>
              </w:rPr>
              <w:t>1-2 treatments</w:t>
            </w:r>
          </w:p>
        </w:tc>
        <w:tc>
          <w:tcPr>
            <w:tcW w:w="746" w:type="pct"/>
          </w:tcPr>
          <w:p w14:paraId="70144865" w14:textId="77777777" w:rsidR="00867AC2" w:rsidRPr="00CE28E3" w:rsidRDefault="00867AC2" w:rsidP="00935EEE">
            <w:pPr>
              <w:pStyle w:val="TableText"/>
              <w:spacing w:before="0" w:after="0"/>
              <w:jc w:val="center"/>
              <w:rPr>
                <w:lang w:val="en-US"/>
              </w:rPr>
            </w:pPr>
            <w:r w:rsidRPr="00DC3AB7">
              <w:rPr>
                <w:lang w:val="en-US"/>
              </w:rPr>
              <w:t>Response to therapy</w:t>
            </w:r>
          </w:p>
        </w:tc>
      </w:tr>
    </w:tbl>
    <w:p w14:paraId="528804F0" w14:textId="5E100D95" w:rsidR="00867AC2" w:rsidRPr="00CE4ABF" w:rsidRDefault="00867AC2" w:rsidP="00867AC2">
      <w:pPr>
        <w:pStyle w:val="Tablenotes"/>
        <w:keepNext/>
        <w:keepLines/>
      </w:pPr>
      <w:r w:rsidRPr="00CE4ABF">
        <w:t xml:space="preserve">Source: </w:t>
      </w:r>
      <w:r w:rsidR="009228FB">
        <w:t>Table 5, pg 14 of MSAC 1657 Commentary Executive Summary</w:t>
      </w:r>
    </w:p>
    <w:p w14:paraId="47324B8C" w14:textId="28E60790" w:rsidR="00867AC2" w:rsidRDefault="00867AC2" w:rsidP="00867AC2">
      <w:pPr>
        <w:pStyle w:val="Tablenotes"/>
        <w:keepNext/>
        <w:keepLines/>
      </w:pPr>
      <w:r w:rsidRPr="003848F1">
        <w:t xml:space="preserve">Italic text represents the new information added by the </w:t>
      </w:r>
      <w:r w:rsidR="007B25EE">
        <w:t>c</w:t>
      </w:r>
      <w:r w:rsidRPr="003848F1">
        <w:t>ommentary. The risk of bias was re-</w:t>
      </w:r>
      <w:r>
        <w:t>a</w:t>
      </w:r>
      <w:r w:rsidRPr="003848F1">
        <w:t>ssessed by the Assessment Group using the Newcastle Ottawa Scale which is suitable for non-comparative cohort studies. The scoring system classifies studies as good, fair, or poor quality</w:t>
      </w:r>
      <w:r w:rsidRPr="00CE4ABF">
        <w:t>,</w:t>
      </w:r>
    </w:p>
    <w:p w14:paraId="6F8903F6" w14:textId="77777777" w:rsidR="00867AC2" w:rsidRPr="002B53B6" w:rsidRDefault="00867AC2" w:rsidP="00867AC2">
      <w:pPr>
        <w:pStyle w:val="Tablenotes"/>
      </w:pPr>
      <w:r w:rsidRPr="00CE4ABF">
        <w:t>Abbreviations: BCC= basal cell carcinoma; SCC= squamous cell carcinoma</w:t>
      </w:r>
    </w:p>
    <w:p w14:paraId="14EBCBD1" w14:textId="77777777" w:rsidR="00870B56" w:rsidRDefault="00870B56" w:rsidP="00017C4A">
      <w:pPr>
        <w:pStyle w:val="Heading3"/>
      </w:pPr>
      <w:r>
        <w:t>Characteristics of the evidence for EBRT</w:t>
      </w:r>
    </w:p>
    <w:p w14:paraId="22B81F4B" w14:textId="1BBCF183" w:rsidR="00E74A33" w:rsidRDefault="001E1A44" w:rsidP="008A0CF4">
      <w:r>
        <w:t xml:space="preserve">The ADAR </w:t>
      </w:r>
      <w:r w:rsidR="00980E5C">
        <w:t xml:space="preserve">identified 25 studies </w:t>
      </w:r>
      <w:r w:rsidR="00236098">
        <w:t>on EBRT</w:t>
      </w:r>
      <w:r w:rsidR="006657F0">
        <w:t xml:space="preserve"> </w:t>
      </w:r>
      <w:r w:rsidR="00236098">
        <w:t xml:space="preserve">in BCC and SCC </w:t>
      </w:r>
      <w:r w:rsidR="00885E3D" w:rsidRPr="00885E3D">
        <w:t xml:space="preserve">as being sufficiently representative of the proposed population and </w:t>
      </w:r>
      <w:r w:rsidR="00236098">
        <w:t>comparator</w:t>
      </w:r>
      <w:r w:rsidR="00885E3D" w:rsidRPr="00885E3D">
        <w:t xml:space="preserve"> </w:t>
      </w:r>
      <w:r w:rsidR="00885E3D">
        <w:t xml:space="preserve">noting that </w:t>
      </w:r>
      <w:r w:rsidR="00885E3D" w:rsidRPr="00885E3D">
        <w:t>the screening and selection process was based on imperfect reporting in the study publications, and subjective clinical judgement</w:t>
      </w:r>
      <w:r w:rsidR="00885E3D">
        <w:t xml:space="preserve"> was used for determining eligibility.</w:t>
      </w:r>
      <w:r w:rsidR="00885E3D" w:rsidRPr="00885E3D">
        <w:t xml:space="preserve"> </w:t>
      </w:r>
      <w:r w:rsidR="00EF333F" w:rsidRPr="00EF333F">
        <w:t xml:space="preserve">These include a small number of </w:t>
      </w:r>
      <w:r w:rsidR="00990245">
        <w:t>studies</w:t>
      </w:r>
      <w:r w:rsidR="00EF333F" w:rsidRPr="00EF333F">
        <w:t xml:space="preserve"> comparing </w:t>
      </w:r>
      <w:r w:rsidR="004512B8">
        <w:t>EBRT</w:t>
      </w:r>
      <w:r w:rsidR="00EF333F" w:rsidRPr="00EF333F">
        <w:t xml:space="preserve"> with other treatment modalities (surgery or brachytherapy) and/or assessing different fractionation schedules/doses, while the </w:t>
      </w:r>
      <w:r w:rsidR="00990245">
        <w:t>rest</w:t>
      </w:r>
      <w:r w:rsidR="00EF333F" w:rsidRPr="00EF333F">
        <w:t xml:space="preserve"> employed a true single arm design.</w:t>
      </w:r>
      <w:r w:rsidR="004512B8">
        <w:t xml:space="preserve"> </w:t>
      </w:r>
      <w:r w:rsidR="00990245">
        <w:t xml:space="preserve">The ADAR </w:t>
      </w:r>
      <w:r w:rsidR="00283ECD">
        <w:t>commented that these studies</w:t>
      </w:r>
      <w:r w:rsidR="00EF333F" w:rsidRPr="00EF333F">
        <w:t xml:space="preserve"> span more than two decades</w:t>
      </w:r>
      <w:r w:rsidR="00283ECD">
        <w:t xml:space="preserve"> </w:t>
      </w:r>
      <w:r w:rsidR="00EF333F" w:rsidRPr="00EF333F">
        <w:t xml:space="preserve">and </w:t>
      </w:r>
      <w:r w:rsidR="005F1B76">
        <w:t>were</w:t>
      </w:r>
      <w:r w:rsidR="00EF333F" w:rsidRPr="00EF333F">
        <w:t xml:space="preserve"> of highly variable quality and applicability. </w:t>
      </w:r>
      <w:r w:rsidR="00777E80">
        <w:t>The ADAR did not perform a formal quality assessment (risk of bias) of these studies</w:t>
      </w:r>
      <w:r w:rsidR="00471626">
        <w:t xml:space="preserve"> but t</w:t>
      </w:r>
      <w:r w:rsidR="00B86B9A">
        <w:t>he single randomised controlled trial</w:t>
      </w:r>
      <w:r w:rsidR="006F10F5">
        <w:t xml:space="preserve"> by Avril</w:t>
      </w:r>
      <w:r w:rsidR="008F2797">
        <w:t xml:space="preserve"> et al. </w:t>
      </w:r>
      <w:r w:rsidR="00235CD2">
        <w:t>1997</w:t>
      </w:r>
      <w:r w:rsidR="00B86B9A">
        <w:rPr>
          <w:rStyle w:val="FootnoteReference"/>
        </w:rPr>
        <w:footnoteReference w:id="12"/>
      </w:r>
      <w:r w:rsidR="00B86B9A">
        <w:t xml:space="preserve"> was </w:t>
      </w:r>
      <w:r w:rsidR="00471626">
        <w:t>noted</w:t>
      </w:r>
      <w:r w:rsidR="00B86B9A">
        <w:t xml:space="preserve"> to be of highest quality but low applicability as it described a largely obsolete treatment</w:t>
      </w:r>
      <w:r w:rsidR="00081764">
        <w:t xml:space="preserve"> m</w:t>
      </w:r>
      <w:r w:rsidR="00B86B9A">
        <w:t>odality used in the 1980s</w:t>
      </w:r>
      <w:r w:rsidR="00BD58DD">
        <w:t xml:space="preserve">. Some of the </w:t>
      </w:r>
      <w:r w:rsidR="00E84C5A">
        <w:t xml:space="preserve">more </w:t>
      </w:r>
      <w:r w:rsidR="00BD58DD">
        <w:t>recent studie</w:t>
      </w:r>
      <w:r w:rsidR="002F7779">
        <w:t>s</w:t>
      </w:r>
      <w:r w:rsidR="002F7779">
        <w:rPr>
          <w:rStyle w:val="FootnoteReference"/>
        </w:rPr>
        <w:footnoteReference w:id="13"/>
      </w:r>
      <w:r w:rsidR="002F7779">
        <w:rPr>
          <w:vertAlign w:val="superscript"/>
        </w:rPr>
        <w:t>,</w:t>
      </w:r>
      <w:r w:rsidR="002F7779">
        <w:rPr>
          <w:rStyle w:val="FootnoteReference"/>
        </w:rPr>
        <w:footnoteReference w:id="14"/>
      </w:r>
      <w:r w:rsidR="0012502F">
        <w:rPr>
          <w:vertAlign w:val="superscript"/>
        </w:rPr>
        <w:t>,</w:t>
      </w:r>
      <w:r w:rsidR="002F7779">
        <w:rPr>
          <w:rStyle w:val="FootnoteReference"/>
        </w:rPr>
        <w:footnoteReference w:id="15"/>
      </w:r>
      <w:r w:rsidR="0012502F">
        <w:rPr>
          <w:vertAlign w:val="superscript"/>
        </w:rPr>
        <w:t xml:space="preserve"> </w:t>
      </w:r>
      <w:r w:rsidR="00CD6607">
        <w:t xml:space="preserve">mainly evaluated hypofractionated regimens which the ADAR </w:t>
      </w:r>
      <w:r w:rsidR="00471626">
        <w:t>stated</w:t>
      </w:r>
      <w:r w:rsidR="00CD6607">
        <w:t xml:space="preserve"> </w:t>
      </w:r>
      <w:r w:rsidR="00471626">
        <w:t xml:space="preserve">were </w:t>
      </w:r>
      <w:r w:rsidR="00E84C5A">
        <w:t>not standard of care.</w:t>
      </w:r>
      <w:r w:rsidR="00B86B9A">
        <w:t xml:space="preserve"> </w:t>
      </w:r>
    </w:p>
    <w:p w14:paraId="1CBB86D7" w14:textId="5C37770D" w:rsidR="00486541" w:rsidRDefault="00EB1879" w:rsidP="008A0CF4">
      <w:r>
        <w:t>The ADAR claim</w:t>
      </w:r>
      <w:r w:rsidR="007B03B8">
        <w:t>ed</w:t>
      </w:r>
      <w:r>
        <w:t xml:space="preserve"> to compare the Re-188 </w:t>
      </w:r>
      <w:r w:rsidR="00FE7DD5">
        <w:t>brachytherapy</w:t>
      </w:r>
      <w:r>
        <w:t xml:space="preserve"> to EBRT through an indirect </w:t>
      </w:r>
      <w:r w:rsidR="00706661">
        <w:t>comparison</w:t>
      </w:r>
      <w:r w:rsidR="008D3097">
        <w:t xml:space="preserve">. However, </w:t>
      </w:r>
      <w:r>
        <w:t>t</w:t>
      </w:r>
      <w:r w:rsidR="00FA1F95" w:rsidRPr="008A0CF4">
        <w:t xml:space="preserve">he </w:t>
      </w:r>
      <w:r w:rsidR="00FA1F95">
        <w:t xml:space="preserve">25 </w:t>
      </w:r>
      <w:r w:rsidR="00FA1F95" w:rsidRPr="008A0CF4">
        <w:t xml:space="preserve">studies on EBRT were </w:t>
      </w:r>
      <w:r w:rsidR="008D3097">
        <w:t xml:space="preserve">only </w:t>
      </w:r>
      <w:r w:rsidR="00FA1F95" w:rsidRPr="008A0CF4">
        <w:t>summarised narratively</w:t>
      </w:r>
      <w:r w:rsidR="00FA1F95">
        <w:t xml:space="preserve"> </w:t>
      </w:r>
      <w:r w:rsidR="00FD6822">
        <w:t>and not in a tabular format</w:t>
      </w:r>
      <w:r w:rsidR="00E85C53">
        <w:t>. T</w:t>
      </w:r>
      <w:r w:rsidR="007C4413">
        <w:t>he ADAR stat</w:t>
      </w:r>
      <w:r w:rsidR="00E85C53">
        <w:t>ed</w:t>
      </w:r>
      <w:r w:rsidR="007C4413">
        <w:t xml:space="preserve"> that tabulating the evidence was not possible due to the incompleteness and inconsistency of information in EBRT studies</w:t>
      </w:r>
      <w:r w:rsidR="00FD6822">
        <w:t xml:space="preserve">. </w:t>
      </w:r>
      <w:r w:rsidR="00706661">
        <w:t xml:space="preserve">As such the evidence was not </w:t>
      </w:r>
      <w:r w:rsidR="00706661">
        <w:lastRenderedPageBreak/>
        <w:t xml:space="preserve">presented in a </w:t>
      </w:r>
      <w:r w:rsidR="00FE7DD5">
        <w:t>format</w:t>
      </w:r>
      <w:r w:rsidR="00706661">
        <w:t xml:space="preserve"> that would allow a</w:t>
      </w:r>
      <w:r w:rsidR="00FE7DD5">
        <w:t xml:space="preserve">n </w:t>
      </w:r>
      <w:r w:rsidR="00B928C2">
        <w:t xml:space="preserve">indirect </w:t>
      </w:r>
      <w:r w:rsidR="00706661">
        <w:t xml:space="preserve">comparison between Re-188 </w:t>
      </w:r>
      <w:r w:rsidR="00FE7DD5">
        <w:t>brachytherapy</w:t>
      </w:r>
      <w:r w:rsidR="00706661">
        <w:t xml:space="preserve"> and EBRT.</w:t>
      </w:r>
      <w:r w:rsidR="00486541">
        <w:t xml:space="preserve"> </w:t>
      </w:r>
    </w:p>
    <w:p w14:paraId="43B784BE" w14:textId="5B94C072" w:rsidR="00185C86" w:rsidRDefault="000B4CA0" w:rsidP="008A0CF4">
      <w:r>
        <w:t>T</w:t>
      </w:r>
      <w:r w:rsidR="009F0DA9">
        <w:t xml:space="preserve">he </w:t>
      </w:r>
      <w:r w:rsidR="004F7A6D">
        <w:t>studies</w:t>
      </w:r>
      <w:r w:rsidR="00357B0C">
        <w:t xml:space="preserve"> on EBRT were reviewed for inclusion</w:t>
      </w:r>
      <w:r>
        <w:t xml:space="preserve"> in the </w:t>
      </w:r>
      <w:r w:rsidR="007B25EE">
        <w:t>c</w:t>
      </w:r>
      <w:r>
        <w:t>ommentary</w:t>
      </w:r>
      <w:r w:rsidR="004F7A6D">
        <w:t>. The main issue when tr</w:t>
      </w:r>
      <w:r w:rsidR="00CC2302">
        <w:t>y</w:t>
      </w:r>
      <w:r w:rsidR="004F7A6D">
        <w:t>ing to establish comparability of the po</w:t>
      </w:r>
      <w:r w:rsidR="00CC2302">
        <w:t>p</w:t>
      </w:r>
      <w:r w:rsidR="004F7A6D">
        <w:t xml:space="preserve">ulations </w:t>
      </w:r>
      <w:r w:rsidR="006664BD">
        <w:t xml:space="preserve">between Re-188 brachytherapy and EBRT studies </w:t>
      </w:r>
      <w:r w:rsidR="004F7A6D">
        <w:t xml:space="preserve">was </w:t>
      </w:r>
      <w:r w:rsidR="006664BD">
        <w:t xml:space="preserve">that </w:t>
      </w:r>
      <w:r w:rsidR="00600B65">
        <w:t>EBRT studies</w:t>
      </w:r>
      <w:r w:rsidR="006664BD">
        <w:t xml:space="preserve"> did</w:t>
      </w:r>
      <w:r w:rsidR="00600B65">
        <w:t xml:space="preserve"> not provid</w:t>
      </w:r>
      <w:r w:rsidR="006664BD">
        <w:t>e</w:t>
      </w:r>
      <w:r w:rsidR="00600B65">
        <w:t xml:space="preserve"> details of lesion area or depth</w:t>
      </w:r>
      <w:r w:rsidR="006664BD">
        <w:t xml:space="preserve"> but used TNM</w:t>
      </w:r>
      <w:r w:rsidR="006F1447">
        <w:rPr>
          <w:rStyle w:val="FootnoteReference"/>
        </w:rPr>
        <w:footnoteReference w:id="16"/>
      </w:r>
      <w:r w:rsidR="006664BD">
        <w:t xml:space="preserve"> staging </w:t>
      </w:r>
      <w:r w:rsidR="006926DA">
        <w:t xml:space="preserve">system </w:t>
      </w:r>
      <w:r w:rsidR="006664BD">
        <w:t>instead. When reassessing the inclusion of EBRT studies</w:t>
      </w:r>
      <w:r w:rsidR="000A615A">
        <w:t xml:space="preserve"> in the </w:t>
      </w:r>
      <w:r w:rsidR="007B25EE">
        <w:t>c</w:t>
      </w:r>
      <w:r w:rsidR="000A615A">
        <w:t>ommentary</w:t>
      </w:r>
      <w:r w:rsidR="006664BD">
        <w:t xml:space="preserve">, </w:t>
      </w:r>
      <w:r w:rsidR="006926DA">
        <w:t xml:space="preserve">only studies with </w:t>
      </w:r>
      <w:r w:rsidR="00A5225D">
        <w:t xml:space="preserve">at least </w:t>
      </w:r>
      <w:r w:rsidR="00015F2B">
        <w:t>~</w:t>
      </w:r>
      <w:r w:rsidR="00096BEC">
        <w:t xml:space="preserve"> </w:t>
      </w:r>
      <w:r w:rsidR="00015F2B">
        <w:t>80% of lesions classified as T1</w:t>
      </w:r>
      <w:r w:rsidR="00764CAB">
        <w:t xml:space="preserve"> (&lt; 2 cm)</w:t>
      </w:r>
      <w:r w:rsidR="00015F2B">
        <w:t xml:space="preserve"> or T2 </w:t>
      </w:r>
      <w:r w:rsidR="00764CAB">
        <w:t>(</w:t>
      </w:r>
      <w:r w:rsidR="00AF586C">
        <w:t xml:space="preserve">2 to 5 cm) </w:t>
      </w:r>
      <w:r w:rsidR="00015F2B">
        <w:t>were included</w:t>
      </w:r>
      <w:r w:rsidR="000A615A">
        <w:t xml:space="preserve"> </w:t>
      </w:r>
      <w:r w:rsidR="00BC7D0A">
        <w:t xml:space="preserve">due to lack of information on </w:t>
      </w:r>
      <w:r w:rsidR="000A615A">
        <w:t>lesions size and depth</w:t>
      </w:r>
      <w:r w:rsidR="00015F2B">
        <w:t>.</w:t>
      </w:r>
      <w:r w:rsidR="0013493E">
        <w:t xml:space="preserve"> </w:t>
      </w:r>
      <w:r w:rsidR="000A615A">
        <w:t>These criteria were met by 1</w:t>
      </w:r>
      <w:r w:rsidR="00BD0A00">
        <w:t>7</w:t>
      </w:r>
      <w:r w:rsidR="000A615A">
        <w:t xml:space="preserve"> out of 25 studies.</w:t>
      </w:r>
      <w:r w:rsidR="000C77E3">
        <w:t xml:space="preserve"> </w:t>
      </w:r>
      <w:r w:rsidR="00136486">
        <w:t xml:space="preserve">The </w:t>
      </w:r>
      <w:r w:rsidR="007B25EE">
        <w:t>c</w:t>
      </w:r>
      <w:r w:rsidR="00136486">
        <w:t>ommentary prepared t</w:t>
      </w:r>
      <w:r w:rsidR="00320AE0">
        <w:t xml:space="preserve">abular summaries </w:t>
      </w:r>
      <w:r w:rsidR="005B4FB5">
        <w:t>to synthesis</w:t>
      </w:r>
      <w:r w:rsidR="00D92B5C">
        <w:t>e</w:t>
      </w:r>
      <w:r w:rsidR="005B4FB5">
        <w:t xml:space="preserve"> the ADAR’s narrative review of EBRT </w:t>
      </w:r>
      <w:r w:rsidR="00320AE0">
        <w:t>for</w:t>
      </w:r>
      <w:r w:rsidR="00FD5280">
        <w:t xml:space="preserve"> following outcomes:</w:t>
      </w:r>
      <w:r w:rsidR="00320AE0">
        <w:t xml:space="preserve"> </w:t>
      </w:r>
      <w:r w:rsidR="003F5581">
        <w:t xml:space="preserve">treatment response, </w:t>
      </w:r>
      <w:r w:rsidR="00D668F2">
        <w:t>toxicity,</w:t>
      </w:r>
      <w:r w:rsidR="003F5581">
        <w:t xml:space="preserve"> </w:t>
      </w:r>
      <w:r w:rsidR="006D0A7A">
        <w:t>and</w:t>
      </w:r>
      <w:r w:rsidR="003F5581">
        <w:t xml:space="preserve"> </w:t>
      </w:r>
      <w:r w:rsidR="00320AE0">
        <w:t>cosmetic results</w:t>
      </w:r>
      <w:r w:rsidR="005B4FB5">
        <w:t xml:space="preserve"> to assist MSAC. However, the issue remains that there is no direct nor indirect comparison of Re-188</w:t>
      </w:r>
      <w:r w:rsidR="008F5B1F">
        <w:t xml:space="preserve"> </w:t>
      </w:r>
      <w:r w:rsidR="008F5B1F">
        <w:rPr>
          <w:color w:val="000000" w:themeColor="text1"/>
        </w:rPr>
        <w:t>brachytherapy</w:t>
      </w:r>
      <w:r w:rsidR="005B4FB5">
        <w:t xml:space="preserve"> versus EBRT.</w:t>
      </w:r>
      <w:r w:rsidR="00363A6C">
        <w:t xml:space="preserve"> The </w:t>
      </w:r>
      <w:r w:rsidR="007B25EE">
        <w:t>c</w:t>
      </w:r>
      <w:r w:rsidR="00363A6C">
        <w:t>ommentary considered the</w:t>
      </w:r>
      <w:r w:rsidR="00363A6C" w:rsidRPr="00363A6C">
        <w:t xml:space="preserve"> </w:t>
      </w:r>
      <w:r w:rsidR="00363A6C">
        <w:t xml:space="preserve">ADAR clinical evidence presentation was </w:t>
      </w:r>
      <w:r w:rsidR="00363A6C" w:rsidRPr="00363A6C">
        <w:t>insufficient to evaluate the comparative safety and effectiveness of Re-188 brachytherapy and EBRT for BCC and SCC</w:t>
      </w:r>
      <w:r w:rsidR="006D0A7A">
        <w:t>.</w:t>
      </w:r>
    </w:p>
    <w:p w14:paraId="3B9FC2AD" w14:textId="66628834" w:rsidR="00772829" w:rsidRPr="00CE28E3" w:rsidRDefault="00F76D74" w:rsidP="00F6791F">
      <w:pPr>
        <w:pStyle w:val="Heading2"/>
        <w:keepLines w:val="0"/>
        <w:numPr>
          <w:ilvl w:val="0"/>
          <w:numId w:val="0"/>
        </w:numPr>
      </w:pPr>
      <w:bookmarkStart w:id="25" w:name="_Toc69491423"/>
      <w:bookmarkEnd w:id="24"/>
      <w:r>
        <w:t>11</w:t>
      </w:r>
      <w:r w:rsidR="00C36633">
        <w:t>.</w:t>
      </w:r>
      <w:r w:rsidR="00C36633">
        <w:tab/>
      </w:r>
      <w:r w:rsidR="00772829" w:rsidRPr="00CE28E3">
        <w:t>Comparative safety</w:t>
      </w:r>
      <w:bookmarkEnd w:id="25"/>
    </w:p>
    <w:p w14:paraId="2F50934C" w14:textId="08D52414" w:rsidR="007E5778" w:rsidRDefault="00825A15" w:rsidP="00081764">
      <w:pPr>
        <w:keepNext/>
        <w:keepLines/>
      </w:pPr>
      <w:r>
        <w:t xml:space="preserve">Safety </w:t>
      </w:r>
      <w:r w:rsidR="0044174A">
        <w:t xml:space="preserve">data for Re-188 </w:t>
      </w:r>
      <w:r w:rsidR="008C328C">
        <w:t>brachytherapy</w:t>
      </w:r>
      <w:r w:rsidR="0044174A">
        <w:t xml:space="preserve"> and EBRT in BCC and SCC </w:t>
      </w:r>
      <w:r w:rsidR="00C328AA">
        <w:t>are</w:t>
      </w:r>
      <w:r w:rsidR="0044174A">
        <w:t xml:space="preserve"> summarised in </w:t>
      </w:r>
      <w:r w:rsidR="007E5778">
        <w:fldChar w:fldCharType="begin"/>
      </w:r>
      <w:r w:rsidR="007E5778">
        <w:instrText xml:space="preserve"> REF _Ref134007506 \h </w:instrText>
      </w:r>
      <w:r w:rsidR="007E5778">
        <w:fldChar w:fldCharType="separate"/>
      </w:r>
      <w:r w:rsidR="009228FB">
        <w:t xml:space="preserve">Table </w:t>
      </w:r>
      <w:r w:rsidR="009228FB">
        <w:rPr>
          <w:noProof/>
        </w:rPr>
        <w:t>5</w:t>
      </w:r>
      <w:r w:rsidR="007E5778">
        <w:fldChar w:fldCharType="end"/>
      </w:r>
      <w:r w:rsidR="007E5778">
        <w:t xml:space="preserve"> and </w:t>
      </w:r>
      <w:r w:rsidR="007E5778">
        <w:fldChar w:fldCharType="begin"/>
      </w:r>
      <w:r w:rsidR="007E5778">
        <w:instrText xml:space="preserve"> REF _Ref134007517 \h </w:instrText>
      </w:r>
      <w:r w:rsidR="007E5778">
        <w:fldChar w:fldCharType="separate"/>
      </w:r>
      <w:r w:rsidR="009228FB">
        <w:t xml:space="preserve">Table </w:t>
      </w:r>
      <w:r w:rsidR="009228FB">
        <w:rPr>
          <w:noProof/>
        </w:rPr>
        <w:t>6</w:t>
      </w:r>
      <w:r w:rsidR="007E5778">
        <w:fldChar w:fldCharType="end"/>
      </w:r>
      <w:r w:rsidR="007E5778">
        <w:t xml:space="preserve">, respectively. </w:t>
      </w:r>
    </w:p>
    <w:p w14:paraId="3884B6C7" w14:textId="4723C886" w:rsidR="004629A7" w:rsidRDefault="007E5778" w:rsidP="00081764">
      <w:pPr>
        <w:keepNext/>
        <w:keepLines/>
      </w:pPr>
      <w:r>
        <w:t xml:space="preserve">For studies evaluating </w:t>
      </w:r>
      <w:r w:rsidR="00D340C8">
        <w:t xml:space="preserve">Re-188 </w:t>
      </w:r>
      <w:r w:rsidR="005A4601">
        <w:t>brachytherapy</w:t>
      </w:r>
      <w:r w:rsidR="00D340C8">
        <w:t xml:space="preserve">, one study </w:t>
      </w:r>
      <w:r w:rsidR="000154DE">
        <w:t>(Catellucci et al. 2021)</w:t>
      </w:r>
      <w:r w:rsidR="002D7E74">
        <w:t xml:space="preserve"> </w:t>
      </w:r>
      <w:r w:rsidR="0040718A">
        <w:t xml:space="preserve">with 50 patients </w:t>
      </w:r>
      <w:r w:rsidR="002D7E74">
        <w:t xml:space="preserve">reported acute skin toxicity using Common Terminology Criteria for Adverse Events (CTCAE 5.0). </w:t>
      </w:r>
      <w:r w:rsidR="00BF62CC">
        <w:t>Four events were classified as G</w:t>
      </w:r>
      <w:r w:rsidR="006439E5">
        <w:t xml:space="preserve">rade </w:t>
      </w:r>
      <w:r w:rsidR="00BF62CC">
        <w:t xml:space="preserve">3 while the remaining </w:t>
      </w:r>
      <w:r w:rsidR="0040718A">
        <w:t>56 events were either G</w:t>
      </w:r>
      <w:r w:rsidR="00D70105">
        <w:t xml:space="preserve">rade </w:t>
      </w:r>
      <w:r w:rsidR="0040718A">
        <w:t>1 or G</w:t>
      </w:r>
      <w:r w:rsidR="00D70105">
        <w:t xml:space="preserve">rade </w:t>
      </w:r>
      <w:r w:rsidR="0040718A">
        <w:t xml:space="preserve">2. </w:t>
      </w:r>
      <w:r w:rsidR="002D7E74">
        <w:t>The remaining four studies simply noted general observations relating to pain during application, discomfort, and contamination. No other safety outcomes were reported in the included studies.</w:t>
      </w:r>
      <w:r w:rsidR="008C4814">
        <w:t xml:space="preserve"> </w:t>
      </w:r>
      <w:r w:rsidR="004629A7">
        <w:t>For EBRT studies,</w:t>
      </w:r>
      <w:r w:rsidR="00E0140E">
        <w:t xml:space="preserve"> </w:t>
      </w:r>
      <w:r w:rsidR="002B66D7">
        <w:t xml:space="preserve">adverse events were reported as </w:t>
      </w:r>
      <w:r w:rsidR="005E64E0">
        <w:t xml:space="preserve">a proportion of </w:t>
      </w:r>
      <w:r w:rsidR="002B66D7">
        <w:t xml:space="preserve">the </w:t>
      </w:r>
      <w:r w:rsidR="006F4572">
        <w:t>treated</w:t>
      </w:r>
      <w:r w:rsidR="002B66D7">
        <w:t xml:space="preserve"> population</w:t>
      </w:r>
      <w:r w:rsidR="001C0148">
        <w:t xml:space="preserve"> or </w:t>
      </w:r>
      <w:r w:rsidR="006F4572">
        <w:t>as a proportion of treated lesions</w:t>
      </w:r>
      <w:r w:rsidR="002B66D7">
        <w:t xml:space="preserve">. </w:t>
      </w:r>
      <w:r w:rsidR="008C4814">
        <w:t>G</w:t>
      </w:r>
      <w:r w:rsidR="00D70105">
        <w:t xml:space="preserve">rade </w:t>
      </w:r>
      <w:r w:rsidR="008C4814">
        <w:t>3 events or higher were rare and only observed in 2 out of 5 studies.</w:t>
      </w:r>
    </w:p>
    <w:p w14:paraId="1DA09CEE" w14:textId="5C3D13E4" w:rsidR="002D7E74" w:rsidRDefault="00506E96" w:rsidP="004657F9">
      <w:r>
        <w:t>The commentary noted that the ADAR did no</w:t>
      </w:r>
      <w:r w:rsidR="004872E7">
        <w:t>t</w:t>
      </w:r>
      <w:r>
        <w:t xml:space="preserve"> address</w:t>
      </w:r>
      <w:r w:rsidR="00661F5D">
        <w:t xml:space="preserve"> </w:t>
      </w:r>
      <w:r w:rsidR="004872E7">
        <w:t xml:space="preserve">the safety of </w:t>
      </w:r>
      <w:r w:rsidR="00661F5D">
        <w:t xml:space="preserve">retreatment </w:t>
      </w:r>
      <w:r w:rsidR="009742DC">
        <w:t xml:space="preserve">and treatment of adjacent tumours </w:t>
      </w:r>
      <w:r w:rsidR="00C00C07">
        <w:t>as specified in</w:t>
      </w:r>
      <w:r w:rsidR="008F361F">
        <w:t xml:space="preserve"> the </w:t>
      </w:r>
      <w:r w:rsidR="00674DEB">
        <w:t>ratified</w:t>
      </w:r>
      <w:r w:rsidR="00192041">
        <w:t xml:space="preserve"> </w:t>
      </w:r>
      <w:r w:rsidR="008F361F">
        <w:t xml:space="preserve">PICO </w:t>
      </w:r>
      <w:r w:rsidR="009723C3">
        <w:t xml:space="preserve">confirmation </w:t>
      </w:r>
      <w:r w:rsidR="009D5B57">
        <w:t xml:space="preserve">(MSAC 1657 </w:t>
      </w:r>
      <w:r w:rsidR="00674DEB">
        <w:t xml:space="preserve">Ratified </w:t>
      </w:r>
      <w:r w:rsidR="009D5B57">
        <w:t>PICO</w:t>
      </w:r>
      <w:r w:rsidR="00192041">
        <w:t xml:space="preserve"> Confirmation</w:t>
      </w:r>
      <w:r w:rsidR="009D5B57">
        <w:t>, pg 10)</w:t>
      </w:r>
      <w:r w:rsidR="002D7E74">
        <w:t xml:space="preserve">. </w:t>
      </w:r>
      <w:r w:rsidR="00192041">
        <w:t xml:space="preserve">The applicant’s pre-ESC response did not address treatment of multiple lesions. Regarding retreatment, the pre-ESC </w:t>
      </w:r>
      <w:r w:rsidR="00192041">
        <w:rPr>
          <w:rFonts w:eastAsia="Times New Roman" w:cs="Times New Roman"/>
          <w:color w:val="000000"/>
          <w:szCs w:val="20"/>
          <w:lang w:eastAsia="en-AU"/>
        </w:rPr>
        <w:t>clarified that while</w:t>
      </w:r>
      <w:r w:rsidR="00192041" w:rsidRPr="00DC2288">
        <w:rPr>
          <w:rFonts w:eastAsia="Times New Roman" w:cs="Times New Roman"/>
          <w:color w:val="000000"/>
          <w:szCs w:val="20"/>
          <w:lang w:eastAsia="en-AU"/>
        </w:rPr>
        <w:t xml:space="preserve"> early trials allowed multiple treatment episodes per lesion, </w:t>
      </w:r>
      <w:r w:rsidR="00192041">
        <w:rPr>
          <w:rFonts w:eastAsia="Times New Roman" w:cs="Times New Roman"/>
          <w:color w:val="000000"/>
          <w:szCs w:val="20"/>
          <w:lang w:eastAsia="en-AU"/>
        </w:rPr>
        <w:t xml:space="preserve">the </w:t>
      </w:r>
      <w:r w:rsidR="00192041" w:rsidRPr="00DC2288">
        <w:rPr>
          <w:rFonts w:eastAsia="Times New Roman" w:cs="Times New Roman"/>
          <w:color w:val="000000"/>
          <w:szCs w:val="20"/>
          <w:lang w:eastAsia="en-AU"/>
        </w:rPr>
        <w:t xml:space="preserve">more recent data </w:t>
      </w:r>
      <w:r w:rsidR="00192041" w:rsidRPr="0011769A">
        <w:rPr>
          <w:rFonts w:eastAsia="Times New Roman" w:cs="Times New Roman"/>
          <w:color w:val="000000"/>
          <w:szCs w:val="20"/>
          <w:lang w:eastAsia="en-AU"/>
        </w:rPr>
        <w:t>relates to a single episode of treatment</w:t>
      </w:r>
      <w:r w:rsidR="00192041">
        <w:rPr>
          <w:rFonts w:eastAsia="Times New Roman" w:cs="Times New Roman"/>
          <w:color w:val="000000"/>
          <w:szCs w:val="20"/>
          <w:lang w:eastAsia="en-AU"/>
        </w:rPr>
        <w:t xml:space="preserve">. As such the applicant </w:t>
      </w:r>
      <w:r w:rsidR="00192041" w:rsidRPr="0011769A">
        <w:rPr>
          <w:rFonts w:eastAsia="Times New Roman" w:cs="Times New Roman"/>
          <w:color w:val="000000"/>
          <w:szCs w:val="20"/>
          <w:lang w:eastAsia="en-AU"/>
        </w:rPr>
        <w:t xml:space="preserve">neither proposed nor anticipated that more than one instance of Re-188 brachytherapy </w:t>
      </w:r>
      <w:r w:rsidR="00192041">
        <w:rPr>
          <w:rFonts w:eastAsia="Times New Roman" w:cs="Times New Roman"/>
          <w:color w:val="000000"/>
          <w:szCs w:val="20"/>
          <w:lang w:eastAsia="en-AU"/>
        </w:rPr>
        <w:t xml:space="preserve">per lesion </w:t>
      </w:r>
      <w:r w:rsidR="00192041" w:rsidRPr="0011769A">
        <w:rPr>
          <w:rFonts w:eastAsia="Times New Roman" w:cs="Times New Roman"/>
          <w:color w:val="000000"/>
          <w:szCs w:val="20"/>
          <w:lang w:eastAsia="en-AU"/>
        </w:rPr>
        <w:t xml:space="preserve">will be required </w:t>
      </w:r>
      <w:r w:rsidR="00192041">
        <w:rPr>
          <w:rFonts w:eastAsia="Times New Roman" w:cs="Times New Roman"/>
          <w:color w:val="000000"/>
          <w:szCs w:val="20"/>
          <w:lang w:eastAsia="en-AU"/>
        </w:rPr>
        <w:t>and that i</w:t>
      </w:r>
      <w:r w:rsidR="00192041" w:rsidRPr="0011769A">
        <w:rPr>
          <w:rFonts w:eastAsia="Times New Roman" w:cs="Times New Roman"/>
          <w:color w:val="000000"/>
          <w:szCs w:val="20"/>
          <w:lang w:eastAsia="en-AU"/>
        </w:rPr>
        <w:t>n rare cases of non-response, initiation of</w:t>
      </w:r>
      <w:r w:rsidR="00192041" w:rsidRPr="00DC2288">
        <w:rPr>
          <w:rFonts w:eastAsia="Times New Roman" w:cs="Times New Roman"/>
          <w:color w:val="000000"/>
          <w:szCs w:val="20"/>
          <w:lang w:eastAsia="en-AU"/>
        </w:rPr>
        <w:t xml:space="preserve"> an alternative treatment</w:t>
      </w:r>
      <w:r w:rsidR="00192041" w:rsidRPr="0011769A">
        <w:rPr>
          <w:rFonts w:eastAsia="Times New Roman" w:cs="Times New Roman"/>
          <w:color w:val="000000"/>
          <w:szCs w:val="20"/>
          <w:lang w:eastAsia="en-AU"/>
        </w:rPr>
        <w:t xml:space="preserve"> approach is a more likely outcome.</w:t>
      </w:r>
    </w:p>
    <w:p w14:paraId="24B84DDD" w14:textId="4D8FDCF8" w:rsidR="00935EEE" w:rsidRPr="00935EEE" w:rsidRDefault="002E4050" w:rsidP="00935EEE">
      <w:r>
        <w:t xml:space="preserve">The applicant’s pre-ESC response </w:t>
      </w:r>
      <w:r w:rsidR="00192041">
        <w:t xml:space="preserve">also </w:t>
      </w:r>
      <w:r>
        <w:t>provided interim statistical analysis from the ongoing EPIC</w:t>
      </w:r>
      <w:r w:rsidR="009228FB">
        <w:t>-Skin</w:t>
      </w:r>
      <w:r>
        <w:t xml:space="preserve"> study. The interim analysis indicated the majority of patients had no pain or discomfort at 14 days. However, 24 patients experienced adverse events (such as pain, swelling and wound infection), and one patient had a serious adverse event relating to wound healing.</w:t>
      </w:r>
      <w:bookmarkStart w:id="26" w:name="_Ref134007506"/>
      <w:bookmarkStart w:id="27" w:name="_Ref134007491"/>
      <w:r w:rsidR="00935EEE">
        <w:br w:type="page"/>
      </w:r>
    </w:p>
    <w:p w14:paraId="54233D9E" w14:textId="354EA262" w:rsidR="00693988" w:rsidRDefault="00A11BFE" w:rsidP="005A65CB">
      <w:pPr>
        <w:pStyle w:val="Caption"/>
        <w:keepNext w:val="0"/>
      </w:pPr>
      <w:r>
        <w:lastRenderedPageBreak/>
        <w:t xml:space="preserve">Table </w:t>
      </w:r>
      <w:r w:rsidR="00BC1AC8">
        <w:fldChar w:fldCharType="begin"/>
      </w:r>
      <w:r w:rsidR="00BC1AC8">
        <w:instrText xml:space="preserve"> SEQ Table \* ARABIC </w:instrText>
      </w:r>
      <w:r w:rsidR="00BC1AC8">
        <w:fldChar w:fldCharType="separate"/>
      </w:r>
      <w:r w:rsidR="009228FB">
        <w:rPr>
          <w:noProof/>
        </w:rPr>
        <w:t>5</w:t>
      </w:r>
      <w:r w:rsidR="00BC1AC8">
        <w:rPr>
          <w:noProof/>
        </w:rPr>
        <w:fldChar w:fldCharType="end"/>
      </w:r>
      <w:bookmarkEnd w:id="26"/>
      <w:r>
        <w:t xml:space="preserve">  </w:t>
      </w:r>
      <w:r w:rsidR="00735F0F">
        <w:t>Results of safety across the included studies</w:t>
      </w:r>
      <w:r w:rsidR="00923867">
        <w:t xml:space="preserve"> for Re-188 brachytherapy</w:t>
      </w:r>
      <w:bookmarkEnd w:id="27"/>
    </w:p>
    <w:tbl>
      <w:tblPr>
        <w:tblStyle w:val="TableGrid"/>
        <w:tblW w:w="9016" w:type="dxa"/>
        <w:tblLook w:val="04A0" w:firstRow="1" w:lastRow="0" w:firstColumn="1" w:lastColumn="0" w:noHBand="0" w:noVBand="1"/>
      </w:tblPr>
      <w:tblGrid>
        <w:gridCol w:w="1256"/>
        <w:gridCol w:w="964"/>
        <w:gridCol w:w="1461"/>
        <w:gridCol w:w="850"/>
        <w:gridCol w:w="1541"/>
        <w:gridCol w:w="2944"/>
      </w:tblGrid>
      <w:tr w:rsidR="009B3242" w14:paraId="34EEC08F" w14:textId="03AF614F" w:rsidTr="007711E7">
        <w:tc>
          <w:tcPr>
            <w:tcW w:w="1256" w:type="dxa"/>
            <w:vAlign w:val="center"/>
          </w:tcPr>
          <w:p w14:paraId="0CB1FA43" w14:textId="4EF6F1AA" w:rsidR="005B200D" w:rsidRDefault="005B200D" w:rsidP="005A65CB">
            <w:pPr>
              <w:pStyle w:val="TableHeading0"/>
              <w:spacing w:before="40" w:after="40"/>
            </w:pPr>
            <w:r>
              <w:t>Study ID</w:t>
            </w:r>
          </w:p>
        </w:tc>
        <w:tc>
          <w:tcPr>
            <w:tcW w:w="964" w:type="dxa"/>
            <w:vAlign w:val="center"/>
          </w:tcPr>
          <w:p w14:paraId="5B4F20E4" w14:textId="65772180" w:rsidR="005B200D" w:rsidRDefault="00B95A11" w:rsidP="005A65CB">
            <w:pPr>
              <w:pStyle w:val="TableHeading0"/>
              <w:spacing w:before="40" w:after="40"/>
              <w:jc w:val="center"/>
            </w:pPr>
            <w:r>
              <w:t>No. of patients</w:t>
            </w:r>
          </w:p>
        </w:tc>
        <w:tc>
          <w:tcPr>
            <w:tcW w:w="1461" w:type="dxa"/>
            <w:vAlign w:val="center"/>
          </w:tcPr>
          <w:p w14:paraId="5E0BA0A5" w14:textId="406A4713" w:rsidR="005B200D" w:rsidRDefault="005B200D" w:rsidP="005A65CB">
            <w:pPr>
              <w:pStyle w:val="TableHeading0"/>
              <w:spacing w:before="40" w:after="40"/>
              <w:jc w:val="center"/>
            </w:pPr>
            <w:r>
              <w:t>Number of treatments</w:t>
            </w:r>
          </w:p>
        </w:tc>
        <w:tc>
          <w:tcPr>
            <w:tcW w:w="850" w:type="dxa"/>
            <w:vAlign w:val="center"/>
          </w:tcPr>
          <w:p w14:paraId="4EE9A9E8" w14:textId="7255BB9E" w:rsidR="005B200D" w:rsidRDefault="005B200D" w:rsidP="005A65CB">
            <w:pPr>
              <w:pStyle w:val="TableHeading0"/>
              <w:spacing w:before="40" w:after="40"/>
              <w:jc w:val="center"/>
            </w:pPr>
            <w:r>
              <w:t>Risk of bias</w:t>
            </w:r>
          </w:p>
        </w:tc>
        <w:tc>
          <w:tcPr>
            <w:tcW w:w="1541" w:type="dxa"/>
            <w:vAlign w:val="center"/>
          </w:tcPr>
          <w:p w14:paraId="22DA8A0C" w14:textId="68959E60" w:rsidR="005B200D" w:rsidRDefault="005B200D" w:rsidP="005A65CB">
            <w:pPr>
              <w:pStyle w:val="TableHeading0"/>
              <w:spacing w:before="40" w:after="40"/>
              <w:jc w:val="center"/>
            </w:pPr>
            <w:r>
              <w:t>Safety outcome, follow-up</w:t>
            </w:r>
          </w:p>
        </w:tc>
        <w:tc>
          <w:tcPr>
            <w:tcW w:w="2944" w:type="dxa"/>
            <w:vAlign w:val="center"/>
          </w:tcPr>
          <w:p w14:paraId="7A34B5B7" w14:textId="43FF2F76" w:rsidR="005B200D" w:rsidRDefault="005B200D" w:rsidP="005A65CB">
            <w:pPr>
              <w:pStyle w:val="TableHeading0"/>
              <w:spacing w:before="40" w:after="40"/>
              <w:jc w:val="center"/>
            </w:pPr>
            <w:r>
              <w:t>Results reported</w:t>
            </w:r>
          </w:p>
        </w:tc>
      </w:tr>
      <w:tr w:rsidR="005B200D" w14:paraId="00E007EB" w14:textId="3A75281B" w:rsidTr="003848F1">
        <w:tc>
          <w:tcPr>
            <w:tcW w:w="1256" w:type="dxa"/>
            <w:vAlign w:val="center"/>
          </w:tcPr>
          <w:p w14:paraId="465DEB64" w14:textId="6F5C0959" w:rsidR="005B200D" w:rsidRDefault="005B200D" w:rsidP="005A65CB">
            <w:pPr>
              <w:pStyle w:val="Tabletext0"/>
              <w:jc w:val="left"/>
            </w:pPr>
            <w:r>
              <w:t>Castellucci 2021</w:t>
            </w:r>
          </w:p>
        </w:tc>
        <w:tc>
          <w:tcPr>
            <w:tcW w:w="964" w:type="dxa"/>
            <w:vAlign w:val="center"/>
          </w:tcPr>
          <w:p w14:paraId="72F495E2" w14:textId="1BC4DEBC" w:rsidR="005B200D" w:rsidRDefault="002207A0" w:rsidP="005A65CB">
            <w:pPr>
              <w:pStyle w:val="Tabletext0"/>
              <w:jc w:val="center"/>
            </w:pPr>
            <w:r>
              <w:rPr>
                <w:lang w:val="en-US"/>
              </w:rPr>
              <w:t>54</w:t>
            </w:r>
          </w:p>
        </w:tc>
        <w:tc>
          <w:tcPr>
            <w:tcW w:w="1461" w:type="dxa"/>
            <w:vAlign w:val="center"/>
          </w:tcPr>
          <w:p w14:paraId="4D4ADC8D" w14:textId="118FBC6F" w:rsidR="005B200D" w:rsidRDefault="005B200D" w:rsidP="005A65CB">
            <w:pPr>
              <w:pStyle w:val="Tabletext0"/>
              <w:jc w:val="center"/>
            </w:pPr>
            <w:r>
              <w:t>1 treatment</w:t>
            </w:r>
          </w:p>
        </w:tc>
        <w:tc>
          <w:tcPr>
            <w:tcW w:w="850" w:type="dxa"/>
            <w:vAlign w:val="center"/>
          </w:tcPr>
          <w:p w14:paraId="496E261B" w14:textId="2A0CEF73" w:rsidR="005B200D" w:rsidRDefault="005B200D" w:rsidP="005A65CB">
            <w:pPr>
              <w:pStyle w:val="Tabletext0"/>
              <w:jc w:val="center"/>
            </w:pPr>
            <w:r>
              <w:t>Fair</w:t>
            </w:r>
          </w:p>
        </w:tc>
        <w:tc>
          <w:tcPr>
            <w:tcW w:w="1541" w:type="dxa"/>
            <w:vAlign w:val="center"/>
          </w:tcPr>
          <w:p w14:paraId="3FFA439A" w14:textId="487BAFE4" w:rsidR="005B200D" w:rsidRDefault="005B200D" w:rsidP="005A65CB">
            <w:pPr>
              <w:pStyle w:val="Tabletext0"/>
              <w:jc w:val="center"/>
            </w:pPr>
            <w:r>
              <w:t>Acute skin toxicity (CT</w:t>
            </w:r>
            <w:r w:rsidR="00D340C8">
              <w:t>C</w:t>
            </w:r>
            <w:r>
              <w:t>AE)</w:t>
            </w:r>
          </w:p>
          <w:p w14:paraId="1C1C3312" w14:textId="1F848C07" w:rsidR="005B200D" w:rsidRDefault="005B200D" w:rsidP="005A65CB">
            <w:pPr>
              <w:pStyle w:val="Tabletext0"/>
              <w:jc w:val="center"/>
            </w:pPr>
            <w:r>
              <w:t>30 days</w:t>
            </w:r>
          </w:p>
        </w:tc>
        <w:tc>
          <w:tcPr>
            <w:tcW w:w="2944" w:type="dxa"/>
            <w:vAlign w:val="center"/>
          </w:tcPr>
          <w:p w14:paraId="3DB5E033" w14:textId="4E98D0C3" w:rsidR="005B200D" w:rsidRDefault="005B200D" w:rsidP="005A65CB">
            <w:pPr>
              <w:pStyle w:val="Tabletext0"/>
              <w:jc w:val="center"/>
            </w:pPr>
            <w:r>
              <w:t>G</w:t>
            </w:r>
            <w:r w:rsidR="00D70105">
              <w:t xml:space="preserve">rade </w:t>
            </w:r>
            <w:r>
              <w:t>1: 31 events (51.6%)</w:t>
            </w:r>
          </w:p>
          <w:p w14:paraId="0F49C0C3" w14:textId="0CF989F5" w:rsidR="005B200D" w:rsidRDefault="005B200D" w:rsidP="005A65CB">
            <w:pPr>
              <w:pStyle w:val="Tabletext0"/>
              <w:jc w:val="center"/>
            </w:pPr>
            <w:r>
              <w:t>G</w:t>
            </w:r>
            <w:r w:rsidR="00D70105">
              <w:t xml:space="preserve">rade </w:t>
            </w:r>
            <w:r>
              <w:t>2: 25 events (41.6%)</w:t>
            </w:r>
          </w:p>
          <w:p w14:paraId="3B906A5A" w14:textId="2F694B30" w:rsidR="005B200D" w:rsidRDefault="005B200D" w:rsidP="005A65CB">
            <w:pPr>
              <w:pStyle w:val="Tabletext0"/>
              <w:jc w:val="center"/>
            </w:pPr>
            <w:r>
              <w:t>G</w:t>
            </w:r>
            <w:r w:rsidR="00D70105">
              <w:t xml:space="preserve">rade </w:t>
            </w:r>
            <w:r>
              <w:t>3: 4 events (6.6%)</w:t>
            </w:r>
          </w:p>
        </w:tc>
      </w:tr>
      <w:tr w:rsidR="005B200D" w14:paraId="760880F8" w14:textId="6C5D46EB" w:rsidTr="003848F1">
        <w:tc>
          <w:tcPr>
            <w:tcW w:w="1256" w:type="dxa"/>
            <w:vAlign w:val="center"/>
          </w:tcPr>
          <w:p w14:paraId="2D9C75B3" w14:textId="334DC037" w:rsidR="005B200D" w:rsidRDefault="005B200D" w:rsidP="005A65CB">
            <w:pPr>
              <w:pStyle w:val="Tabletext0"/>
              <w:jc w:val="left"/>
            </w:pPr>
            <w:r>
              <w:t>Carrozzo 2013</w:t>
            </w:r>
          </w:p>
        </w:tc>
        <w:tc>
          <w:tcPr>
            <w:tcW w:w="964" w:type="dxa"/>
            <w:vAlign w:val="center"/>
          </w:tcPr>
          <w:p w14:paraId="6DD293E1" w14:textId="28A93022" w:rsidR="005B200D" w:rsidRDefault="005B200D" w:rsidP="005A65CB">
            <w:pPr>
              <w:pStyle w:val="Tabletext0"/>
              <w:jc w:val="center"/>
            </w:pPr>
            <w:r>
              <w:rPr>
                <w:lang w:val="en-US"/>
              </w:rPr>
              <w:t>15</w:t>
            </w:r>
          </w:p>
        </w:tc>
        <w:tc>
          <w:tcPr>
            <w:tcW w:w="1461" w:type="dxa"/>
            <w:vAlign w:val="center"/>
          </w:tcPr>
          <w:p w14:paraId="65AC5748" w14:textId="1253BAA1" w:rsidR="005B200D" w:rsidRDefault="005B200D" w:rsidP="005A65CB">
            <w:pPr>
              <w:pStyle w:val="Tabletext0"/>
              <w:jc w:val="center"/>
            </w:pPr>
            <w:r>
              <w:t>1-3 treatments</w:t>
            </w:r>
            <w:r w:rsidR="00B232B5">
              <w:t xml:space="preserve"> </w:t>
            </w:r>
            <w:r w:rsidR="00B232B5">
              <w:rPr>
                <w:lang w:val="en-US"/>
              </w:rPr>
              <w:t>per patient (single treatment per lesion)</w:t>
            </w:r>
          </w:p>
        </w:tc>
        <w:tc>
          <w:tcPr>
            <w:tcW w:w="850" w:type="dxa"/>
            <w:vAlign w:val="center"/>
          </w:tcPr>
          <w:p w14:paraId="472FFFB0" w14:textId="6D9AC60A" w:rsidR="005B200D" w:rsidRDefault="005B200D" w:rsidP="005A65CB">
            <w:pPr>
              <w:pStyle w:val="Tabletext0"/>
              <w:jc w:val="center"/>
            </w:pPr>
            <w:r>
              <w:t>Fair</w:t>
            </w:r>
          </w:p>
        </w:tc>
        <w:tc>
          <w:tcPr>
            <w:tcW w:w="1541" w:type="dxa"/>
            <w:vAlign w:val="center"/>
          </w:tcPr>
          <w:p w14:paraId="665C17C3" w14:textId="5B898E96" w:rsidR="005B200D" w:rsidRDefault="005B200D" w:rsidP="005A65CB">
            <w:pPr>
              <w:pStyle w:val="Tabletext0"/>
              <w:jc w:val="center"/>
            </w:pPr>
            <w:r>
              <w:t>No formal safety assessment</w:t>
            </w:r>
          </w:p>
        </w:tc>
        <w:tc>
          <w:tcPr>
            <w:tcW w:w="2944" w:type="dxa"/>
            <w:vAlign w:val="center"/>
          </w:tcPr>
          <w:p w14:paraId="057D63C4" w14:textId="55EB126F" w:rsidR="005B200D" w:rsidRDefault="005B200D" w:rsidP="005A65CB">
            <w:pPr>
              <w:pStyle w:val="Tabletext0"/>
              <w:jc w:val="center"/>
            </w:pPr>
            <w:r>
              <w:t>0 patients reported discomfort.</w:t>
            </w:r>
          </w:p>
          <w:p w14:paraId="517698FC" w14:textId="24BF31ED" w:rsidR="005B200D" w:rsidRDefault="005B200D" w:rsidP="005A65CB">
            <w:pPr>
              <w:pStyle w:val="Tabletext0"/>
              <w:jc w:val="center"/>
            </w:pPr>
            <w:r>
              <w:t>0 patients had collateral effect from therapy.</w:t>
            </w:r>
          </w:p>
        </w:tc>
      </w:tr>
      <w:tr w:rsidR="005B200D" w14:paraId="10DCF0E7" w14:textId="3F34174C" w:rsidTr="003848F1">
        <w:tc>
          <w:tcPr>
            <w:tcW w:w="1256" w:type="dxa"/>
            <w:vAlign w:val="center"/>
          </w:tcPr>
          <w:p w14:paraId="3F48AC9F" w14:textId="22ED18FD" w:rsidR="005B200D" w:rsidRDefault="005B200D" w:rsidP="005A65CB">
            <w:pPr>
              <w:pStyle w:val="Tabletext0"/>
              <w:jc w:val="left"/>
            </w:pPr>
            <w:r>
              <w:t>Sedda 2008</w:t>
            </w:r>
          </w:p>
        </w:tc>
        <w:tc>
          <w:tcPr>
            <w:tcW w:w="964" w:type="dxa"/>
            <w:vAlign w:val="center"/>
          </w:tcPr>
          <w:p w14:paraId="446720F5" w14:textId="7DA849C3" w:rsidR="005B200D" w:rsidRDefault="005B200D" w:rsidP="005A65CB">
            <w:pPr>
              <w:pStyle w:val="Tabletext0"/>
              <w:jc w:val="center"/>
            </w:pPr>
            <w:r>
              <w:rPr>
                <w:lang w:val="en-US"/>
              </w:rPr>
              <w:t>53</w:t>
            </w:r>
          </w:p>
        </w:tc>
        <w:tc>
          <w:tcPr>
            <w:tcW w:w="1461" w:type="dxa"/>
            <w:vAlign w:val="center"/>
          </w:tcPr>
          <w:p w14:paraId="73867AD2" w14:textId="6763960E" w:rsidR="005B200D" w:rsidRDefault="005B200D" w:rsidP="005A65CB">
            <w:pPr>
              <w:pStyle w:val="Tabletext0"/>
              <w:jc w:val="center"/>
            </w:pPr>
            <w:r>
              <w:t xml:space="preserve">1-3 </w:t>
            </w:r>
            <w:r w:rsidR="00B232B5">
              <w:t xml:space="preserve">treatments </w:t>
            </w:r>
            <w:r w:rsidR="00B232B5">
              <w:rPr>
                <w:lang w:val="en-US"/>
              </w:rPr>
              <w:t>(single, n= 43; two, n= 8; three, n= 2)</w:t>
            </w:r>
          </w:p>
        </w:tc>
        <w:tc>
          <w:tcPr>
            <w:tcW w:w="850" w:type="dxa"/>
            <w:vAlign w:val="center"/>
          </w:tcPr>
          <w:p w14:paraId="53EA9541" w14:textId="138F1788" w:rsidR="005B200D" w:rsidRDefault="005B200D" w:rsidP="005A65CB">
            <w:pPr>
              <w:pStyle w:val="Tabletext0"/>
              <w:jc w:val="center"/>
            </w:pPr>
            <w:r>
              <w:t>Fair</w:t>
            </w:r>
          </w:p>
        </w:tc>
        <w:tc>
          <w:tcPr>
            <w:tcW w:w="1541" w:type="dxa"/>
            <w:vAlign w:val="center"/>
          </w:tcPr>
          <w:p w14:paraId="6213136C" w14:textId="7533810C" w:rsidR="005B200D" w:rsidRDefault="005B200D" w:rsidP="005A65CB">
            <w:pPr>
              <w:pStyle w:val="Tabletext0"/>
              <w:jc w:val="center"/>
            </w:pPr>
            <w:r>
              <w:t>No formal safety assessment</w:t>
            </w:r>
          </w:p>
        </w:tc>
        <w:tc>
          <w:tcPr>
            <w:tcW w:w="2944" w:type="dxa"/>
            <w:vAlign w:val="center"/>
          </w:tcPr>
          <w:p w14:paraId="0CAB0999" w14:textId="59581F8C" w:rsidR="005B200D" w:rsidRDefault="005B200D" w:rsidP="005A65CB">
            <w:pPr>
              <w:pStyle w:val="Tabletext0"/>
              <w:jc w:val="center"/>
            </w:pPr>
            <w:r>
              <w:t>Mild erythema immediately after treatment (cleared 2-7 days after).</w:t>
            </w:r>
          </w:p>
          <w:p w14:paraId="06012ECB" w14:textId="755502C4" w:rsidR="005B200D" w:rsidRDefault="005B200D" w:rsidP="005A65CB">
            <w:pPr>
              <w:pStyle w:val="Tabletext0"/>
              <w:jc w:val="center"/>
            </w:pPr>
            <w:r>
              <w:t>Bleeding often present for large lesions (cleared 10-30 days after treatment).</w:t>
            </w:r>
          </w:p>
          <w:p w14:paraId="60C9F2AB" w14:textId="11DD6414" w:rsidR="005B200D" w:rsidRDefault="005B200D" w:rsidP="005A65CB">
            <w:pPr>
              <w:pStyle w:val="Tabletext0"/>
              <w:jc w:val="center"/>
            </w:pPr>
            <w:r>
              <w:t>0 patients reported disfiguring scarring, pain or side-effects.</w:t>
            </w:r>
          </w:p>
          <w:p w14:paraId="4C6E9AFF" w14:textId="06EBF84A" w:rsidR="005B200D" w:rsidRDefault="005B200D" w:rsidP="005A65CB">
            <w:pPr>
              <w:pStyle w:val="Tabletext0"/>
              <w:jc w:val="center"/>
            </w:pPr>
            <w:r>
              <w:t>0 patients reported systemic or topical side effects (20-72 months after treatment).</w:t>
            </w:r>
          </w:p>
        </w:tc>
      </w:tr>
      <w:tr w:rsidR="005B200D" w14:paraId="2DFD3634" w14:textId="365BB4BE" w:rsidTr="003848F1">
        <w:tc>
          <w:tcPr>
            <w:tcW w:w="1256" w:type="dxa"/>
            <w:vAlign w:val="center"/>
          </w:tcPr>
          <w:p w14:paraId="07127928" w14:textId="48CED48B" w:rsidR="005B200D" w:rsidRDefault="005B200D" w:rsidP="005A65CB">
            <w:pPr>
              <w:pStyle w:val="Tabletext0"/>
              <w:jc w:val="left"/>
            </w:pPr>
            <w:r w:rsidRPr="007A70FF">
              <w:t>Cipriani 2017</w:t>
            </w:r>
          </w:p>
        </w:tc>
        <w:tc>
          <w:tcPr>
            <w:tcW w:w="964" w:type="dxa"/>
            <w:vAlign w:val="center"/>
          </w:tcPr>
          <w:p w14:paraId="0C945DC2" w14:textId="3C22ADA2" w:rsidR="005B200D" w:rsidRDefault="005B200D" w:rsidP="005A65CB">
            <w:pPr>
              <w:pStyle w:val="Tabletext0"/>
              <w:jc w:val="center"/>
            </w:pPr>
            <w:r>
              <w:rPr>
                <w:lang w:val="en-US"/>
              </w:rPr>
              <w:t>52</w:t>
            </w:r>
          </w:p>
        </w:tc>
        <w:tc>
          <w:tcPr>
            <w:tcW w:w="1461" w:type="dxa"/>
            <w:vAlign w:val="center"/>
          </w:tcPr>
          <w:p w14:paraId="6D146814" w14:textId="560D0E3E" w:rsidR="005B200D" w:rsidRDefault="005B200D" w:rsidP="005A65CB">
            <w:pPr>
              <w:pStyle w:val="Tabletext0"/>
              <w:jc w:val="center"/>
            </w:pPr>
            <w:r>
              <w:t>1-2 treatments</w:t>
            </w:r>
          </w:p>
        </w:tc>
        <w:tc>
          <w:tcPr>
            <w:tcW w:w="850" w:type="dxa"/>
            <w:vAlign w:val="center"/>
          </w:tcPr>
          <w:p w14:paraId="02DDB044" w14:textId="5001B89E" w:rsidR="005B200D" w:rsidRDefault="005B200D" w:rsidP="005A65CB">
            <w:pPr>
              <w:pStyle w:val="Tabletext0"/>
              <w:jc w:val="center"/>
            </w:pPr>
            <w:r>
              <w:t>Poor</w:t>
            </w:r>
          </w:p>
        </w:tc>
        <w:tc>
          <w:tcPr>
            <w:tcW w:w="1541" w:type="dxa"/>
            <w:vAlign w:val="center"/>
          </w:tcPr>
          <w:p w14:paraId="6ABE9F96" w14:textId="52222476" w:rsidR="005B200D" w:rsidRDefault="005B200D" w:rsidP="005A65CB">
            <w:pPr>
              <w:pStyle w:val="Tabletext0"/>
              <w:jc w:val="center"/>
            </w:pPr>
            <w:r>
              <w:t>No formal safety assessment</w:t>
            </w:r>
          </w:p>
        </w:tc>
        <w:tc>
          <w:tcPr>
            <w:tcW w:w="2944" w:type="dxa"/>
            <w:vAlign w:val="center"/>
          </w:tcPr>
          <w:p w14:paraId="5CCA71AF" w14:textId="78153658" w:rsidR="005B200D" w:rsidRDefault="005B200D" w:rsidP="005A65CB">
            <w:pPr>
              <w:pStyle w:val="Tabletext0"/>
              <w:jc w:val="center"/>
            </w:pPr>
            <w:r>
              <w:t>No side-effects or adverse events reported during treatment.</w:t>
            </w:r>
          </w:p>
          <w:p w14:paraId="7731A421" w14:textId="2592495D" w:rsidR="005B200D" w:rsidRDefault="005B200D" w:rsidP="005A65CB">
            <w:pPr>
              <w:pStyle w:val="Tabletext0"/>
              <w:jc w:val="center"/>
            </w:pPr>
            <w:r>
              <w:t>No contamination found.</w:t>
            </w:r>
          </w:p>
        </w:tc>
      </w:tr>
      <w:tr w:rsidR="005B200D" w14:paraId="7C392BCC" w14:textId="5CA32339" w:rsidTr="003848F1">
        <w:tc>
          <w:tcPr>
            <w:tcW w:w="1256" w:type="dxa"/>
            <w:vAlign w:val="center"/>
          </w:tcPr>
          <w:p w14:paraId="66153444" w14:textId="6704B036" w:rsidR="005B200D" w:rsidRDefault="005B200D" w:rsidP="005A65CB">
            <w:pPr>
              <w:pStyle w:val="Tabletext0"/>
              <w:jc w:val="left"/>
            </w:pPr>
            <w:r w:rsidRPr="007F4596">
              <w:t>Cipriani 2020</w:t>
            </w:r>
          </w:p>
        </w:tc>
        <w:tc>
          <w:tcPr>
            <w:tcW w:w="964" w:type="dxa"/>
            <w:vAlign w:val="center"/>
          </w:tcPr>
          <w:p w14:paraId="7C233162" w14:textId="196BF9FE" w:rsidR="005B200D" w:rsidRDefault="005B200D" w:rsidP="005A65CB">
            <w:pPr>
              <w:pStyle w:val="Tabletext0"/>
              <w:jc w:val="center"/>
            </w:pPr>
            <w:r>
              <w:rPr>
                <w:lang w:val="en-US"/>
              </w:rPr>
              <w:t>43</w:t>
            </w:r>
          </w:p>
        </w:tc>
        <w:tc>
          <w:tcPr>
            <w:tcW w:w="1461" w:type="dxa"/>
            <w:vAlign w:val="center"/>
          </w:tcPr>
          <w:p w14:paraId="2C8AE00B" w14:textId="1F6EC95B" w:rsidR="005B200D" w:rsidRDefault="005B200D" w:rsidP="005A65CB">
            <w:pPr>
              <w:pStyle w:val="Tabletext0"/>
              <w:jc w:val="center"/>
            </w:pPr>
            <w:r>
              <w:t>1 treatment</w:t>
            </w:r>
          </w:p>
        </w:tc>
        <w:tc>
          <w:tcPr>
            <w:tcW w:w="850" w:type="dxa"/>
            <w:vAlign w:val="center"/>
          </w:tcPr>
          <w:p w14:paraId="4FDC1D12" w14:textId="426EB7B8" w:rsidR="005B200D" w:rsidRDefault="005B200D" w:rsidP="005A65CB">
            <w:pPr>
              <w:pStyle w:val="Tabletext0"/>
              <w:jc w:val="center"/>
            </w:pPr>
            <w:r>
              <w:t>Poor</w:t>
            </w:r>
          </w:p>
        </w:tc>
        <w:tc>
          <w:tcPr>
            <w:tcW w:w="1541" w:type="dxa"/>
            <w:vAlign w:val="center"/>
          </w:tcPr>
          <w:p w14:paraId="56830A90" w14:textId="08EB8F10" w:rsidR="005B200D" w:rsidRDefault="005B200D" w:rsidP="005A65CB">
            <w:pPr>
              <w:pStyle w:val="Tabletext0"/>
              <w:jc w:val="center"/>
            </w:pPr>
            <w:r>
              <w:t>No formal safety assessment</w:t>
            </w:r>
          </w:p>
        </w:tc>
        <w:tc>
          <w:tcPr>
            <w:tcW w:w="2944" w:type="dxa"/>
            <w:vAlign w:val="center"/>
          </w:tcPr>
          <w:p w14:paraId="48784D4C" w14:textId="506AF007" w:rsidR="005B200D" w:rsidRDefault="005B200D" w:rsidP="005A65CB">
            <w:pPr>
              <w:pStyle w:val="Tabletext0"/>
              <w:jc w:val="center"/>
            </w:pPr>
            <w:r>
              <w:t>No complications were reported post treatment.</w:t>
            </w:r>
          </w:p>
          <w:p w14:paraId="798B31DF" w14:textId="3187108A" w:rsidR="005B200D" w:rsidRDefault="005B200D" w:rsidP="005A65CB">
            <w:pPr>
              <w:pStyle w:val="Tabletext0"/>
              <w:jc w:val="center"/>
            </w:pPr>
            <w:r>
              <w:t>No contamination found.</w:t>
            </w:r>
          </w:p>
        </w:tc>
      </w:tr>
    </w:tbl>
    <w:p w14:paraId="27C03A6A" w14:textId="148DAAAF" w:rsidR="00935EEE" w:rsidRPr="00935EEE" w:rsidRDefault="00FA2929" w:rsidP="00935EEE">
      <w:pPr>
        <w:pStyle w:val="Tablenotes"/>
        <w:widowControl/>
      </w:pPr>
      <w:bookmarkStart w:id="28" w:name="_Toc69491424"/>
      <w:r>
        <w:t xml:space="preserve">Source: </w:t>
      </w:r>
      <w:r w:rsidR="009228FB">
        <w:t>Table 6, pg 17 of MSAC 1657 Commentary Executive Summary</w:t>
      </w:r>
      <w:r>
        <w:t xml:space="preserve"> </w:t>
      </w:r>
      <w:r>
        <w:br/>
      </w:r>
      <w:r w:rsidR="00923867">
        <w:t xml:space="preserve">Abbreviations: </w:t>
      </w:r>
      <w:r w:rsidR="001F52CE">
        <w:t>CT</w:t>
      </w:r>
      <w:r w:rsidR="00D340C8">
        <w:t>C</w:t>
      </w:r>
      <w:r w:rsidR="001F52CE">
        <w:t xml:space="preserve">AE= </w:t>
      </w:r>
      <w:r w:rsidR="004E7FA7">
        <w:t>Common Terminology Criteria for Adverse Events</w:t>
      </w:r>
      <w:bookmarkStart w:id="29" w:name="_Ref134007517"/>
      <w:r w:rsidR="00935EEE">
        <w:br w:type="page"/>
      </w:r>
    </w:p>
    <w:p w14:paraId="4B941B6C" w14:textId="231CED16" w:rsidR="00CC0C39" w:rsidRDefault="00CC0C39" w:rsidP="005A65CB">
      <w:pPr>
        <w:pStyle w:val="Caption"/>
        <w:keepNext w:val="0"/>
      </w:pPr>
      <w:r>
        <w:lastRenderedPageBreak/>
        <w:t xml:space="preserve">Table </w:t>
      </w:r>
      <w:r w:rsidR="00BC1AC8">
        <w:fldChar w:fldCharType="begin"/>
      </w:r>
      <w:r w:rsidR="00BC1AC8">
        <w:instrText xml:space="preserve"> SEQ Table \* ARABIC </w:instrText>
      </w:r>
      <w:r w:rsidR="00BC1AC8">
        <w:fldChar w:fldCharType="separate"/>
      </w:r>
      <w:r w:rsidR="009228FB">
        <w:rPr>
          <w:noProof/>
        </w:rPr>
        <w:t>6</w:t>
      </w:r>
      <w:r w:rsidR="00BC1AC8">
        <w:rPr>
          <w:noProof/>
        </w:rPr>
        <w:fldChar w:fldCharType="end"/>
      </w:r>
      <w:bookmarkEnd w:id="29"/>
      <w:r w:rsidR="0031799A">
        <w:t xml:space="preserve"> </w:t>
      </w:r>
      <w:r w:rsidR="00E853DE">
        <w:t>Results</w:t>
      </w:r>
      <w:r>
        <w:t xml:space="preserve"> of safety across the included studies for EBRT</w:t>
      </w:r>
    </w:p>
    <w:tbl>
      <w:tblPr>
        <w:tblStyle w:val="TableGrid"/>
        <w:tblW w:w="5115" w:type="pct"/>
        <w:tblInd w:w="-80" w:type="dxa"/>
        <w:tblLook w:val="04A0" w:firstRow="1" w:lastRow="0" w:firstColumn="1" w:lastColumn="0" w:noHBand="0" w:noVBand="1"/>
        <w:tblCaption w:val="Table 18  Results of toxicity across the studies, lung cancer, MR-IGRT"/>
        <w:tblDescription w:val="This table provides results of toxicity across studies in Lung cancer for MR-IGRT."/>
      </w:tblPr>
      <w:tblGrid>
        <w:gridCol w:w="1047"/>
        <w:gridCol w:w="1581"/>
        <w:gridCol w:w="1566"/>
        <w:gridCol w:w="1455"/>
        <w:gridCol w:w="1195"/>
        <w:gridCol w:w="1197"/>
        <w:gridCol w:w="1182"/>
      </w:tblGrid>
      <w:tr w:rsidR="00E331DC" w:rsidRPr="00FA3095" w14:paraId="781DE75E" w14:textId="77777777" w:rsidTr="004226BB">
        <w:tc>
          <w:tcPr>
            <w:tcW w:w="567" w:type="pct"/>
            <w:vAlign w:val="center"/>
          </w:tcPr>
          <w:p w14:paraId="643E3A82" w14:textId="77777777" w:rsidR="00E331DC" w:rsidRPr="00FA3095" w:rsidRDefault="00E331DC" w:rsidP="005A65CB">
            <w:pPr>
              <w:pStyle w:val="TableHeading"/>
              <w:keepNext w:val="0"/>
              <w:rPr>
                <w:snapToGrid w:val="0"/>
                <w:szCs w:val="20"/>
              </w:rPr>
            </w:pPr>
            <w:bookmarkStart w:id="30" w:name="_Hlk133929468"/>
            <w:bookmarkStart w:id="31" w:name="_Hlk133927110"/>
            <w:r w:rsidRPr="00FA3095">
              <w:rPr>
                <w:snapToGrid w:val="0"/>
                <w:szCs w:val="20"/>
              </w:rPr>
              <w:t>Study ID</w:t>
            </w:r>
          </w:p>
        </w:tc>
        <w:tc>
          <w:tcPr>
            <w:tcW w:w="857" w:type="pct"/>
          </w:tcPr>
          <w:p w14:paraId="18DC1953" w14:textId="51CFF271" w:rsidR="00E331DC" w:rsidRPr="00FA3095" w:rsidRDefault="00E331DC" w:rsidP="005A65CB">
            <w:pPr>
              <w:pStyle w:val="TableHeading"/>
              <w:keepNext w:val="0"/>
              <w:jc w:val="center"/>
              <w:rPr>
                <w:snapToGrid w:val="0"/>
                <w:szCs w:val="20"/>
              </w:rPr>
            </w:pPr>
            <w:r>
              <w:rPr>
                <w:snapToGrid w:val="0"/>
                <w:szCs w:val="20"/>
              </w:rPr>
              <w:t>Fractionation / dose</w:t>
            </w:r>
          </w:p>
        </w:tc>
        <w:tc>
          <w:tcPr>
            <w:tcW w:w="849" w:type="pct"/>
            <w:vAlign w:val="center"/>
          </w:tcPr>
          <w:p w14:paraId="4257675E" w14:textId="137C0BC4" w:rsidR="00E331DC" w:rsidRPr="00FA3095" w:rsidRDefault="00E331DC" w:rsidP="005A65CB">
            <w:pPr>
              <w:pStyle w:val="TableHeading"/>
              <w:keepNext w:val="0"/>
              <w:jc w:val="center"/>
              <w:rPr>
                <w:snapToGrid w:val="0"/>
                <w:szCs w:val="20"/>
              </w:rPr>
            </w:pPr>
            <w:r w:rsidRPr="00FA3095">
              <w:rPr>
                <w:snapToGrid w:val="0"/>
                <w:szCs w:val="20"/>
              </w:rPr>
              <w:t>Safety measure</w:t>
            </w:r>
          </w:p>
        </w:tc>
        <w:tc>
          <w:tcPr>
            <w:tcW w:w="789" w:type="pct"/>
            <w:vAlign w:val="center"/>
          </w:tcPr>
          <w:p w14:paraId="2E254855" w14:textId="77777777" w:rsidR="00E331DC" w:rsidRPr="00FA3095" w:rsidRDefault="00E331DC" w:rsidP="005A65CB">
            <w:pPr>
              <w:pStyle w:val="TableHeading"/>
              <w:keepNext w:val="0"/>
              <w:jc w:val="center"/>
              <w:rPr>
                <w:snapToGrid w:val="0"/>
                <w:szCs w:val="20"/>
              </w:rPr>
            </w:pPr>
            <w:r w:rsidRPr="00FA3095">
              <w:rPr>
                <w:snapToGrid w:val="0"/>
                <w:szCs w:val="20"/>
              </w:rPr>
              <w:t>G</w:t>
            </w:r>
            <w:r>
              <w:rPr>
                <w:snapToGrid w:val="0"/>
                <w:szCs w:val="20"/>
              </w:rPr>
              <w:t xml:space="preserve">rade </w:t>
            </w:r>
            <w:r w:rsidRPr="00FA3095">
              <w:rPr>
                <w:snapToGrid w:val="0"/>
                <w:szCs w:val="20"/>
              </w:rPr>
              <w:t>1</w:t>
            </w:r>
          </w:p>
        </w:tc>
        <w:tc>
          <w:tcPr>
            <w:tcW w:w="648" w:type="pct"/>
            <w:vAlign w:val="center"/>
          </w:tcPr>
          <w:p w14:paraId="6754ADC8" w14:textId="77777777" w:rsidR="00E331DC" w:rsidRPr="00FA3095" w:rsidRDefault="00E331DC" w:rsidP="005A65CB">
            <w:pPr>
              <w:pStyle w:val="TableHeading"/>
              <w:keepNext w:val="0"/>
              <w:jc w:val="center"/>
              <w:rPr>
                <w:snapToGrid w:val="0"/>
                <w:szCs w:val="20"/>
              </w:rPr>
            </w:pPr>
            <w:r>
              <w:rPr>
                <w:snapToGrid w:val="0"/>
                <w:szCs w:val="20"/>
              </w:rPr>
              <w:t>Grade 2</w:t>
            </w:r>
          </w:p>
        </w:tc>
        <w:tc>
          <w:tcPr>
            <w:tcW w:w="649" w:type="pct"/>
            <w:vAlign w:val="center"/>
          </w:tcPr>
          <w:p w14:paraId="369BC7BE" w14:textId="77777777" w:rsidR="00E331DC" w:rsidRPr="00FA3095" w:rsidRDefault="00E331DC" w:rsidP="005A65CB">
            <w:pPr>
              <w:pStyle w:val="TableHeading"/>
              <w:keepNext w:val="0"/>
              <w:jc w:val="center"/>
              <w:rPr>
                <w:snapToGrid w:val="0"/>
                <w:szCs w:val="20"/>
              </w:rPr>
            </w:pPr>
            <w:r>
              <w:rPr>
                <w:snapToGrid w:val="0"/>
                <w:szCs w:val="20"/>
              </w:rPr>
              <w:t xml:space="preserve"> Grade </w:t>
            </w:r>
            <w:r w:rsidRPr="00FA3095">
              <w:rPr>
                <w:snapToGrid w:val="0"/>
                <w:szCs w:val="20"/>
              </w:rPr>
              <w:t>3</w:t>
            </w:r>
          </w:p>
        </w:tc>
        <w:tc>
          <w:tcPr>
            <w:tcW w:w="642" w:type="pct"/>
            <w:vAlign w:val="center"/>
          </w:tcPr>
          <w:p w14:paraId="114AA80E" w14:textId="77777777" w:rsidR="00E331DC" w:rsidRPr="00FA3095" w:rsidRDefault="00E331DC" w:rsidP="005A65CB">
            <w:pPr>
              <w:pStyle w:val="TableHeading"/>
              <w:keepNext w:val="0"/>
              <w:jc w:val="center"/>
              <w:rPr>
                <w:snapToGrid w:val="0"/>
                <w:szCs w:val="20"/>
              </w:rPr>
            </w:pPr>
            <w:r>
              <w:rPr>
                <w:snapToGrid w:val="0"/>
                <w:szCs w:val="20"/>
              </w:rPr>
              <w:t xml:space="preserve">Grade </w:t>
            </w:r>
            <w:r w:rsidRPr="00FA3095">
              <w:rPr>
                <w:snapToGrid w:val="0"/>
                <w:szCs w:val="20"/>
              </w:rPr>
              <w:t>4</w:t>
            </w:r>
          </w:p>
        </w:tc>
      </w:tr>
      <w:bookmarkEnd w:id="30"/>
      <w:tr w:rsidR="00E331DC" w:rsidRPr="00FA3095" w14:paraId="34EDED2C" w14:textId="77777777" w:rsidTr="004226BB">
        <w:tc>
          <w:tcPr>
            <w:tcW w:w="567" w:type="pct"/>
            <w:vAlign w:val="center"/>
          </w:tcPr>
          <w:p w14:paraId="2E41E986" w14:textId="42C7FCA5" w:rsidR="00E331DC" w:rsidRPr="00FA3095" w:rsidRDefault="00E331DC" w:rsidP="005A65CB">
            <w:pPr>
              <w:pStyle w:val="Tabletext0"/>
              <w:jc w:val="left"/>
              <w:rPr>
                <w:snapToGrid w:val="0"/>
              </w:rPr>
            </w:pPr>
            <w:r w:rsidRPr="00FA3095">
              <w:fldChar w:fldCharType="begin"/>
            </w:r>
            <w:r w:rsidRPr="00FA3095">
              <w:instrText>HYPERLINK \l "_ENREF_28" \o "Finazzi, 2020 #16"</w:instrText>
            </w:r>
            <w:r w:rsidRPr="00FA3095">
              <w:fldChar w:fldCharType="separate"/>
            </w:r>
            <w:r w:rsidRPr="00FA3095">
              <w:rPr>
                <w:snapToGrid w:val="0"/>
              </w:rPr>
              <w:fldChar w:fldCharType="begin"/>
            </w:r>
            <w:r w:rsidRPr="00FA3095">
              <w:rPr>
                <w:snapToGrid w:val="0"/>
              </w:rPr>
              <w:instrText xml:space="preserve"> ADDIN EN.CITE &lt;EndNote&gt;&lt;Cite AuthorYear="1"&gt;&lt;Author&gt;Finazzi&lt;/Author&gt;&lt;Year&gt;2020&lt;/Year&gt;&lt;RecNum&gt;16&lt;/RecNum&gt;&lt;DisplayText&gt;Finazzi, Haasbeek, et al. (2020)&lt;/DisplayText&gt;&lt;record&gt;&lt;rec-number&gt;16&lt;/rec-number&gt;&lt;foreign-keys&gt;&lt;key app="EN" db-id="sx5wsdwv795wvue959xxw0ptaewvdezxxp05" timestamp="1604454185"&gt;16&lt;/key&gt;&lt;/foreign-keys&gt;&lt;ref-type name="Journal Article"&gt;17&lt;/ref-type&gt;&lt;contributors&gt;&lt;authors&gt;&lt;author&gt;Finazzi, T.&lt;/author&gt;&lt;author&gt;Haasbeek, C. J. A.&lt;/author&gt;&lt;author&gt;Spoelstra, F. O. B.&lt;/author&gt;&lt;author&gt;Palacios, M. A.&lt;/author&gt;&lt;author&gt;Admiraal, M. A.&lt;/author&gt;&lt;author&gt;Bruynzeel, A. M. E.&lt;/author&gt;&lt;author&gt;Slotman, B. J.&lt;/author&gt;&lt;author&gt;Lagerwaard, F. J.&lt;/author&gt;&lt;author&gt;Senan, S.&lt;/author&gt;&lt;/authors&gt;&lt;/contributors&gt;&lt;titles&gt;&lt;title&gt;Clinical Outcomes of Stereotactic MR-Guided Adaptive Radiation Therapy for High-Risk Lung Tumors&lt;/title&gt;&lt;secondary-title&gt;International Journal of Radiation Oncology Biology Physics&lt;/secondary-title&gt;&lt;/titles&gt;&lt;pages&gt;270-278&lt;/pages&gt;&lt;volume&gt;107&lt;/volume&gt;&lt;number&gt;2&lt;/number&gt;&lt;dates&gt;&lt;year&gt;2020&lt;/year&gt;&lt;/dates&gt;&lt;accession-num&gt;2005243657&lt;/accession-num&gt;&lt;urls&gt;&lt;related-urls&gt;&lt;url&gt;http://www.elsevier.com/locate/ijrobphttp://ezproxy.library.usyd.edu.au/login?url=http://ovidsp.ovid.com/ovidweb.cgi?T=JS&amp;amp;CSC=Y&amp;amp;NEWS=N&amp;amp;PAGE=fulltext&amp;amp;D=emexb&amp;amp;AN=2005243657https://sydney.alma.exlibrisgroup.com/openurl/61USYD_INST/61USYD_INST:sydney?sid=OVID&lt;/url&gt;&lt;/related-urls&gt;&lt;/urls&gt;&lt;custom2&gt;single arm safety SBRT&lt;/custom2&gt;&lt;electronic-resource-num&gt;http://dx.doi.org/10.1016/j.ijrobp.2020.02.025&lt;/electronic-resource-num&gt;&lt;/record&gt;&lt;/Cite&gt;&lt;/EndNote&gt;</w:instrText>
            </w:r>
            <w:r w:rsidRPr="00FA3095">
              <w:rPr>
                <w:snapToGrid w:val="0"/>
              </w:rPr>
              <w:fldChar w:fldCharType="separate"/>
            </w:r>
            <w:r w:rsidRPr="00FA3095">
              <w:rPr>
                <w:noProof/>
                <w:snapToGrid w:val="0"/>
              </w:rPr>
              <w:t>Ferini 2021</w:t>
            </w:r>
            <w:r w:rsidRPr="00FA3095">
              <w:rPr>
                <w:snapToGrid w:val="0"/>
              </w:rPr>
              <w:fldChar w:fldCharType="end"/>
            </w:r>
            <w:r w:rsidRPr="00FA3095">
              <w:rPr>
                <w:snapToGrid w:val="0"/>
              </w:rPr>
              <w:fldChar w:fldCharType="end"/>
            </w:r>
          </w:p>
        </w:tc>
        <w:tc>
          <w:tcPr>
            <w:tcW w:w="857" w:type="pct"/>
          </w:tcPr>
          <w:p w14:paraId="25584B65" w14:textId="377425E9" w:rsidR="00BF11E3" w:rsidRDefault="00BF11E3" w:rsidP="005A65CB">
            <w:pPr>
              <w:pStyle w:val="Tabletext0"/>
              <w:jc w:val="center"/>
            </w:pPr>
            <w:r>
              <w:t>35 Gy per 5 fractions;</w:t>
            </w:r>
          </w:p>
          <w:p w14:paraId="77F18F63" w14:textId="475126B3" w:rsidR="00E331DC" w:rsidRPr="00FA3095" w:rsidRDefault="00BF11E3" w:rsidP="005A65CB">
            <w:pPr>
              <w:pStyle w:val="Tabletext0"/>
              <w:jc w:val="center"/>
            </w:pPr>
            <w:r>
              <w:t>6 MeV electron beam</w:t>
            </w:r>
          </w:p>
        </w:tc>
        <w:tc>
          <w:tcPr>
            <w:tcW w:w="849" w:type="pct"/>
            <w:vAlign w:val="center"/>
          </w:tcPr>
          <w:p w14:paraId="31A89492" w14:textId="4B1B78AE" w:rsidR="00E331DC" w:rsidRPr="00FA3095" w:rsidRDefault="00E331DC" w:rsidP="005A65CB">
            <w:pPr>
              <w:pStyle w:val="Tabletext0"/>
              <w:jc w:val="center"/>
            </w:pPr>
            <w:r w:rsidRPr="00FA3095">
              <w:t>Acute skin toxicity (CTCAE)</w:t>
            </w:r>
          </w:p>
          <w:p w14:paraId="2B58652E" w14:textId="77777777" w:rsidR="00E331DC" w:rsidRPr="00FA3095" w:rsidRDefault="00E331DC" w:rsidP="005A65CB">
            <w:pPr>
              <w:pStyle w:val="Tabletext0"/>
              <w:jc w:val="center"/>
              <w:rPr>
                <w:snapToGrid w:val="0"/>
              </w:rPr>
            </w:pPr>
            <w:r w:rsidRPr="00FA3095">
              <w:t>4 week follow-up</w:t>
            </w:r>
          </w:p>
        </w:tc>
        <w:tc>
          <w:tcPr>
            <w:tcW w:w="789" w:type="pct"/>
            <w:vAlign w:val="center"/>
          </w:tcPr>
          <w:p w14:paraId="792E5BC4" w14:textId="77777777" w:rsidR="00E331DC" w:rsidRPr="00FA3095" w:rsidRDefault="00E331DC" w:rsidP="005A65CB">
            <w:pPr>
              <w:pStyle w:val="Tabletext0"/>
              <w:jc w:val="center"/>
            </w:pPr>
            <w:r w:rsidRPr="00FA3095">
              <w:t>12/23 (52.2%)</w:t>
            </w:r>
          </w:p>
        </w:tc>
        <w:tc>
          <w:tcPr>
            <w:tcW w:w="648" w:type="pct"/>
            <w:vAlign w:val="center"/>
          </w:tcPr>
          <w:p w14:paraId="0283680A" w14:textId="77777777" w:rsidR="00E331DC" w:rsidRPr="00FA3095" w:rsidRDefault="00E331DC" w:rsidP="005A65CB">
            <w:pPr>
              <w:pStyle w:val="Tabletext0"/>
              <w:jc w:val="center"/>
            </w:pPr>
            <w:r w:rsidRPr="00FA3095">
              <w:t>8/23 (34.8%)</w:t>
            </w:r>
          </w:p>
        </w:tc>
        <w:tc>
          <w:tcPr>
            <w:tcW w:w="649" w:type="pct"/>
            <w:vAlign w:val="center"/>
          </w:tcPr>
          <w:p w14:paraId="063B0899" w14:textId="77777777" w:rsidR="00E331DC" w:rsidRPr="00FA3095" w:rsidRDefault="00E331DC" w:rsidP="005A65CB">
            <w:pPr>
              <w:pStyle w:val="Tabletext0"/>
              <w:jc w:val="center"/>
            </w:pPr>
            <w:r w:rsidRPr="00FA3095">
              <w:t>3/23 (13</w:t>
            </w:r>
            <w:r>
              <w:t>.0</w:t>
            </w:r>
            <w:r w:rsidRPr="00FA3095">
              <w:t>%)</w:t>
            </w:r>
          </w:p>
        </w:tc>
        <w:tc>
          <w:tcPr>
            <w:tcW w:w="642" w:type="pct"/>
            <w:vAlign w:val="center"/>
          </w:tcPr>
          <w:p w14:paraId="21C59B92" w14:textId="77777777" w:rsidR="00E331DC" w:rsidRPr="00FA3095" w:rsidRDefault="00E331DC" w:rsidP="005A65CB">
            <w:pPr>
              <w:pStyle w:val="Tabletext0"/>
              <w:jc w:val="center"/>
            </w:pPr>
            <w:r w:rsidRPr="00FA3095">
              <w:t>0%</w:t>
            </w:r>
          </w:p>
        </w:tc>
      </w:tr>
      <w:tr w:rsidR="00E331DC" w:rsidRPr="00FA3095" w14:paraId="55317A8C" w14:textId="77777777" w:rsidTr="0000535B">
        <w:tc>
          <w:tcPr>
            <w:tcW w:w="567" w:type="pct"/>
            <w:vMerge w:val="restart"/>
            <w:vAlign w:val="center"/>
          </w:tcPr>
          <w:p w14:paraId="26B083F8" w14:textId="77777777" w:rsidR="00E331DC" w:rsidRPr="00FA3095" w:rsidRDefault="00E331DC" w:rsidP="005A65CB">
            <w:pPr>
              <w:pStyle w:val="Tabletext0"/>
              <w:jc w:val="left"/>
              <w:rPr>
                <w:snapToGrid w:val="0"/>
              </w:rPr>
            </w:pPr>
            <w:r w:rsidRPr="00FA3095">
              <w:rPr>
                <w:snapToGrid w:val="0"/>
              </w:rPr>
              <w:t>Ferro 2014</w:t>
            </w:r>
          </w:p>
        </w:tc>
        <w:tc>
          <w:tcPr>
            <w:tcW w:w="857" w:type="pct"/>
            <w:vMerge w:val="restart"/>
          </w:tcPr>
          <w:p w14:paraId="16F1B5CD" w14:textId="6A420BFB" w:rsidR="00D347F7" w:rsidRDefault="00D347F7" w:rsidP="005A65CB">
            <w:pPr>
              <w:pStyle w:val="Tabletext0"/>
              <w:jc w:val="center"/>
            </w:pPr>
            <w:r>
              <w:t>30 Gy per 6 fractions;</w:t>
            </w:r>
          </w:p>
          <w:p w14:paraId="51D82D66" w14:textId="77777777" w:rsidR="00D347F7" w:rsidRDefault="00D347F7" w:rsidP="005A65CB">
            <w:pPr>
              <w:pStyle w:val="Tabletext0"/>
              <w:jc w:val="center"/>
            </w:pPr>
            <w:r>
              <w:t>Electrons (6-9-12 MeV) or megavoltage</w:t>
            </w:r>
          </w:p>
          <w:p w14:paraId="2BDE423C" w14:textId="6D52772C" w:rsidR="00E331DC" w:rsidRPr="00FA3095" w:rsidRDefault="00D347F7" w:rsidP="005A65CB">
            <w:pPr>
              <w:pStyle w:val="Tabletext0"/>
              <w:jc w:val="center"/>
            </w:pPr>
            <w:r>
              <w:t>photons (6 MV)</w:t>
            </w:r>
          </w:p>
        </w:tc>
        <w:tc>
          <w:tcPr>
            <w:tcW w:w="3576" w:type="pct"/>
            <w:gridSpan w:val="5"/>
            <w:vAlign w:val="center"/>
          </w:tcPr>
          <w:p w14:paraId="5CC38E28" w14:textId="6AB138D5" w:rsidR="00E331DC" w:rsidRPr="00FA3095" w:rsidRDefault="00E331DC" w:rsidP="005A65CB">
            <w:pPr>
              <w:pStyle w:val="Tabletext0"/>
              <w:jc w:val="left"/>
            </w:pPr>
            <w:r w:rsidRPr="00FA3095">
              <w:t>Acute toxicity (CTCAE)</w:t>
            </w:r>
          </w:p>
        </w:tc>
      </w:tr>
      <w:tr w:rsidR="00E331DC" w:rsidRPr="00FA3095" w14:paraId="26767021" w14:textId="77777777" w:rsidTr="004226BB">
        <w:tc>
          <w:tcPr>
            <w:tcW w:w="567" w:type="pct"/>
            <w:vMerge/>
            <w:vAlign w:val="center"/>
          </w:tcPr>
          <w:p w14:paraId="66371F21" w14:textId="77777777" w:rsidR="00E331DC" w:rsidRPr="00FA3095" w:rsidRDefault="00E331DC" w:rsidP="005A65CB">
            <w:pPr>
              <w:pStyle w:val="Tabletext0"/>
              <w:jc w:val="left"/>
              <w:rPr>
                <w:snapToGrid w:val="0"/>
              </w:rPr>
            </w:pPr>
          </w:p>
        </w:tc>
        <w:tc>
          <w:tcPr>
            <w:tcW w:w="857" w:type="pct"/>
            <w:vMerge/>
          </w:tcPr>
          <w:p w14:paraId="1BCB49DA" w14:textId="77777777" w:rsidR="00E331DC" w:rsidRPr="00FA3095" w:rsidRDefault="00E331DC" w:rsidP="005A65CB">
            <w:pPr>
              <w:pStyle w:val="Tabletext0"/>
              <w:jc w:val="center"/>
            </w:pPr>
          </w:p>
        </w:tc>
        <w:tc>
          <w:tcPr>
            <w:tcW w:w="849" w:type="pct"/>
            <w:vAlign w:val="center"/>
          </w:tcPr>
          <w:p w14:paraId="6BB21FC2" w14:textId="4AC251DC" w:rsidR="00E331DC" w:rsidRPr="00FA3095" w:rsidRDefault="00E331DC" w:rsidP="005A65CB">
            <w:pPr>
              <w:pStyle w:val="Tabletext0"/>
              <w:jc w:val="center"/>
            </w:pPr>
            <w:r w:rsidRPr="00FA3095">
              <w:t>Skin hyperpigmentation</w:t>
            </w:r>
          </w:p>
        </w:tc>
        <w:tc>
          <w:tcPr>
            <w:tcW w:w="789" w:type="pct"/>
            <w:vAlign w:val="center"/>
          </w:tcPr>
          <w:p w14:paraId="2B794F76" w14:textId="77777777" w:rsidR="00E331DC" w:rsidRPr="00FA3095" w:rsidRDefault="00E331DC" w:rsidP="005A65CB">
            <w:pPr>
              <w:pStyle w:val="Tabletext0"/>
              <w:jc w:val="center"/>
            </w:pPr>
            <w:r w:rsidRPr="00FA3095">
              <w:t>4/31 (12.9%)</w:t>
            </w:r>
          </w:p>
        </w:tc>
        <w:tc>
          <w:tcPr>
            <w:tcW w:w="648" w:type="pct"/>
            <w:vAlign w:val="center"/>
          </w:tcPr>
          <w:p w14:paraId="67EA309D" w14:textId="77777777" w:rsidR="00E331DC" w:rsidRPr="00FA3095" w:rsidRDefault="00E331DC" w:rsidP="005A65CB">
            <w:pPr>
              <w:pStyle w:val="Tabletext0"/>
              <w:jc w:val="center"/>
            </w:pPr>
            <w:r w:rsidRPr="00FA3095">
              <w:t>0%</w:t>
            </w:r>
          </w:p>
        </w:tc>
        <w:tc>
          <w:tcPr>
            <w:tcW w:w="649" w:type="pct"/>
            <w:vAlign w:val="center"/>
          </w:tcPr>
          <w:p w14:paraId="1E57F391" w14:textId="77777777" w:rsidR="00E331DC" w:rsidRPr="00FA3095" w:rsidRDefault="00E331DC" w:rsidP="005A65CB">
            <w:pPr>
              <w:pStyle w:val="Tabletext0"/>
              <w:jc w:val="center"/>
            </w:pPr>
            <w:r w:rsidRPr="00FA3095">
              <w:t>0%</w:t>
            </w:r>
          </w:p>
        </w:tc>
        <w:tc>
          <w:tcPr>
            <w:tcW w:w="642" w:type="pct"/>
            <w:vAlign w:val="center"/>
          </w:tcPr>
          <w:p w14:paraId="2F27D72C" w14:textId="77777777" w:rsidR="00E331DC" w:rsidRPr="00FA3095" w:rsidRDefault="00E331DC" w:rsidP="005A65CB">
            <w:pPr>
              <w:pStyle w:val="Tabletext0"/>
              <w:jc w:val="center"/>
            </w:pPr>
            <w:r w:rsidRPr="00FA3095">
              <w:t>0%</w:t>
            </w:r>
          </w:p>
        </w:tc>
      </w:tr>
      <w:tr w:rsidR="00E331DC" w:rsidRPr="00FA3095" w14:paraId="7F2B222A" w14:textId="77777777" w:rsidTr="004226BB">
        <w:tc>
          <w:tcPr>
            <w:tcW w:w="567" w:type="pct"/>
            <w:vMerge/>
            <w:vAlign w:val="center"/>
          </w:tcPr>
          <w:p w14:paraId="28B85DDC" w14:textId="77777777" w:rsidR="00E331DC" w:rsidRPr="00FA3095" w:rsidRDefault="00E331DC" w:rsidP="005A65CB">
            <w:pPr>
              <w:pStyle w:val="Tabletext0"/>
              <w:jc w:val="left"/>
              <w:rPr>
                <w:snapToGrid w:val="0"/>
              </w:rPr>
            </w:pPr>
          </w:p>
        </w:tc>
        <w:tc>
          <w:tcPr>
            <w:tcW w:w="857" w:type="pct"/>
            <w:vMerge/>
          </w:tcPr>
          <w:p w14:paraId="6E5F8382" w14:textId="77777777" w:rsidR="00E331DC" w:rsidRPr="00FA3095" w:rsidRDefault="00E331DC" w:rsidP="005A65CB">
            <w:pPr>
              <w:pStyle w:val="Tabletext0"/>
              <w:jc w:val="center"/>
            </w:pPr>
          </w:p>
        </w:tc>
        <w:tc>
          <w:tcPr>
            <w:tcW w:w="849" w:type="pct"/>
            <w:vAlign w:val="center"/>
          </w:tcPr>
          <w:p w14:paraId="43F5796B" w14:textId="71052B6A" w:rsidR="00E331DC" w:rsidRPr="00FA3095" w:rsidRDefault="00E331DC" w:rsidP="005A65CB">
            <w:pPr>
              <w:pStyle w:val="Tabletext0"/>
              <w:jc w:val="center"/>
            </w:pPr>
            <w:r w:rsidRPr="00FA3095">
              <w:t>Itch</w:t>
            </w:r>
          </w:p>
        </w:tc>
        <w:tc>
          <w:tcPr>
            <w:tcW w:w="789" w:type="pct"/>
            <w:vAlign w:val="center"/>
          </w:tcPr>
          <w:p w14:paraId="3B3FD610" w14:textId="77777777" w:rsidR="00E331DC" w:rsidRPr="00FA3095" w:rsidRDefault="00E331DC" w:rsidP="005A65CB">
            <w:pPr>
              <w:pStyle w:val="Tabletext0"/>
              <w:jc w:val="center"/>
            </w:pPr>
            <w:r w:rsidRPr="00FA3095">
              <w:t>1/31 (3.2%)</w:t>
            </w:r>
          </w:p>
        </w:tc>
        <w:tc>
          <w:tcPr>
            <w:tcW w:w="648" w:type="pct"/>
            <w:vAlign w:val="center"/>
          </w:tcPr>
          <w:p w14:paraId="1B03F5A3" w14:textId="77777777" w:rsidR="00E331DC" w:rsidRPr="00FA3095" w:rsidRDefault="00E331DC" w:rsidP="005A65CB">
            <w:pPr>
              <w:pStyle w:val="Tabletext0"/>
              <w:jc w:val="center"/>
            </w:pPr>
            <w:r w:rsidRPr="00FA3095">
              <w:t>0%</w:t>
            </w:r>
          </w:p>
        </w:tc>
        <w:tc>
          <w:tcPr>
            <w:tcW w:w="649" w:type="pct"/>
            <w:vAlign w:val="center"/>
          </w:tcPr>
          <w:p w14:paraId="01F32F2F" w14:textId="77777777" w:rsidR="00E331DC" w:rsidRPr="00FA3095" w:rsidRDefault="00E331DC" w:rsidP="005A65CB">
            <w:pPr>
              <w:pStyle w:val="Tabletext0"/>
              <w:jc w:val="center"/>
            </w:pPr>
            <w:r w:rsidRPr="00FA3095">
              <w:t>0%</w:t>
            </w:r>
          </w:p>
        </w:tc>
        <w:tc>
          <w:tcPr>
            <w:tcW w:w="642" w:type="pct"/>
            <w:vAlign w:val="center"/>
          </w:tcPr>
          <w:p w14:paraId="6965BDB1" w14:textId="77777777" w:rsidR="00E331DC" w:rsidRPr="00FA3095" w:rsidRDefault="00E331DC" w:rsidP="005A65CB">
            <w:pPr>
              <w:pStyle w:val="Tabletext0"/>
              <w:jc w:val="center"/>
            </w:pPr>
            <w:r w:rsidRPr="00FA3095">
              <w:t>0%</w:t>
            </w:r>
          </w:p>
        </w:tc>
      </w:tr>
      <w:tr w:rsidR="00E331DC" w:rsidRPr="00FA3095" w14:paraId="37065813" w14:textId="77777777" w:rsidTr="004226BB">
        <w:tc>
          <w:tcPr>
            <w:tcW w:w="567" w:type="pct"/>
            <w:vMerge/>
            <w:vAlign w:val="center"/>
          </w:tcPr>
          <w:p w14:paraId="34CAA78F" w14:textId="77777777" w:rsidR="00E331DC" w:rsidRPr="00FA3095" w:rsidRDefault="00E331DC" w:rsidP="005A65CB">
            <w:pPr>
              <w:pStyle w:val="Tabletext0"/>
              <w:jc w:val="left"/>
              <w:rPr>
                <w:snapToGrid w:val="0"/>
              </w:rPr>
            </w:pPr>
          </w:p>
        </w:tc>
        <w:tc>
          <w:tcPr>
            <w:tcW w:w="857" w:type="pct"/>
            <w:vMerge/>
          </w:tcPr>
          <w:p w14:paraId="5BE4593B" w14:textId="77777777" w:rsidR="00E331DC" w:rsidRPr="00FA3095" w:rsidRDefault="00E331DC" w:rsidP="005A65CB">
            <w:pPr>
              <w:pStyle w:val="Tabletext0"/>
              <w:jc w:val="center"/>
            </w:pPr>
          </w:p>
        </w:tc>
        <w:tc>
          <w:tcPr>
            <w:tcW w:w="849" w:type="pct"/>
            <w:vAlign w:val="center"/>
          </w:tcPr>
          <w:p w14:paraId="5D8AEDFE" w14:textId="49D3C2C8" w:rsidR="00E331DC" w:rsidRPr="00FA3095" w:rsidRDefault="00E331DC" w:rsidP="005A65CB">
            <w:pPr>
              <w:pStyle w:val="Tabletext0"/>
              <w:jc w:val="center"/>
            </w:pPr>
            <w:r w:rsidRPr="00FA3095">
              <w:t>Skin pain</w:t>
            </w:r>
          </w:p>
        </w:tc>
        <w:tc>
          <w:tcPr>
            <w:tcW w:w="789" w:type="pct"/>
            <w:vAlign w:val="center"/>
          </w:tcPr>
          <w:p w14:paraId="35D90955" w14:textId="77777777" w:rsidR="00E331DC" w:rsidRPr="00FA3095" w:rsidRDefault="00E331DC" w:rsidP="005A65CB">
            <w:pPr>
              <w:pStyle w:val="Tabletext0"/>
              <w:jc w:val="center"/>
            </w:pPr>
            <w:r w:rsidRPr="00FA3095">
              <w:t>1/31 (3.2%)</w:t>
            </w:r>
          </w:p>
        </w:tc>
        <w:tc>
          <w:tcPr>
            <w:tcW w:w="648" w:type="pct"/>
            <w:vAlign w:val="center"/>
          </w:tcPr>
          <w:p w14:paraId="6247D679" w14:textId="77777777" w:rsidR="00E331DC" w:rsidRPr="00FA3095" w:rsidRDefault="00E331DC" w:rsidP="005A65CB">
            <w:pPr>
              <w:pStyle w:val="Tabletext0"/>
              <w:jc w:val="center"/>
            </w:pPr>
            <w:r w:rsidRPr="00FA3095">
              <w:t>0%</w:t>
            </w:r>
          </w:p>
        </w:tc>
        <w:tc>
          <w:tcPr>
            <w:tcW w:w="649" w:type="pct"/>
            <w:vAlign w:val="center"/>
          </w:tcPr>
          <w:p w14:paraId="78FBBC91" w14:textId="77777777" w:rsidR="00E331DC" w:rsidRPr="00FA3095" w:rsidRDefault="00E331DC" w:rsidP="005A65CB">
            <w:pPr>
              <w:pStyle w:val="Tabletext0"/>
              <w:jc w:val="center"/>
            </w:pPr>
            <w:r w:rsidRPr="00FA3095">
              <w:t>0%</w:t>
            </w:r>
          </w:p>
        </w:tc>
        <w:tc>
          <w:tcPr>
            <w:tcW w:w="642" w:type="pct"/>
            <w:vAlign w:val="center"/>
          </w:tcPr>
          <w:p w14:paraId="6C7DF3FE" w14:textId="77777777" w:rsidR="00E331DC" w:rsidRPr="00FA3095" w:rsidRDefault="00E331DC" w:rsidP="005A65CB">
            <w:pPr>
              <w:pStyle w:val="Tabletext0"/>
              <w:jc w:val="center"/>
            </w:pPr>
            <w:r w:rsidRPr="00FA3095">
              <w:t>0%</w:t>
            </w:r>
          </w:p>
        </w:tc>
      </w:tr>
      <w:tr w:rsidR="00E331DC" w:rsidRPr="00FA3095" w14:paraId="6D0907D2" w14:textId="77777777" w:rsidTr="004226BB">
        <w:tc>
          <w:tcPr>
            <w:tcW w:w="567" w:type="pct"/>
            <w:vMerge/>
            <w:vAlign w:val="center"/>
          </w:tcPr>
          <w:p w14:paraId="096DB409" w14:textId="77777777" w:rsidR="00E331DC" w:rsidRPr="00FA3095" w:rsidRDefault="00E331DC" w:rsidP="005A65CB">
            <w:pPr>
              <w:pStyle w:val="Tabletext0"/>
              <w:jc w:val="left"/>
              <w:rPr>
                <w:snapToGrid w:val="0"/>
              </w:rPr>
            </w:pPr>
          </w:p>
        </w:tc>
        <w:tc>
          <w:tcPr>
            <w:tcW w:w="857" w:type="pct"/>
            <w:vMerge/>
          </w:tcPr>
          <w:p w14:paraId="1EACE01D" w14:textId="77777777" w:rsidR="00E331DC" w:rsidRPr="00FA3095" w:rsidRDefault="00E331DC" w:rsidP="005A65CB">
            <w:pPr>
              <w:pStyle w:val="Tabletext0"/>
              <w:jc w:val="center"/>
            </w:pPr>
          </w:p>
        </w:tc>
        <w:tc>
          <w:tcPr>
            <w:tcW w:w="849" w:type="pct"/>
            <w:vAlign w:val="center"/>
          </w:tcPr>
          <w:p w14:paraId="50A07CA8" w14:textId="2EC0348D" w:rsidR="00E331DC" w:rsidRPr="00FA3095" w:rsidRDefault="00E331DC" w:rsidP="005A65CB">
            <w:pPr>
              <w:pStyle w:val="Tabletext0"/>
              <w:jc w:val="center"/>
            </w:pPr>
            <w:r w:rsidRPr="00FA3095">
              <w:t>Dry skin</w:t>
            </w:r>
          </w:p>
        </w:tc>
        <w:tc>
          <w:tcPr>
            <w:tcW w:w="789" w:type="pct"/>
            <w:vAlign w:val="center"/>
          </w:tcPr>
          <w:p w14:paraId="37DB2C7F" w14:textId="77777777" w:rsidR="00E331DC" w:rsidRPr="00FA3095" w:rsidRDefault="00E331DC" w:rsidP="005A65CB">
            <w:pPr>
              <w:pStyle w:val="Tabletext0"/>
              <w:jc w:val="center"/>
            </w:pPr>
            <w:r w:rsidRPr="00FA3095">
              <w:t>10/31 (32.</w:t>
            </w:r>
            <w:r>
              <w:t>3</w:t>
            </w:r>
            <w:r w:rsidRPr="00FA3095">
              <w:t>%)</w:t>
            </w:r>
          </w:p>
        </w:tc>
        <w:tc>
          <w:tcPr>
            <w:tcW w:w="648" w:type="pct"/>
            <w:vAlign w:val="center"/>
          </w:tcPr>
          <w:p w14:paraId="6E46DA74" w14:textId="77777777" w:rsidR="00E331DC" w:rsidRPr="00FA3095" w:rsidRDefault="00E331DC" w:rsidP="005A65CB">
            <w:pPr>
              <w:pStyle w:val="Tabletext0"/>
              <w:jc w:val="center"/>
            </w:pPr>
            <w:r w:rsidRPr="00FA3095">
              <w:t>0%</w:t>
            </w:r>
          </w:p>
        </w:tc>
        <w:tc>
          <w:tcPr>
            <w:tcW w:w="649" w:type="pct"/>
            <w:vAlign w:val="center"/>
          </w:tcPr>
          <w:p w14:paraId="2F377792" w14:textId="77777777" w:rsidR="00E331DC" w:rsidRPr="00FA3095" w:rsidRDefault="00E331DC" w:rsidP="005A65CB">
            <w:pPr>
              <w:pStyle w:val="Tabletext0"/>
              <w:jc w:val="center"/>
            </w:pPr>
            <w:r w:rsidRPr="00FA3095">
              <w:t>0%</w:t>
            </w:r>
          </w:p>
        </w:tc>
        <w:tc>
          <w:tcPr>
            <w:tcW w:w="642" w:type="pct"/>
            <w:vAlign w:val="center"/>
          </w:tcPr>
          <w:p w14:paraId="7DF2F760" w14:textId="77777777" w:rsidR="00E331DC" w:rsidRPr="00FA3095" w:rsidRDefault="00E331DC" w:rsidP="005A65CB">
            <w:pPr>
              <w:pStyle w:val="Tabletext0"/>
              <w:jc w:val="center"/>
            </w:pPr>
            <w:r w:rsidRPr="00FA3095">
              <w:t>0%</w:t>
            </w:r>
          </w:p>
        </w:tc>
      </w:tr>
      <w:tr w:rsidR="00E331DC" w:rsidRPr="00FA3095" w14:paraId="0357F61B" w14:textId="77777777" w:rsidTr="004226BB">
        <w:tc>
          <w:tcPr>
            <w:tcW w:w="567" w:type="pct"/>
            <w:vMerge/>
            <w:vAlign w:val="center"/>
          </w:tcPr>
          <w:p w14:paraId="0E7DFD80" w14:textId="77777777" w:rsidR="00E331DC" w:rsidRPr="00FA3095" w:rsidRDefault="00E331DC" w:rsidP="005A65CB">
            <w:pPr>
              <w:pStyle w:val="Tabletext0"/>
              <w:jc w:val="left"/>
              <w:rPr>
                <w:snapToGrid w:val="0"/>
              </w:rPr>
            </w:pPr>
          </w:p>
        </w:tc>
        <w:tc>
          <w:tcPr>
            <w:tcW w:w="857" w:type="pct"/>
            <w:vMerge/>
          </w:tcPr>
          <w:p w14:paraId="0001A1EE" w14:textId="77777777" w:rsidR="00E331DC" w:rsidRPr="00FA3095" w:rsidRDefault="00E331DC" w:rsidP="005A65CB">
            <w:pPr>
              <w:pStyle w:val="Tabletext0"/>
              <w:jc w:val="center"/>
            </w:pPr>
          </w:p>
        </w:tc>
        <w:tc>
          <w:tcPr>
            <w:tcW w:w="849" w:type="pct"/>
            <w:vAlign w:val="center"/>
          </w:tcPr>
          <w:p w14:paraId="1272D4DF" w14:textId="462E79C0" w:rsidR="00E331DC" w:rsidRPr="00FA3095" w:rsidRDefault="00E331DC" w:rsidP="005A65CB">
            <w:pPr>
              <w:pStyle w:val="Tabletext0"/>
              <w:jc w:val="center"/>
            </w:pPr>
            <w:r w:rsidRPr="00FA3095">
              <w:t>Others</w:t>
            </w:r>
          </w:p>
        </w:tc>
        <w:tc>
          <w:tcPr>
            <w:tcW w:w="789" w:type="pct"/>
            <w:vAlign w:val="center"/>
          </w:tcPr>
          <w:p w14:paraId="5A5D196B" w14:textId="77777777" w:rsidR="00E331DC" w:rsidRPr="00FA3095" w:rsidRDefault="00E331DC" w:rsidP="005A65CB">
            <w:pPr>
              <w:pStyle w:val="Tabletext0"/>
              <w:jc w:val="center"/>
            </w:pPr>
            <w:r w:rsidRPr="00FA3095">
              <w:t>3/31 (9.7%)</w:t>
            </w:r>
          </w:p>
        </w:tc>
        <w:tc>
          <w:tcPr>
            <w:tcW w:w="648" w:type="pct"/>
            <w:vAlign w:val="center"/>
          </w:tcPr>
          <w:p w14:paraId="40A516BB" w14:textId="77777777" w:rsidR="00E331DC" w:rsidRPr="00FA3095" w:rsidRDefault="00E331DC" w:rsidP="005A65CB">
            <w:pPr>
              <w:pStyle w:val="Tabletext0"/>
              <w:jc w:val="center"/>
            </w:pPr>
            <w:r w:rsidRPr="00FA3095">
              <w:t>0%</w:t>
            </w:r>
          </w:p>
        </w:tc>
        <w:tc>
          <w:tcPr>
            <w:tcW w:w="649" w:type="pct"/>
            <w:vAlign w:val="center"/>
          </w:tcPr>
          <w:p w14:paraId="1865DD40" w14:textId="77777777" w:rsidR="00E331DC" w:rsidRPr="00FA3095" w:rsidRDefault="00E331DC" w:rsidP="005A65CB">
            <w:pPr>
              <w:pStyle w:val="Tabletext0"/>
              <w:jc w:val="center"/>
            </w:pPr>
            <w:r w:rsidRPr="00FA3095">
              <w:t>0%</w:t>
            </w:r>
          </w:p>
        </w:tc>
        <w:tc>
          <w:tcPr>
            <w:tcW w:w="642" w:type="pct"/>
            <w:vAlign w:val="center"/>
          </w:tcPr>
          <w:p w14:paraId="16E5A782" w14:textId="77777777" w:rsidR="00E331DC" w:rsidRPr="00FA3095" w:rsidRDefault="00E331DC" w:rsidP="005A65CB">
            <w:pPr>
              <w:pStyle w:val="Tabletext0"/>
              <w:jc w:val="center"/>
            </w:pPr>
            <w:r w:rsidRPr="00FA3095">
              <w:t>0%</w:t>
            </w:r>
          </w:p>
        </w:tc>
      </w:tr>
      <w:tr w:rsidR="00E331DC" w:rsidRPr="00FA3095" w14:paraId="4A4FD8F7" w14:textId="77777777" w:rsidTr="0000535B">
        <w:tc>
          <w:tcPr>
            <w:tcW w:w="567" w:type="pct"/>
            <w:vMerge/>
            <w:vAlign w:val="center"/>
          </w:tcPr>
          <w:p w14:paraId="60890F0C" w14:textId="77777777" w:rsidR="00E331DC" w:rsidRPr="00FA3095" w:rsidRDefault="00E331DC" w:rsidP="005A65CB">
            <w:pPr>
              <w:pStyle w:val="Tabletext0"/>
              <w:jc w:val="left"/>
              <w:rPr>
                <w:snapToGrid w:val="0"/>
              </w:rPr>
            </w:pPr>
          </w:p>
        </w:tc>
        <w:tc>
          <w:tcPr>
            <w:tcW w:w="857" w:type="pct"/>
            <w:vMerge/>
          </w:tcPr>
          <w:p w14:paraId="68B0E6CE" w14:textId="77777777" w:rsidR="00E331DC" w:rsidRPr="00FA3095" w:rsidRDefault="00E331DC" w:rsidP="005A65CB">
            <w:pPr>
              <w:pStyle w:val="Tabletext0"/>
              <w:jc w:val="center"/>
            </w:pPr>
          </w:p>
        </w:tc>
        <w:tc>
          <w:tcPr>
            <w:tcW w:w="3576" w:type="pct"/>
            <w:gridSpan w:val="5"/>
            <w:vAlign w:val="center"/>
          </w:tcPr>
          <w:p w14:paraId="051323C4" w14:textId="69CFEC80" w:rsidR="00E331DC" w:rsidRPr="00FA3095" w:rsidRDefault="00E331DC" w:rsidP="005A65CB">
            <w:pPr>
              <w:pStyle w:val="Tabletext0"/>
              <w:jc w:val="left"/>
            </w:pPr>
            <w:r w:rsidRPr="00FA3095">
              <w:t>Late toxicity (EORTC-RTOG)</w:t>
            </w:r>
          </w:p>
        </w:tc>
      </w:tr>
      <w:tr w:rsidR="00E331DC" w:rsidRPr="00FA3095" w14:paraId="1DD70E5D" w14:textId="77777777" w:rsidTr="004226BB">
        <w:tc>
          <w:tcPr>
            <w:tcW w:w="567" w:type="pct"/>
            <w:vMerge/>
            <w:vAlign w:val="center"/>
          </w:tcPr>
          <w:p w14:paraId="74434F7F" w14:textId="77777777" w:rsidR="00E331DC" w:rsidRPr="00FA3095" w:rsidRDefault="00E331DC" w:rsidP="005A65CB">
            <w:pPr>
              <w:pStyle w:val="Tabletext0"/>
              <w:jc w:val="left"/>
              <w:rPr>
                <w:snapToGrid w:val="0"/>
              </w:rPr>
            </w:pPr>
          </w:p>
        </w:tc>
        <w:tc>
          <w:tcPr>
            <w:tcW w:w="857" w:type="pct"/>
            <w:vMerge/>
          </w:tcPr>
          <w:p w14:paraId="7F069876" w14:textId="77777777" w:rsidR="00E331DC" w:rsidRPr="00FA3095" w:rsidRDefault="00E331DC" w:rsidP="005A65CB">
            <w:pPr>
              <w:pStyle w:val="Tabletext0"/>
              <w:jc w:val="center"/>
            </w:pPr>
          </w:p>
        </w:tc>
        <w:tc>
          <w:tcPr>
            <w:tcW w:w="849" w:type="pct"/>
            <w:vAlign w:val="center"/>
          </w:tcPr>
          <w:p w14:paraId="554DBE2F" w14:textId="4FDA2692" w:rsidR="00E331DC" w:rsidRPr="00FA3095" w:rsidRDefault="00E331DC" w:rsidP="005A65CB">
            <w:pPr>
              <w:pStyle w:val="Tabletext0"/>
              <w:jc w:val="center"/>
            </w:pPr>
            <w:r w:rsidRPr="00FA3095">
              <w:t>Cutaneous hyperpigmentation</w:t>
            </w:r>
          </w:p>
        </w:tc>
        <w:tc>
          <w:tcPr>
            <w:tcW w:w="789" w:type="pct"/>
            <w:vAlign w:val="center"/>
          </w:tcPr>
          <w:p w14:paraId="22860571" w14:textId="77777777" w:rsidR="00E331DC" w:rsidRPr="00FA3095" w:rsidRDefault="00E331DC" w:rsidP="005A65CB">
            <w:pPr>
              <w:pStyle w:val="Tabletext0"/>
              <w:jc w:val="center"/>
            </w:pPr>
            <w:r w:rsidRPr="00FA3095">
              <w:t>4/31 (12.9%)</w:t>
            </w:r>
          </w:p>
        </w:tc>
        <w:tc>
          <w:tcPr>
            <w:tcW w:w="648" w:type="pct"/>
            <w:vAlign w:val="center"/>
          </w:tcPr>
          <w:p w14:paraId="0A8B76E7" w14:textId="77777777" w:rsidR="00E331DC" w:rsidRPr="00FA3095" w:rsidRDefault="00E331DC" w:rsidP="005A65CB">
            <w:pPr>
              <w:pStyle w:val="Tabletext0"/>
              <w:jc w:val="center"/>
            </w:pPr>
            <w:r w:rsidRPr="00FA3095">
              <w:t>0%</w:t>
            </w:r>
          </w:p>
        </w:tc>
        <w:tc>
          <w:tcPr>
            <w:tcW w:w="649" w:type="pct"/>
            <w:vAlign w:val="center"/>
          </w:tcPr>
          <w:p w14:paraId="235D2DE6" w14:textId="77777777" w:rsidR="00E331DC" w:rsidRPr="00FA3095" w:rsidRDefault="00E331DC" w:rsidP="005A65CB">
            <w:pPr>
              <w:pStyle w:val="Tabletext0"/>
              <w:jc w:val="center"/>
            </w:pPr>
            <w:r w:rsidRPr="00FA3095">
              <w:t>0%</w:t>
            </w:r>
          </w:p>
        </w:tc>
        <w:tc>
          <w:tcPr>
            <w:tcW w:w="642" w:type="pct"/>
            <w:vAlign w:val="center"/>
          </w:tcPr>
          <w:p w14:paraId="48B689F3" w14:textId="77777777" w:rsidR="00E331DC" w:rsidRPr="00FA3095" w:rsidRDefault="00E331DC" w:rsidP="005A65CB">
            <w:pPr>
              <w:pStyle w:val="Tabletext0"/>
              <w:jc w:val="center"/>
            </w:pPr>
            <w:r w:rsidRPr="00FA3095">
              <w:t>0%</w:t>
            </w:r>
          </w:p>
        </w:tc>
      </w:tr>
      <w:tr w:rsidR="00E331DC" w:rsidRPr="00FA3095" w14:paraId="0BAD777D" w14:textId="77777777" w:rsidTr="004226BB">
        <w:tc>
          <w:tcPr>
            <w:tcW w:w="567" w:type="pct"/>
            <w:vMerge/>
            <w:vAlign w:val="center"/>
          </w:tcPr>
          <w:p w14:paraId="5E4ECC84" w14:textId="77777777" w:rsidR="00E331DC" w:rsidRPr="00FA3095" w:rsidRDefault="00E331DC" w:rsidP="005A65CB">
            <w:pPr>
              <w:pStyle w:val="Tabletext0"/>
              <w:jc w:val="left"/>
              <w:rPr>
                <w:snapToGrid w:val="0"/>
              </w:rPr>
            </w:pPr>
          </w:p>
        </w:tc>
        <w:tc>
          <w:tcPr>
            <w:tcW w:w="857" w:type="pct"/>
            <w:vMerge/>
          </w:tcPr>
          <w:p w14:paraId="599865EC" w14:textId="77777777" w:rsidR="00E331DC" w:rsidRPr="00FA3095" w:rsidRDefault="00E331DC" w:rsidP="005A65CB">
            <w:pPr>
              <w:pStyle w:val="Tabletext0"/>
              <w:jc w:val="center"/>
            </w:pPr>
          </w:p>
        </w:tc>
        <w:tc>
          <w:tcPr>
            <w:tcW w:w="849" w:type="pct"/>
            <w:vAlign w:val="center"/>
          </w:tcPr>
          <w:p w14:paraId="1008CFC7" w14:textId="77B799E9" w:rsidR="00E331DC" w:rsidRPr="00FA3095" w:rsidRDefault="00E331DC" w:rsidP="005A65CB">
            <w:pPr>
              <w:pStyle w:val="Tabletext0"/>
              <w:jc w:val="center"/>
            </w:pPr>
            <w:r w:rsidRPr="00FA3095">
              <w:t>Skin atrophy</w:t>
            </w:r>
          </w:p>
        </w:tc>
        <w:tc>
          <w:tcPr>
            <w:tcW w:w="789" w:type="pct"/>
            <w:vAlign w:val="center"/>
          </w:tcPr>
          <w:p w14:paraId="3D17C761" w14:textId="77777777" w:rsidR="00E331DC" w:rsidRPr="00FA3095" w:rsidRDefault="00E331DC" w:rsidP="005A65CB">
            <w:pPr>
              <w:pStyle w:val="Tabletext0"/>
              <w:jc w:val="center"/>
            </w:pPr>
            <w:r w:rsidRPr="00FA3095">
              <w:t>11/31 (35.5%)</w:t>
            </w:r>
          </w:p>
        </w:tc>
        <w:tc>
          <w:tcPr>
            <w:tcW w:w="648" w:type="pct"/>
            <w:vAlign w:val="center"/>
          </w:tcPr>
          <w:p w14:paraId="5448B605" w14:textId="77777777" w:rsidR="00E331DC" w:rsidRPr="00FA3095" w:rsidRDefault="00E331DC" w:rsidP="005A65CB">
            <w:pPr>
              <w:pStyle w:val="Tabletext0"/>
              <w:jc w:val="center"/>
            </w:pPr>
            <w:r w:rsidRPr="00FA3095">
              <w:t>0%</w:t>
            </w:r>
          </w:p>
        </w:tc>
        <w:tc>
          <w:tcPr>
            <w:tcW w:w="649" w:type="pct"/>
            <w:vAlign w:val="center"/>
          </w:tcPr>
          <w:p w14:paraId="047BB93C" w14:textId="77777777" w:rsidR="00E331DC" w:rsidRPr="00FA3095" w:rsidRDefault="00E331DC" w:rsidP="005A65CB">
            <w:pPr>
              <w:pStyle w:val="Tabletext0"/>
              <w:jc w:val="center"/>
            </w:pPr>
            <w:r w:rsidRPr="00FA3095">
              <w:t>0%</w:t>
            </w:r>
          </w:p>
        </w:tc>
        <w:tc>
          <w:tcPr>
            <w:tcW w:w="642" w:type="pct"/>
            <w:vAlign w:val="center"/>
          </w:tcPr>
          <w:p w14:paraId="197DD6FD" w14:textId="77777777" w:rsidR="00E331DC" w:rsidRPr="00FA3095" w:rsidRDefault="00E331DC" w:rsidP="005A65CB">
            <w:pPr>
              <w:pStyle w:val="Tabletext0"/>
              <w:jc w:val="center"/>
            </w:pPr>
            <w:r w:rsidRPr="00FA3095">
              <w:t>0%</w:t>
            </w:r>
          </w:p>
        </w:tc>
      </w:tr>
      <w:tr w:rsidR="00E331DC" w:rsidRPr="00FA3095" w14:paraId="4ED287B1" w14:textId="77777777" w:rsidTr="004226BB">
        <w:tc>
          <w:tcPr>
            <w:tcW w:w="567" w:type="pct"/>
            <w:vMerge/>
            <w:vAlign w:val="center"/>
          </w:tcPr>
          <w:p w14:paraId="18CDA624" w14:textId="77777777" w:rsidR="00E331DC" w:rsidRPr="00FA3095" w:rsidRDefault="00E331DC" w:rsidP="005A65CB">
            <w:pPr>
              <w:pStyle w:val="Tabletext0"/>
              <w:jc w:val="left"/>
              <w:rPr>
                <w:snapToGrid w:val="0"/>
              </w:rPr>
            </w:pPr>
          </w:p>
        </w:tc>
        <w:tc>
          <w:tcPr>
            <w:tcW w:w="857" w:type="pct"/>
            <w:vMerge/>
          </w:tcPr>
          <w:p w14:paraId="6006166F" w14:textId="77777777" w:rsidR="00E331DC" w:rsidRPr="00FA3095" w:rsidRDefault="00E331DC" w:rsidP="005A65CB">
            <w:pPr>
              <w:pStyle w:val="Tabletext0"/>
              <w:jc w:val="center"/>
            </w:pPr>
          </w:p>
        </w:tc>
        <w:tc>
          <w:tcPr>
            <w:tcW w:w="849" w:type="pct"/>
            <w:vAlign w:val="center"/>
          </w:tcPr>
          <w:p w14:paraId="246B819B" w14:textId="0F30D91E" w:rsidR="00E331DC" w:rsidRPr="00FA3095" w:rsidRDefault="00E331DC" w:rsidP="005A65CB">
            <w:pPr>
              <w:pStyle w:val="Tabletext0"/>
              <w:jc w:val="center"/>
            </w:pPr>
            <w:r w:rsidRPr="00FA3095">
              <w:t>Fibrosis</w:t>
            </w:r>
          </w:p>
        </w:tc>
        <w:tc>
          <w:tcPr>
            <w:tcW w:w="789" w:type="pct"/>
            <w:vAlign w:val="center"/>
          </w:tcPr>
          <w:p w14:paraId="4B57D892" w14:textId="77777777" w:rsidR="00E331DC" w:rsidRPr="00FA3095" w:rsidRDefault="00E331DC" w:rsidP="005A65CB">
            <w:pPr>
              <w:pStyle w:val="Tabletext0"/>
              <w:jc w:val="center"/>
            </w:pPr>
            <w:r w:rsidRPr="00FA3095">
              <w:t>1/31 (3.2%)</w:t>
            </w:r>
          </w:p>
        </w:tc>
        <w:tc>
          <w:tcPr>
            <w:tcW w:w="648" w:type="pct"/>
            <w:vAlign w:val="center"/>
          </w:tcPr>
          <w:p w14:paraId="041C3AE6" w14:textId="77777777" w:rsidR="00E331DC" w:rsidRPr="00FA3095" w:rsidRDefault="00E331DC" w:rsidP="005A65CB">
            <w:pPr>
              <w:pStyle w:val="Tabletext0"/>
              <w:jc w:val="center"/>
            </w:pPr>
            <w:r w:rsidRPr="00FA3095">
              <w:t>0%</w:t>
            </w:r>
          </w:p>
        </w:tc>
        <w:tc>
          <w:tcPr>
            <w:tcW w:w="649" w:type="pct"/>
            <w:vAlign w:val="center"/>
          </w:tcPr>
          <w:p w14:paraId="4A0C4592" w14:textId="77777777" w:rsidR="00E331DC" w:rsidRPr="00FA3095" w:rsidRDefault="00E331DC" w:rsidP="005A65CB">
            <w:pPr>
              <w:pStyle w:val="Tabletext0"/>
              <w:jc w:val="center"/>
            </w:pPr>
            <w:r w:rsidRPr="00FA3095">
              <w:t>0%</w:t>
            </w:r>
          </w:p>
        </w:tc>
        <w:tc>
          <w:tcPr>
            <w:tcW w:w="642" w:type="pct"/>
            <w:vAlign w:val="center"/>
          </w:tcPr>
          <w:p w14:paraId="53D5DED6" w14:textId="77777777" w:rsidR="00E331DC" w:rsidRPr="00FA3095" w:rsidRDefault="00E331DC" w:rsidP="005A65CB">
            <w:pPr>
              <w:pStyle w:val="Tabletext0"/>
              <w:jc w:val="center"/>
            </w:pPr>
            <w:r w:rsidRPr="00FA3095">
              <w:t>0%</w:t>
            </w:r>
          </w:p>
        </w:tc>
      </w:tr>
      <w:tr w:rsidR="005B0659" w:rsidRPr="00FA3095" w14:paraId="462EC726" w14:textId="77777777" w:rsidTr="004226BB">
        <w:tc>
          <w:tcPr>
            <w:tcW w:w="567" w:type="pct"/>
            <w:vMerge w:val="restart"/>
            <w:vAlign w:val="center"/>
          </w:tcPr>
          <w:p w14:paraId="7DAC63DE" w14:textId="77777777" w:rsidR="005B0659" w:rsidRPr="00FA3095" w:rsidRDefault="005B0659" w:rsidP="005A65CB">
            <w:pPr>
              <w:pStyle w:val="Tabletext0"/>
              <w:jc w:val="left"/>
              <w:rPr>
                <w:snapToGrid w:val="0"/>
              </w:rPr>
            </w:pPr>
            <w:r w:rsidRPr="00FA3095">
              <w:rPr>
                <w:snapToGrid w:val="0"/>
              </w:rPr>
              <w:t>Olschewski 2006</w:t>
            </w:r>
          </w:p>
        </w:tc>
        <w:tc>
          <w:tcPr>
            <w:tcW w:w="857" w:type="pct"/>
            <w:vMerge w:val="restart"/>
          </w:tcPr>
          <w:p w14:paraId="7FCB3748" w14:textId="0649DAC3" w:rsidR="00080D65" w:rsidRPr="00080D65" w:rsidRDefault="00080D65" w:rsidP="005A65CB">
            <w:pPr>
              <w:pStyle w:val="Tabletext0"/>
              <w:jc w:val="center"/>
              <w:rPr>
                <w:snapToGrid w:val="0"/>
              </w:rPr>
            </w:pPr>
            <w:r w:rsidRPr="00080D65">
              <w:rPr>
                <w:snapToGrid w:val="0"/>
              </w:rPr>
              <w:t>5 X 3 Gy per week, total of 57 Gy (95% of patients)</w:t>
            </w:r>
            <w:r>
              <w:rPr>
                <w:snapToGrid w:val="0"/>
              </w:rPr>
              <w:t>;</w:t>
            </w:r>
          </w:p>
          <w:p w14:paraId="42810D3E" w14:textId="3214C895" w:rsidR="005B0659" w:rsidRPr="00FA3095" w:rsidRDefault="00080D65" w:rsidP="005A65CB">
            <w:pPr>
              <w:pStyle w:val="Tabletext0"/>
              <w:jc w:val="center"/>
              <w:rPr>
                <w:snapToGrid w:val="0"/>
              </w:rPr>
            </w:pPr>
            <w:r w:rsidRPr="00080D65">
              <w:rPr>
                <w:snapToGrid w:val="0"/>
              </w:rPr>
              <w:t>Low energy photons 950 to 100 kV)</w:t>
            </w:r>
          </w:p>
        </w:tc>
        <w:tc>
          <w:tcPr>
            <w:tcW w:w="849" w:type="pct"/>
            <w:vAlign w:val="center"/>
          </w:tcPr>
          <w:p w14:paraId="5980424B" w14:textId="1719593C" w:rsidR="005B0659" w:rsidRPr="00FA3095" w:rsidRDefault="005B0659" w:rsidP="005A65CB">
            <w:pPr>
              <w:pStyle w:val="Tabletext0"/>
              <w:jc w:val="center"/>
              <w:rPr>
                <w:snapToGrid w:val="0"/>
              </w:rPr>
            </w:pPr>
            <w:r w:rsidRPr="00FA3095">
              <w:rPr>
                <w:snapToGrid w:val="0"/>
              </w:rPr>
              <w:t>Acute toxicity CTC Score (6 weeks after RT)</w:t>
            </w:r>
          </w:p>
        </w:tc>
        <w:tc>
          <w:tcPr>
            <w:tcW w:w="789" w:type="pct"/>
            <w:vAlign w:val="center"/>
          </w:tcPr>
          <w:p w14:paraId="287C20D2" w14:textId="77777777" w:rsidR="005B0659" w:rsidRPr="00FA3095" w:rsidRDefault="005B0659" w:rsidP="005A65CB">
            <w:pPr>
              <w:pStyle w:val="Tabletext0"/>
              <w:jc w:val="center"/>
            </w:pPr>
            <w:r w:rsidRPr="00FA3095">
              <w:t>46%</w:t>
            </w:r>
          </w:p>
        </w:tc>
        <w:tc>
          <w:tcPr>
            <w:tcW w:w="648" w:type="pct"/>
            <w:vAlign w:val="center"/>
          </w:tcPr>
          <w:p w14:paraId="3D03EF82" w14:textId="77777777" w:rsidR="005B0659" w:rsidRPr="00FA3095" w:rsidRDefault="005B0659" w:rsidP="005A65CB">
            <w:pPr>
              <w:pStyle w:val="Tabletext0"/>
              <w:jc w:val="center"/>
            </w:pPr>
            <w:r w:rsidRPr="00FA3095">
              <w:t>0%</w:t>
            </w:r>
          </w:p>
        </w:tc>
        <w:tc>
          <w:tcPr>
            <w:tcW w:w="649" w:type="pct"/>
            <w:vAlign w:val="center"/>
          </w:tcPr>
          <w:p w14:paraId="5B08122F" w14:textId="77777777" w:rsidR="005B0659" w:rsidRPr="00FA3095" w:rsidRDefault="005B0659" w:rsidP="005A65CB">
            <w:pPr>
              <w:pStyle w:val="Tabletext0"/>
              <w:jc w:val="center"/>
            </w:pPr>
            <w:r w:rsidRPr="00FA3095">
              <w:t>0%</w:t>
            </w:r>
          </w:p>
        </w:tc>
        <w:tc>
          <w:tcPr>
            <w:tcW w:w="642" w:type="pct"/>
            <w:vAlign w:val="center"/>
          </w:tcPr>
          <w:p w14:paraId="5FAE8B9C" w14:textId="77777777" w:rsidR="005B0659" w:rsidRPr="00FA3095" w:rsidRDefault="005B0659" w:rsidP="005A65CB">
            <w:pPr>
              <w:pStyle w:val="Tabletext0"/>
              <w:jc w:val="center"/>
            </w:pPr>
            <w:r w:rsidRPr="00FA3095">
              <w:t>0%</w:t>
            </w:r>
          </w:p>
        </w:tc>
      </w:tr>
      <w:tr w:rsidR="005B0659" w:rsidRPr="00FA3095" w14:paraId="193F3811" w14:textId="77777777" w:rsidTr="0000535B">
        <w:tc>
          <w:tcPr>
            <w:tcW w:w="567" w:type="pct"/>
            <w:vMerge/>
            <w:vAlign w:val="center"/>
          </w:tcPr>
          <w:p w14:paraId="0B9AD0BA" w14:textId="77777777" w:rsidR="005B0659" w:rsidRPr="00FA3095" w:rsidRDefault="005B0659" w:rsidP="005A65CB">
            <w:pPr>
              <w:pStyle w:val="Tabletext0"/>
              <w:jc w:val="left"/>
              <w:rPr>
                <w:snapToGrid w:val="0"/>
              </w:rPr>
            </w:pPr>
          </w:p>
        </w:tc>
        <w:tc>
          <w:tcPr>
            <w:tcW w:w="857" w:type="pct"/>
            <w:vMerge/>
          </w:tcPr>
          <w:p w14:paraId="396494E8" w14:textId="77777777" w:rsidR="005B0659" w:rsidRPr="00FA3095" w:rsidRDefault="005B0659" w:rsidP="005A65CB">
            <w:pPr>
              <w:pStyle w:val="Tabletext0"/>
              <w:jc w:val="center"/>
            </w:pPr>
          </w:p>
        </w:tc>
        <w:tc>
          <w:tcPr>
            <w:tcW w:w="3576" w:type="pct"/>
            <w:gridSpan w:val="5"/>
            <w:vAlign w:val="center"/>
          </w:tcPr>
          <w:p w14:paraId="4D4633D4" w14:textId="16042DFA" w:rsidR="005B0659" w:rsidRPr="00FA3095" w:rsidRDefault="005B0659" w:rsidP="005A65CB">
            <w:pPr>
              <w:pStyle w:val="Tabletext0"/>
              <w:jc w:val="left"/>
            </w:pPr>
            <w:r w:rsidRPr="00FA3095">
              <w:t>Late toxicity</w:t>
            </w:r>
          </w:p>
        </w:tc>
      </w:tr>
      <w:tr w:rsidR="005B0659" w:rsidRPr="00FA3095" w14:paraId="2C7A51E4" w14:textId="77777777" w:rsidTr="004226BB">
        <w:tc>
          <w:tcPr>
            <w:tcW w:w="567" w:type="pct"/>
            <w:vMerge/>
            <w:vAlign w:val="center"/>
          </w:tcPr>
          <w:p w14:paraId="295694CE" w14:textId="77777777" w:rsidR="005B0659" w:rsidRPr="00FA3095" w:rsidRDefault="005B0659" w:rsidP="005A65CB">
            <w:pPr>
              <w:pStyle w:val="Tabletext0"/>
              <w:jc w:val="left"/>
              <w:rPr>
                <w:snapToGrid w:val="0"/>
              </w:rPr>
            </w:pPr>
          </w:p>
        </w:tc>
        <w:tc>
          <w:tcPr>
            <w:tcW w:w="857" w:type="pct"/>
            <w:vMerge/>
          </w:tcPr>
          <w:p w14:paraId="315CC776" w14:textId="77777777" w:rsidR="005B0659" w:rsidRPr="00FA3095" w:rsidRDefault="005B0659" w:rsidP="005A65CB">
            <w:pPr>
              <w:pStyle w:val="Tabletext0"/>
              <w:jc w:val="center"/>
            </w:pPr>
          </w:p>
        </w:tc>
        <w:tc>
          <w:tcPr>
            <w:tcW w:w="849" w:type="pct"/>
            <w:vAlign w:val="center"/>
          </w:tcPr>
          <w:p w14:paraId="79977840" w14:textId="4A68CBBC" w:rsidR="005B0659" w:rsidRPr="00FA3095" w:rsidRDefault="005B0659" w:rsidP="005A65CB">
            <w:pPr>
              <w:pStyle w:val="Tabletext0"/>
              <w:jc w:val="center"/>
            </w:pPr>
            <w:r w:rsidRPr="00FA3095">
              <w:t>Pigmentation changes</w:t>
            </w:r>
          </w:p>
        </w:tc>
        <w:tc>
          <w:tcPr>
            <w:tcW w:w="789" w:type="pct"/>
            <w:vAlign w:val="center"/>
          </w:tcPr>
          <w:p w14:paraId="42ED3226" w14:textId="77777777" w:rsidR="005B0659" w:rsidRPr="00FA3095" w:rsidRDefault="005B0659" w:rsidP="005A65CB">
            <w:pPr>
              <w:pStyle w:val="Tabletext0"/>
              <w:jc w:val="center"/>
            </w:pPr>
            <w:r w:rsidRPr="00FA3095">
              <w:t>43/104 (41%)</w:t>
            </w:r>
          </w:p>
        </w:tc>
        <w:tc>
          <w:tcPr>
            <w:tcW w:w="648" w:type="pct"/>
            <w:vAlign w:val="center"/>
          </w:tcPr>
          <w:p w14:paraId="20A9C23C" w14:textId="77777777" w:rsidR="005B0659" w:rsidRPr="00FA3095" w:rsidRDefault="005B0659" w:rsidP="005A65CB">
            <w:pPr>
              <w:pStyle w:val="Tabletext0"/>
              <w:jc w:val="center"/>
            </w:pPr>
            <w:r w:rsidRPr="00FA3095">
              <w:t>53/104 (51%)</w:t>
            </w:r>
          </w:p>
        </w:tc>
        <w:tc>
          <w:tcPr>
            <w:tcW w:w="649" w:type="pct"/>
            <w:vAlign w:val="center"/>
          </w:tcPr>
          <w:p w14:paraId="2B8D36E3" w14:textId="77777777" w:rsidR="005B0659" w:rsidRPr="00FA3095" w:rsidRDefault="005B0659" w:rsidP="005A65CB">
            <w:pPr>
              <w:pStyle w:val="Tabletext0"/>
              <w:jc w:val="center"/>
            </w:pPr>
            <w:r w:rsidRPr="00FA3095">
              <w:t>0%</w:t>
            </w:r>
          </w:p>
        </w:tc>
        <w:tc>
          <w:tcPr>
            <w:tcW w:w="642" w:type="pct"/>
            <w:vAlign w:val="center"/>
          </w:tcPr>
          <w:p w14:paraId="637F7A0E" w14:textId="77777777" w:rsidR="005B0659" w:rsidRPr="00FA3095" w:rsidRDefault="005B0659" w:rsidP="005A65CB">
            <w:pPr>
              <w:pStyle w:val="Tabletext0"/>
              <w:jc w:val="center"/>
            </w:pPr>
            <w:r w:rsidRPr="00FA3095">
              <w:t>0%</w:t>
            </w:r>
          </w:p>
        </w:tc>
      </w:tr>
      <w:tr w:rsidR="005B0659" w:rsidRPr="00FA3095" w14:paraId="6D968248" w14:textId="77777777" w:rsidTr="004226BB">
        <w:tc>
          <w:tcPr>
            <w:tcW w:w="567" w:type="pct"/>
            <w:vMerge/>
            <w:vAlign w:val="center"/>
          </w:tcPr>
          <w:p w14:paraId="6BA45365" w14:textId="77777777" w:rsidR="005B0659" w:rsidRPr="00FA3095" w:rsidRDefault="005B0659" w:rsidP="005A65CB">
            <w:pPr>
              <w:pStyle w:val="Tabletext0"/>
              <w:jc w:val="left"/>
              <w:rPr>
                <w:snapToGrid w:val="0"/>
              </w:rPr>
            </w:pPr>
          </w:p>
        </w:tc>
        <w:tc>
          <w:tcPr>
            <w:tcW w:w="857" w:type="pct"/>
            <w:vMerge/>
          </w:tcPr>
          <w:p w14:paraId="0BBC69B7" w14:textId="77777777" w:rsidR="005B0659" w:rsidRPr="00FA3095" w:rsidRDefault="005B0659" w:rsidP="005A65CB">
            <w:pPr>
              <w:pStyle w:val="Tabletext0"/>
              <w:jc w:val="center"/>
            </w:pPr>
          </w:p>
        </w:tc>
        <w:tc>
          <w:tcPr>
            <w:tcW w:w="849" w:type="pct"/>
            <w:vAlign w:val="center"/>
          </w:tcPr>
          <w:p w14:paraId="1A20330B" w14:textId="4D172392" w:rsidR="005B0659" w:rsidRPr="00FA3095" w:rsidRDefault="005B0659" w:rsidP="005A65CB">
            <w:pPr>
              <w:pStyle w:val="Tabletext0"/>
              <w:jc w:val="center"/>
            </w:pPr>
            <w:r w:rsidRPr="00FA3095">
              <w:t>Telangiectases</w:t>
            </w:r>
          </w:p>
        </w:tc>
        <w:tc>
          <w:tcPr>
            <w:tcW w:w="789" w:type="pct"/>
            <w:vAlign w:val="center"/>
          </w:tcPr>
          <w:p w14:paraId="6052EF75" w14:textId="77777777" w:rsidR="005B0659" w:rsidRPr="00FA3095" w:rsidRDefault="005B0659" w:rsidP="005A65CB">
            <w:pPr>
              <w:pStyle w:val="Tabletext0"/>
              <w:jc w:val="center"/>
            </w:pPr>
            <w:r w:rsidRPr="00FA3095">
              <w:t>0%</w:t>
            </w:r>
          </w:p>
        </w:tc>
        <w:tc>
          <w:tcPr>
            <w:tcW w:w="648" w:type="pct"/>
            <w:vAlign w:val="center"/>
          </w:tcPr>
          <w:p w14:paraId="68B939C3" w14:textId="77777777" w:rsidR="005B0659" w:rsidRPr="00FA3095" w:rsidRDefault="005B0659" w:rsidP="005A65CB">
            <w:pPr>
              <w:pStyle w:val="Tabletext0"/>
              <w:jc w:val="center"/>
            </w:pPr>
            <w:r w:rsidRPr="00FA3095">
              <w:t>0%</w:t>
            </w:r>
          </w:p>
        </w:tc>
        <w:tc>
          <w:tcPr>
            <w:tcW w:w="649" w:type="pct"/>
            <w:vAlign w:val="center"/>
          </w:tcPr>
          <w:p w14:paraId="24E9DB03" w14:textId="77777777" w:rsidR="005B0659" w:rsidRPr="00FA3095" w:rsidRDefault="005B0659" w:rsidP="005A65CB">
            <w:pPr>
              <w:pStyle w:val="Tabletext0"/>
              <w:jc w:val="center"/>
            </w:pPr>
            <w:r w:rsidRPr="00FA3095">
              <w:t>0%</w:t>
            </w:r>
          </w:p>
        </w:tc>
        <w:tc>
          <w:tcPr>
            <w:tcW w:w="642" w:type="pct"/>
            <w:vAlign w:val="center"/>
          </w:tcPr>
          <w:p w14:paraId="3A83CE84" w14:textId="77777777" w:rsidR="005B0659" w:rsidRPr="00FA3095" w:rsidRDefault="005B0659" w:rsidP="005A65CB">
            <w:pPr>
              <w:pStyle w:val="Tabletext0"/>
              <w:jc w:val="center"/>
            </w:pPr>
            <w:r w:rsidRPr="00FA3095">
              <w:t>0%</w:t>
            </w:r>
          </w:p>
        </w:tc>
      </w:tr>
      <w:tr w:rsidR="005B0659" w:rsidRPr="00FA3095" w14:paraId="4C1EBD1B" w14:textId="77777777" w:rsidTr="004226BB">
        <w:tc>
          <w:tcPr>
            <w:tcW w:w="567" w:type="pct"/>
            <w:vMerge/>
            <w:vAlign w:val="center"/>
          </w:tcPr>
          <w:p w14:paraId="4210E650" w14:textId="77777777" w:rsidR="005B0659" w:rsidRPr="00FA3095" w:rsidRDefault="005B0659" w:rsidP="005A65CB">
            <w:pPr>
              <w:pStyle w:val="Tabletext0"/>
              <w:jc w:val="left"/>
              <w:rPr>
                <w:snapToGrid w:val="0"/>
              </w:rPr>
            </w:pPr>
          </w:p>
        </w:tc>
        <w:tc>
          <w:tcPr>
            <w:tcW w:w="857" w:type="pct"/>
            <w:vMerge/>
          </w:tcPr>
          <w:p w14:paraId="79231B2A" w14:textId="77777777" w:rsidR="005B0659" w:rsidRPr="00FA3095" w:rsidRDefault="005B0659" w:rsidP="005A65CB">
            <w:pPr>
              <w:pStyle w:val="Tabletext0"/>
              <w:jc w:val="center"/>
            </w:pPr>
          </w:p>
        </w:tc>
        <w:tc>
          <w:tcPr>
            <w:tcW w:w="849" w:type="pct"/>
            <w:vAlign w:val="center"/>
          </w:tcPr>
          <w:p w14:paraId="1D60631B" w14:textId="4AC816E5" w:rsidR="005B0659" w:rsidRPr="00FA3095" w:rsidRDefault="005B0659" w:rsidP="005A65CB">
            <w:pPr>
              <w:pStyle w:val="Tabletext0"/>
              <w:jc w:val="center"/>
            </w:pPr>
            <w:r w:rsidRPr="00FA3095">
              <w:t>Fibrosis</w:t>
            </w:r>
          </w:p>
        </w:tc>
        <w:tc>
          <w:tcPr>
            <w:tcW w:w="789" w:type="pct"/>
            <w:vAlign w:val="center"/>
          </w:tcPr>
          <w:p w14:paraId="15C6C6B2" w14:textId="77777777" w:rsidR="005B0659" w:rsidRPr="00FA3095" w:rsidRDefault="005B0659" w:rsidP="005A65CB">
            <w:pPr>
              <w:pStyle w:val="Tabletext0"/>
              <w:jc w:val="center"/>
            </w:pPr>
            <w:r w:rsidRPr="00FA3095">
              <w:t>45/104 (43%)</w:t>
            </w:r>
          </w:p>
        </w:tc>
        <w:tc>
          <w:tcPr>
            <w:tcW w:w="648" w:type="pct"/>
            <w:vAlign w:val="center"/>
          </w:tcPr>
          <w:p w14:paraId="05C163DF" w14:textId="77777777" w:rsidR="005B0659" w:rsidRPr="00FA3095" w:rsidRDefault="005B0659" w:rsidP="005A65CB">
            <w:pPr>
              <w:pStyle w:val="Tabletext0"/>
              <w:jc w:val="center"/>
            </w:pPr>
            <w:r w:rsidRPr="00FA3095">
              <w:t>0%</w:t>
            </w:r>
          </w:p>
        </w:tc>
        <w:tc>
          <w:tcPr>
            <w:tcW w:w="649" w:type="pct"/>
            <w:vAlign w:val="center"/>
          </w:tcPr>
          <w:p w14:paraId="6721273E" w14:textId="77777777" w:rsidR="005B0659" w:rsidRPr="00FA3095" w:rsidRDefault="005B0659" w:rsidP="005A65CB">
            <w:pPr>
              <w:pStyle w:val="Tabletext0"/>
              <w:jc w:val="center"/>
            </w:pPr>
            <w:r w:rsidRPr="00FA3095">
              <w:t>0%</w:t>
            </w:r>
          </w:p>
        </w:tc>
        <w:tc>
          <w:tcPr>
            <w:tcW w:w="642" w:type="pct"/>
            <w:vAlign w:val="center"/>
          </w:tcPr>
          <w:p w14:paraId="7DEB6F6E" w14:textId="77777777" w:rsidR="005B0659" w:rsidRPr="00FA3095" w:rsidRDefault="005B0659" w:rsidP="005A65CB">
            <w:pPr>
              <w:pStyle w:val="Tabletext0"/>
              <w:jc w:val="center"/>
            </w:pPr>
            <w:r w:rsidRPr="00FA3095">
              <w:t>0%</w:t>
            </w:r>
          </w:p>
        </w:tc>
      </w:tr>
      <w:tr w:rsidR="005B0659" w:rsidRPr="00FA3095" w14:paraId="391927E5" w14:textId="77777777" w:rsidTr="004226BB">
        <w:tc>
          <w:tcPr>
            <w:tcW w:w="567" w:type="pct"/>
            <w:vMerge/>
            <w:vAlign w:val="center"/>
          </w:tcPr>
          <w:p w14:paraId="52498F3F" w14:textId="77777777" w:rsidR="005B0659" w:rsidRPr="00FA3095" w:rsidRDefault="005B0659" w:rsidP="005A65CB">
            <w:pPr>
              <w:pStyle w:val="Tabletext0"/>
              <w:jc w:val="left"/>
              <w:rPr>
                <w:snapToGrid w:val="0"/>
              </w:rPr>
            </w:pPr>
          </w:p>
        </w:tc>
        <w:tc>
          <w:tcPr>
            <w:tcW w:w="857" w:type="pct"/>
            <w:vMerge/>
          </w:tcPr>
          <w:p w14:paraId="3495CCDB" w14:textId="77777777" w:rsidR="005B0659" w:rsidRPr="00FA3095" w:rsidRDefault="005B0659" w:rsidP="005A65CB">
            <w:pPr>
              <w:pStyle w:val="Tabletext0"/>
              <w:jc w:val="center"/>
            </w:pPr>
          </w:p>
        </w:tc>
        <w:tc>
          <w:tcPr>
            <w:tcW w:w="849" w:type="pct"/>
            <w:vAlign w:val="center"/>
          </w:tcPr>
          <w:p w14:paraId="6B0946F1" w14:textId="7B60331D" w:rsidR="005B0659" w:rsidRPr="00FA3095" w:rsidRDefault="005B0659" w:rsidP="005A65CB">
            <w:pPr>
              <w:pStyle w:val="Tabletext0"/>
              <w:jc w:val="center"/>
            </w:pPr>
            <w:r w:rsidRPr="00FA3095">
              <w:t>Skin atrophy</w:t>
            </w:r>
          </w:p>
        </w:tc>
        <w:tc>
          <w:tcPr>
            <w:tcW w:w="789" w:type="pct"/>
            <w:vAlign w:val="center"/>
          </w:tcPr>
          <w:p w14:paraId="5DF36A55" w14:textId="77777777" w:rsidR="005B0659" w:rsidRPr="00FA3095" w:rsidRDefault="005B0659" w:rsidP="005A65CB">
            <w:pPr>
              <w:pStyle w:val="Tabletext0"/>
              <w:jc w:val="center"/>
            </w:pPr>
            <w:r w:rsidRPr="00FA3095">
              <w:t>76/104 (73%)</w:t>
            </w:r>
          </w:p>
        </w:tc>
        <w:tc>
          <w:tcPr>
            <w:tcW w:w="648" w:type="pct"/>
            <w:vAlign w:val="center"/>
          </w:tcPr>
          <w:p w14:paraId="5E43368A" w14:textId="77777777" w:rsidR="005B0659" w:rsidRPr="00FA3095" w:rsidRDefault="005B0659" w:rsidP="005A65CB">
            <w:pPr>
              <w:pStyle w:val="Tabletext0"/>
              <w:jc w:val="center"/>
            </w:pPr>
            <w:r w:rsidRPr="00FA3095">
              <w:t>0%</w:t>
            </w:r>
          </w:p>
        </w:tc>
        <w:tc>
          <w:tcPr>
            <w:tcW w:w="649" w:type="pct"/>
            <w:vAlign w:val="center"/>
          </w:tcPr>
          <w:p w14:paraId="5390290B" w14:textId="77777777" w:rsidR="005B0659" w:rsidRPr="00FA3095" w:rsidRDefault="005B0659" w:rsidP="005A65CB">
            <w:pPr>
              <w:pStyle w:val="Tabletext0"/>
              <w:jc w:val="center"/>
            </w:pPr>
            <w:r w:rsidRPr="00FA3095">
              <w:t>0%</w:t>
            </w:r>
          </w:p>
        </w:tc>
        <w:tc>
          <w:tcPr>
            <w:tcW w:w="642" w:type="pct"/>
            <w:vAlign w:val="center"/>
          </w:tcPr>
          <w:p w14:paraId="5C836DD3" w14:textId="77777777" w:rsidR="005B0659" w:rsidRPr="00FA3095" w:rsidRDefault="005B0659" w:rsidP="005A65CB">
            <w:pPr>
              <w:pStyle w:val="Tabletext0"/>
              <w:jc w:val="center"/>
            </w:pPr>
            <w:r w:rsidRPr="00FA3095">
              <w:t>0%</w:t>
            </w:r>
          </w:p>
        </w:tc>
      </w:tr>
      <w:tr w:rsidR="00E331DC" w:rsidRPr="00FA3095" w14:paraId="143D3ED5" w14:textId="77777777" w:rsidTr="004226BB">
        <w:tc>
          <w:tcPr>
            <w:tcW w:w="567" w:type="pct"/>
            <w:vAlign w:val="center"/>
          </w:tcPr>
          <w:p w14:paraId="151C59C8" w14:textId="77777777" w:rsidR="00E331DC" w:rsidRPr="00FA3095" w:rsidRDefault="00E331DC" w:rsidP="005A65CB">
            <w:pPr>
              <w:pStyle w:val="Tabletext0"/>
              <w:jc w:val="left"/>
              <w:rPr>
                <w:snapToGrid w:val="0"/>
              </w:rPr>
            </w:pPr>
            <w:r w:rsidRPr="00FA3095">
              <w:rPr>
                <w:snapToGrid w:val="0"/>
              </w:rPr>
              <w:t>Pampena 2016</w:t>
            </w:r>
          </w:p>
        </w:tc>
        <w:tc>
          <w:tcPr>
            <w:tcW w:w="857" w:type="pct"/>
          </w:tcPr>
          <w:p w14:paraId="538ABB0A" w14:textId="009513F7" w:rsidR="00BC67D6" w:rsidRDefault="00BC67D6" w:rsidP="005A65CB">
            <w:pPr>
              <w:pStyle w:val="Tabletext0"/>
              <w:jc w:val="center"/>
            </w:pPr>
            <w:r>
              <w:t>Two different schedules:</w:t>
            </w:r>
          </w:p>
          <w:p w14:paraId="66D311F4" w14:textId="0A6AB6F6" w:rsidR="00E331DC" w:rsidRPr="00FA3095" w:rsidRDefault="00BC67D6" w:rsidP="005A65CB">
            <w:pPr>
              <w:pStyle w:val="Tabletext0"/>
              <w:jc w:val="center"/>
            </w:pPr>
            <w:r>
              <w:t>Group A (7 weekly fractions of 525 cGy)</w:t>
            </w:r>
            <w:r w:rsidR="00FD65FD">
              <w:t xml:space="preserve">, </w:t>
            </w:r>
            <w:r>
              <w:t>Group B (15 daily fractions of 300 cGy)</w:t>
            </w:r>
          </w:p>
        </w:tc>
        <w:tc>
          <w:tcPr>
            <w:tcW w:w="849" w:type="pct"/>
            <w:vAlign w:val="center"/>
          </w:tcPr>
          <w:p w14:paraId="7BACFC1C" w14:textId="67D4B93C" w:rsidR="00E331DC" w:rsidRPr="00FA3095" w:rsidRDefault="00E331DC" w:rsidP="005A65CB">
            <w:pPr>
              <w:pStyle w:val="Tabletext0"/>
              <w:jc w:val="center"/>
            </w:pPr>
            <w:r w:rsidRPr="00FA3095">
              <w:t>Acute toxicity</w:t>
            </w:r>
          </w:p>
        </w:tc>
        <w:tc>
          <w:tcPr>
            <w:tcW w:w="789" w:type="pct"/>
            <w:vAlign w:val="center"/>
          </w:tcPr>
          <w:p w14:paraId="3650AFB0" w14:textId="77777777" w:rsidR="00E331DC" w:rsidRPr="00FA3095" w:rsidRDefault="00E331DC" w:rsidP="005A65CB">
            <w:pPr>
              <w:pStyle w:val="Tabletext0"/>
              <w:jc w:val="center"/>
            </w:pPr>
            <w:r w:rsidRPr="00FA3095">
              <w:t>Weekly</w:t>
            </w:r>
          </w:p>
          <w:p w14:paraId="5070D3F8" w14:textId="77777777" w:rsidR="00E331DC" w:rsidRPr="00FA3095" w:rsidRDefault="00E331DC" w:rsidP="005A65CB">
            <w:pPr>
              <w:pStyle w:val="Tabletext0"/>
              <w:jc w:val="center"/>
            </w:pPr>
            <w:r w:rsidRPr="00FA3095">
              <w:t>0</w:t>
            </w:r>
          </w:p>
          <w:p w14:paraId="1380B38D" w14:textId="77777777" w:rsidR="00E331DC" w:rsidRPr="00FA3095" w:rsidRDefault="00E331DC" w:rsidP="005A65CB">
            <w:pPr>
              <w:pStyle w:val="Tabletext0"/>
              <w:jc w:val="center"/>
            </w:pPr>
            <w:r w:rsidRPr="00FA3095">
              <w:t>Daily</w:t>
            </w:r>
          </w:p>
          <w:p w14:paraId="4B74F5A0" w14:textId="77777777" w:rsidR="00E331DC" w:rsidRPr="00FA3095" w:rsidRDefault="00E331DC" w:rsidP="005A65CB">
            <w:pPr>
              <w:pStyle w:val="Tabletext0"/>
              <w:jc w:val="center"/>
            </w:pPr>
            <w:r w:rsidRPr="00FA3095">
              <w:t>0</w:t>
            </w:r>
          </w:p>
        </w:tc>
        <w:tc>
          <w:tcPr>
            <w:tcW w:w="648" w:type="pct"/>
            <w:vAlign w:val="center"/>
          </w:tcPr>
          <w:p w14:paraId="60FFC6F3" w14:textId="77777777" w:rsidR="00E331DC" w:rsidRPr="00FA3095" w:rsidRDefault="00E331DC" w:rsidP="005A65CB">
            <w:pPr>
              <w:pStyle w:val="Tabletext0"/>
              <w:jc w:val="center"/>
            </w:pPr>
            <w:r w:rsidRPr="00FA3095">
              <w:t>Weekly</w:t>
            </w:r>
          </w:p>
          <w:p w14:paraId="4F805196" w14:textId="77777777" w:rsidR="00E331DC" w:rsidRPr="00FA3095" w:rsidRDefault="00E331DC" w:rsidP="005A65CB">
            <w:pPr>
              <w:pStyle w:val="Tabletext0"/>
              <w:jc w:val="center"/>
            </w:pPr>
            <w:r w:rsidRPr="00FA3095">
              <w:t>7/236</w:t>
            </w:r>
          </w:p>
          <w:p w14:paraId="08C6C442" w14:textId="77777777" w:rsidR="00E331DC" w:rsidRPr="00FA3095" w:rsidRDefault="00E331DC" w:rsidP="005A65CB">
            <w:pPr>
              <w:pStyle w:val="Tabletext0"/>
              <w:jc w:val="center"/>
            </w:pPr>
            <w:r w:rsidRPr="00FA3095">
              <w:t>Daily</w:t>
            </w:r>
          </w:p>
          <w:p w14:paraId="4C63C682" w14:textId="77777777" w:rsidR="00E331DC" w:rsidRPr="00FA3095" w:rsidRDefault="00E331DC" w:rsidP="005A65CB">
            <w:pPr>
              <w:pStyle w:val="Tabletext0"/>
              <w:jc w:val="center"/>
            </w:pPr>
            <w:r w:rsidRPr="00FA3095">
              <w:t>2/149</w:t>
            </w:r>
          </w:p>
        </w:tc>
        <w:tc>
          <w:tcPr>
            <w:tcW w:w="649" w:type="pct"/>
            <w:vAlign w:val="center"/>
          </w:tcPr>
          <w:p w14:paraId="2AC33B59" w14:textId="77777777" w:rsidR="00E331DC" w:rsidRPr="00FA3095" w:rsidRDefault="00E331DC" w:rsidP="005A65CB">
            <w:pPr>
              <w:pStyle w:val="Tabletext0"/>
              <w:jc w:val="center"/>
            </w:pPr>
            <w:r w:rsidRPr="00FA3095">
              <w:t>Weekly</w:t>
            </w:r>
          </w:p>
          <w:p w14:paraId="1EC8A22C" w14:textId="77777777" w:rsidR="00E331DC" w:rsidRPr="00FA3095" w:rsidRDefault="00E331DC" w:rsidP="005A65CB">
            <w:pPr>
              <w:pStyle w:val="Tabletext0"/>
              <w:jc w:val="center"/>
            </w:pPr>
            <w:r w:rsidRPr="00FA3095">
              <w:t>1/236</w:t>
            </w:r>
          </w:p>
          <w:p w14:paraId="1202277C" w14:textId="77777777" w:rsidR="00E331DC" w:rsidRPr="00FA3095" w:rsidRDefault="00E331DC" w:rsidP="005A65CB">
            <w:pPr>
              <w:pStyle w:val="Tabletext0"/>
              <w:jc w:val="center"/>
            </w:pPr>
            <w:r w:rsidRPr="00FA3095">
              <w:t>Daily</w:t>
            </w:r>
          </w:p>
          <w:p w14:paraId="77B18E0B" w14:textId="77777777" w:rsidR="00E331DC" w:rsidRPr="00FA3095" w:rsidRDefault="00E331DC" w:rsidP="005A65CB">
            <w:pPr>
              <w:pStyle w:val="Tabletext0"/>
              <w:jc w:val="center"/>
            </w:pPr>
            <w:r w:rsidRPr="00FA3095">
              <w:t>2/236</w:t>
            </w:r>
          </w:p>
        </w:tc>
        <w:tc>
          <w:tcPr>
            <w:tcW w:w="642" w:type="pct"/>
            <w:vAlign w:val="center"/>
          </w:tcPr>
          <w:p w14:paraId="71A33F91" w14:textId="77777777" w:rsidR="00E331DC" w:rsidRPr="00FA3095" w:rsidRDefault="00E331DC" w:rsidP="005A65CB">
            <w:pPr>
              <w:pStyle w:val="Tabletext0"/>
              <w:jc w:val="center"/>
            </w:pPr>
            <w:r w:rsidRPr="00FA3095">
              <w:t>Weekly</w:t>
            </w:r>
          </w:p>
          <w:p w14:paraId="1ECA9C62" w14:textId="77777777" w:rsidR="00E331DC" w:rsidRPr="00FA3095" w:rsidRDefault="00E331DC" w:rsidP="005A65CB">
            <w:pPr>
              <w:pStyle w:val="Tabletext0"/>
              <w:jc w:val="center"/>
            </w:pPr>
            <w:r w:rsidRPr="00FA3095">
              <w:t>6/236</w:t>
            </w:r>
          </w:p>
          <w:p w14:paraId="5DDE1512" w14:textId="77777777" w:rsidR="00E331DC" w:rsidRPr="00FA3095" w:rsidRDefault="00E331DC" w:rsidP="005A65CB">
            <w:pPr>
              <w:pStyle w:val="Tabletext0"/>
              <w:jc w:val="center"/>
            </w:pPr>
            <w:r w:rsidRPr="00FA3095">
              <w:t>Daily</w:t>
            </w:r>
          </w:p>
          <w:p w14:paraId="2BDB3998" w14:textId="77777777" w:rsidR="00E331DC" w:rsidRPr="00FA3095" w:rsidRDefault="00E331DC" w:rsidP="005A65CB">
            <w:pPr>
              <w:pStyle w:val="Tabletext0"/>
              <w:jc w:val="center"/>
            </w:pPr>
            <w:r w:rsidRPr="00FA3095">
              <w:t>2/236</w:t>
            </w:r>
          </w:p>
        </w:tc>
      </w:tr>
      <w:tr w:rsidR="00E331DC" w:rsidRPr="00FA3095" w14:paraId="00A9D7A0" w14:textId="77777777" w:rsidTr="004226BB">
        <w:tc>
          <w:tcPr>
            <w:tcW w:w="567" w:type="pct"/>
            <w:vAlign w:val="center"/>
          </w:tcPr>
          <w:p w14:paraId="0CA03737" w14:textId="77777777" w:rsidR="00E331DC" w:rsidRPr="00FA3095" w:rsidRDefault="00E331DC" w:rsidP="005A65CB">
            <w:pPr>
              <w:pStyle w:val="Tabletext0"/>
              <w:jc w:val="left"/>
              <w:rPr>
                <w:snapToGrid w:val="0"/>
              </w:rPr>
            </w:pPr>
            <w:r w:rsidRPr="00FA3095">
              <w:rPr>
                <w:snapToGrid w:val="0"/>
              </w:rPr>
              <w:t>Russi 2015</w:t>
            </w:r>
          </w:p>
        </w:tc>
        <w:tc>
          <w:tcPr>
            <w:tcW w:w="857" w:type="pct"/>
          </w:tcPr>
          <w:p w14:paraId="0132EFFA" w14:textId="47024D86" w:rsidR="00E331DC" w:rsidRPr="00FA3095" w:rsidRDefault="00BF4E0B" w:rsidP="005A65CB">
            <w:pPr>
              <w:pStyle w:val="Tabletext0"/>
              <w:jc w:val="center"/>
            </w:pPr>
            <w:r>
              <w:t>Orthovoltage or electron beams, 25 or 30 Gy in 5 or 6</w:t>
            </w:r>
            <w:r w:rsidR="00FD65FD">
              <w:t xml:space="preserve"> </w:t>
            </w:r>
            <w:r>
              <w:t>fractions of 5 Gy, once weekly in 5 or 6 weeks</w:t>
            </w:r>
          </w:p>
        </w:tc>
        <w:tc>
          <w:tcPr>
            <w:tcW w:w="849" w:type="pct"/>
            <w:vAlign w:val="center"/>
          </w:tcPr>
          <w:p w14:paraId="7972F78B" w14:textId="32AF112E" w:rsidR="00E331DC" w:rsidRPr="00FA3095" w:rsidRDefault="00E331DC" w:rsidP="005A65CB">
            <w:pPr>
              <w:pStyle w:val="Tabletext0"/>
              <w:jc w:val="center"/>
            </w:pPr>
            <w:r w:rsidRPr="00FA3095">
              <w:t>Acute skin toxicity (CTCAE)</w:t>
            </w:r>
          </w:p>
        </w:tc>
        <w:tc>
          <w:tcPr>
            <w:tcW w:w="1436" w:type="pct"/>
            <w:gridSpan w:val="2"/>
            <w:vAlign w:val="center"/>
          </w:tcPr>
          <w:p w14:paraId="4A8F8309" w14:textId="77777777" w:rsidR="00E331DC" w:rsidRPr="00FA3095" w:rsidRDefault="00E331DC" w:rsidP="005A65CB">
            <w:pPr>
              <w:pStyle w:val="Tabletext0"/>
              <w:jc w:val="center"/>
            </w:pPr>
            <w:r w:rsidRPr="00FA3095">
              <w:t>G</w:t>
            </w:r>
            <w:r>
              <w:t xml:space="preserve">rade </w:t>
            </w:r>
            <w:r w:rsidRPr="00FA3095">
              <w:t>1/G</w:t>
            </w:r>
            <w:r>
              <w:t xml:space="preserve">rade </w:t>
            </w:r>
            <w:r w:rsidRPr="00FA3095">
              <w:t>2</w:t>
            </w:r>
          </w:p>
          <w:p w14:paraId="7EA2CDB4" w14:textId="77777777" w:rsidR="00E331DC" w:rsidRPr="00FA3095" w:rsidRDefault="00E331DC" w:rsidP="005A65CB">
            <w:pPr>
              <w:pStyle w:val="Tabletext0"/>
              <w:jc w:val="center"/>
            </w:pPr>
            <w:r w:rsidRPr="00FA3095">
              <w:t>41/134 (30.6%)</w:t>
            </w:r>
          </w:p>
        </w:tc>
        <w:tc>
          <w:tcPr>
            <w:tcW w:w="649" w:type="pct"/>
            <w:vAlign w:val="center"/>
          </w:tcPr>
          <w:p w14:paraId="46BA5FA3" w14:textId="77777777" w:rsidR="00E331DC" w:rsidRPr="00FA3095" w:rsidRDefault="00E331DC" w:rsidP="005A65CB">
            <w:pPr>
              <w:pStyle w:val="Tabletext0"/>
              <w:jc w:val="center"/>
            </w:pPr>
            <w:r w:rsidRPr="00FA3095">
              <w:t>0%</w:t>
            </w:r>
          </w:p>
        </w:tc>
        <w:tc>
          <w:tcPr>
            <w:tcW w:w="642" w:type="pct"/>
            <w:vAlign w:val="center"/>
          </w:tcPr>
          <w:p w14:paraId="76F3C3C2" w14:textId="77777777" w:rsidR="00E331DC" w:rsidRPr="00FA3095" w:rsidRDefault="00E331DC" w:rsidP="005A65CB">
            <w:pPr>
              <w:pStyle w:val="Tabletext0"/>
              <w:jc w:val="center"/>
            </w:pPr>
            <w:r w:rsidRPr="00FA3095">
              <w:t>0%</w:t>
            </w:r>
          </w:p>
        </w:tc>
      </w:tr>
    </w:tbl>
    <w:bookmarkEnd w:id="31"/>
    <w:p w14:paraId="59E50613" w14:textId="45876DA6" w:rsidR="00CC0C39" w:rsidRDefault="0036194C" w:rsidP="005A65CB">
      <w:pPr>
        <w:pStyle w:val="Tablenotes"/>
      </w:pPr>
      <w:r w:rsidRPr="00067F04">
        <w:t>Source</w:t>
      </w:r>
      <w:r w:rsidR="00B238A3">
        <w:t xml:space="preserve">: Commentary Table 4, pg 57 of MSC 1657 ADAR+in-line </w:t>
      </w:r>
      <w:r w:rsidR="007B25EE">
        <w:t>c</w:t>
      </w:r>
      <w:r w:rsidR="00B238A3">
        <w:t>ommentary</w:t>
      </w:r>
      <w:r w:rsidRPr="00067F04">
        <w:br/>
        <w:t xml:space="preserve">Abbreviations: CTC= Common Toxicity Criteria; CTCAE = Common Toxicity </w:t>
      </w:r>
      <w:r w:rsidRPr="003848F1">
        <w:t>Criteria</w:t>
      </w:r>
      <w:r w:rsidRPr="00067F04">
        <w:t xml:space="preserve"> for Adverse Events; EORTC-RTOG = European Organization for Research and Treatment of Cancer Radiation Therapy Oncology Group</w:t>
      </w:r>
    </w:p>
    <w:p w14:paraId="3717AA01" w14:textId="03DF9885" w:rsidR="00772829" w:rsidRDefault="00C36633" w:rsidP="002A18BE">
      <w:pPr>
        <w:pStyle w:val="Heading2"/>
        <w:numPr>
          <w:ilvl w:val="0"/>
          <w:numId w:val="0"/>
        </w:numPr>
      </w:pPr>
      <w:r>
        <w:t>1</w:t>
      </w:r>
      <w:r w:rsidR="00F76D74">
        <w:t>2</w:t>
      </w:r>
      <w:r>
        <w:t>.</w:t>
      </w:r>
      <w:r>
        <w:tab/>
      </w:r>
      <w:r w:rsidR="00772829" w:rsidRPr="00CE28E3">
        <w:t>Comparative effectiveness</w:t>
      </w:r>
      <w:bookmarkEnd w:id="28"/>
    </w:p>
    <w:p w14:paraId="5AF8C57B" w14:textId="6B57AA7F" w:rsidR="00417E15" w:rsidRDefault="00417E15" w:rsidP="00FB00C5">
      <w:r>
        <w:t xml:space="preserve">Effectiveness data for Re-188 brachytherapy in BCC and SCC </w:t>
      </w:r>
      <w:r w:rsidR="00E917C2">
        <w:t>are</w:t>
      </w:r>
      <w:r>
        <w:t xml:space="preserve"> summarised in </w:t>
      </w:r>
      <w:r>
        <w:fldChar w:fldCharType="begin"/>
      </w:r>
      <w:r>
        <w:instrText xml:space="preserve"> REF _Ref134010591 \h </w:instrText>
      </w:r>
      <w:r>
        <w:fldChar w:fldCharType="separate"/>
      </w:r>
      <w:r w:rsidR="009228FB">
        <w:t xml:space="preserve">Table </w:t>
      </w:r>
      <w:r w:rsidR="009228FB">
        <w:rPr>
          <w:noProof/>
        </w:rPr>
        <w:t>7</w:t>
      </w:r>
      <w:r>
        <w:fldChar w:fldCharType="end"/>
      </w:r>
      <w:r>
        <w:t xml:space="preserve">. </w:t>
      </w:r>
      <w:r w:rsidR="007F25CF">
        <w:t xml:space="preserve">Complete and partial response data for EBRT studies </w:t>
      </w:r>
      <w:r w:rsidR="00E917C2">
        <w:t>are</w:t>
      </w:r>
      <w:r w:rsidR="007F25CF">
        <w:t xml:space="preserve"> summarised in </w:t>
      </w:r>
      <w:r w:rsidR="007F25CF">
        <w:fldChar w:fldCharType="begin"/>
      </w:r>
      <w:r w:rsidR="007F25CF">
        <w:instrText xml:space="preserve"> REF _Ref134010670 \h </w:instrText>
      </w:r>
      <w:r w:rsidR="007F25CF">
        <w:fldChar w:fldCharType="separate"/>
      </w:r>
      <w:r w:rsidR="009228FB">
        <w:t xml:space="preserve">Table </w:t>
      </w:r>
      <w:r w:rsidR="009228FB">
        <w:rPr>
          <w:noProof/>
        </w:rPr>
        <w:t>8</w:t>
      </w:r>
      <w:r w:rsidR="007F25CF">
        <w:fldChar w:fldCharType="end"/>
      </w:r>
      <w:r>
        <w:t xml:space="preserve"> </w:t>
      </w:r>
      <w:r w:rsidR="003B525A">
        <w:t xml:space="preserve">and cosmetic results </w:t>
      </w:r>
      <w:r w:rsidR="00C328AA">
        <w:t xml:space="preserve">are summarised in </w:t>
      </w:r>
      <w:r w:rsidR="00A24CE9">
        <w:fldChar w:fldCharType="begin"/>
      </w:r>
      <w:r w:rsidR="00A24CE9">
        <w:instrText xml:space="preserve"> REF _Ref134011438 \h </w:instrText>
      </w:r>
      <w:r w:rsidR="00A24CE9">
        <w:fldChar w:fldCharType="separate"/>
      </w:r>
      <w:r w:rsidR="009228FB">
        <w:t xml:space="preserve">Table </w:t>
      </w:r>
      <w:r w:rsidR="009228FB">
        <w:rPr>
          <w:noProof/>
        </w:rPr>
        <w:t>9</w:t>
      </w:r>
      <w:r w:rsidR="00A24CE9">
        <w:fldChar w:fldCharType="end"/>
      </w:r>
      <w:r w:rsidR="00A24CE9">
        <w:t>.</w:t>
      </w:r>
    </w:p>
    <w:p w14:paraId="3D2C138E" w14:textId="51310F42" w:rsidR="00FB00C5" w:rsidRDefault="00353F65" w:rsidP="00FB00C5">
      <w:r>
        <w:lastRenderedPageBreak/>
        <w:t>For Re-188 brachytherapy, f</w:t>
      </w:r>
      <w:r w:rsidR="00FB00C5">
        <w:t xml:space="preserve">ive </w:t>
      </w:r>
      <w:r w:rsidR="00D86197">
        <w:t xml:space="preserve">single arm </w:t>
      </w:r>
      <w:r w:rsidR="00FB00C5">
        <w:t xml:space="preserve">studies reported the treatment response rate </w:t>
      </w:r>
      <w:r w:rsidR="001A6EA7">
        <w:t xml:space="preserve">to Re-188 brachytherapy </w:t>
      </w:r>
      <w:r w:rsidR="00FB00C5">
        <w:t xml:space="preserve">at varying follow-up timepoints. </w:t>
      </w:r>
      <w:r w:rsidR="003F6A44">
        <w:t xml:space="preserve">Only one study (Catellucci et al. 2021) provided a definition of complete and partial response. </w:t>
      </w:r>
      <w:r w:rsidR="00415AB0">
        <w:t>The o</w:t>
      </w:r>
      <w:r w:rsidR="003F6A44">
        <w:t xml:space="preserve">ther four studies lacked this information. </w:t>
      </w:r>
      <w:r w:rsidR="006A3427">
        <w:t xml:space="preserve">In three studies </w:t>
      </w:r>
      <w:r w:rsidR="003F6A44">
        <w:t xml:space="preserve">(Sedda et al. 2008, Cipriani et al. 2017, Cipriani et al. 2020) </w:t>
      </w:r>
      <w:r w:rsidR="006A3427">
        <w:t>c</w:t>
      </w:r>
      <w:r w:rsidR="00FB00C5">
        <w:t xml:space="preserve">omplete response was </w:t>
      </w:r>
      <w:r w:rsidR="00054420">
        <w:t>assessed as</w:t>
      </w:r>
      <w:r w:rsidR="00FB00C5">
        <w:t xml:space="preserve"> 100% </w:t>
      </w:r>
      <w:r w:rsidR="00076344">
        <w:t xml:space="preserve">(of patients) </w:t>
      </w:r>
      <w:r w:rsidR="00FB00C5">
        <w:t>during a 3</w:t>
      </w:r>
      <w:r w:rsidR="00897AFC">
        <w:t xml:space="preserve"> to 5</w:t>
      </w:r>
      <w:r w:rsidR="00825DE5">
        <w:t xml:space="preserve"> </w:t>
      </w:r>
      <w:r w:rsidR="00FB00C5">
        <w:t xml:space="preserve">month follow-up. </w:t>
      </w:r>
      <w:r w:rsidR="00AA4447">
        <w:t xml:space="preserve">One small study </w:t>
      </w:r>
      <w:r w:rsidR="003F6A44">
        <w:t>(</w:t>
      </w:r>
      <w:r w:rsidR="003F6A44" w:rsidRPr="003231B0">
        <w:t>Carrozzo</w:t>
      </w:r>
      <w:r w:rsidR="003F6A44">
        <w:t xml:space="preserve"> et al.</w:t>
      </w:r>
      <w:r w:rsidR="003F6A44" w:rsidRPr="003231B0">
        <w:t xml:space="preserve"> 2013</w:t>
      </w:r>
      <w:r w:rsidR="003F6A44">
        <w:t xml:space="preserve">) </w:t>
      </w:r>
      <w:r w:rsidR="00AA4447">
        <w:t>with 15 participants</w:t>
      </w:r>
      <w:r w:rsidR="00FB00C5">
        <w:t xml:space="preserve"> found that in patients with SCC of penis, complete response was 80% (12</w:t>
      </w:r>
      <w:r w:rsidR="00D75537">
        <w:t xml:space="preserve"> out of </w:t>
      </w:r>
      <w:r w:rsidR="00FB00C5">
        <w:t>15)</w:t>
      </w:r>
      <w:r w:rsidR="00EA066D">
        <w:t xml:space="preserve"> after 3</w:t>
      </w:r>
      <w:r w:rsidR="00825DE5">
        <w:t xml:space="preserve"> to </w:t>
      </w:r>
      <w:r w:rsidR="00EA066D">
        <w:t>5 months follow-up</w:t>
      </w:r>
      <w:r w:rsidR="00FB00C5">
        <w:t xml:space="preserve">. </w:t>
      </w:r>
      <w:r w:rsidR="001433B8">
        <w:t>Castellucci et al. 2021</w:t>
      </w:r>
      <w:r w:rsidR="00FB00C5">
        <w:t xml:space="preserve"> reported complete response rates of 98.2%</w:t>
      </w:r>
      <w:r w:rsidR="00921DCF">
        <w:t xml:space="preserve"> (</w:t>
      </w:r>
      <w:r w:rsidR="000B371F">
        <w:t>53</w:t>
      </w:r>
      <w:r w:rsidR="00A24CE9">
        <w:t xml:space="preserve"> out of </w:t>
      </w:r>
      <w:r w:rsidR="000B371F">
        <w:t>54)</w:t>
      </w:r>
      <w:r w:rsidR="00FB00C5">
        <w:t>, 100%</w:t>
      </w:r>
      <w:r w:rsidR="000B371F">
        <w:t xml:space="preserve"> (41</w:t>
      </w:r>
      <w:r w:rsidR="00A24CE9">
        <w:t xml:space="preserve"> out of </w:t>
      </w:r>
      <w:r w:rsidR="000B371F">
        <w:t>41)</w:t>
      </w:r>
      <w:r w:rsidR="00FB00C5">
        <w:t xml:space="preserve"> and 96%</w:t>
      </w:r>
      <w:r w:rsidR="000B371F">
        <w:t xml:space="preserve"> (</w:t>
      </w:r>
      <w:r w:rsidR="00A24CE9">
        <w:t>23 out of 24)</w:t>
      </w:r>
      <w:r w:rsidR="00FB00C5">
        <w:t xml:space="preserve"> for evaluable lesions</w:t>
      </w:r>
      <w:r w:rsidR="00A24CE9">
        <w:t xml:space="preserve"> which had histology and dermos</w:t>
      </w:r>
      <w:r w:rsidR="008816C1">
        <w:t>co</w:t>
      </w:r>
      <w:r w:rsidR="00A24CE9">
        <w:t xml:space="preserve">py </w:t>
      </w:r>
      <w:r w:rsidR="008816C1">
        <w:t>results</w:t>
      </w:r>
      <w:r w:rsidR="00A24CE9">
        <w:t xml:space="preserve"> available</w:t>
      </w:r>
      <w:r w:rsidR="00FB00C5">
        <w:t xml:space="preserve"> at 6, 12 and 24 months.</w:t>
      </w:r>
    </w:p>
    <w:p w14:paraId="5EF6FDDC" w14:textId="07F79A0E" w:rsidR="00FB00C5" w:rsidRDefault="00FB00C5" w:rsidP="00FB00C5">
      <w:r>
        <w:t xml:space="preserve">Cosmetic results were reported </w:t>
      </w:r>
      <w:r w:rsidR="00E73C60">
        <w:t>by Castellucci et al. 2021</w:t>
      </w:r>
      <w:r>
        <w:t xml:space="preserve"> and were evaluated in 41 evaluable lesions according to Radiation Therapy Oncology Group (RTOG) criteria. Cosmesis was graded good in 11</w:t>
      </w:r>
      <w:r w:rsidR="003F6A44">
        <w:t xml:space="preserve"> out of </w:t>
      </w:r>
      <w:r>
        <w:t xml:space="preserve">41 lesions and graded excellent for </w:t>
      </w:r>
      <w:r w:rsidR="00820727">
        <w:t>3</w:t>
      </w:r>
      <w:r>
        <w:t>0</w:t>
      </w:r>
      <w:r w:rsidR="003F6A44">
        <w:t xml:space="preserve"> out of </w:t>
      </w:r>
      <w:r>
        <w:t>41 lesions.</w:t>
      </w:r>
    </w:p>
    <w:p w14:paraId="7BB4D16F" w14:textId="40DDC2D5" w:rsidR="00FB00C5" w:rsidRDefault="00FB00C5" w:rsidP="00FB00C5">
      <w:r>
        <w:t>No other effectiveness outcomes were reported in the studies</w:t>
      </w:r>
      <w:r w:rsidR="00820727">
        <w:t xml:space="preserve"> for Re-188 brachytherapy</w:t>
      </w:r>
      <w:r>
        <w:t>.</w:t>
      </w:r>
    </w:p>
    <w:p w14:paraId="235B7A85" w14:textId="29B11BD2" w:rsidR="0032211A" w:rsidRDefault="0032211A" w:rsidP="00FB00C5">
      <w:r>
        <w:t>The applicant’s pre-ESC response provided interim statistical analysis from the ongoing EPIC</w:t>
      </w:r>
      <w:r w:rsidR="009228FB">
        <w:t>-Skin</w:t>
      </w:r>
      <w:r>
        <w:t xml:space="preserve"> study. The interim analysis indicated complete response in 97.2% of patients at 6 months</w:t>
      </w:r>
    </w:p>
    <w:p w14:paraId="50FD61CC" w14:textId="239DAAD3" w:rsidR="00935EEE" w:rsidRPr="00935EEE" w:rsidRDefault="00FD3502" w:rsidP="00935EEE">
      <w:r>
        <w:t xml:space="preserve">For EBRT studies, complete </w:t>
      </w:r>
      <w:r w:rsidRPr="00FD3502">
        <w:t>response was observed in more than 94% of patients in each study (range: 94.1% to 100%) at various timepoints.</w:t>
      </w:r>
      <w:r w:rsidR="002C568A">
        <w:t xml:space="preserve"> </w:t>
      </w:r>
      <w:r w:rsidR="002C568A" w:rsidRPr="002C568A">
        <w:t>Definitions for the cosmetic scoring options for each</w:t>
      </w:r>
      <w:r w:rsidR="002C568A">
        <w:t xml:space="preserve"> EBRT</w:t>
      </w:r>
      <w:r w:rsidR="002C568A" w:rsidRPr="002C568A">
        <w:t xml:space="preserve"> study varied based on the scale, treatment modality and site of the lesions. In </w:t>
      </w:r>
      <w:r w:rsidR="003F46C0">
        <w:t xml:space="preserve">the </w:t>
      </w:r>
      <w:r w:rsidR="002C568A" w:rsidRPr="002C568A">
        <w:t>majority of studies cosmetic outcomes were more likely to be classified as Excellent and/or Good than Fair/Acceptable or Poor/Not acceptable.</w:t>
      </w:r>
      <w:bookmarkStart w:id="32" w:name="_Ref134010591"/>
      <w:r w:rsidR="00935EEE">
        <w:br w:type="page"/>
      </w:r>
    </w:p>
    <w:p w14:paraId="1A6478DC" w14:textId="19D9BB91" w:rsidR="00735F0F" w:rsidRDefault="00A11BFE" w:rsidP="00F76D74">
      <w:pPr>
        <w:pStyle w:val="Caption"/>
        <w:keepLines/>
      </w:pPr>
      <w:r>
        <w:lastRenderedPageBreak/>
        <w:t xml:space="preserve">Table </w:t>
      </w:r>
      <w:r w:rsidR="00BC1AC8">
        <w:fldChar w:fldCharType="begin"/>
      </w:r>
      <w:r w:rsidR="00BC1AC8">
        <w:instrText xml:space="preserve"> SEQ Table \* ARABIC </w:instrText>
      </w:r>
      <w:r w:rsidR="00BC1AC8">
        <w:fldChar w:fldCharType="separate"/>
      </w:r>
      <w:r w:rsidR="009228FB">
        <w:rPr>
          <w:noProof/>
        </w:rPr>
        <w:t>7</w:t>
      </w:r>
      <w:r w:rsidR="00BC1AC8">
        <w:rPr>
          <w:noProof/>
        </w:rPr>
        <w:fldChar w:fldCharType="end"/>
      </w:r>
      <w:bookmarkEnd w:id="32"/>
      <w:r>
        <w:t xml:space="preserve">  </w:t>
      </w:r>
      <w:r w:rsidR="00735F0F">
        <w:t>Results of effectiveness across the included studies</w:t>
      </w:r>
      <w:r w:rsidR="00BE3CE9">
        <w:t xml:space="preserve"> for Re-188 brachytherapy</w:t>
      </w:r>
    </w:p>
    <w:tbl>
      <w:tblPr>
        <w:tblStyle w:val="TableGrid"/>
        <w:tblpPr w:leftFromText="180" w:rightFromText="180" w:vertAnchor="text" w:tblpY="1"/>
        <w:tblW w:w="0" w:type="auto"/>
        <w:tblLook w:val="04A0" w:firstRow="1" w:lastRow="0" w:firstColumn="1" w:lastColumn="0" w:noHBand="0" w:noVBand="1"/>
      </w:tblPr>
      <w:tblGrid>
        <w:gridCol w:w="1198"/>
        <w:gridCol w:w="845"/>
        <w:gridCol w:w="1034"/>
        <w:gridCol w:w="1218"/>
        <w:gridCol w:w="1172"/>
        <w:gridCol w:w="1178"/>
        <w:gridCol w:w="1294"/>
        <w:gridCol w:w="1077"/>
      </w:tblGrid>
      <w:tr w:rsidR="00CA1660" w14:paraId="232DBF19" w14:textId="77777777" w:rsidTr="00692724">
        <w:tc>
          <w:tcPr>
            <w:tcW w:w="1198" w:type="dxa"/>
            <w:shd w:val="clear" w:color="auto" w:fill="auto"/>
            <w:vAlign w:val="center"/>
          </w:tcPr>
          <w:p w14:paraId="5A215CED" w14:textId="77777777" w:rsidR="00DE5C47" w:rsidRDefault="00DE5C47" w:rsidP="00F76D74">
            <w:pPr>
              <w:pStyle w:val="TableHeading0"/>
              <w:keepNext/>
              <w:keepLines/>
              <w:spacing w:before="40" w:after="40"/>
            </w:pPr>
            <w:r>
              <w:t>Study ID</w:t>
            </w:r>
          </w:p>
        </w:tc>
        <w:tc>
          <w:tcPr>
            <w:tcW w:w="845" w:type="dxa"/>
            <w:shd w:val="clear" w:color="auto" w:fill="auto"/>
            <w:vAlign w:val="center"/>
          </w:tcPr>
          <w:p w14:paraId="4A449E7D" w14:textId="60D8C64B" w:rsidR="00DE5C47" w:rsidRDefault="00B95A11" w:rsidP="00F76D74">
            <w:pPr>
              <w:pStyle w:val="TableHeading0"/>
              <w:keepNext/>
              <w:keepLines/>
              <w:spacing w:before="40" w:after="40"/>
              <w:jc w:val="center"/>
            </w:pPr>
            <w:r>
              <w:t>No. of patients</w:t>
            </w:r>
          </w:p>
        </w:tc>
        <w:tc>
          <w:tcPr>
            <w:tcW w:w="1034" w:type="dxa"/>
            <w:shd w:val="clear" w:color="auto" w:fill="auto"/>
            <w:vAlign w:val="center"/>
          </w:tcPr>
          <w:p w14:paraId="327F9C26" w14:textId="3AAE42C7" w:rsidR="00DE5C47" w:rsidRDefault="00DE5C47" w:rsidP="00F76D74">
            <w:pPr>
              <w:pStyle w:val="TableHeading0"/>
              <w:keepNext/>
              <w:keepLines/>
              <w:spacing w:before="40" w:after="40"/>
              <w:jc w:val="center"/>
            </w:pPr>
            <w:r>
              <w:t>Risk of bias</w:t>
            </w:r>
          </w:p>
        </w:tc>
        <w:tc>
          <w:tcPr>
            <w:tcW w:w="1218" w:type="dxa"/>
            <w:shd w:val="clear" w:color="auto" w:fill="auto"/>
            <w:vAlign w:val="center"/>
          </w:tcPr>
          <w:p w14:paraId="4CF6D46D" w14:textId="0A59CFA5" w:rsidR="00DE5C47" w:rsidRDefault="00DE5C47" w:rsidP="00F76D74">
            <w:pPr>
              <w:pStyle w:val="TableHeading0"/>
              <w:keepNext/>
              <w:keepLines/>
              <w:spacing w:before="40" w:after="40"/>
              <w:jc w:val="center"/>
            </w:pPr>
            <w:r>
              <w:t>3-5 months</w:t>
            </w:r>
          </w:p>
        </w:tc>
        <w:tc>
          <w:tcPr>
            <w:tcW w:w="1172" w:type="dxa"/>
            <w:shd w:val="clear" w:color="auto" w:fill="auto"/>
            <w:vAlign w:val="center"/>
          </w:tcPr>
          <w:p w14:paraId="34403BC1" w14:textId="77777777" w:rsidR="00DE5C47" w:rsidRDefault="00DE5C47" w:rsidP="00F76D74">
            <w:pPr>
              <w:pStyle w:val="TableHeading0"/>
              <w:keepNext/>
              <w:keepLines/>
              <w:spacing w:before="40" w:after="40"/>
              <w:jc w:val="center"/>
            </w:pPr>
            <w:r>
              <w:t>6 months</w:t>
            </w:r>
          </w:p>
        </w:tc>
        <w:tc>
          <w:tcPr>
            <w:tcW w:w="1178" w:type="dxa"/>
            <w:shd w:val="clear" w:color="auto" w:fill="auto"/>
            <w:vAlign w:val="center"/>
          </w:tcPr>
          <w:p w14:paraId="1F413302" w14:textId="77777777" w:rsidR="00DE5C47" w:rsidRDefault="00DE5C47" w:rsidP="00F76D74">
            <w:pPr>
              <w:pStyle w:val="TableHeading0"/>
              <w:keepNext/>
              <w:keepLines/>
              <w:spacing w:before="40" w:after="40"/>
              <w:jc w:val="center"/>
            </w:pPr>
            <w:r>
              <w:t>12 months</w:t>
            </w:r>
          </w:p>
        </w:tc>
        <w:tc>
          <w:tcPr>
            <w:tcW w:w="1294" w:type="dxa"/>
            <w:shd w:val="clear" w:color="auto" w:fill="auto"/>
            <w:vAlign w:val="center"/>
          </w:tcPr>
          <w:p w14:paraId="234E89AD" w14:textId="77777777" w:rsidR="00DE5C47" w:rsidRDefault="00DE5C47" w:rsidP="00F76D74">
            <w:pPr>
              <w:pStyle w:val="TableHeading0"/>
              <w:keepNext/>
              <w:keepLines/>
              <w:spacing w:before="40" w:after="40"/>
              <w:jc w:val="center"/>
            </w:pPr>
            <w:r>
              <w:t>24 months</w:t>
            </w:r>
          </w:p>
        </w:tc>
        <w:tc>
          <w:tcPr>
            <w:tcW w:w="1077" w:type="dxa"/>
            <w:shd w:val="clear" w:color="auto" w:fill="auto"/>
            <w:vAlign w:val="center"/>
          </w:tcPr>
          <w:p w14:paraId="1704834C" w14:textId="77777777" w:rsidR="00DE5C47" w:rsidRDefault="00DE5C47" w:rsidP="00F76D74">
            <w:pPr>
              <w:pStyle w:val="TableHeading0"/>
              <w:keepNext/>
              <w:keepLines/>
              <w:spacing w:before="40" w:after="40"/>
              <w:jc w:val="center"/>
            </w:pPr>
            <w:r>
              <w:t>≈48 months</w:t>
            </w:r>
          </w:p>
        </w:tc>
      </w:tr>
      <w:tr w:rsidR="00BE3CE9" w14:paraId="665F88F3" w14:textId="77777777" w:rsidTr="009456B7">
        <w:tc>
          <w:tcPr>
            <w:tcW w:w="9016" w:type="dxa"/>
            <w:gridSpan w:val="8"/>
            <w:vAlign w:val="center"/>
          </w:tcPr>
          <w:p w14:paraId="57F82991" w14:textId="4782804C" w:rsidR="00BE3CE9" w:rsidRDefault="009456B7" w:rsidP="00F76D74">
            <w:pPr>
              <w:pStyle w:val="TableHeading0"/>
              <w:keepNext/>
              <w:keepLines/>
              <w:spacing w:before="40" w:after="40"/>
            </w:pPr>
            <w:r>
              <w:t>Response to therapy</w:t>
            </w:r>
          </w:p>
        </w:tc>
      </w:tr>
      <w:tr w:rsidR="00DE5C47" w14:paraId="181C49B6" w14:textId="77777777" w:rsidTr="003848F1">
        <w:tc>
          <w:tcPr>
            <w:tcW w:w="1198" w:type="dxa"/>
            <w:vAlign w:val="center"/>
          </w:tcPr>
          <w:p w14:paraId="7809416B" w14:textId="61135652" w:rsidR="00DE5C47" w:rsidRDefault="00DE5C47" w:rsidP="00F76D74">
            <w:pPr>
              <w:pStyle w:val="Tabletext0"/>
              <w:keepNext/>
              <w:keepLines/>
              <w:jc w:val="left"/>
            </w:pPr>
            <w:r>
              <w:t>Castellucci 2021*</w:t>
            </w:r>
          </w:p>
        </w:tc>
        <w:tc>
          <w:tcPr>
            <w:tcW w:w="845" w:type="dxa"/>
            <w:vAlign w:val="center"/>
          </w:tcPr>
          <w:p w14:paraId="2EB68EAE" w14:textId="68DFFB66" w:rsidR="00DE5C47" w:rsidRDefault="002207A0" w:rsidP="00F76D74">
            <w:pPr>
              <w:pStyle w:val="Tabletext0"/>
              <w:keepNext/>
              <w:keepLines/>
              <w:jc w:val="center"/>
            </w:pPr>
            <w:r>
              <w:rPr>
                <w:lang w:val="en-US"/>
              </w:rPr>
              <w:t>54</w:t>
            </w:r>
          </w:p>
        </w:tc>
        <w:tc>
          <w:tcPr>
            <w:tcW w:w="1034" w:type="dxa"/>
            <w:vAlign w:val="center"/>
          </w:tcPr>
          <w:p w14:paraId="33D07C8F" w14:textId="7A086278" w:rsidR="00DE5C47" w:rsidRDefault="00DE5C47" w:rsidP="00F76D74">
            <w:pPr>
              <w:pStyle w:val="Tabletext0"/>
              <w:keepNext/>
              <w:keepLines/>
              <w:jc w:val="center"/>
            </w:pPr>
            <w:r>
              <w:t>Fair</w:t>
            </w:r>
          </w:p>
        </w:tc>
        <w:tc>
          <w:tcPr>
            <w:tcW w:w="1218" w:type="dxa"/>
            <w:vAlign w:val="center"/>
          </w:tcPr>
          <w:p w14:paraId="161F9B23" w14:textId="06382AD9" w:rsidR="00DE5C47" w:rsidRDefault="00DE5C47" w:rsidP="00F76D74">
            <w:pPr>
              <w:pStyle w:val="Tabletext0"/>
              <w:keepNext/>
              <w:keepLines/>
              <w:jc w:val="center"/>
            </w:pPr>
            <w:r>
              <w:t>NA</w:t>
            </w:r>
          </w:p>
        </w:tc>
        <w:tc>
          <w:tcPr>
            <w:tcW w:w="1172" w:type="dxa"/>
            <w:vAlign w:val="center"/>
          </w:tcPr>
          <w:p w14:paraId="558F4B88" w14:textId="19BF37AD" w:rsidR="00DE5C47" w:rsidRDefault="00DE5C47" w:rsidP="00F76D74">
            <w:pPr>
              <w:pStyle w:val="Tabletext0"/>
              <w:keepNext/>
              <w:keepLines/>
              <w:jc w:val="center"/>
            </w:pPr>
            <w:r>
              <w:t>CR:53/54 (98.2%)</w:t>
            </w:r>
          </w:p>
          <w:p w14:paraId="7551749F" w14:textId="62157F73" w:rsidR="00DE5C47" w:rsidRDefault="00DE5C47" w:rsidP="00F76D74">
            <w:pPr>
              <w:pStyle w:val="Tabletext0"/>
              <w:keepNext/>
              <w:keepLines/>
              <w:jc w:val="center"/>
            </w:pPr>
            <w:r>
              <w:t>PR:1/54 (1.8%)</w:t>
            </w:r>
          </w:p>
          <w:p w14:paraId="50F3FE42" w14:textId="77777777" w:rsidR="00DE5C47" w:rsidRDefault="00DE5C47" w:rsidP="00F76D74">
            <w:pPr>
              <w:pStyle w:val="Tabletext0"/>
              <w:keepNext/>
              <w:keepLines/>
              <w:jc w:val="center"/>
            </w:pPr>
            <w:r>
              <w:t>NR: 0/54 (0%)</w:t>
            </w:r>
          </w:p>
        </w:tc>
        <w:tc>
          <w:tcPr>
            <w:tcW w:w="1178" w:type="dxa"/>
            <w:vAlign w:val="center"/>
          </w:tcPr>
          <w:p w14:paraId="3B6E059D" w14:textId="57C7A55D" w:rsidR="00DE5C47" w:rsidRDefault="00DE5C47" w:rsidP="00F76D74">
            <w:pPr>
              <w:pStyle w:val="Tabletext0"/>
              <w:keepNext/>
              <w:keepLines/>
              <w:jc w:val="center"/>
            </w:pPr>
            <w:r>
              <w:t>CR:41/41 (100%)</w:t>
            </w:r>
          </w:p>
          <w:p w14:paraId="06DA377F" w14:textId="77777777" w:rsidR="00DE5C47" w:rsidRDefault="00DE5C47" w:rsidP="00F76D74">
            <w:pPr>
              <w:pStyle w:val="Tabletext0"/>
              <w:keepNext/>
              <w:keepLines/>
              <w:jc w:val="center"/>
            </w:pPr>
            <w:r>
              <w:t>PR: 0/41 (0%)</w:t>
            </w:r>
          </w:p>
          <w:p w14:paraId="7C8FC658" w14:textId="77777777" w:rsidR="00DE5C47" w:rsidRDefault="00DE5C47" w:rsidP="00F76D74">
            <w:pPr>
              <w:pStyle w:val="Tabletext0"/>
              <w:keepNext/>
              <w:keepLines/>
              <w:jc w:val="center"/>
            </w:pPr>
            <w:r>
              <w:t>Relapse: 0%</w:t>
            </w:r>
          </w:p>
        </w:tc>
        <w:tc>
          <w:tcPr>
            <w:tcW w:w="1294" w:type="dxa"/>
            <w:vAlign w:val="center"/>
          </w:tcPr>
          <w:p w14:paraId="32B91B8D" w14:textId="77777777" w:rsidR="00DE5C47" w:rsidRDefault="00DE5C47" w:rsidP="00F76D74">
            <w:pPr>
              <w:pStyle w:val="Tabletext0"/>
              <w:keepNext/>
              <w:keepLines/>
              <w:jc w:val="center"/>
            </w:pPr>
            <w:r>
              <w:t>CR: 23/24 (96%)</w:t>
            </w:r>
          </w:p>
          <w:p w14:paraId="0262B430" w14:textId="73BC6D2A" w:rsidR="00DE5C47" w:rsidRDefault="00DE5C47" w:rsidP="00F76D74">
            <w:pPr>
              <w:pStyle w:val="Tabletext0"/>
              <w:keepNext/>
              <w:keepLines/>
              <w:jc w:val="center"/>
            </w:pPr>
            <w:r>
              <w:t>PR: 0/</w:t>
            </w:r>
            <w:r w:rsidR="002207A0">
              <w:t xml:space="preserve">24 </w:t>
            </w:r>
            <w:r>
              <w:t>(0%)</w:t>
            </w:r>
          </w:p>
          <w:p w14:paraId="1FA73F40" w14:textId="6DC75AA2" w:rsidR="00DE5C47" w:rsidRDefault="00DE5C47" w:rsidP="00F76D74">
            <w:pPr>
              <w:pStyle w:val="Tabletext0"/>
              <w:keepNext/>
              <w:keepLines/>
              <w:jc w:val="center"/>
            </w:pPr>
            <w:r>
              <w:t>Relapse:1/24 (4%)</w:t>
            </w:r>
          </w:p>
        </w:tc>
        <w:tc>
          <w:tcPr>
            <w:tcW w:w="1077" w:type="dxa"/>
            <w:vAlign w:val="center"/>
          </w:tcPr>
          <w:p w14:paraId="6E323B5D" w14:textId="77777777" w:rsidR="00DE5C47" w:rsidRDefault="00DE5C47" w:rsidP="00F76D74">
            <w:pPr>
              <w:pStyle w:val="Tabletext0"/>
              <w:keepNext/>
              <w:keepLines/>
              <w:jc w:val="center"/>
            </w:pPr>
            <w:r>
              <w:t>NA</w:t>
            </w:r>
          </w:p>
        </w:tc>
      </w:tr>
      <w:tr w:rsidR="00DE5C47" w14:paraId="47D04D32" w14:textId="77777777" w:rsidTr="003848F1">
        <w:tc>
          <w:tcPr>
            <w:tcW w:w="1198" w:type="dxa"/>
            <w:vAlign w:val="center"/>
          </w:tcPr>
          <w:p w14:paraId="10448664" w14:textId="77777777" w:rsidR="00DE5C47" w:rsidRDefault="00DE5C47" w:rsidP="00F76D74">
            <w:pPr>
              <w:pStyle w:val="Tabletext0"/>
              <w:keepNext/>
              <w:keepLines/>
              <w:jc w:val="left"/>
            </w:pPr>
            <w:bookmarkStart w:id="33" w:name="_Hlk134011009"/>
            <w:r w:rsidRPr="00220A32">
              <w:rPr>
                <w:rFonts w:cs="Calibri"/>
                <w:color w:val="000000"/>
              </w:rPr>
              <w:t>Carrozzo 2013</w:t>
            </w:r>
            <w:bookmarkEnd w:id="33"/>
          </w:p>
        </w:tc>
        <w:tc>
          <w:tcPr>
            <w:tcW w:w="845" w:type="dxa"/>
            <w:vAlign w:val="center"/>
          </w:tcPr>
          <w:p w14:paraId="0379C232" w14:textId="60C9EDA5" w:rsidR="00DE5C47" w:rsidRDefault="00DE5C47" w:rsidP="00F76D74">
            <w:pPr>
              <w:pStyle w:val="Tabletext0"/>
              <w:keepNext/>
              <w:keepLines/>
              <w:jc w:val="center"/>
            </w:pPr>
            <w:r>
              <w:rPr>
                <w:lang w:val="en-US"/>
              </w:rPr>
              <w:t>15</w:t>
            </w:r>
          </w:p>
        </w:tc>
        <w:tc>
          <w:tcPr>
            <w:tcW w:w="1034" w:type="dxa"/>
            <w:vAlign w:val="center"/>
          </w:tcPr>
          <w:p w14:paraId="6EF72F43" w14:textId="3297C553" w:rsidR="00DE5C47" w:rsidRDefault="00DE5C47" w:rsidP="00F76D74">
            <w:pPr>
              <w:pStyle w:val="Tabletext0"/>
              <w:keepNext/>
              <w:keepLines/>
              <w:jc w:val="center"/>
            </w:pPr>
            <w:r>
              <w:t>Fair</w:t>
            </w:r>
          </w:p>
        </w:tc>
        <w:tc>
          <w:tcPr>
            <w:tcW w:w="1218" w:type="dxa"/>
            <w:vAlign w:val="center"/>
          </w:tcPr>
          <w:p w14:paraId="2FE45171" w14:textId="699707DC" w:rsidR="00DE5C47" w:rsidRDefault="00DE5C47" w:rsidP="00F76D74">
            <w:pPr>
              <w:pStyle w:val="Tabletext0"/>
              <w:keepNext/>
              <w:keepLines/>
              <w:jc w:val="center"/>
            </w:pPr>
            <w:r>
              <w:t>CR:12/15 (80%)</w:t>
            </w:r>
          </w:p>
          <w:p w14:paraId="65152ED8" w14:textId="77777777" w:rsidR="00DE5C47" w:rsidRDefault="00DE5C47" w:rsidP="00F76D74">
            <w:pPr>
              <w:pStyle w:val="Tabletext0"/>
              <w:keepNext/>
              <w:keepLines/>
              <w:jc w:val="center"/>
            </w:pPr>
            <w:r>
              <w:t>NR: 2/15 (13%)</w:t>
            </w:r>
          </w:p>
          <w:p w14:paraId="78B309A7" w14:textId="211FBF7F" w:rsidR="00DE5C47" w:rsidRDefault="00DE5C47" w:rsidP="00F76D74">
            <w:pPr>
              <w:pStyle w:val="Tabletext0"/>
              <w:keepNext/>
              <w:keepLines/>
              <w:jc w:val="center"/>
            </w:pPr>
            <w:r>
              <w:t>LTFU:1/15 (0.6%)</w:t>
            </w:r>
          </w:p>
        </w:tc>
        <w:tc>
          <w:tcPr>
            <w:tcW w:w="1172" w:type="dxa"/>
            <w:vAlign w:val="center"/>
          </w:tcPr>
          <w:p w14:paraId="07864F2C" w14:textId="77777777" w:rsidR="00DE5C47" w:rsidRDefault="00DE5C47" w:rsidP="00F76D74">
            <w:pPr>
              <w:pStyle w:val="Tabletext0"/>
              <w:keepNext/>
              <w:keepLines/>
              <w:jc w:val="center"/>
            </w:pPr>
            <w:r>
              <w:t>NA</w:t>
            </w:r>
          </w:p>
        </w:tc>
        <w:tc>
          <w:tcPr>
            <w:tcW w:w="1178" w:type="dxa"/>
            <w:vAlign w:val="center"/>
          </w:tcPr>
          <w:p w14:paraId="4697F611" w14:textId="77777777" w:rsidR="00DE5C47" w:rsidRDefault="00DE5C47" w:rsidP="00F76D74">
            <w:pPr>
              <w:pStyle w:val="Tabletext0"/>
              <w:keepNext/>
              <w:keepLines/>
              <w:jc w:val="center"/>
            </w:pPr>
            <w:r>
              <w:t>NA</w:t>
            </w:r>
          </w:p>
        </w:tc>
        <w:tc>
          <w:tcPr>
            <w:tcW w:w="1294" w:type="dxa"/>
            <w:vAlign w:val="center"/>
          </w:tcPr>
          <w:p w14:paraId="4EC7D506" w14:textId="77777777" w:rsidR="00DE5C47" w:rsidRDefault="00DE5C47" w:rsidP="00F76D74">
            <w:pPr>
              <w:pStyle w:val="Tabletext0"/>
              <w:keepNext/>
              <w:keepLines/>
              <w:jc w:val="center"/>
            </w:pPr>
            <w:r>
              <w:t>NA</w:t>
            </w:r>
          </w:p>
        </w:tc>
        <w:tc>
          <w:tcPr>
            <w:tcW w:w="1077" w:type="dxa"/>
            <w:vAlign w:val="center"/>
          </w:tcPr>
          <w:p w14:paraId="634421C4" w14:textId="77777777" w:rsidR="00DE5C47" w:rsidRDefault="00DE5C47" w:rsidP="00F76D74">
            <w:pPr>
              <w:pStyle w:val="Tabletext0"/>
              <w:keepNext/>
              <w:keepLines/>
              <w:jc w:val="center"/>
            </w:pPr>
            <w:r>
              <w:t>NA</w:t>
            </w:r>
          </w:p>
        </w:tc>
      </w:tr>
      <w:tr w:rsidR="00DE5C47" w14:paraId="611DBA8C" w14:textId="77777777" w:rsidTr="003848F1">
        <w:tc>
          <w:tcPr>
            <w:tcW w:w="1198" w:type="dxa"/>
            <w:vAlign w:val="center"/>
          </w:tcPr>
          <w:p w14:paraId="1D2E4DB5" w14:textId="77777777" w:rsidR="00DE5C47" w:rsidRDefault="00DE5C47" w:rsidP="00F76D74">
            <w:pPr>
              <w:pStyle w:val="Tabletext0"/>
              <w:keepNext/>
              <w:keepLines/>
              <w:jc w:val="left"/>
            </w:pPr>
            <w:r w:rsidRPr="00220A32">
              <w:rPr>
                <w:rFonts w:cs="Calibri"/>
                <w:color w:val="000000"/>
              </w:rPr>
              <w:t>Sedda 2008</w:t>
            </w:r>
          </w:p>
        </w:tc>
        <w:tc>
          <w:tcPr>
            <w:tcW w:w="845" w:type="dxa"/>
            <w:vAlign w:val="center"/>
          </w:tcPr>
          <w:p w14:paraId="1ABB92AC" w14:textId="3DAECB6D" w:rsidR="00DE5C47" w:rsidRDefault="00DE5C47" w:rsidP="00F76D74">
            <w:pPr>
              <w:pStyle w:val="Tabletext0"/>
              <w:keepNext/>
              <w:keepLines/>
              <w:jc w:val="center"/>
            </w:pPr>
            <w:r>
              <w:rPr>
                <w:lang w:val="en-US"/>
              </w:rPr>
              <w:t>53</w:t>
            </w:r>
          </w:p>
        </w:tc>
        <w:tc>
          <w:tcPr>
            <w:tcW w:w="1034" w:type="dxa"/>
            <w:vAlign w:val="center"/>
          </w:tcPr>
          <w:p w14:paraId="5CB4460B" w14:textId="3E533F98" w:rsidR="00DE5C47" w:rsidRDefault="00DE5C47" w:rsidP="00F76D74">
            <w:pPr>
              <w:pStyle w:val="Tabletext0"/>
              <w:keepNext/>
              <w:keepLines/>
              <w:jc w:val="center"/>
            </w:pPr>
            <w:r>
              <w:t>Fair</w:t>
            </w:r>
          </w:p>
        </w:tc>
        <w:tc>
          <w:tcPr>
            <w:tcW w:w="1218" w:type="dxa"/>
            <w:vAlign w:val="center"/>
          </w:tcPr>
          <w:p w14:paraId="1467EABA" w14:textId="0A1EDA95" w:rsidR="00DE5C47" w:rsidRDefault="00DE5C47" w:rsidP="00F76D74">
            <w:pPr>
              <w:pStyle w:val="Tabletext0"/>
              <w:keepNext/>
              <w:keepLines/>
              <w:jc w:val="center"/>
            </w:pPr>
            <w:r>
              <w:t>CR: 100%</w:t>
            </w:r>
          </w:p>
        </w:tc>
        <w:tc>
          <w:tcPr>
            <w:tcW w:w="1172" w:type="dxa"/>
            <w:vAlign w:val="center"/>
          </w:tcPr>
          <w:p w14:paraId="71A4B078" w14:textId="77777777" w:rsidR="00DE5C47" w:rsidRDefault="00DE5C47" w:rsidP="00F76D74">
            <w:pPr>
              <w:pStyle w:val="Tabletext0"/>
              <w:keepNext/>
              <w:keepLines/>
              <w:jc w:val="center"/>
            </w:pPr>
            <w:r>
              <w:t>NA</w:t>
            </w:r>
          </w:p>
        </w:tc>
        <w:tc>
          <w:tcPr>
            <w:tcW w:w="1178" w:type="dxa"/>
            <w:vAlign w:val="center"/>
          </w:tcPr>
          <w:p w14:paraId="5612CFB2" w14:textId="77777777" w:rsidR="00DE5C47" w:rsidRDefault="00DE5C47" w:rsidP="00F76D74">
            <w:pPr>
              <w:pStyle w:val="Tabletext0"/>
              <w:keepNext/>
              <w:keepLines/>
              <w:jc w:val="center"/>
            </w:pPr>
            <w:r>
              <w:t>NA</w:t>
            </w:r>
          </w:p>
        </w:tc>
        <w:tc>
          <w:tcPr>
            <w:tcW w:w="1294" w:type="dxa"/>
            <w:vAlign w:val="center"/>
          </w:tcPr>
          <w:p w14:paraId="2AB6D348" w14:textId="77777777" w:rsidR="00DE5C47" w:rsidRDefault="00DE5C47" w:rsidP="00F76D74">
            <w:pPr>
              <w:pStyle w:val="Tabletext0"/>
              <w:keepNext/>
              <w:keepLines/>
              <w:jc w:val="center"/>
            </w:pPr>
            <w:r>
              <w:t>NA</w:t>
            </w:r>
          </w:p>
        </w:tc>
        <w:tc>
          <w:tcPr>
            <w:tcW w:w="1077" w:type="dxa"/>
            <w:vAlign w:val="center"/>
          </w:tcPr>
          <w:p w14:paraId="42D42F0C" w14:textId="77777777" w:rsidR="00DE5C47" w:rsidRDefault="00DE5C47" w:rsidP="00F76D74">
            <w:pPr>
              <w:pStyle w:val="Tabletext0"/>
              <w:keepNext/>
              <w:keepLines/>
              <w:jc w:val="center"/>
            </w:pPr>
            <w:r>
              <w:t>CR: 100%</w:t>
            </w:r>
          </w:p>
        </w:tc>
      </w:tr>
      <w:tr w:rsidR="00DE5C47" w14:paraId="6E8C4980" w14:textId="77777777" w:rsidTr="003848F1">
        <w:tc>
          <w:tcPr>
            <w:tcW w:w="1198" w:type="dxa"/>
            <w:vAlign w:val="center"/>
          </w:tcPr>
          <w:p w14:paraId="609AE40F" w14:textId="48C1AB56" w:rsidR="00DE5C47" w:rsidRPr="00220A32" w:rsidRDefault="00DE5C47" w:rsidP="00F76D74">
            <w:pPr>
              <w:pStyle w:val="Tabletext0"/>
              <w:keepNext/>
              <w:keepLines/>
              <w:jc w:val="left"/>
              <w:rPr>
                <w:rFonts w:cs="Calibri"/>
                <w:color w:val="000000"/>
              </w:rPr>
            </w:pPr>
            <w:r w:rsidRPr="00220A32">
              <w:rPr>
                <w:rFonts w:cs="Calibri"/>
                <w:color w:val="000000"/>
              </w:rPr>
              <w:t>Cipriani 2017</w:t>
            </w:r>
          </w:p>
        </w:tc>
        <w:tc>
          <w:tcPr>
            <w:tcW w:w="845" w:type="dxa"/>
            <w:vAlign w:val="center"/>
          </w:tcPr>
          <w:p w14:paraId="637134E5" w14:textId="75BEF16E" w:rsidR="00DE5C47" w:rsidRDefault="00DE5C47" w:rsidP="00F76D74">
            <w:pPr>
              <w:pStyle w:val="Tabletext0"/>
              <w:keepNext/>
              <w:keepLines/>
              <w:jc w:val="center"/>
            </w:pPr>
            <w:r>
              <w:rPr>
                <w:lang w:val="en-US"/>
              </w:rPr>
              <w:t>52</w:t>
            </w:r>
          </w:p>
        </w:tc>
        <w:tc>
          <w:tcPr>
            <w:tcW w:w="1034" w:type="dxa"/>
            <w:vAlign w:val="center"/>
          </w:tcPr>
          <w:p w14:paraId="27D05A7F" w14:textId="6A809F6E" w:rsidR="00DE5C47" w:rsidRDefault="00DE5C47" w:rsidP="00F76D74">
            <w:pPr>
              <w:pStyle w:val="Tabletext0"/>
              <w:keepNext/>
              <w:keepLines/>
              <w:jc w:val="center"/>
            </w:pPr>
            <w:r>
              <w:t>Poor</w:t>
            </w:r>
          </w:p>
        </w:tc>
        <w:tc>
          <w:tcPr>
            <w:tcW w:w="1218" w:type="dxa"/>
            <w:vAlign w:val="center"/>
          </w:tcPr>
          <w:p w14:paraId="312BFDEC" w14:textId="54F07549" w:rsidR="00DE5C47" w:rsidRDefault="00DE5C47" w:rsidP="00F76D74">
            <w:pPr>
              <w:pStyle w:val="Tabletext0"/>
              <w:keepNext/>
              <w:keepLines/>
              <w:jc w:val="center"/>
            </w:pPr>
            <w:r>
              <w:t>CR: 100%</w:t>
            </w:r>
          </w:p>
        </w:tc>
        <w:tc>
          <w:tcPr>
            <w:tcW w:w="1172" w:type="dxa"/>
            <w:vAlign w:val="center"/>
          </w:tcPr>
          <w:p w14:paraId="7FB924D7" w14:textId="77E24AFC" w:rsidR="00DE5C47" w:rsidRDefault="00DE5C47" w:rsidP="00F76D74">
            <w:pPr>
              <w:pStyle w:val="Tabletext0"/>
              <w:keepNext/>
              <w:keepLines/>
              <w:jc w:val="center"/>
            </w:pPr>
            <w:r>
              <w:t>NA</w:t>
            </w:r>
          </w:p>
        </w:tc>
        <w:tc>
          <w:tcPr>
            <w:tcW w:w="1178" w:type="dxa"/>
            <w:vAlign w:val="center"/>
          </w:tcPr>
          <w:p w14:paraId="7CC751B3" w14:textId="3F639DCF" w:rsidR="00DE5C47" w:rsidRDefault="00DE5C47" w:rsidP="00F76D74">
            <w:pPr>
              <w:pStyle w:val="Tabletext0"/>
              <w:keepNext/>
              <w:keepLines/>
              <w:jc w:val="center"/>
            </w:pPr>
            <w:r>
              <w:t>NA</w:t>
            </w:r>
          </w:p>
        </w:tc>
        <w:tc>
          <w:tcPr>
            <w:tcW w:w="1294" w:type="dxa"/>
            <w:vAlign w:val="center"/>
          </w:tcPr>
          <w:p w14:paraId="05963B23" w14:textId="6BA9D634" w:rsidR="00DE5C47" w:rsidRDefault="00DE5C47" w:rsidP="00F76D74">
            <w:pPr>
              <w:pStyle w:val="Tabletext0"/>
              <w:keepNext/>
              <w:keepLines/>
              <w:jc w:val="center"/>
            </w:pPr>
            <w:r>
              <w:t>NA</w:t>
            </w:r>
          </w:p>
        </w:tc>
        <w:tc>
          <w:tcPr>
            <w:tcW w:w="1077" w:type="dxa"/>
            <w:vAlign w:val="center"/>
          </w:tcPr>
          <w:p w14:paraId="6F6771F9" w14:textId="6D8B7815" w:rsidR="00DE5C47" w:rsidRDefault="00DE5C47" w:rsidP="00F76D74">
            <w:pPr>
              <w:pStyle w:val="Tabletext0"/>
              <w:keepNext/>
              <w:keepLines/>
              <w:jc w:val="center"/>
            </w:pPr>
            <w:r>
              <w:t>NA</w:t>
            </w:r>
          </w:p>
        </w:tc>
      </w:tr>
      <w:tr w:rsidR="00CA1660" w14:paraId="15395DC5" w14:textId="77777777" w:rsidTr="009456B7">
        <w:tc>
          <w:tcPr>
            <w:tcW w:w="1198" w:type="dxa"/>
            <w:vAlign w:val="center"/>
          </w:tcPr>
          <w:p w14:paraId="17E6FD98" w14:textId="1A8AACC0" w:rsidR="00DE5C47" w:rsidRPr="00220A32" w:rsidRDefault="00DE5C47" w:rsidP="00F76D74">
            <w:pPr>
              <w:pStyle w:val="Tabletext0"/>
              <w:keepNext/>
              <w:keepLines/>
              <w:jc w:val="left"/>
              <w:rPr>
                <w:rFonts w:cs="Calibri"/>
                <w:color w:val="000000"/>
              </w:rPr>
            </w:pPr>
            <w:r w:rsidRPr="00220A32">
              <w:rPr>
                <w:rFonts w:cs="Calibri"/>
                <w:color w:val="000000"/>
              </w:rPr>
              <w:t>Cipriani 2020</w:t>
            </w:r>
          </w:p>
        </w:tc>
        <w:tc>
          <w:tcPr>
            <w:tcW w:w="845" w:type="dxa"/>
            <w:vAlign w:val="center"/>
          </w:tcPr>
          <w:p w14:paraId="3E5F8483" w14:textId="39410B30" w:rsidR="00DE5C47" w:rsidRDefault="00DE5C47" w:rsidP="00F76D74">
            <w:pPr>
              <w:pStyle w:val="Tabletext0"/>
              <w:keepNext/>
              <w:keepLines/>
              <w:jc w:val="center"/>
            </w:pPr>
            <w:r>
              <w:rPr>
                <w:lang w:val="en-US"/>
              </w:rPr>
              <w:t>43</w:t>
            </w:r>
          </w:p>
        </w:tc>
        <w:tc>
          <w:tcPr>
            <w:tcW w:w="1034" w:type="dxa"/>
            <w:vAlign w:val="center"/>
          </w:tcPr>
          <w:p w14:paraId="6420A937" w14:textId="04835BA5" w:rsidR="00DE5C47" w:rsidRDefault="00DE5C47" w:rsidP="00F76D74">
            <w:pPr>
              <w:pStyle w:val="Tabletext0"/>
              <w:keepNext/>
              <w:keepLines/>
              <w:jc w:val="center"/>
            </w:pPr>
            <w:r>
              <w:t>Poor</w:t>
            </w:r>
          </w:p>
        </w:tc>
        <w:tc>
          <w:tcPr>
            <w:tcW w:w="1218" w:type="dxa"/>
            <w:vAlign w:val="center"/>
          </w:tcPr>
          <w:p w14:paraId="139B6A53" w14:textId="5F29DD6E" w:rsidR="00DE5C47" w:rsidRDefault="00DE5C47" w:rsidP="00F76D74">
            <w:pPr>
              <w:pStyle w:val="Tabletext0"/>
              <w:keepNext/>
              <w:keepLines/>
              <w:jc w:val="center"/>
            </w:pPr>
            <w:r>
              <w:t>CR: 100%</w:t>
            </w:r>
          </w:p>
        </w:tc>
        <w:tc>
          <w:tcPr>
            <w:tcW w:w="1172" w:type="dxa"/>
            <w:vAlign w:val="center"/>
          </w:tcPr>
          <w:p w14:paraId="4C4AABE7" w14:textId="2F216AEA" w:rsidR="00DE5C47" w:rsidRDefault="00DE5C47" w:rsidP="00F76D74">
            <w:pPr>
              <w:pStyle w:val="Tabletext0"/>
              <w:keepNext/>
              <w:keepLines/>
              <w:jc w:val="center"/>
            </w:pPr>
            <w:r>
              <w:t>NA</w:t>
            </w:r>
          </w:p>
        </w:tc>
        <w:tc>
          <w:tcPr>
            <w:tcW w:w="1178" w:type="dxa"/>
            <w:vAlign w:val="center"/>
          </w:tcPr>
          <w:p w14:paraId="67B1A054" w14:textId="300F546C" w:rsidR="00DE5C47" w:rsidRDefault="00DE5C47" w:rsidP="00F76D74">
            <w:pPr>
              <w:pStyle w:val="Tabletext0"/>
              <w:keepNext/>
              <w:keepLines/>
              <w:jc w:val="center"/>
            </w:pPr>
            <w:r>
              <w:t>NA</w:t>
            </w:r>
          </w:p>
        </w:tc>
        <w:tc>
          <w:tcPr>
            <w:tcW w:w="1294" w:type="dxa"/>
            <w:vAlign w:val="center"/>
          </w:tcPr>
          <w:p w14:paraId="246099A6" w14:textId="57267CAA" w:rsidR="00DE5C47" w:rsidRDefault="00DE5C47" w:rsidP="00F76D74">
            <w:pPr>
              <w:pStyle w:val="Tabletext0"/>
              <w:keepNext/>
              <w:keepLines/>
              <w:jc w:val="center"/>
            </w:pPr>
            <w:r>
              <w:t>NA</w:t>
            </w:r>
          </w:p>
        </w:tc>
        <w:tc>
          <w:tcPr>
            <w:tcW w:w="1077" w:type="dxa"/>
            <w:vAlign w:val="center"/>
          </w:tcPr>
          <w:p w14:paraId="28F334B2" w14:textId="7A895FE5" w:rsidR="00DE5C47" w:rsidRDefault="00DE5C47" w:rsidP="00F76D74">
            <w:pPr>
              <w:pStyle w:val="Tabletext0"/>
              <w:keepNext/>
              <w:keepLines/>
              <w:jc w:val="center"/>
            </w:pPr>
            <w:r>
              <w:t>NA</w:t>
            </w:r>
          </w:p>
        </w:tc>
      </w:tr>
      <w:tr w:rsidR="00BE3CE9" w14:paraId="7C35A8DA" w14:textId="77777777">
        <w:tc>
          <w:tcPr>
            <w:tcW w:w="9016" w:type="dxa"/>
            <w:gridSpan w:val="8"/>
            <w:vAlign w:val="center"/>
          </w:tcPr>
          <w:p w14:paraId="3CE01941" w14:textId="248A6463" w:rsidR="00BE3CE9" w:rsidRDefault="009456B7" w:rsidP="00F76D74">
            <w:pPr>
              <w:pStyle w:val="Tabletext0"/>
              <w:keepNext/>
              <w:keepLines/>
              <w:jc w:val="left"/>
            </w:pPr>
            <w:r w:rsidRPr="003848F1">
              <w:rPr>
                <w:rFonts w:cs="Calibri"/>
                <w:b/>
                <w:bCs/>
                <w:color w:val="000000"/>
              </w:rPr>
              <w:t>Cosmesis</w:t>
            </w:r>
          </w:p>
        </w:tc>
      </w:tr>
      <w:tr w:rsidR="00DE5C47" w14:paraId="0BAD6C2D" w14:textId="77777777" w:rsidTr="00081764">
        <w:tc>
          <w:tcPr>
            <w:tcW w:w="1198" w:type="dxa"/>
            <w:vAlign w:val="center"/>
          </w:tcPr>
          <w:p w14:paraId="5E4B2B20" w14:textId="6F2D7B8B" w:rsidR="00DE5C47" w:rsidRDefault="00DE5C47" w:rsidP="00F76D74">
            <w:pPr>
              <w:pStyle w:val="Tabletext0"/>
              <w:keepNext/>
              <w:keepLines/>
              <w:jc w:val="left"/>
            </w:pPr>
            <w:r>
              <w:t>Castellucci 2021</w:t>
            </w:r>
          </w:p>
        </w:tc>
        <w:tc>
          <w:tcPr>
            <w:tcW w:w="845" w:type="dxa"/>
            <w:vAlign w:val="center"/>
          </w:tcPr>
          <w:p w14:paraId="7EE24087" w14:textId="0A8C239F" w:rsidR="00DE5C47" w:rsidRDefault="00DE5C47" w:rsidP="00F76D74">
            <w:pPr>
              <w:pStyle w:val="Tabletext0"/>
              <w:keepNext/>
              <w:keepLines/>
              <w:jc w:val="center"/>
            </w:pPr>
            <w:r>
              <w:t>50</w:t>
            </w:r>
          </w:p>
        </w:tc>
        <w:tc>
          <w:tcPr>
            <w:tcW w:w="1034" w:type="dxa"/>
            <w:vAlign w:val="center"/>
          </w:tcPr>
          <w:p w14:paraId="2F416140" w14:textId="78E83265" w:rsidR="00DE5C47" w:rsidRDefault="00DE5C47" w:rsidP="00F76D74">
            <w:pPr>
              <w:pStyle w:val="Tabletext0"/>
              <w:keepNext/>
              <w:keepLines/>
              <w:jc w:val="center"/>
            </w:pPr>
            <w:r>
              <w:t>Fair</w:t>
            </w:r>
          </w:p>
        </w:tc>
        <w:tc>
          <w:tcPr>
            <w:tcW w:w="1218" w:type="dxa"/>
            <w:vAlign w:val="center"/>
          </w:tcPr>
          <w:p w14:paraId="04C25148" w14:textId="29C0A892" w:rsidR="00DE5C47" w:rsidRDefault="00DE5C47" w:rsidP="00F76D74">
            <w:pPr>
              <w:pStyle w:val="Tabletext0"/>
              <w:keepNext/>
              <w:keepLines/>
              <w:jc w:val="center"/>
            </w:pPr>
            <w:r>
              <w:t>NA</w:t>
            </w:r>
          </w:p>
        </w:tc>
        <w:tc>
          <w:tcPr>
            <w:tcW w:w="1172" w:type="dxa"/>
            <w:vAlign w:val="center"/>
          </w:tcPr>
          <w:p w14:paraId="2DB4E4CA" w14:textId="5F0FA821" w:rsidR="00DE5C47" w:rsidRDefault="00DE5C47" w:rsidP="00F76D74">
            <w:pPr>
              <w:pStyle w:val="Tabletext0"/>
              <w:keepNext/>
              <w:keepLines/>
              <w:jc w:val="center"/>
            </w:pPr>
            <w:r>
              <w:t>NA</w:t>
            </w:r>
          </w:p>
        </w:tc>
        <w:tc>
          <w:tcPr>
            <w:tcW w:w="1178" w:type="dxa"/>
            <w:vAlign w:val="center"/>
          </w:tcPr>
          <w:p w14:paraId="2EBA96F0" w14:textId="7DD5B069" w:rsidR="00DE5C47" w:rsidRDefault="00DE5C47" w:rsidP="00F76D74">
            <w:pPr>
              <w:pStyle w:val="Tabletext0"/>
              <w:keepNext/>
              <w:keepLines/>
              <w:jc w:val="center"/>
            </w:pPr>
            <w:r>
              <w:t xml:space="preserve">Good: </w:t>
            </w:r>
            <w:r w:rsidRPr="004366CB">
              <w:t>11 (26.8%)</w:t>
            </w:r>
          </w:p>
          <w:p w14:paraId="0FB9E49D" w14:textId="791F2DCF" w:rsidR="00DE5C47" w:rsidRDefault="00DE5C47" w:rsidP="00F76D74">
            <w:pPr>
              <w:pStyle w:val="Tabletext0"/>
              <w:keepNext/>
              <w:keepLines/>
              <w:jc w:val="center"/>
            </w:pPr>
            <w:r>
              <w:t xml:space="preserve">Excellent: </w:t>
            </w:r>
            <w:r w:rsidRPr="006B48CF">
              <w:t>30 (73.1%)</w:t>
            </w:r>
          </w:p>
        </w:tc>
        <w:tc>
          <w:tcPr>
            <w:tcW w:w="1294" w:type="dxa"/>
            <w:vAlign w:val="center"/>
          </w:tcPr>
          <w:p w14:paraId="69841C98" w14:textId="65BFC022" w:rsidR="00DE5C47" w:rsidRDefault="00DE5C47" w:rsidP="00F76D74">
            <w:pPr>
              <w:pStyle w:val="Tabletext0"/>
              <w:keepNext/>
              <w:keepLines/>
              <w:jc w:val="center"/>
            </w:pPr>
            <w:r>
              <w:t>NA</w:t>
            </w:r>
          </w:p>
        </w:tc>
        <w:tc>
          <w:tcPr>
            <w:tcW w:w="1077" w:type="dxa"/>
            <w:vAlign w:val="center"/>
          </w:tcPr>
          <w:p w14:paraId="0C49F0F4" w14:textId="083AD38A" w:rsidR="00DE5C47" w:rsidRDefault="00DE5C47" w:rsidP="00F76D74">
            <w:pPr>
              <w:pStyle w:val="Tabletext0"/>
              <w:keepNext/>
              <w:keepLines/>
              <w:jc w:val="center"/>
            </w:pPr>
            <w:r>
              <w:t>NA</w:t>
            </w:r>
          </w:p>
        </w:tc>
      </w:tr>
    </w:tbl>
    <w:p w14:paraId="428E5234" w14:textId="251C86A0" w:rsidR="00CB343E" w:rsidRDefault="007967B1" w:rsidP="00F76D74">
      <w:pPr>
        <w:pStyle w:val="Tablenotes"/>
        <w:keepNext/>
        <w:keepLines/>
      </w:pPr>
      <w:r>
        <w:t xml:space="preserve">Source: </w:t>
      </w:r>
      <w:r w:rsidR="009228FB">
        <w:t>Table 8, pg 19 of MSAC 1657 Commentary Executive Summary</w:t>
      </w:r>
      <w:r>
        <w:t xml:space="preserve"> </w:t>
      </w:r>
    </w:p>
    <w:p w14:paraId="4386F1EF" w14:textId="2AFC3591" w:rsidR="00935EEE" w:rsidRPr="00935EEE" w:rsidRDefault="003A42EE" w:rsidP="00935EEE">
      <w:pPr>
        <w:pStyle w:val="Tablenotes"/>
        <w:keepNext/>
        <w:keepLines/>
      </w:pPr>
      <w:r>
        <w:t>*</w:t>
      </w:r>
      <w:r w:rsidR="00CB343E">
        <w:t xml:space="preserve">Results </w:t>
      </w:r>
      <w:r>
        <w:t>were</w:t>
      </w:r>
      <w:r w:rsidR="00CB343E">
        <w:t xml:space="preserve"> reported per lesion</w:t>
      </w:r>
      <w:r w:rsidR="00AB108E">
        <w:t>: C</w:t>
      </w:r>
      <w:r w:rsidR="00AB108E" w:rsidRPr="00AB108E">
        <w:t xml:space="preserve">omplete responders if the dermoscopy did not show any suspected area of persistence of the disease that may deserve a biopsy or if the biopsy </w:t>
      </w:r>
      <w:r w:rsidR="00337B89">
        <w:t>result</w:t>
      </w:r>
      <w:r w:rsidR="00AB108E" w:rsidRPr="00AB108E">
        <w:t xml:space="preserve"> guided by the dermoscopy </w:t>
      </w:r>
      <w:r w:rsidR="00337B89">
        <w:t>was</w:t>
      </w:r>
      <w:r w:rsidR="00337B89" w:rsidRPr="00AB108E">
        <w:t xml:space="preserve"> </w:t>
      </w:r>
      <w:r w:rsidR="00AB108E" w:rsidRPr="00AB108E">
        <w:t>negative;</w:t>
      </w:r>
      <w:r w:rsidR="00B0208D" w:rsidRPr="00B0208D">
        <w:t xml:space="preserve"> </w:t>
      </w:r>
      <w:r w:rsidR="00B0208D">
        <w:t>P</w:t>
      </w:r>
      <w:r w:rsidR="00B0208D" w:rsidRPr="00B0208D">
        <w:t>artial responders</w:t>
      </w:r>
      <w:r w:rsidR="00B0208D">
        <w:t xml:space="preserve"> </w:t>
      </w:r>
      <w:r w:rsidR="00B0208D" w:rsidRPr="00B0208D">
        <w:t xml:space="preserve">if the biopsy </w:t>
      </w:r>
      <w:r w:rsidR="00AB2AAB">
        <w:t>result</w:t>
      </w:r>
      <w:r w:rsidR="00B0208D" w:rsidRPr="00B0208D">
        <w:t xml:space="preserve"> on a suspected area </w:t>
      </w:r>
      <w:r w:rsidR="00AB2AAB">
        <w:t>was</w:t>
      </w:r>
      <w:r w:rsidR="00B0208D" w:rsidRPr="00B0208D">
        <w:t xml:space="preserve"> positive but the treatment with Rhenium-SCT® caused a significant reduction in the extent of the lesion making possible the surgical excision or other local therapies with subsequent complete histological response</w:t>
      </w:r>
      <w:r w:rsidR="007967B1">
        <w:br/>
      </w:r>
      <w:r w:rsidR="004366CB" w:rsidRPr="004366CB">
        <w:t xml:space="preserve">CR= complete response; </w:t>
      </w:r>
      <w:r w:rsidR="00955F94">
        <w:t xml:space="preserve">PR= partial response; </w:t>
      </w:r>
      <w:r w:rsidR="004366CB" w:rsidRPr="004366CB">
        <w:t>NR= no response; LTFU= lost to follow up; NA= not applicable</w:t>
      </w:r>
      <w:r w:rsidR="004366CB">
        <w:t>; RTOG= Radiation Therapy Oncology Group</w:t>
      </w:r>
      <w:bookmarkStart w:id="34" w:name="_Ref134010670"/>
      <w:r w:rsidR="00935EEE">
        <w:br w:type="page"/>
      </w:r>
    </w:p>
    <w:p w14:paraId="736F8FBF" w14:textId="72AF20B7" w:rsidR="00BE3CE9" w:rsidRDefault="00BE3CE9" w:rsidP="003848F1">
      <w:pPr>
        <w:pStyle w:val="Caption"/>
      </w:pPr>
      <w:r>
        <w:lastRenderedPageBreak/>
        <w:t xml:space="preserve">Table </w:t>
      </w:r>
      <w:r w:rsidR="00BC1AC8">
        <w:fldChar w:fldCharType="begin"/>
      </w:r>
      <w:r w:rsidR="00BC1AC8">
        <w:instrText xml:space="preserve"> SEQ Table \* ARABIC </w:instrText>
      </w:r>
      <w:r w:rsidR="00BC1AC8">
        <w:fldChar w:fldCharType="separate"/>
      </w:r>
      <w:r w:rsidR="009228FB">
        <w:rPr>
          <w:noProof/>
        </w:rPr>
        <w:t>8</w:t>
      </w:r>
      <w:r w:rsidR="00BC1AC8">
        <w:rPr>
          <w:noProof/>
        </w:rPr>
        <w:fldChar w:fldCharType="end"/>
      </w:r>
      <w:bookmarkEnd w:id="34"/>
      <w:r w:rsidR="007C52A8">
        <w:t xml:space="preserve">  </w:t>
      </w:r>
      <w:r>
        <w:t xml:space="preserve">Results of </w:t>
      </w:r>
      <w:r w:rsidR="007C52A8">
        <w:t xml:space="preserve">treatment response </w:t>
      </w:r>
      <w:r w:rsidR="008A2DE1">
        <w:t>(complete response)</w:t>
      </w:r>
      <w:r w:rsidR="007C52A8">
        <w:t xml:space="preserve"> outcomes</w:t>
      </w:r>
      <w:r>
        <w:t xml:space="preserve"> across the EBRT studies</w:t>
      </w:r>
    </w:p>
    <w:tbl>
      <w:tblPr>
        <w:tblStyle w:val="TableGrid1"/>
        <w:tblW w:w="5028" w:type="pct"/>
        <w:tblCellMar>
          <w:left w:w="28" w:type="dxa"/>
          <w:right w:w="28" w:type="dxa"/>
        </w:tblCellMar>
        <w:tblLook w:val="04A0" w:firstRow="1" w:lastRow="0" w:firstColumn="1" w:lastColumn="0" w:noHBand="0" w:noVBand="1"/>
      </w:tblPr>
      <w:tblGrid>
        <w:gridCol w:w="1839"/>
        <w:gridCol w:w="141"/>
        <w:gridCol w:w="3402"/>
        <w:gridCol w:w="3684"/>
      </w:tblGrid>
      <w:tr w:rsidR="00E917C2" w:rsidRPr="0053312D" w14:paraId="44F1A1A8" w14:textId="77777777" w:rsidTr="00B95A11">
        <w:trPr>
          <w:cnfStyle w:val="100000000000" w:firstRow="1" w:lastRow="0" w:firstColumn="0" w:lastColumn="0" w:oddVBand="0" w:evenVBand="0" w:oddHBand="0" w:evenHBand="0" w:firstRowFirstColumn="0" w:firstRowLastColumn="0" w:lastRowFirstColumn="0" w:lastRowLastColumn="0"/>
          <w:tblHeader/>
        </w:trPr>
        <w:tc>
          <w:tcPr>
            <w:tcW w:w="1092" w:type="pct"/>
            <w:gridSpan w:val="2"/>
            <w:tcBorders>
              <w:bottom w:val="single" w:sz="4" w:space="0" w:color="auto"/>
            </w:tcBorders>
          </w:tcPr>
          <w:p w14:paraId="257E2FD7" w14:textId="77777777" w:rsidR="00BE3CE9" w:rsidRPr="002B5BA6" w:rsidRDefault="00BE3CE9">
            <w:pPr>
              <w:pStyle w:val="TableHeading"/>
              <w:rPr>
                <w:snapToGrid w:val="0"/>
              </w:rPr>
            </w:pPr>
            <w:r w:rsidRPr="002B5BA6">
              <w:rPr>
                <w:snapToGrid w:val="0"/>
              </w:rPr>
              <w:t>Study ID</w:t>
            </w:r>
          </w:p>
        </w:tc>
        <w:tc>
          <w:tcPr>
            <w:tcW w:w="1875" w:type="pct"/>
            <w:tcBorders>
              <w:bottom w:val="single" w:sz="4" w:space="0" w:color="auto"/>
            </w:tcBorders>
          </w:tcPr>
          <w:p w14:paraId="74FE16B5" w14:textId="77777777" w:rsidR="00BE3CE9" w:rsidRPr="002B5BA6" w:rsidRDefault="00BE3CE9">
            <w:pPr>
              <w:pStyle w:val="TableHeading"/>
              <w:ind w:left="16" w:right="117"/>
              <w:jc w:val="center"/>
              <w:rPr>
                <w:snapToGrid w:val="0"/>
              </w:rPr>
            </w:pPr>
            <w:r w:rsidRPr="002B5BA6">
              <w:rPr>
                <w:snapToGrid w:val="0"/>
              </w:rPr>
              <w:t>Follow-up</w:t>
            </w:r>
          </w:p>
        </w:tc>
        <w:tc>
          <w:tcPr>
            <w:tcW w:w="2032" w:type="pct"/>
            <w:tcBorders>
              <w:bottom w:val="single" w:sz="4" w:space="0" w:color="auto"/>
            </w:tcBorders>
            <w:shd w:val="clear" w:color="auto" w:fill="auto"/>
          </w:tcPr>
          <w:p w14:paraId="52BA0228" w14:textId="77777777" w:rsidR="00BE3CE9" w:rsidRPr="002B5BA6" w:rsidRDefault="00BE3CE9">
            <w:pPr>
              <w:pStyle w:val="TableHeading"/>
              <w:ind w:left="111" w:right="117"/>
              <w:jc w:val="center"/>
              <w:rPr>
                <w:snapToGrid w:val="0"/>
              </w:rPr>
            </w:pPr>
            <w:r w:rsidRPr="002B5BA6">
              <w:rPr>
                <w:snapToGrid w:val="0"/>
              </w:rPr>
              <w:t>n/N (%)</w:t>
            </w:r>
          </w:p>
        </w:tc>
      </w:tr>
      <w:tr w:rsidR="00E917C2" w:rsidRPr="002B5BA6" w14:paraId="46FCA688" w14:textId="77777777" w:rsidTr="00B95A11">
        <w:trPr>
          <w:trHeight w:val="299"/>
        </w:trPr>
        <w:tc>
          <w:tcPr>
            <w:tcW w:w="1014" w:type="pct"/>
            <w:tcBorders>
              <w:bottom w:val="single" w:sz="4" w:space="0" w:color="auto"/>
              <w:right w:val="nil"/>
            </w:tcBorders>
          </w:tcPr>
          <w:p w14:paraId="04D37DCE" w14:textId="77777777" w:rsidR="00BE3CE9" w:rsidRPr="0053312D" w:rsidRDefault="00BE3CE9">
            <w:pPr>
              <w:pStyle w:val="TableHeading"/>
              <w:rPr>
                <w:snapToGrid w:val="0"/>
              </w:rPr>
            </w:pPr>
            <w:r w:rsidRPr="0053312D">
              <w:rPr>
                <w:snapToGrid w:val="0"/>
              </w:rPr>
              <w:t>Complete response</w:t>
            </w:r>
          </w:p>
        </w:tc>
        <w:tc>
          <w:tcPr>
            <w:tcW w:w="1954" w:type="pct"/>
            <w:gridSpan w:val="2"/>
            <w:tcBorders>
              <w:left w:val="nil"/>
              <w:bottom w:val="single" w:sz="4" w:space="0" w:color="auto"/>
              <w:right w:val="nil"/>
            </w:tcBorders>
          </w:tcPr>
          <w:p w14:paraId="408DFE29" w14:textId="77777777" w:rsidR="00BE3CE9" w:rsidRPr="0053312D" w:rsidRDefault="00BE3CE9">
            <w:pPr>
              <w:pStyle w:val="TableHeading"/>
              <w:ind w:left="16" w:right="117"/>
              <w:jc w:val="center"/>
              <w:rPr>
                <w:snapToGrid w:val="0"/>
              </w:rPr>
            </w:pPr>
          </w:p>
        </w:tc>
        <w:tc>
          <w:tcPr>
            <w:tcW w:w="2032" w:type="pct"/>
            <w:tcBorders>
              <w:left w:val="nil"/>
            </w:tcBorders>
            <w:shd w:val="clear" w:color="auto" w:fill="auto"/>
          </w:tcPr>
          <w:p w14:paraId="225C38D2" w14:textId="77777777" w:rsidR="00BE3CE9" w:rsidRPr="0053312D" w:rsidRDefault="00BE3CE9">
            <w:pPr>
              <w:pStyle w:val="TableHeading"/>
              <w:ind w:left="111" w:right="117"/>
              <w:jc w:val="center"/>
              <w:rPr>
                <w:snapToGrid w:val="0"/>
              </w:rPr>
            </w:pPr>
          </w:p>
        </w:tc>
      </w:tr>
      <w:tr w:rsidR="00FD3502" w:rsidRPr="0053312D" w14:paraId="6B8618ED" w14:textId="77777777" w:rsidTr="00B95A11">
        <w:tc>
          <w:tcPr>
            <w:tcW w:w="1092" w:type="pct"/>
            <w:gridSpan w:val="2"/>
            <w:tcBorders>
              <w:bottom w:val="nil"/>
            </w:tcBorders>
          </w:tcPr>
          <w:p w14:paraId="658D8BDE" w14:textId="7962236C" w:rsidR="00BE3CE9" w:rsidRPr="002B5BA6" w:rsidRDefault="00BC1AC8">
            <w:pPr>
              <w:pStyle w:val="Tabletext0"/>
              <w:rPr>
                <w:snapToGrid w:val="0"/>
              </w:rPr>
            </w:pPr>
            <w:hyperlink w:anchor="_ENREF_28" w:tooltip="Finazzi, 2020 #16" w:history="1">
              <w:r w:rsidR="00BE3CE9" w:rsidRPr="002B5BA6">
                <w:rPr>
                  <w:snapToGrid w:val="0"/>
                </w:rPr>
                <w:fldChar w:fldCharType="begin"/>
              </w:r>
              <w:r w:rsidR="00BE3CE9" w:rsidRPr="002B5BA6">
                <w:rPr>
                  <w:snapToGrid w:val="0"/>
                </w:rPr>
                <w:instrText xml:space="preserve"> ADDIN EN.CITE &lt;EndNote&gt;&lt;Cite AuthorYear="1"&gt;&lt;Author&gt;Finazzi&lt;/Author&gt;&lt;Year&gt;2020&lt;/Year&gt;&lt;RecNum&gt;16&lt;/RecNum&gt;&lt;DisplayText&gt;Finazzi, Haasbeek, et al. (2020)&lt;/DisplayText&gt;&lt;record&gt;&lt;rec-number&gt;16&lt;/rec-number&gt;&lt;foreign-keys&gt;&lt;key app="EN" db-id="sx5wsdwv795wvue959xxw0ptaewvdezxxp05" timestamp="1604454185"&gt;16&lt;/key&gt;&lt;/foreign-keys&gt;&lt;ref-type name="Journal Article"&gt;17&lt;/ref-type&gt;&lt;contributors&gt;&lt;authors&gt;&lt;author&gt;Finazzi, T.&lt;/author&gt;&lt;author&gt;Haasbeek, C. J. A.&lt;/author&gt;&lt;author&gt;Spoelstra, F. O. B.&lt;/author&gt;&lt;author&gt;Palacios, M. A.&lt;/author&gt;&lt;author&gt;Admiraal, M. A.&lt;/author&gt;&lt;author&gt;Bruynzeel, A. M. E.&lt;/author&gt;&lt;author&gt;Slotman, B. J.&lt;/author&gt;&lt;author&gt;Lagerwaard, F. J.&lt;/author&gt;&lt;author&gt;Senan, S.&lt;/author&gt;&lt;/authors&gt;&lt;/contributors&gt;&lt;titles&gt;&lt;title&gt;Clinical Outcomes of Stereotactic MR-Guided Adaptive Radiation Therapy for High-Risk Lung Tumors&lt;/title&gt;&lt;secondary-title&gt;International Journal of Radiation Oncology Biology Physics&lt;/secondary-title&gt;&lt;/titles&gt;&lt;pages&gt;270-278&lt;/pages&gt;&lt;volume&gt;107&lt;/volume&gt;&lt;number&gt;2&lt;/number&gt;&lt;dates&gt;&lt;year&gt;2020&lt;/year&gt;&lt;/dates&gt;&lt;accession-num&gt;2005243657&lt;/accession-num&gt;&lt;urls&gt;&lt;related-urls&gt;&lt;url&gt;http://www.elsevier.com/locate/ijrobphttp://ezproxy.library.usyd.edu.au/login?url=http://ovidsp.ovid.com/ovidweb.cgi?T=JS&amp;amp;CSC=Y&amp;amp;NEWS=N&amp;amp;PAGE=fulltext&amp;amp;D=emexb&amp;amp;AN=2005243657https://sydney.alma.exlibrisgroup.com/openurl/61USYD_INST/61USYD_INST:sydney?sid=OVID&lt;/url&gt;&lt;/related-urls&gt;&lt;/urls&gt;&lt;custom2&gt;single arm safety SBRT&lt;/custom2&gt;&lt;electronic-resource-num&gt;http://dx.doi.org/10.1016/j.ijrobp.2020.02.025&lt;/electronic-resource-num&gt;&lt;/record&gt;&lt;/Cite&gt;&lt;/EndNote&gt;</w:instrText>
              </w:r>
              <w:r w:rsidR="00BE3CE9" w:rsidRPr="002B5BA6">
                <w:rPr>
                  <w:snapToGrid w:val="0"/>
                </w:rPr>
                <w:fldChar w:fldCharType="separate"/>
              </w:r>
              <w:r w:rsidR="00BE3CE9" w:rsidRPr="002B5BA6">
                <w:rPr>
                  <w:snapToGrid w:val="0"/>
                </w:rPr>
                <w:t>Ferini (2021)</w:t>
              </w:r>
              <w:r w:rsidR="00BE3CE9" w:rsidRPr="002B5BA6">
                <w:rPr>
                  <w:snapToGrid w:val="0"/>
                </w:rPr>
                <w:fldChar w:fldCharType="end"/>
              </w:r>
            </w:hyperlink>
          </w:p>
        </w:tc>
        <w:tc>
          <w:tcPr>
            <w:tcW w:w="1875" w:type="pct"/>
            <w:tcBorders>
              <w:bottom w:val="nil"/>
            </w:tcBorders>
          </w:tcPr>
          <w:p w14:paraId="023BA309" w14:textId="77777777" w:rsidR="00BE3CE9" w:rsidRPr="002B5BA6" w:rsidRDefault="00BE3CE9">
            <w:pPr>
              <w:pStyle w:val="TableText"/>
              <w:ind w:left="16" w:right="117"/>
              <w:jc w:val="center"/>
              <w:rPr>
                <w:snapToGrid w:val="0"/>
              </w:rPr>
            </w:pPr>
            <w:r w:rsidRPr="002B5BA6">
              <w:rPr>
                <w:snapToGrid w:val="0"/>
              </w:rPr>
              <w:t>6 months</w:t>
            </w:r>
          </w:p>
        </w:tc>
        <w:tc>
          <w:tcPr>
            <w:tcW w:w="2032" w:type="pct"/>
            <w:shd w:val="clear" w:color="auto" w:fill="auto"/>
            <w:vAlign w:val="center"/>
          </w:tcPr>
          <w:p w14:paraId="44EA4C83" w14:textId="59692D71" w:rsidR="00BE3CE9" w:rsidRPr="002B5BA6" w:rsidRDefault="00BE3CE9">
            <w:pPr>
              <w:pStyle w:val="TableText"/>
              <w:ind w:left="111" w:right="117"/>
              <w:jc w:val="center"/>
              <w:rPr>
                <w:snapToGrid w:val="0"/>
              </w:rPr>
            </w:pPr>
            <w:r w:rsidRPr="002B5BA6">
              <w:rPr>
                <w:snapToGrid w:val="0"/>
              </w:rPr>
              <w:t>22/23 (95.7%)</w:t>
            </w:r>
          </w:p>
        </w:tc>
      </w:tr>
      <w:tr w:rsidR="00E917C2" w:rsidRPr="0053312D" w14:paraId="38561D06" w14:textId="77777777" w:rsidTr="00B95A11">
        <w:tc>
          <w:tcPr>
            <w:tcW w:w="1092" w:type="pct"/>
            <w:gridSpan w:val="2"/>
            <w:vAlign w:val="center"/>
          </w:tcPr>
          <w:p w14:paraId="12773D0D" w14:textId="77777777" w:rsidR="00BE3CE9" w:rsidRPr="002B5BA6" w:rsidRDefault="00BE3CE9">
            <w:pPr>
              <w:pStyle w:val="Tabletext0"/>
            </w:pPr>
            <w:r w:rsidRPr="002B5BA6">
              <w:rPr>
                <w:snapToGrid w:val="0"/>
              </w:rPr>
              <w:t>Ferro 2014</w:t>
            </w:r>
          </w:p>
        </w:tc>
        <w:tc>
          <w:tcPr>
            <w:tcW w:w="1875" w:type="pct"/>
          </w:tcPr>
          <w:p w14:paraId="036DE66E" w14:textId="77777777" w:rsidR="00BE3CE9" w:rsidRPr="002B5BA6" w:rsidRDefault="00BE3CE9">
            <w:pPr>
              <w:pStyle w:val="TableText"/>
              <w:ind w:left="16" w:right="117"/>
              <w:jc w:val="center"/>
              <w:rPr>
                <w:snapToGrid w:val="0"/>
              </w:rPr>
            </w:pPr>
            <w:r w:rsidRPr="002B5BA6">
              <w:rPr>
                <w:snapToGrid w:val="0"/>
              </w:rPr>
              <w:t>3 months</w:t>
            </w:r>
          </w:p>
        </w:tc>
        <w:tc>
          <w:tcPr>
            <w:tcW w:w="2032" w:type="pct"/>
            <w:shd w:val="clear" w:color="auto" w:fill="auto"/>
            <w:vAlign w:val="center"/>
          </w:tcPr>
          <w:p w14:paraId="2A2DC11C" w14:textId="77777777" w:rsidR="00BE3CE9" w:rsidRPr="002B5BA6" w:rsidRDefault="00BE3CE9">
            <w:pPr>
              <w:pStyle w:val="TableText"/>
              <w:ind w:left="111" w:right="117"/>
              <w:jc w:val="center"/>
              <w:rPr>
                <w:snapToGrid w:val="0"/>
              </w:rPr>
            </w:pPr>
            <w:r w:rsidRPr="002B5BA6">
              <w:rPr>
                <w:snapToGrid w:val="0"/>
              </w:rPr>
              <w:t xml:space="preserve">30/31 (96.8 %. 95% CI: 83.3-99.9%) </w:t>
            </w:r>
          </w:p>
        </w:tc>
      </w:tr>
      <w:tr w:rsidR="00FD3502" w:rsidRPr="002B5BA6" w14:paraId="0E85641C" w14:textId="77777777" w:rsidTr="00B95A11">
        <w:tc>
          <w:tcPr>
            <w:tcW w:w="1092" w:type="pct"/>
            <w:gridSpan w:val="2"/>
            <w:vAlign w:val="center"/>
          </w:tcPr>
          <w:p w14:paraId="5AA43E74" w14:textId="77777777" w:rsidR="00BE3CE9" w:rsidRPr="002B5BA6" w:rsidRDefault="00BE3CE9">
            <w:pPr>
              <w:pStyle w:val="Tabletext0"/>
            </w:pPr>
            <w:r w:rsidRPr="002B5BA6">
              <w:rPr>
                <w:snapToGrid w:val="0"/>
              </w:rPr>
              <w:t>Olschewski 2006</w:t>
            </w:r>
          </w:p>
        </w:tc>
        <w:tc>
          <w:tcPr>
            <w:tcW w:w="1875" w:type="pct"/>
          </w:tcPr>
          <w:p w14:paraId="69FCC8B9" w14:textId="77777777" w:rsidR="00BE3CE9" w:rsidRPr="002B5BA6" w:rsidRDefault="00BE3CE9">
            <w:pPr>
              <w:pStyle w:val="TableText"/>
              <w:ind w:left="16" w:right="117"/>
              <w:jc w:val="center"/>
              <w:rPr>
                <w:snapToGrid w:val="0"/>
              </w:rPr>
            </w:pPr>
            <w:r w:rsidRPr="002B5BA6">
              <w:rPr>
                <w:snapToGrid w:val="0"/>
              </w:rPr>
              <w:t>24 months</w:t>
            </w:r>
          </w:p>
        </w:tc>
        <w:tc>
          <w:tcPr>
            <w:tcW w:w="2032" w:type="pct"/>
            <w:shd w:val="clear" w:color="auto" w:fill="auto"/>
            <w:vAlign w:val="center"/>
          </w:tcPr>
          <w:p w14:paraId="21AD4038" w14:textId="18917A28" w:rsidR="00BE3CE9" w:rsidRPr="002B5BA6" w:rsidRDefault="00BE3CE9">
            <w:pPr>
              <w:pStyle w:val="TableText"/>
              <w:ind w:left="111" w:right="117"/>
              <w:jc w:val="center"/>
              <w:rPr>
                <w:snapToGrid w:val="0"/>
              </w:rPr>
            </w:pPr>
            <w:r w:rsidRPr="002B5BA6">
              <w:rPr>
                <w:snapToGrid w:val="0"/>
              </w:rPr>
              <w:t>100%</w:t>
            </w:r>
          </w:p>
        </w:tc>
      </w:tr>
      <w:tr w:rsidR="00FD3502" w:rsidRPr="002B5BA6" w14:paraId="73D077A8" w14:textId="77777777" w:rsidTr="00B95A11">
        <w:tc>
          <w:tcPr>
            <w:tcW w:w="1092" w:type="pct"/>
            <w:gridSpan w:val="2"/>
            <w:vAlign w:val="center"/>
          </w:tcPr>
          <w:p w14:paraId="2E5E4FC1" w14:textId="77777777" w:rsidR="00BE3CE9" w:rsidRPr="002B5BA6" w:rsidRDefault="00BE3CE9">
            <w:pPr>
              <w:pStyle w:val="TableText"/>
              <w:rPr>
                <w:snapToGrid w:val="0"/>
              </w:rPr>
            </w:pPr>
            <w:r w:rsidRPr="002B5BA6">
              <w:rPr>
                <w:snapToGrid w:val="0"/>
              </w:rPr>
              <w:t>Piccinno 2020</w:t>
            </w:r>
          </w:p>
        </w:tc>
        <w:tc>
          <w:tcPr>
            <w:tcW w:w="1875" w:type="pct"/>
          </w:tcPr>
          <w:p w14:paraId="732660D3" w14:textId="77777777" w:rsidR="00BE3CE9" w:rsidRPr="002B5BA6" w:rsidRDefault="00BE3CE9">
            <w:pPr>
              <w:pStyle w:val="TableText"/>
              <w:ind w:left="16" w:right="117"/>
              <w:jc w:val="center"/>
              <w:rPr>
                <w:snapToGrid w:val="0"/>
              </w:rPr>
            </w:pPr>
            <w:r w:rsidRPr="002B5BA6">
              <w:rPr>
                <w:snapToGrid w:val="0"/>
              </w:rPr>
              <w:t>1 month</w:t>
            </w:r>
          </w:p>
        </w:tc>
        <w:tc>
          <w:tcPr>
            <w:tcW w:w="2032" w:type="pct"/>
            <w:shd w:val="clear" w:color="auto" w:fill="auto"/>
            <w:vAlign w:val="center"/>
          </w:tcPr>
          <w:p w14:paraId="225D63F5" w14:textId="77777777" w:rsidR="00BE3CE9" w:rsidRPr="002B5BA6" w:rsidRDefault="00BE3CE9">
            <w:pPr>
              <w:pStyle w:val="TableText"/>
              <w:ind w:left="111" w:right="117"/>
              <w:jc w:val="center"/>
              <w:rPr>
                <w:snapToGrid w:val="0"/>
              </w:rPr>
            </w:pPr>
            <w:r w:rsidRPr="002B5BA6">
              <w:rPr>
                <w:snapToGrid w:val="0"/>
              </w:rPr>
              <w:t>100%</w:t>
            </w:r>
          </w:p>
        </w:tc>
      </w:tr>
      <w:tr w:rsidR="00E917C2" w:rsidRPr="0053312D" w14:paraId="564C8496" w14:textId="77777777" w:rsidTr="00B95A11">
        <w:tc>
          <w:tcPr>
            <w:tcW w:w="1092" w:type="pct"/>
            <w:gridSpan w:val="2"/>
            <w:vAlign w:val="center"/>
          </w:tcPr>
          <w:p w14:paraId="1F8B5714" w14:textId="77777777" w:rsidR="00BE3CE9" w:rsidRPr="002B5BA6" w:rsidRDefault="00BE3CE9">
            <w:pPr>
              <w:pStyle w:val="TableText"/>
              <w:rPr>
                <w:snapToGrid w:val="0"/>
              </w:rPr>
            </w:pPr>
            <w:r w:rsidRPr="002B5BA6">
              <w:rPr>
                <w:snapToGrid w:val="0"/>
              </w:rPr>
              <w:t>Russi 2015</w:t>
            </w:r>
          </w:p>
        </w:tc>
        <w:tc>
          <w:tcPr>
            <w:tcW w:w="1875" w:type="pct"/>
          </w:tcPr>
          <w:p w14:paraId="3F98553C" w14:textId="150E15CB" w:rsidR="00BE3CE9" w:rsidRPr="002B5BA6" w:rsidRDefault="00CE2A11">
            <w:pPr>
              <w:pStyle w:val="TableText"/>
              <w:ind w:left="16" w:right="117"/>
              <w:jc w:val="center"/>
              <w:rPr>
                <w:snapToGrid w:val="0"/>
              </w:rPr>
            </w:pPr>
            <w:r>
              <w:rPr>
                <w:snapToGrid w:val="0"/>
              </w:rPr>
              <w:t>NR</w:t>
            </w:r>
          </w:p>
        </w:tc>
        <w:tc>
          <w:tcPr>
            <w:tcW w:w="2032" w:type="pct"/>
            <w:shd w:val="clear" w:color="auto" w:fill="auto"/>
            <w:vAlign w:val="center"/>
          </w:tcPr>
          <w:p w14:paraId="520AB6C3" w14:textId="77777777" w:rsidR="00BE3CE9" w:rsidRPr="002B5BA6" w:rsidRDefault="00BE3CE9">
            <w:pPr>
              <w:pStyle w:val="TableText"/>
              <w:ind w:right="117"/>
              <w:jc w:val="center"/>
              <w:rPr>
                <w:snapToGrid w:val="0"/>
              </w:rPr>
            </w:pPr>
            <w:r w:rsidRPr="002B5BA6">
              <w:rPr>
                <w:snapToGrid w:val="0"/>
              </w:rPr>
              <w:t>157/159 (98.7%) BCCs</w:t>
            </w:r>
          </w:p>
          <w:p w14:paraId="00123A20" w14:textId="77777777" w:rsidR="00BE3CE9" w:rsidRPr="002B5BA6" w:rsidRDefault="00BE3CE9">
            <w:pPr>
              <w:pStyle w:val="TableText"/>
              <w:ind w:left="111" w:right="117"/>
              <w:jc w:val="center"/>
              <w:rPr>
                <w:snapToGrid w:val="0"/>
              </w:rPr>
            </w:pPr>
            <w:r w:rsidRPr="002B5BA6">
              <w:rPr>
                <w:snapToGrid w:val="0"/>
              </w:rPr>
              <w:t>132/134 (98.5%) patients</w:t>
            </w:r>
          </w:p>
        </w:tc>
      </w:tr>
      <w:tr w:rsidR="00E917C2" w:rsidRPr="0053312D" w14:paraId="169B047B" w14:textId="77777777" w:rsidTr="00B95A11">
        <w:tc>
          <w:tcPr>
            <w:tcW w:w="1092" w:type="pct"/>
            <w:gridSpan w:val="2"/>
            <w:tcBorders>
              <w:bottom w:val="single" w:sz="4" w:space="0" w:color="auto"/>
            </w:tcBorders>
            <w:vAlign w:val="center"/>
          </w:tcPr>
          <w:p w14:paraId="508759B7" w14:textId="77777777" w:rsidR="00BE3CE9" w:rsidRPr="002B5BA6" w:rsidRDefault="00BE3CE9">
            <w:pPr>
              <w:pStyle w:val="TableText"/>
              <w:rPr>
                <w:snapToGrid w:val="0"/>
              </w:rPr>
            </w:pPr>
            <w:r w:rsidRPr="002B5BA6">
              <w:rPr>
                <w:snapToGrid w:val="0"/>
              </w:rPr>
              <w:t>Caccialanza 2014</w:t>
            </w:r>
          </w:p>
        </w:tc>
        <w:tc>
          <w:tcPr>
            <w:tcW w:w="1875" w:type="pct"/>
            <w:tcBorders>
              <w:bottom w:val="single" w:sz="4" w:space="0" w:color="auto"/>
            </w:tcBorders>
          </w:tcPr>
          <w:p w14:paraId="7389A62E" w14:textId="77777777" w:rsidR="00BE3CE9" w:rsidRPr="002B5BA6" w:rsidRDefault="00BE3CE9">
            <w:pPr>
              <w:pStyle w:val="TableText"/>
              <w:ind w:left="16" w:right="117"/>
              <w:jc w:val="center"/>
              <w:rPr>
                <w:snapToGrid w:val="0"/>
              </w:rPr>
            </w:pPr>
            <w:r w:rsidRPr="002B5BA6">
              <w:rPr>
                <w:snapToGrid w:val="0"/>
              </w:rPr>
              <w:t>29 months (median)</w:t>
            </w:r>
          </w:p>
        </w:tc>
        <w:tc>
          <w:tcPr>
            <w:tcW w:w="2032" w:type="pct"/>
            <w:shd w:val="clear" w:color="auto" w:fill="auto"/>
            <w:vAlign w:val="center"/>
          </w:tcPr>
          <w:p w14:paraId="02B937B6" w14:textId="77777777" w:rsidR="00BE3CE9" w:rsidRPr="002B5BA6" w:rsidRDefault="00BE3CE9">
            <w:pPr>
              <w:pStyle w:val="TableText"/>
              <w:ind w:right="117"/>
              <w:jc w:val="center"/>
              <w:rPr>
                <w:snapToGrid w:val="0"/>
              </w:rPr>
            </w:pPr>
            <w:r w:rsidRPr="002B5BA6">
              <w:rPr>
                <w:snapToGrid w:val="0"/>
              </w:rPr>
              <w:t>122/127 (96.06%)</w:t>
            </w:r>
          </w:p>
        </w:tc>
      </w:tr>
      <w:tr w:rsidR="00E917C2" w:rsidRPr="0053312D" w14:paraId="47E27D74" w14:textId="77777777" w:rsidTr="00B95A11">
        <w:tc>
          <w:tcPr>
            <w:tcW w:w="1092" w:type="pct"/>
            <w:gridSpan w:val="2"/>
            <w:tcBorders>
              <w:bottom w:val="single" w:sz="4" w:space="0" w:color="auto"/>
            </w:tcBorders>
            <w:vAlign w:val="center"/>
          </w:tcPr>
          <w:p w14:paraId="5407A17A" w14:textId="77777777" w:rsidR="00BE3CE9" w:rsidRPr="002B5BA6" w:rsidRDefault="00BE3CE9">
            <w:pPr>
              <w:pStyle w:val="TableText"/>
              <w:rPr>
                <w:snapToGrid w:val="0"/>
              </w:rPr>
            </w:pPr>
            <w:r w:rsidRPr="002B5BA6">
              <w:rPr>
                <w:snapToGrid w:val="0"/>
              </w:rPr>
              <w:t>Caccialanza 2009</w:t>
            </w:r>
          </w:p>
        </w:tc>
        <w:tc>
          <w:tcPr>
            <w:tcW w:w="1875" w:type="pct"/>
            <w:tcBorders>
              <w:bottom w:val="single" w:sz="4" w:space="0" w:color="auto"/>
            </w:tcBorders>
          </w:tcPr>
          <w:p w14:paraId="43CA980B" w14:textId="77777777" w:rsidR="00BE3CE9" w:rsidRPr="002B5BA6" w:rsidRDefault="00BE3CE9">
            <w:pPr>
              <w:pStyle w:val="TableText"/>
              <w:ind w:left="16" w:right="117"/>
              <w:jc w:val="center"/>
              <w:rPr>
                <w:snapToGrid w:val="0"/>
              </w:rPr>
            </w:pPr>
            <w:r w:rsidRPr="002B5BA6">
              <w:rPr>
                <w:snapToGrid w:val="0"/>
              </w:rPr>
              <w:t>1 month</w:t>
            </w:r>
          </w:p>
        </w:tc>
        <w:tc>
          <w:tcPr>
            <w:tcW w:w="2032" w:type="pct"/>
            <w:shd w:val="clear" w:color="auto" w:fill="auto"/>
            <w:vAlign w:val="center"/>
          </w:tcPr>
          <w:p w14:paraId="4E37A5DA" w14:textId="77777777" w:rsidR="00BE3CE9" w:rsidRPr="002B5BA6" w:rsidRDefault="00BE3CE9">
            <w:pPr>
              <w:pStyle w:val="TableText"/>
              <w:ind w:right="117"/>
              <w:jc w:val="center"/>
              <w:rPr>
                <w:snapToGrid w:val="0"/>
              </w:rPr>
            </w:pPr>
            <w:r w:rsidRPr="002B5BA6">
              <w:rPr>
                <w:snapToGrid w:val="0"/>
              </w:rPr>
              <w:t>663/ 671 (98.8%)</w:t>
            </w:r>
          </w:p>
        </w:tc>
      </w:tr>
      <w:tr w:rsidR="00FD3502" w:rsidRPr="0053312D" w14:paraId="1B879494" w14:textId="77777777" w:rsidTr="00B95A11">
        <w:tc>
          <w:tcPr>
            <w:tcW w:w="1092" w:type="pct"/>
            <w:gridSpan w:val="2"/>
            <w:tcBorders>
              <w:bottom w:val="single" w:sz="4" w:space="0" w:color="auto"/>
            </w:tcBorders>
          </w:tcPr>
          <w:p w14:paraId="56F39C23" w14:textId="77777777" w:rsidR="00BE3CE9" w:rsidRPr="002B5BA6" w:rsidRDefault="00BE3CE9">
            <w:pPr>
              <w:pStyle w:val="TableText"/>
              <w:rPr>
                <w:snapToGrid w:val="0"/>
              </w:rPr>
            </w:pPr>
            <w:r w:rsidRPr="002B5BA6">
              <w:t>Caccialanza 2005</w:t>
            </w:r>
          </w:p>
        </w:tc>
        <w:tc>
          <w:tcPr>
            <w:tcW w:w="1875" w:type="pct"/>
            <w:tcBorders>
              <w:bottom w:val="single" w:sz="4" w:space="0" w:color="auto"/>
            </w:tcBorders>
          </w:tcPr>
          <w:p w14:paraId="5AB9D21D" w14:textId="77777777" w:rsidR="00BE3CE9" w:rsidRPr="002B5BA6" w:rsidRDefault="00BE3CE9">
            <w:pPr>
              <w:pStyle w:val="TableText"/>
              <w:ind w:left="16" w:right="117"/>
              <w:jc w:val="center"/>
              <w:rPr>
                <w:snapToGrid w:val="0"/>
              </w:rPr>
            </w:pPr>
            <w:r w:rsidRPr="002B5BA6">
              <w:rPr>
                <w:snapToGrid w:val="0"/>
              </w:rPr>
              <w:t xml:space="preserve">1 month </w:t>
            </w:r>
          </w:p>
        </w:tc>
        <w:tc>
          <w:tcPr>
            <w:tcW w:w="2032" w:type="pct"/>
            <w:shd w:val="clear" w:color="auto" w:fill="auto"/>
            <w:vAlign w:val="center"/>
          </w:tcPr>
          <w:p w14:paraId="25BE95DA" w14:textId="77777777" w:rsidR="00BE3CE9" w:rsidRPr="002B5BA6" w:rsidRDefault="00BE3CE9">
            <w:pPr>
              <w:pStyle w:val="TableText"/>
              <w:ind w:right="117"/>
              <w:jc w:val="center"/>
              <w:rPr>
                <w:snapToGrid w:val="0"/>
              </w:rPr>
            </w:pPr>
            <w:r w:rsidRPr="002B5BA6">
              <w:rPr>
                <w:snapToGrid w:val="0"/>
              </w:rPr>
              <w:t>111/115 (96.52%)</w:t>
            </w:r>
          </w:p>
        </w:tc>
      </w:tr>
      <w:tr w:rsidR="00E917C2" w:rsidRPr="0053312D" w14:paraId="431C7612" w14:textId="77777777" w:rsidTr="00B95A11">
        <w:tc>
          <w:tcPr>
            <w:tcW w:w="1092" w:type="pct"/>
            <w:gridSpan w:val="2"/>
            <w:tcBorders>
              <w:bottom w:val="single" w:sz="4" w:space="0" w:color="auto"/>
            </w:tcBorders>
          </w:tcPr>
          <w:p w14:paraId="3B5BB713" w14:textId="77777777" w:rsidR="00BE3CE9" w:rsidRPr="002B5BA6" w:rsidRDefault="00BE3CE9">
            <w:pPr>
              <w:pStyle w:val="TableText"/>
            </w:pPr>
            <w:r w:rsidRPr="002B5BA6">
              <w:t>Caccialanza 2003</w:t>
            </w:r>
          </w:p>
        </w:tc>
        <w:tc>
          <w:tcPr>
            <w:tcW w:w="1875" w:type="pct"/>
            <w:tcBorders>
              <w:bottom w:val="single" w:sz="4" w:space="0" w:color="auto"/>
            </w:tcBorders>
          </w:tcPr>
          <w:p w14:paraId="488B2E6A" w14:textId="77777777" w:rsidR="00BE3CE9" w:rsidRPr="002B5BA6" w:rsidRDefault="00BE3CE9">
            <w:pPr>
              <w:pStyle w:val="TableText"/>
              <w:ind w:left="16" w:right="117"/>
              <w:jc w:val="center"/>
              <w:rPr>
                <w:snapToGrid w:val="0"/>
              </w:rPr>
            </w:pPr>
            <w:r w:rsidRPr="002B5BA6">
              <w:rPr>
                <w:snapToGrid w:val="0"/>
              </w:rPr>
              <w:t>1 month</w:t>
            </w:r>
          </w:p>
        </w:tc>
        <w:tc>
          <w:tcPr>
            <w:tcW w:w="2032" w:type="pct"/>
            <w:tcBorders>
              <w:bottom w:val="single" w:sz="4" w:space="0" w:color="auto"/>
            </w:tcBorders>
            <w:shd w:val="clear" w:color="auto" w:fill="auto"/>
            <w:vAlign w:val="center"/>
          </w:tcPr>
          <w:p w14:paraId="1E808289" w14:textId="77777777" w:rsidR="00BE3CE9" w:rsidRPr="002B5BA6" w:rsidRDefault="00BE3CE9">
            <w:pPr>
              <w:pStyle w:val="TableText"/>
              <w:ind w:right="117"/>
              <w:jc w:val="center"/>
              <w:rPr>
                <w:snapToGrid w:val="0"/>
              </w:rPr>
            </w:pPr>
            <w:r w:rsidRPr="002B5BA6">
              <w:rPr>
                <w:snapToGrid w:val="0"/>
              </w:rPr>
              <w:t>381/405 (94.1%)</w:t>
            </w:r>
          </w:p>
        </w:tc>
      </w:tr>
      <w:tr w:rsidR="00E917C2" w:rsidRPr="0053312D" w14:paraId="5605A144" w14:textId="77777777" w:rsidTr="00B95A11">
        <w:tc>
          <w:tcPr>
            <w:tcW w:w="1092" w:type="pct"/>
            <w:gridSpan w:val="2"/>
            <w:tcBorders>
              <w:right w:val="nil"/>
            </w:tcBorders>
          </w:tcPr>
          <w:p w14:paraId="35EA6223" w14:textId="77777777" w:rsidR="00BE3CE9" w:rsidRPr="0053312D" w:rsidRDefault="00BE3CE9">
            <w:pPr>
              <w:pStyle w:val="TableText"/>
              <w:rPr>
                <w:b/>
              </w:rPr>
            </w:pPr>
            <w:r w:rsidRPr="0053312D">
              <w:rPr>
                <w:b/>
              </w:rPr>
              <w:t>Partial response</w:t>
            </w:r>
          </w:p>
        </w:tc>
        <w:tc>
          <w:tcPr>
            <w:tcW w:w="1875" w:type="pct"/>
            <w:tcBorders>
              <w:left w:val="nil"/>
              <w:right w:val="nil"/>
            </w:tcBorders>
          </w:tcPr>
          <w:p w14:paraId="7BC3AB22" w14:textId="77777777" w:rsidR="00BE3CE9" w:rsidRPr="002B5BA6" w:rsidRDefault="00BE3CE9">
            <w:pPr>
              <w:pStyle w:val="TableText"/>
              <w:ind w:left="16" w:right="117"/>
              <w:jc w:val="center"/>
              <w:rPr>
                <w:snapToGrid w:val="0"/>
              </w:rPr>
            </w:pPr>
          </w:p>
        </w:tc>
        <w:tc>
          <w:tcPr>
            <w:tcW w:w="2032" w:type="pct"/>
            <w:tcBorders>
              <w:left w:val="nil"/>
            </w:tcBorders>
            <w:shd w:val="clear" w:color="auto" w:fill="auto"/>
            <w:vAlign w:val="center"/>
          </w:tcPr>
          <w:p w14:paraId="1C893010" w14:textId="77777777" w:rsidR="00BE3CE9" w:rsidRPr="002B5BA6" w:rsidRDefault="00BE3CE9">
            <w:pPr>
              <w:pStyle w:val="TableText"/>
              <w:ind w:right="117"/>
              <w:jc w:val="center"/>
              <w:rPr>
                <w:snapToGrid w:val="0"/>
              </w:rPr>
            </w:pPr>
          </w:p>
        </w:tc>
      </w:tr>
      <w:tr w:rsidR="00FD3502" w:rsidRPr="0053312D" w14:paraId="1C636031" w14:textId="77777777" w:rsidTr="00B95A11">
        <w:tc>
          <w:tcPr>
            <w:tcW w:w="1092" w:type="pct"/>
            <w:gridSpan w:val="2"/>
          </w:tcPr>
          <w:p w14:paraId="3108842C" w14:textId="44F5D474" w:rsidR="00BE3CE9" w:rsidRPr="002B5BA6" w:rsidRDefault="00BC1AC8">
            <w:pPr>
              <w:pStyle w:val="TableText"/>
            </w:pPr>
            <w:hyperlink w:anchor="_ENREF_28" w:tooltip="Finazzi, 2020 #16" w:history="1">
              <w:r w:rsidR="00BE3CE9" w:rsidRPr="002B5BA6">
                <w:rPr>
                  <w:snapToGrid w:val="0"/>
                </w:rPr>
                <w:fldChar w:fldCharType="begin"/>
              </w:r>
              <w:r w:rsidR="00BE3CE9" w:rsidRPr="002B5BA6">
                <w:rPr>
                  <w:snapToGrid w:val="0"/>
                </w:rPr>
                <w:instrText xml:space="preserve"> ADDIN EN.CITE &lt;EndNote&gt;&lt;Cite AuthorYear="1"&gt;&lt;Author&gt;Finazzi&lt;/Author&gt;&lt;Year&gt;2020&lt;/Year&gt;&lt;RecNum&gt;16&lt;/RecNum&gt;&lt;DisplayText&gt;Finazzi, Haasbeek, et al. (2020)&lt;/DisplayText&gt;&lt;record&gt;&lt;rec-number&gt;16&lt;/rec-number&gt;&lt;foreign-keys&gt;&lt;key app="EN" db-id="sx5wsdwv795wvue959xxw0ptaewvdezxxp05" timestamp="1604454185"&gt;16&lt;/key&gt;&lt;/foreign-keys&gt;&lt;ref-type name="Journal Article"&gt;17&lt;/ref-type&gt;&lt;contributors&gt;&lt;authors&gt;&lt;author&gt;Finazzi, T.&lt;/author&gt;&lt;author&gt;Haasbeek, C. J. A.&lt;/author&gt;&lt;author&gt;Spoelstra, F. O. B.&lt;/author&gt;&lt;author&gt;Palacios, M. A.&lt;/author&gt;&lt;author&gt;Admiraal, M. A.&lt;/author&gt;&lt;author&gt;Bruynzeel, A. M. E.&lt;/author&gt;&lt;author&gt;Slotman, B. J.&lt;/author&gt;&lt;author&gt;Lagerwaard, F. J.&lt;/author&gt;&lt;author&gt;Senan, S.&lt;/author&gt;&lt;/authors&gt;&lt;/contributors&gt;&lt;titles&gt;&lt;title&gt;Clinical Outcomes of Stereotactic MR-Guided Adaptive Radiation Therapy for High-Risk Lung Tumors&lt;/title&gt;&lt;secondary-title&gt;International Journal of Radiation Oncology Biology Physics&lt;/secondary-title&gt;&lt;/titles&gt;&lt;pages&gt;270-278&lt;/pages&gt;&lt;volume&gt;107&lt;/volume&gt;&lt;number&gt;2&lt;/number&gt;&lt;dates&gt;&lt;year&gt;2020&lt;/year&gt;&lt;/dates&gt;&lt;accession-num&gt;2005243657&lt;/accession-num&gt;&lt;urls&gt;&lt;related-urls&gt;&lt;url&gt;http://www.elsevier.com/locate/ijrobphttp://ezproxy.library.usyd.edu.au/login?url=http://ovidsp.ovid.com/ovidweb.cgi?T=JS&amp;amp;CSC=Y&amp;amp;NEWS=N&amp;amp;PAGE=fulltext&amp;amp;D=emexb&amp;amp;AN=2005243657https://sydney.alma.exlibrisgroup.com/openurl/61USYD_INST/61USYD_INST:sydney?sid=OVID&lt;/url&gt;&lt;/related-urls&gt;&lt;/urls&gt;&lt;custom2&gt;single arm safety SBRT&lt;/custom2&gt;&lt;electronic-resource-num&gt;http://dx.doi.org/10.1016/j.ijrobp.2020.02.025&lt;/electronic-resource-num&gt;&lt;/record&gt;&lt;/Cite&gt;&lt;/EndNote&gt;</w:instrText>
              </w:r>
              <w:r w:rsidR="00BE3CE9" w:rsidRPr="002B5BA6">
                <w:rPr>
                  <w:snapToGrid w:val="0"/>
                </w:rPr>
                <w:fldChar w:fldCharType="separate"/>
              </w:r>
              <w:r w:rsidR="00BE3CE9" w:rsidRPr="002B5BA6">
                <w:rPr>
                  <w:snapToGrid w:val="0"/>
                </w:rPr>
                <w:t>Ferini (2021)</w:t>
              </w:r>
              <w:r w:rsidR="00BE3CE9" w:rsidRPr="002B5BA6">
                <w:rPr>
                  <w:snapToGrid w:val="0"/>
                </w:rPr>
                <w:fldChar w:fldCharType="end"/>
              </w:r>
            </w:hyperlink>
          </w:p>
        </w:tc>
        <w:tc>
          <w:tcPr>
            <w:tcW w:w="1875" w:type="pct"/>
          </w:tcPr>
          <w:p w14:paraId="2EC356FD" w14:textId="77777777" w:rsidR="00BE3CE9" w:rsidRPr="002B5BA6" w:rsidRDefault="00BE3CE9">
            <w:pPr>
              <w:pStyle w:val="TableText"/>
              <w:ind w:left="16" w:right="117"/>
              <w:jc w:val="center"/>
              <w:rPr>
                <w:snapToGrid w:val="0"/>
              </w:rPr>
            </w:pPr>
            <w:r w:rsidRPr="002B5BA6">
              <w:rPr>
                <w:snapToGrid w:val="0"/>
              </w:rPr>
              <w:t>6 months</w:t>
            </w:r>
          </w:p>
        </w:tc>
        <w:tc>
          <w:tcPr>
            <w:tcW w:w="2032" w:type="pct"/>
            <w:shd w:val="clear" w:color="auto" w:fill="auto"/>
            <w:vAlign w:val="center"/>
          </w:tcPr>
          <w:p w14:paraId="16ECFAEF" w14:textId="77777777" w:rsidR="00BE3CE9" w:rsidRPr="002B5BA6" w:rsidRDefault="00BE3CE9">
            <w:pPr>
              <w:pStyle w:val="TableText"/>
              <w:ind w:right="117"/>
              <w:jc w:val="center"/>
              <w:rPr>
                <w:snapToGrid w:val="0"/>
              </w:rPr>
            </w:pPr>
            <w:r w:rsidRPr="002B5BA6">
              <w:rPr>
                <w:snapToGrid w:val="0"/>
              </w:rPr>
              <w:t>1/23 (43 %) (T4 lesion)</w:t>
            </w:r>
          </w:p>
        </w:tc>
      </w:tr>
      <w:tr w:rsidR="00FD3502" w:rsidRPr="0053312D" w14:paraId="5835CB44" w14:textId="77777777" w:rsidTr="00B95A11">
        <w:tc>
          <w:tcPr>
            <w:tcW w:w="1092" w:type="pct"/>
            <w:gridSpan w:val="2"/>
            <w:vAlign w:val="center"/>
          </w:tcPr>
          <w:p w14:paraId="2B6E0893" w14:textId="77777777" w:rsidR="00BE3CE9" w:rsidRPr="002B5BA6" w:rsidRDefault="00BE3CE9">
            <w:pPr>
              <w:pStyle w:val="TableText"/>
            </w:pPr>
            <w:r w:rsidRPr="002B5BA6">
              <w:rPr>
                <w:snapToGrid w:val="0"/>
              </w:rPr>
              <w:t>Ferro 2014</w:t>
            </w:r>
          </w:p>
        </w:tc>
        <w:tc>
          <w:tcPr>
            <w:tcW w:w="1875" w:type="pct"/>
          </w:tcPr>
          <w:p w14:paraId="374BC1E6" w14:textId="77777777" w:rsidR="00BE3CE9" w:rsidRPr="002B5BA6" w:rsidRDefault="00BE3CE9">
            <w:pPr>
              <w:pStyle w:val="TableText"/>
              <w:ind w:left="16" w:right="117"/>
              <w:jc w:val="center"/>
              <w:rPr>
                <w:snapToGrid w:val="0"/>
              </w:rPr>
            </w:pPr>
            <w:r w:rsidRPr="002B5BA6">
              <w:rPr>
                <w:snapToGrid w:val="0"/>
              </w:rPr>
              <w:t>3 months</w:t>
            </w:r>
          </w:p>
        </w:tc>
        <w:tc>
          <w:tcPr>
            <w:tcW w:w="2032" w:type="pct"/>
            <w:shd w:val="clear" w:color="auto" w:fill="auto"/>
            <w:vAlign w:val="center"/>
          </w:tcPr>
          <w:p w14:paraId="705A6DDE" w14:textId="77777777" w:rsidR="00BE3CE9" w:rsidRPr="002B5BA6" w:rsidRDefault="00BE3CE9">
            <w:pPr>
              <w:pStyle w:val="TableText"/>
              <w:ind w:right="117"/>
              <w:jc w:val="center"/>
              <w:rPr>
                <w:snapToGrid w:val="0"/>
              </w:rPr>
            </w:pPr>
            <w:r w:rsidRPr="002B5BA6">
              <w:rPr>
                <w:snapToGrid w:val="0"/>
              </w:rPr>
              <w:t>1/31 (3.2 %)</w:t>
            </w:r>
          </w:p>
        </w:tc>
      </w:tr>
      <w:tr w:rsidR="00FD3502" w:rsidRPr="0053312D" w14:paraId="004CD05F" w14:textId="77777777" w:rsidTr="00B95A11">
        <w:tc>
          <w:tcPr>
            <w:tcW w:w="1092" w:type="pct"/>
            <w:gridSpan w:val="2"/>
            <w:vAlign w:val="center"/>
          </w:tcPr>
          <w:p w14:paraId="22C3E604" w14:textId="77777777" w:rsidR="00BE3CE9" w:rsidRPr="002B5BA6" w:rsidRDefault="00BE3CE9">
            <w:pPr>
              <w:pStyle w:val="TableText"/>
              <w:rPr>
                <w:snapToGrid w:val="0"/>
              </w:rPr>
            </w:pPr>
            <w:r w:rsidRPr="002B5BA6">
              <w:rPr>
                <w:snapToGrid w:val="0"/>
              </w:rPr>
              <w:t>Caccialanza 2014</w:t>
            </w:r>
          </w:p>
        </w:tc>
        <w:tc>
          <w:tcPr>
            <w:tcW w:w="1875" w:type="pct"/>
          </w:tcPr>
          <w:p w14:paraId="505BFA06" w14:textId="77777777" w:rsidR="00BE3CE9" w:rsidRPr="002B5BA6" w:rsidRDefault="00BE3CE9">
            <w:pPr>
              <w:pStyle w:val="TableText"/>
              <w:ind w:left="16" w:right="117"/>
              <w:jc w:val="center"/>
              <w:rPr>
                <w:snapToGrid w:val="0"/>
              </w:rPr>
            </w:pPr>
            <w:r w:rsidRPr="002B5BA6">
              <w:rPr>
                <w:snapToGrid w:val="0"/>
              </w:rPr>
              <w:t>29 months (median)</w:t>
            </w:r>
          </w:p>
        </w:tc>
        <w:tc>
          <w:tcPr>
            <w:tcW w:w="2032" w:type="pct"/>
            <w:shd w:val="clear" w:color="auto" w:fill="auto"/>
            <w:vAlign w:val="center"/>
          </w:tcPr>
          <w:p w14:paraId="73939876" w14:textId="77777777" w:rsidR="00BE3CE9" w:rsidRPr="002B5BA6" w:rsidRDefault="00BE3CE9">
            <w:pPr>
              <w:pStyle w:val="TableText"/>
              <w:ind w:right="117"/>
              <w:jc w:val="center"/>
              <w:rPr>
                <w:snapToGrid w:val="0"/>
              </w:rPr>
            </w:pPr>
            <w:r w:rsidRPr="002B5BA6">
              <w:rPr>
                <w:snapToGrid w:val="0"/>
              </w:rPr>
              <w:t>1/127 (0.78%)</w:t>
            </w:r>
          </w:p>
        </w:tc>
      </w:tr>
      <w:tr w:rsidR="00FD3502" w:rsidRPr="0053312D" w14:paraId="151E30C3" w14:textId="77777777" w:rsidTr="00B95A11">
        <w:tc>
          <w:tcPr>
            <w:tcW w:w="1092" w:type="pct"/>
            <w:gridSpan w:val="2"/>
            <w:vAlign w:val="center"/>
          </w:tcPr>
          <w:p w14:paraId="1DE27666" w14:textId="77777777" w:rsidR="00BE3CE9" w:rsidRPr="002B5BA6" w:rsidRDefault="00BE3CE9">
            <w:pPr>
              <w:pStyle w:val="TableText"/>
              <w:rPr>
                <w:snapToGrid w:val="0"/>
              </w:rPr>
            </w:pPr>
            <w:r w:rsidRPr="002B5BA6">
              <w:rPr>
                <w:snapToGrid w:val="0"/>
              </w:rPr>
              <w:t>Caccialanza 2009</w:t>
            </w:r>
          </w:p>
        </w:tc>
        <w:tc>
          <w:tcPr>
            <w:tcW w:w="1875" w:type="pct"/>
          </w:tcPr>
          <w:p w14:paraId="13E4EF24" w14:textId="77777777" w:rsidR="00BE3CE9" w:rsidRPr="002B5BA6" w:rsidRDefault="00BE3CE9">
            <w:pPr>
              <w:pStyle w:val="TableText"/>
              <w:ind w:left="16" w:right="117"/>
              <w:jc w:val="center"/>
              <w:rPr>
                <w:snapToGrid w:val="0"/>
              </w:rPr>
            </w:pPr>
            <w:r w:rsidRPr="002B5BA6">
              <w:rPr>
                <w:snapToGrid w:val="0"/>
              </w:rPr>
              <w:t>1 month</w:t>
            </w:r>
          </w:p>
        </w:tc>
        <w:tc>
          <w:tcPr>
            <w:tcW w:w="2032" w:type="pct"/>
            <w:shd w:val="clear" w:color="auto" w:fill="auto"/>
            <w:vAlign w:val="center"/>
          </w:tcPr>
          <w:p w14:paraId="50B6EFE6" w14:textId="77777777" w:rsidR="00BE3CE9" w:rsidRPr="002B5BA6" w:rsidRDefault="00BE3CE9">
            <w:pPr>
              <w:pStyle w:val="TableText"/>
              <w:ind w:right="117"/>
              <w:jc w:val="center"/>
              <w:rPr>
                <w:snapToGrid w:val="0"/>
              </w:rPr>
            </w:pPr>
            <w:r w:rsidRPr="002B5BA6">
              <w:rPr>
                <w:snapToGrid w:val="0"/>
              </w:rPr>
              <w:t>3/671 (0.44%)</w:t>
            </w:r>
          </w:p>
        </w:tc>
      </w:tr>
      <w:tr w:rsidR="00FD3502" w:rsidRPr="0053312D" w14:paraId="7B5F7809" w14:textId="77777777" w:rsidTr="00B95A11">
        <w:tc>
          <w:tcPr>
            <w:tcW w:w="1092" w:type="pct"/>
            <w:gridSpan w:val="2"/>
            <w:tcBorders>
              <w:bottom w:val="single" w:sz="4" w:space="0" w:color="auto"/>
            </w:tcBorders>
          </w:tcPr>
          <w:p w14:paraId="42415306" w14:textId="77777777" w:rsidR="00BE3CE9" w:rsidRPr="002B5BA6" w:rsidRDefault="00BE3CE9">
            <w:pPr>
              <w:pStyle w:val="TableText"/>
              <w:rPr>
                <w:snapToGrid w:val="0"/>
              </w:rPr>
            </w:pPr>
            <w:r w:rsidRPr="002B5BA6">
              <w:t>Caccialanza 2005</w:t>
            </w:r>
          </w:p>
        </w:tc>
        <w:tc>
          <w:tcPr>
            <w:tcW w:w="1875" w:type="pct"/>
            <w:tcBorders>
              <w:bottom w:val="single" w:sz="4" w:space="0" w:color="auto"/>
            </w:tcBorders>
          </w:tcPr>
          <w:p w14:paraId="5F1AF122" w14:textId="77777777" w:rsidR="00BE3CE9" w:rsidRPr="002B5BA6" w:rsidRDefault="00BE3CE9">
            <w:pPr>
              <w:pStyle w:val="TableText"/>
              <w:ind w:left="16" w:right="117"/>
              <w:jc w:val="center"/>
              <w:rPr>
                <w:snapToGrid w:val="0"/>
              </w:rPr>
            </w:pPr>
            <w:r w:rsidRPr="002B5BA6">
              <w:rPr>
                <w:snapToGrid w:val="0"/>
              </w:rPr>
              <w:t xml:space="preserve">1 month </w:t>
            </w:r>
          </w:p>
        </w:tc>
        <w:tc>
          <w:tcPr>
            <w:tcW w:w="2032" w:type="pct"/>
            <w:shd w:val="clear" w:color="auto" w:fill="auto"/>
            <w:vAlign w:val="center"/>
          </w:tcPr>
          <w:p w14:paraId="27A18B08" w14:textId="77777777" w:rsidR="00BE3CE9" w:rsidRPr="002B5BA6" w:rsidRDefault="00BE3CE9">
            <w:pPr>
              <w:pStyle w:val="TableText"/>
              <w:ind w:right="117"/>
              <w:jc w:val="center"/>
              <w:rPr>
                <w:snapToGrid w:val="0"/>
              </w:rPr>
            </w:pPr>
            <w:r w:rsidRPr="002B5BA6">
              <w:rPr>
                <w:snapToGrid w:val="0"/>
              </w:rPr>
              <w:t>1/115 (0.87%)</w:t>
            </w:r>
          </w:p>
        </w:tc>
      </w:tr>
    </w:tbl>
    <w:p w14:paraId="53804F33" w14:textId="6788B2C1" w:rsidR="00BE3CE9" w:rsidRDefault="0019731C" w:rsidP="00CF329C">
      <w:pPr>
        <w:pStyle w:val="Tablenotes"/>
      </w:pPr>
      <w:r w:rsidRPr="003848F1">
        <w:t xml:space="preserve">Source: </w:t>
      </w:r>
      <w:r w:rsidR="009C454D">
        <w:t xml:space="preserve">Commentary Table 5, pg 61 of MSAC 1657 ADAR+in-line </w:t>
      </w:r>
      <w:r w:rsidR="00A93F9B">
        <w:t>c</w:t>
      </w:r>
      <w:r w:rsidR="009C454D">
        <w:t>ommentary</w:t>
      </w:r>
      <w:r w:rsidR="00CE2A11">
        <w:br/>
        <w:t>Abbreviations:</w:t>
      </w:r>
      <w:r w:rsidR="00297911">
        <w:t xml:space="preserve"> BCC= basal cell carcinoma;</w:t>
      </w:r>
      <w:r w:rsidR="00CE2A11">
        <w:t xml:space="preserve"> NR= not reported</w:t>
      </w:r>
    </w:p>
    <w:p w14:paraId="76494325" w14:textId="023E7859" w:rsidR="00216592" w:rsidRDefault="00216592" w:rsidP="003848F1">
      <w:pPr>
        <w:pStyle w:val="Caption"/>
        <w:keepLines/>
      </w:pPr>
      <w:bookmarkStart w:id="35" w:name="_Ref134011438"/>
      <w:r>
        <w:lastRenderedPageBreak/>
        <w:t xml:space="preserve">Table </w:t>
      </w:r>
      <w:r w:rsidR="00BC1AC8">
        <w:fldChar w:fldCharType="begin"/>
      </w:r>
      <w:r w:rsidR="00BC1AC8">
        <w:instrText xml:space="preserve"> SEQ Table \* ARABIC </w:instrText>
      </w:r>
      <w:r w:rsidR="00BC1AC8">
        <w:fldChar w:fldCharType="separate"/>
      </w:r>
      <w:r w:rsidR="009228FB">
        <w:rPr>
          <w:noProof/>
        </w:rPr>
        <w:t>9</w:t>
      </w:r>
      <w:r w:rsidR="00BC1AC8">
        <w:rPr>
          <w:noProof/>
        </w:rPr>
        <w:fldChar w:fldCharType="end"/>
      </w:r>
      <w:bookmarkEnd w:id="35"/>
      <w:r>
        <w:t xml:space="preserve">  Results of cosmetic outcomes across the </w:t>
      </w:r>
      <w:r w:rsidR="00C2322D">
        <w:t>EBRT studies</w:t>
      </w:r>
    </w:p>
    <w:tbl>
      <w:tblPr>
        <w:tblStyle w:val="TableGrid"/>
        <w:tblW w:w="5028" w:type="pct"/>
        <w:tblLook w:val="04A0" w:firstRow="1" w:lastRow="0" w:firstColumn="1" w:lastColumn="0" w:noHBand="0" w:noVBand="1"/>
      </w:tblPr>
      <w:tblGrid>
        <w:gridCol w:w="1588"/>
        <w:gridCol w:w="1496"/>
        <w:gridCol w:w="1496"/>
        <w:gridCol w:w="1496"/>
        <w:gridCol w:w="1496"/>
        <w:gridCol w:w="1494"/>
      </w:tblGrid>
      <w:tr w:rsidR="00216592" w:rsidRPr="002B5BA6" w14:paraId="0B29DDBB" w14:textId="77777777" w:rsidTr="003848F1">
        <w:tc>
          <w:tcPr>
            <w:tcW w:w="875" w:type="pct"/>
            <w:vAlign w:val="center"/>
          </w:tcPr>
          <w:p w14:paraId="684F67BE" w14:textId="77777777" w:rsidR="00216592" w:rsidRPr="002B5BA6" w:rsidRDefault="00216592" w:rsidP="003848F1">
            <w:pPr>
              <w:pStyle w:val="TableHeading"/>
              <w:keepLines/>
              <w:rPr>
                <w:snapToGrid w:val="0"/>
                <w:szCs w:val="20"/>
              </w:rPr>
            </w:pPr>
            <w:r w:rsidRPr="002B5BA6">
              <w:rPr>
                <w:snapToGrid w:val="0"/>
                <w:szCs w:val="20"/>
              </w:rPr>
              <w:t>Study ID</w:t>
            </w:r>
          </w:p>
        </w:tc>
        <w:tc>
          <w:tcPr>
            <w:tcW w:w="825" w:type="pct"/>
            <w:vAlign w:val="center"/>
          </w:tcPr>
          <w:p w14:paraId="494BDE15" w14:textId="77777777" w:rsidR="00216592" w:rsidRPr="002B5BA6" w:rsidRDefault="00216592" w:rsidP="003848F1">
            <w:pPr>
              <w:pStyle w:val="TableHeading"/>
              <w:keepLines/>
              <w:ind w:left="16" w:right="117"/>
              <w:jc w:val="center"/>
              <w:rPr>
                <w:snapToGrid w:val="0"/>
                <w:szCs w:val="20"/>
              </w:rPr>
            </w:pPr>
            <w:r w:rsidRPr="0053312D">
              <w:rPr>
                <w:snapToGrid w:val="0"/>
                <w:szCs w:val="20"/>
              </w:rPr>
              <w:t>Timepoint</w:t>
            </w:r>
          </w:p>
        </w:tc>
        <w:tc>
          <w:tcPr>
            <w:tcW w:w="825" w:type="pct"/>
            <w:vAlign w:val="center"/>
          </w:tcPr>
          <w:p w14:paraId="7E93A158" w14:textId="77777777" w:rsidR="00216592" w:rsidRPr="002B5BA6" w:rsidRDefault="00216592" w:rsidP="003848F1">
            <w:pPr>
              <w:pStyle w:val="TableHeading"/>
              <w:keepLines/>
              <w:ind w:left="16" w:right="117"/>
              <w:jc w:val="center"/>
              <w:rPr>
                <w:snapToGrid w:val="0"/>
                <w:szCs w:val="20"/>
              </w:rPr>
            </w:pPr>
            <w:r w:rsidRPr="0053312D">
              <w:rPr>
                <w:snapToGrid w:val="0"/>
                <w:szCs w:val="20"/>
              </w:rPr>
              <w:t>Excellent</w:t>
            </w:r>
          </w:p>
        </w:tc>
        <w:tc>
          <w:tcPr>
            <w:tcW w:w="825" w:type="pct"/>
            <w:vAlign w:val="center"/>
          </w:tcPr>
          <w:p w14:paraId="00A1A562" w14:textId="77777777" w:rsidR="00216592" w:rsidRPr="0053312D" w:rsidRDefault="00216592" w:rsidP="003848F1">
            <w:pPr>
              <w:pStyle w:val="TableHeading"/>
              <w:keepLines/>
              <w:ind w:left="111" w:right="117"/>
              <w:jc w:val="center"/>
              <w:rPr>
                <w:snapToGrid w:val="0"/>
                <w:szCs w:val="20"/>
              </w:rPr>
            </w:pPr>
            <w:r w:rsidRPr="0053312D">
              <w:rPr>
                <w:snapToGrid w:val="0"/>
                <w:szCs w:val="20"/>
              </w:rPr>
              <w:t>Good</w:t>
            </w:r>
          </w:p>
        </w:tc>
        <w:tc>
          <w:tcPr>
            <w:tcW w:w="825" w:type="pct"/>
            <w:vAlign w:val="center"/>
          </w:tcPr>
          <w:p w14:paraId="5452502E" w14:textId="77777777" w:rsidR="00216592" w:rsidRPr="002B5BA6" w:rsidRDefault="00216592" w:rsidP="003848F1">
            <w:pPr>
              <w:pStyle w:val="TableHeading"/>
              <w:keepLines/>
              <w:ind w:left="111" w:right="117"/>
              <w:jc w:val="center"/>
              <w:rPr>
                <w:snapToGrid w:val="0"/>
                <w:szCs w:val="20"/>
              </w:rPr>
            </w:pPr>
            <w:r w:rsidRPr="0053312D">
              <w:rPr>
                <w:snapToGrid w:val="0"/>
                <w:szCs w:val="20"/>
              </w:rPr>
              <w:t>Fair/ Acceptable</w:t>
            </w:r>
          </w:p>
        </w:tc>
        <w:tc>
          <w:tcPr>
            <w:tcW w:w="825" w:type="pct"/>
            <w:vAlign w:val="center"/>
          </w:tcPr>
          <w:p w14:paraId="74DADBA9" w14:textId="77777777" w:rsidR="00216592" w:rsidRPr="0053312D" w:rsidRDefault="00216592" w:rsidP="003848F1">
            <w:pPr>
              <w:pStyle w:val="TableHeading"/>
              <w:keepLines/>
              <w:ind w:left="111" w:right="117"/>
              <w:jc w:val="center"/>
              <w:rPr>
                <w:snapToGrid w:val="0"/>
                <w:szCs w:val="20"/>
              </w:rPr>
            </w:pPr>
            <w:r w:rsidRPr="0053312D">
              <w:rPr>
                <w:snapToGrid w:val="0"/>
                <w:szCs w:val="20"/>
              </w:rPr>
              <w:t>Poor/ Not acceptable</w:t>
            </w:r>
          </w:p>
        </w:tc>
      </w:tr>
      <w:tr w:rsidR="00216592" w:rsidRPr="0053312D" w14:paraId="65FB9369" w14:textId="77777777" w:rsidTr="003848F1">
        <w:tc>
          <w:tcPr>
            <w:tcW w:w="876" w:type="pct"/>
            <w:vAlign w:val="center"/>
          </w:tcPr>
          <w:p w14:paraId="602C01CF" w14:textId="77777777" w:rsidR="00216592" w:rsidRPr="002B5BA6" w:rsidRDefault="00216592" w:rsidP="003848F1">
            <w:pPr>
              <w:pStyle w:val="TableText"/>
              <w:keepNext/>
              <w:keepLines/>
              <w:rPr>
                <w:snapToGrid w:val="0"/>
                <w:szCs w:val="20"/>
              </w:rPr>
            </w:pPr>
            <w:r w:rsidRPr="002B5BA6">
              <w:rPr>
                <w:snapToGrid w:val="0"/>
                <w:szCs w:val="20"/>
              </w:rPr>
              <w:t>Ferro 2014</w:t>
            </w:r>
          </w:p>
        </w:tc>
        <w:tc>
          <w:tcPr>
            <w:tcW w:w="824" w:type="pct"/>
            <w:vAlign w:val="center"/>
          </w:tcPr>
          <w:p w14:paraId="134E48DB" w14:textId="77777777" w:rsidR="00216592" w:rsidRPr="002B5BA6" w:rsidRDefault="00216592" w:rsidP="003848F1">
            <w:pPr>
              <w:pStyle w:val="TableText"/>
              <w:keepNext/>
              <w:keepLines/>
              <w:ind w:left="16" w:right="117"/>
              <w:jc w:val="center"/>
              <w:rPr>
                <w:snapToGrid w:val="0"/>
                <w:szCs w:val="20"/>
              </w:rPr>
            </w:pPr>
            <w:r w:rsidRPr="002B5BA6">
              <w:rPr>
                <w:snapToGrid w:val="0"/>
                <w:szCs w:val="20"/>
              </w:rPr>
              <w:t>27 months</w:t>
            </w:r>
          </w:p>
        </w:tc>
        <w:tc>
          <w:tcPr>
            <w:tcW w:w="825" w:type="pct"/>
            <w:vAlign w:val="center"/>
          </w:tcPr>
          <w:p w14:paraId="3D4DA731" w14:textId="31E8F142" w:rsidR="00216592" w:rsidRPr="002B5BA6" w:rsidRDefault="00216592" w:rsidP="003848F1">
            <w:pPr>
              <w:pStyle w:val="TableText"/>
              <w:keepNext/>
              <w:keepLines/>
              <w:ind w:left="16" w:right="117"/>
              <w:jc w:val="center"/>
              <w:rPr>
                <w:snapToGrid w:val="0"/>
                <w:szCs w:val="20"/>
              </w:rPr>
            </w:pPr>
            <w:r w:rsidRPr="002B5BA6">
              <w:rPr>
                <w:snapToGrid w:val="0"/>
                <w:szCs w:val="20"/>
              </w:rPr>
              <w:t>12/27 (44.4%)</w:t>
            </w:r>
          </w:p>
        </w:tc>
        <w:tc>
          <w:tcPr>
            <w:tcW w:w="825" w:type="pct"/>
            <w:vAlign w:val="center"/>
          </w:tcPr>
          <w:p w14:paraId="6713CE07" w14:textId="10F5A4AF" w:rsidR="00216592" w:rsidRPr="0053312D" w:rsidRDefault="00216592" w:rsidP="003848F1">
            <w:pPr>
              <w:pStyle w:val="TableText"/>
              <w:keepNext/>
              <w:keepLines/>
              <w:ind w:left="111" w:right="117"/>
              <w:jc w:val="center"/>
              <w:rPr>
                <w:snapToGrid w:val="0"/>
                <w:szCs w:val="20"/>
              </w:rPr>
            </w:pPr>
            <w:r w:rsidRPr="0053312D">
              <w:rPr>
                <w:snapToGrid w:val="0"/>
                <w:szCs w:val="20"/>
              </w:rPr>
              <w:t>14/27 (51.9%)</w:t>
            </w:r>
          </w:p>
        </w:tc>
        <w:tc>
          <w:tcPr>
            <w:tcW w:w="825" w:type="pct"/>
            <w:vAlign w:val="center"/>
          </w:tcPr>
          <w:p w14:paraId="7DD3CA77" w14:textId="73D6212F" w:rsidR="00216592" w:rsidRPr="002B5BA6" w:rsidRDefault="00216592" w:rsidP="003848F1">
            <w:pPr>
              <w:pStyle w:val="TableText"/>
              <w:keepNext/>
              <w:keepLines/>
              <w:ind w:left="111" w:right="117"/>
              <w:jc w:val="center"/>
              <w:rPr>
                <w:snapToGrid w:val="0"/>
                <w:szCs w:val="20"/>
              </w:rPr>
            </w:pPr>
            <w:r w:rsidRPr="002B5BA6">
              <w:rPr>
                <w:snapToGrid w:val="0"/>
                <w:szCs w:val="20"/>
              </w:rPr>
              <w:t>1/27 (3.7%)</w:t>
            </w:r>
          </w:p>
        </w:tc>
        <w:tc>
          <w:tcPr>
            <w:tcW w:w="825" w:type="pct"/>
            <w:vAlign w:val="center"/>
          </w:tcPr>
          <w:p w14:paraId="410B34F6"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NA</w:t>
            </w:r>
          </w:p>
        </w:tc>
      </w:tr>
      <w:tr w:rsidR="00216592" w:rsidRPr="0053312D" w14:paraId="7C3BDB1E" w14:textId="77777777" w:rsidTr="003848F1">
        <w:tc>
          <w:tcPr>
            <w:tcW w:w="876" w:type="pct"/>
            <w:vAlign w:val="center"/>
          </w:tcPr>
          <w:p w14:paraId="7F531F5F" w14:textId="77777777" w:rsidR="00216592" w:rsidRPr="002B5BA6" w:rsidRDefault="00216592" w:rsidP="003848F1">
            <w:pPr>
              <w:pStyle w:val="TableText"/>
              <w:keepNext/>
              <w:keepLines/>
              <w:rPr>
                <w:snapToGrid w:val="0"/>
                <w:szCs w:val="20"/>
              </w:rPr>
            </w:pPr>
            <w:r w:rsidRPr="0053312D">
              <w:rPr>
                <w:snapToGrid w:val="0"/>
                <w:szCs w:val="20"/>
              </w:rPr>
              <w:t>Olschewski 2006</w:t>
            </w:r>
          </w:p>
        </w:tc>
        <w:tc>
          <w:tcPr>
            <w:tcW w:w="824" w:type="pct"/>
            <w:vAlign w:val="center"/>
          </w:tcPr>
          <w:p w14:paraId="32E785DC" w14:textId="77777777" w:rsidR="00216592" w:rsidRPr="002B5BA6" w:rsidRDefault="00216592" w:rsidP="003848F1">
            <w:pPr>
              <w:pStyle w:val="TableText"/>
              <w:keepNext/>
              <w:keepLines/>
              <w:ind w:left="16" w:right="117"/>
              <w:jc w:val="center"/>
              <w:rPr>
                <w:snapToGrid w:val="0"/>
                <w:szCs w:val="20"/>
              </w:rPr>
            </w:pPr>
            <w:r w:rsidRPr="0053312D">
              <w:rPr>
                <w:snapToGrid w:val="0"/>
                <w:szCs w:val="20"/>
              </w:rPr>
              <w:t>24 months</w:t>
            </w:r>
          </w:p>
        </w:tc>
        <w:tc>
          <w:tcPr>
            <w:tcW w:w="825" w:type="pct"/>
            <w:vAlign w:val="center"/>
          </w:tcPr>
          <w:p w14:paraId="7707169F" w14:textId="5D7083A4" w:rsidR="00216592" w:rsidRPr="002B5BA6" w:rsidRDefault="00216592" w:rsidP="003848F1">
            <w:pPr>
              <w:pStyle w:val="TableText"/>
              <w:keepNext/>
              <w:keepLines/>
              <w:ind w:left="16" w:right="117"/>
              <w:jc w:val="center"/>
              <w:rPr>
                <w:snapToGrid w:val="0"/>
                <w:szCs w:val="20"/>
              </w:rPr>
            </w:pPr>
            <w:r w:rsidRPr="0053312D">
              <w:rPr>
                <w:snapToGrid w:val="0"/>
                <w:szCs w:val="20"/>
              </w:rPr>
              <w:t>39/104 (38%)</w:t>
            </w:r>
          </w:p>
        </w:tc>
        <w:tc>
          <w:tcPr>
            <w:tcW w:w="825" w:type="pct"/>
            <w:vAlign w:val="center"/>
          </w:tcPr>
          <w:p w14:paraId="65FBB976" w14:textId="09F37474" w:rsidR="00216592" w:rsidRPr="002B5BA6" w:rsidRDefault="00216592" w:rsidP="003848F1">
            <w:pPr>
              <w:pStyle w:val="TableText"/>
              <w:keepNext/>
              <w:keepLines/>
              <w:ind w:left="111" w:right="117"/>
              <w:jc w:val="center"/>
              <w:rPr>
                <w:snapToGrid w:val="0"/>
                <w:szCs w:val="20"/>
              </w:rPr>
            </w:pPr>
            <w:r w:rsidRPr="0053312D">
              <w:rPr>
                <w:snapToGrid w:val="0"/>
                <w:szCs w:val="20"/>
              </w:rPr>
              <w:t>58/104 (56%)</w:t>
            </w:r>
          </w:p>
        </w:tc>
        <w:tc>
          <w:tcPr>
            <w:tcW w:w="825" w:type="pct"/>
            <w:vAlign w:val="center"/>
          </w:tcPr>
          <w:p w14:paraId="0506CCB2" w14:textId="77777777" w:rsidR="00216592" w:rsidRPr="002B5BA6" w:rsidRDefault="00216592" w:rsidP="003848F1">
            <w:pPr>
              <w:pStyle w:val="TableText"/>
              <w:keepNext/>
              <w:keepLines/>
              <w:ind w:left="111" w:right="117"/>
              <w:jc w:val="center"/>
              <w:rPr>
                <w:snapToGrid w:val="0"/>
                <w:szCs w:val="20"/>
              </w:rPr>
            </w:pPr>
            <w:r w:rsidRPr="0053312D">
              <w:rPr>
                <w:snapToGrid w:val="0"/>
                <w:szCs w:val="20"/>
              </w:rPr>
              <w:t>7/104 (6%)</w:t>
            </w:r>
          </w:p>
        </w:tc>
        <w:tc>
          <w:tcPr>
            <w:tcW w:w="825" w:type="pct"/>
            <w:vAlign w:val="center"/>
          </w:tcPr>
          <w:p w14:paraId="70E7808F"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NA</w:t>
            </w:r>
          </w:p>
        </w:tc>
      </w:tr>
      <w:tr w:rsidR="00216592" w:rsidRPr="002B5BA6" w14:paraId="7045AAE1" w14:textId="77777777" w:rsidTr="003848F1">
        <w:tc>
          <w:tcPr>
            <w:tcW w:w="876" w:type="pct"/>
            <w:vAlign w:val="center"/>
          </w:tcPr>
          <w:p w14:paraId="1F5200C4" w14:textId="77777777" w:rsidR="00216592" w:rsidRPr="0053312D" w:rsidRDefault="00216592" w:rsidP="003848F1">
            <w:pPr>
              <w:pStyle w:val="TableText"/>
              <w:keepNext/>
              <w:keepLines/>
              <w:rPr>
                <w:snapToGrid w:val="0"/>
                <w:szCs w:val="20"/>
              </w:rPr>
            </w:pPr>
            <w:r w:rsidRPr="0053312D">
              <w:rPr>
                <w:snapToGrid w:val="0"/>
                <w:szCs w:val="20"/>
              </w:rPr>
              <w:t>Pampena 2016</w:t>
            </w:r>
          </w:p>
        </w:tc>
        <w:tc>
          <w:tcPr>
            <w:tcW w:w="824" w:type="pct"/>
            <w:vAlign w:val="center"/>
          </w:tcPr>
          <w:p w14:paraId="27F42437"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32 months (median)</w:t>
            </w:r>
          </w:p>
        </w:tc>
        <w:tc>
          <w:tcPr>
            <w:tcW w:w="825" w:type="pct"/>
            <w:vAlign w:val="center"/>
          </w:tcPr>
          <w:p w14:paraId="5C1E109E" w14:textId="6805D8D0" w:rsidR="00216592" w:rsidRPr="0053312D" w:rsidRDefault="00216592" w:rsidP="003848F1">
            <w:pPr>
              <w:pStyle w:val="TableText"/>
              <w:keepNext/>
              <w:keepLines/>
              <w:ind w:left="16" w:right="117"/>
              <w:jc w:val="center"/>
              <w:rPr>
                <w:snapToGrid w:val="0"/>
                <w:szCs w:val="20"/>
              </w:rPr>
            </w:pPr>
            <w:r w:rsidRPr="0053312D">
              <w:rPr>
                <w:snapToGrid w:val="0"/>
                <w:szCs w:val="20"/>
              </w:rPr>
              <w:t>Weekly</w:t>
            </w:r>
            <w:r w:rsidR="00297911">
              <w:rPr>
                <w:snapToGrid w:val="0"/>
                <w:szCs w:val="20"/>
              </w:rPr>
              <w:t xml:space="preserve"> group</w:t>
            </w:r>
            <w:r w:rsidRPr="0053312D">
              <w:rPr>
                <w:snapToGrid w:val="0"/>
                <w:szCs w:val="20"/>
              </w:rPr>
              <w:t>: 212/275 (77%)</w:t>
            </w:r>
          </w:p>
          <w:p w14:paraId="087077E9" w14:textId="365C8CC3" w:rsidR="00216592" w:rsidRPr="0053312D" w:rsidRDefault="00216592" w:rsidP="003848F1">
            <w:pPr>
              <w:pStyle w:val="TableText"/>
              <w:keepNext/>
              <w:keepLines/>
              <w:ind w:left="16" w:right="117"/>
              <w:jc w:val="center"/>
              <w:rPr>
                <w:snapToGrid w:val="0"/>
                <w:szCs w:val="20"/>
              </w:rPr>
            </w:pPr>
            <w:r w:rsidRPr="0053312D">
              <w:rPr>
                <w:snapToGrid w:val="0"/>
                <w:szCs w:val="20"/>
              </w:rPr>
              <w:t>Daily</w:t>
            </w:r>
            <w:r w:rsidR="00297911">
              <w:rPr>
                <w:snapToGrid w:val="0"/>
                <w:szCs w:val="20"/>
              </w:rPr>
              <w:t xml:space="preserve"> group</w:t>
            </w:r>
            <w:r w:rsidRPr="0053312D">
              <w:rPr>
                <w:snapToGrid w:val="0"/>
                <w:szCs w:val="20"/>
              </w:rPr>
              <w:t>: 143/161 (88.8%)</w:t>
            </w:r>
          </w:p>
        </w:tc>
        <w:tc>
          <w:tcPr>
            <w:tcW w:w="825" w:type="pct"/>
            <w:vAlign w:val="center"/>
          </w:tcPr>
          <w:p w14:paraId="5DB4D872" w14:textId="7C803749" w:rsidR="00216592" w:rsidRPr="0053312D" w:rsidRDefault="00216592" w:rsidP="003848F1">
            <w:pPr>
              <w:pStyle w:val="TableText"/>
              <w:keepNext/>
              <w:keepLines/>
              <w:ind w:left="111" w:right="117"/>
              <w:jc w:val="center"/>
              <w:rPr>
                <w:snapToGrid w:val="0"/>
                <w:szCs w:val="20"/>
              </w:rPr>
            </w:pPr>
            <w:r w:rsidRPr="0053312D">
              <w:rPr>
                <w:snapToGrid w:val="0"/>
                <w:szCs w:val="20"/>
              </w:rPr>
              <w:t>Weekly</w:t>
            </w:r>
            <w:r w:rsidR="00297911">
              <w:rPr>
                <w:snapToGrid w:val="0"/>
                <w:szCs w:val="20"/>
              </w:rPr>
              <w:t xml:space="preserve"> group</w:t>
            </w:r>
            <w:r w:rsidRPr="0053312D">
              <w:rPr>
                <w:snapToGrid w:val="0"/>
                <w:szCs w:val="20"/>
              </w:rPr>
              <w:t>: 22/275 (8%)</w:t>
            </w:r>
          </w:p>
          <w:p w14:paraId="7DE06D18" w14:textId="1C422BFB" w:rsidR="00216592" w:rsidRPr="0053312D" w:rsidRDefault="00216592" w:rsidP="003848F1">
            <w:pPr>
              <w:pStyle w:val="TableText"/>
              <w:keepNext/>
              <w:keepLines/>
              <w:ind w:left="111" w:right="117"/>
              <w:jc w:val="center"/>
              <w:rPr>
                <w:snapToGrid w:val="0"/>
                <w:szCs w:val="20"/>
              </w:rPr>
            </w:pPr>
            <w:r w:rsidRPr="0053312D">
              <w:rPr>
                <w:snapToGrid w:val="0"/>
                <w:szCs w:val="20"/>
              </w:rPr>
              <w:t>Daily</w:t>
            </w:r>
            <w:r w:rsidR="00297911">
              <w:rPr>
                <w:snapToGrid w:val="0"/>
                <w:szCs w:val="20"/>
              </w:rPr>
              <w:t xml:space="preserve"> group</w:t>
            </w:r>
            <w:r w:rsidRPr="0053312D">
              <w:rPr>
                <w:snapToGrid w:val="0"/>
                <w:szCs w:val="20"/>
              </w:rPr>
              <w:t>: 10/161 (6.2%)</w:t>
            </w:r>
          </w:p>
        </w:tc>
        <w:tc>
          <w:tcPr>
            <w:tcW w:w="825" w:type="pct"/>
            <w:vAlign w:val="center"/>
          </w:tcPr>
          <w:p w14:paraId="25C63033" w14:textId="3EDC2EE9" w:rsidR="00216592" w:rsidRPr="0053312D" w:rsidRDefault="00216592" w:rsidP="003848F1">
            <w:pPr>
              <w:pStyle w:val="TableText"/>
              <w:keepNext/>
              <w:keepLines/>
              <w:ind w:left="111" w:right="117"/>
              <w:jc w:val="center"/>
              <w:rPr>
                <w:snapToGrid w:val="0"/>
                <w:szCs w:val="20"/>
              </w:rPr>
            </w:pPr>
            <w:r w:rsidRPr="0053312D">
              <w:rPr>
                <w:snapToGrid w:val="0"/>
                <w:szCs w:val="20"/>
              </w:rPr>
              <w:t>Weekly</w:t>
            </w:r>
            <w:r w:rsidR="00297911">
              <w:rPr>
                <w:snapToGrid w:val="0"/>
                <w:szCs w:val="20"/>
              </w:rPr>
              <w:t xml:space="preserve"> group</w:t>
            </w:r>
            <w:r w:rsidRPr="0053312D">
              <w:rPr>
                <w:snapToGrid w:val="0"/>
                <w:szCs w:val="20"/>
              </w:rPr>
              <w:t>: 6/275 (2.2%)</w:t>
            </w:r>
          </w:p>
          <w:p w14:paraId="3F33DF62" w14:textId="74ED8C8C" w:rsidR="00216592" w:rsidRPr="0053312D" w:rsidRDefault="00216592" w:rsidP="003848F1">
            <w:pPr>
              <w:pStyle w:val="TableText"/>
              <w:keepNext/>
              <w:keepLines/>
              <w:ind w:left="111" w:right="117"/>
              <w:jc w:val="center"/>
              <w:rPr>
                <w:snapToGrid w:val="0"/>
                <w:szCs w:val="20"/>
              </w:rPr>
            </w:pPr>
            <w:r w:rsidRPr="0053312D">
              <w:rPr>
                <w:snapToGrid w:val="0"/>
                <w:szCs w:val="20"/>
              </w:rPr>
              <w:t>Daily</w:t>
            </w:r>
            <w:r w:rsidR="00297911">
              <w:rPr>
                <w:snapToGrid w:val="0"/>
                <w:szCs w:val="20"/>
              </w:rPr>
              <w:t xml:space="preserve"> group</w:t>
            </w:r>
            <w:r w:rsidRPr="0053312D">
              <w:rPr>
                <w:snapToGrid w:val="0"/>
                <w:szCs w:val="20"/>
              </w:rPr>
              <w:t>: 0/161 (0%)</w:t>
            </w:r>
          </w:p>
        </w:tc>
        <w:tc>
          <w:tcPr>
            <w:tcW w:w="825" w:type="pct"/>
            <w:vAlign w:val="center"/>
          </w:tcPr>
          <w:p w14:paraId="440D77AF" w14:textId="0DC4D113" w:rsidR="00216592" w:rsidRPr="0053312D" w:rsidRDefault="00216592" w:rsidP="003848F1">
            <w:pPr>
              <w:pStyle w:val="TableText"/>
              <w:keepNext/>
              <w:keepLines/>
              <w:ind w:left="111" w:right="117"/>
              <w:jc w:val="center"/>
              <w:rPr>
                <w:snapToGrid w:val="0"/>
                <w:szCs w:val="20"/>
              </w:rPr>
            </w:pPr>
            <w:r w:rsidRPr="0053312D">
              <w:rPr>
                <w:snapToGrid w:val="0"/>
                <w:szCs w:val="20"/>
              </w:rPr>
              <w:t>Weekly</w:t>
            </w:r>
            <w:r w:rsidR="00297911">
              <w:rPr>
                <w:snapToGrid w:val="0"/>
                <w:szCs w:val="20"/>
              </w:rPr>
              <w:t xml:space="preserve"> group</w:t>
            </w:r>
            <w:r w:rsidRPr="0053312D">
              <w:rPr>
                <w:snapToGrid w:val="0"/>
                <w:szCs w:val="20"/>
              </w:rPr>
              <w:t>: 4/275 (</w:t>
            </w:r>
            <w:r w:rsidR="009F5CCA">
              <w:rPr>
                <w:snapToGrid w:val="0"/>
                <w:szCs w:val="20"/>
              </w:rPr>
              <w:t>1.4</w:t>
            </w:r>
            <w:r w:rsidRPr="0053312D">
              <w:rPr>
                <w:snapToGrid w:val="0"/>
                <w:szCs w:val="20"/>
              </w:rPr>
              <w:t>%)</w:t>
            </w:r>
          </w:p>
          <w:p w14:paraId="53B5608C" w14:textId="043F3D79" w:rsidR="00216592" w:rsidRPr="0053312D" w:rsidRDefault="00216592" w:rsidP="003848F1">
            <w:pPr>
              <w:pStyle w:val="TableText"/>
              <w:keepNext/>
              <w:keepLines/>
              <w:ind w:left="111" w:right="117"/>
              <w:jc w:val="center"/>
              <w:rPr>
                <w:snapToGrid w:val="0"/>
                <w:szCs w:val="20"/>
              </w:rPr>
            </w:pPr>
            <w:r w:rsidRPr="0053312D">
              <w:rPr>
                <w:snapToGrid w:val="0"/>
                <w:szCs w:val="20"/>
              </w:rPr>
              <w:t>Daily</w:t>
            </w:r>
            <w:r w:rsidR="00297911">
              <w:rPr>
                <w:snapToGrid w:val="0"/>
                <w:szCs w:val="20"/>
              </w:rPr>
              <w:t xml:space="preserve"> group</w:t>
            </w:r>
            <w:r w:rsidRPr="0053312D">
              <w:rPr>
                <w:snapToGrid w:val="0"/>
                <w:szCs w:val="20"/>
              </w:rPr>
              <w:t>: 2/161 (</w:t>
            </w:r>
            <w:r w:rsidR="00DE0A49">
              <w:rPr>
                <w:snapToGrid w:val="0"/>
                <w:szCs w:val="20"/>
              </w:rPr>
              <w:t>1.3</w:t>
            </w:r>
            <w:r w:rsidRPr="0053312D">
              <w:rPr>
                <w:snapToGrid w:val="0"/>
                <w:szCs w:val="20"/>
              </w:rPr>
              <w:t>%)</w:t>
            </w:r>
          </w:p>
        </w:tc>
      </w:tr>
      <w:tr w:rsidR="00216592" w:rsidRPr="0053312D" w14:paraId="764C0311" w14:textId="77777777" w:rsidTr="003848F1">
        <w:tc>
          <w:tcPr>
            <w:tcW w:w="876" w:type="pct"/>
            <w:vAlign w:val="center"/>
          </w:tcPr>
          <w:p w14:paraId="3BB979A4" w14:textId="77777777" w:rsidR="00216592" w:rsidRPr="0053312D" w:rsidRDefault="00216592" w:rsidP="003848F1">
            <w:pPr>
              <w:pStyle w:val="TableText"/>
              <w:keepNext/>
              <w:keepLines/>
              <w:rPr>
                <w:snapToGrid w:val="0"/>
                <w:szCs w:val="20"/>
              </w:rPr>
            </w:pPr>
            <w:r w:rsidRPr="0053312D">
              <w:rPr>
                <w:snapToGrid w:val="0"/>
                <w:szCs w:val="20"/>
              </w:rPr>
              <w:t>Avril 1997/Petit 2000</w:t>
            </w:r>
          </w:p>
        </w:tc>
        <w:tc>
          <w:tcPr>
            <w:tcW w:w="824" w:type="pct"/>
            <w:vAlign w:val="center"/>
          </w:tcPr>
          <w:p w14:paraId="557C64D0"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48 months</w:t>
            </w:r>
          </w:p>
        </w:tc>
        <w:tc>
          <w:tcPr>
            <w:tcW w:w="825" w:type="pct"/>
            <w:vAlign w:val="center"/>
          </w:tcPr>
          <w:p w14:paraId="20347068"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16C90E64"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75/113 (69%)</w:t>
            </w:r>
          </w:p>
        </w:tc>
        <w:tc>
          <w:tcPr>
            <w:tcW w:w="825" w:type="pct"/>
            <w:vAlign w:val="center"/>
          </w:tcPr>
          <w:p w14:paraId="3A39C62E" w14:textId="3BF5EAAB" w:rsidR="00216592" w:rsidRPr="0053312D" w:rsidRDefault="005D7E6D" w:rsidP="003848F1">
            <w:pPr>
              <w:pStyle w:val="TableText"/>
              <w:keepNext/>
              <w:keepLines/>
              <w:ind w:left="111" w:right="117"/>
              <w:jc w:val="center"/>
              <w:rPr>
                <w:snapToGrid w:val="0"/>
                <w:szCs w:val="20"/>
              </w:rPr>
            </w:pPr>
            <w:r>
              <w:rPr>
                <w:snapToGrid w:val="0"/>
              </w:rPr>
              <w:t>24/112 (22%)</w:t>
            </w:r>
          </w:p>
        </w:tc>
        <w:tc>
          <w:tcPr>
            <w:tcW w:w="825" w:type="pct"/>
            <w:vAlign w:val="center"/>
          </w:tcPr>
          <w:p w14:paraId="5574A0DC"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9/112 (8%)</w:t>
            </w:r>
          </w:p>
        </w:tc>
      </w:tr>
      <w:tr w:rsidR="00216592" w:rsidRPr="0053312D" w14:paraId="1DD17B8C" w14:textId="77777777" w:rsidTr="003848F1">
        <w:tc>
          <w:tcPr>
            <w:tcW w:w="876" w:type="pct"/>
            <w:vAlign w:val="center"/>
          </w:tcPr>
          <w:p w14:paraId="5D1E99A3" w14:textId="77777777" w:rsidR="00216592" w:rsidRPr="0053312D" w:rsidRDefault="00216592" w:rsidP="003848F1">
            <w:pPr>
              <w:pStyle w:val="TableText"/>
              <w:keepNext/>
              <w:keepLines/>
              <w:rPr>
                <w:snapToGrid w:val="0"/>
                <w:szCs w:val="20"/>
              </w:rPr>
            </w:pPr>
            <w:r w:rsidRPr="002B5BA6">
              <w:rPr>
                <w:snapToGrid w:val="0"/>
                <w:szCs w:val="20"/>
              </w:rPr>
              <w:t>Piccinno 2020</w:t>
            </w:r>
          </w:p>
        </w:tc>
        <w:tc>
          <w:tcPr>
            <w:tcW w:w="824" w:type="pct"/>
            <w:vAlign w:val="center"/>
          </w:tcPr>
          <w:p w14:paraId="79F8E2CB"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39 months (median)</w:t>
            </w:r>
          </w:p>
        </w:tc>
        <w:tc>
          <w:tcPr>
            <w:tcW w:w="825" w:type="pct"/>
            <w:vAlign w:val="center"/>
          </w:tcPr>
          <w:p w14:paraId="5C218B1E"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0DE2E407"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8/47 (17%)</w:t>
            </w:r>
          </w:p>
        </w:tc>
        <w:tc>
          <w:tcPr>
            <w:tcW w:w="825" w:type="pct"/>
            <w:vAlign w:val="center"/>
          </w:tcPr>
          <w:p w14:paraId="5452AA1F"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39/47 (83%)</w:t>
            </w:r>
          </w:p>
        </w:tc>
        <w:tc>
          <w:tcPr>
            <w:tcW w:w="825" w:type="pct"/>
            <w:vAlign w:val="center"/>
          </w:tcPr>
          <w:p w14:paraId="02554F57"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0%</w:t>
            </w:r>
          </w:p>
        </w:tc>
      </w:tr>
      <w:tr w:rsidR="00216592" w:rsidRPr="0053312D" w14:paraId="043B2F63" w14:textId="77777777" w:rsidTr="003848F1">
        <w:tc>
          <w:tcPr>
            <w:tcW w:w="876" w:type="pct"/>
            <w:vAlign w:val="center"/>
          </w:tcPr>
          <w:p w14:paraId="087D7385" w14:textId="77777777" w:rsidR="00216592" w:rsidRPr="0053312D" w:rsidRDefault="00216592" w:rsidP="003848F1">
            <w:pPr>
              <w:pStyle w:val="TableText"/>
              <w:keepNext/>
              <w:keepLines/>
              <w:rPr>
                <w:snapToGrid w:val="0"/>
                <w:szCs w:val="20"/>
              </w:rPr>
            </w:pPr>
            <w:r w:rsidRPr="0053312D">
              <w:rPr>
                <w:snapToGrid w:val="0"/>
                <w:szCs w:val="20"/>
              </w:rPr>
              <w:t>Caccialanza 2014</w:t>
            </w:r>
          </w:p>
        </w:tc>
        <w:tc>
          <w:tcPr>
            <w:tcW w:w="824" w:type="pct"/>
            <w:vAlign w:val="center"/>
          </w:tcPr>
          <w:p w14:paraId="4FC56EA3"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NR</w:t>
            </w:r>
          </w:p>
        </w:tc>
        <w:tc>
          <w:tcPr>
            <w:tcW w:w="825" w:type="pct"/>
            <w:vAlign w:val="center"/>
          </w:tcPr>
          <w:p w14:paraId="64323B54"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761AF6BB" w14:textId="043847D0" w:rsidR="00216592" w:rsidRPr="0053312D" w:rsidRDefault="00216592" w:rsidP="003848F1">
            <w:pPr>
              <w:pStyle w:val="TableText"/>
              <w:keepNext/>
              <w:keepLines/>
              <w:ind w:left="111" w:right="117"/>
              <w:jc w:val="center"/>
              <w:rPr>
                <w:snapToGrid w:val="0"/>
                <w:szCs w:val="20"/>
              </w:rPr>
            </w:pPr>
            <w:r w:rsidRPr="0053312D">
              <w:rPr>
                <w:snapToGrid w:val="0"/>
                <w:szCs w:val="20"/>
              </w:rPr>
              <w:t>77/122 (62.</w:t>
            </w:r>
            <w:r w:rsidR="009F5CCA">
              <w:rPr>
                <w:snapToGrid w:val="0"/>
                <w:szCs w:val="20"/>
              </w:rPr>
              <w:t>3</w:t>
            </w:r>
            <w:r w:rsidRPr="0053312D">
              <w:rPr>
                <w:snapToGrid w:val="0"/>
                <w:szCs w:val="20"/>
              </w:rPr>
              <w:t>%)</w:t>
            </w:r>
          </w:p>
        </w:tc>
        <w:tc>
          <w:tcPr>
            <w:tcW w:w="825" w:type="pct"/>
            <w:vAlign w:val="center"/>
          </w:tcPr>
          <w:p w14:paraId="03784F63" w14:textId="051FF17C" w:rsidR="00216592" w:rsidRPr="0053312D" w:rsidRDefault="00216592" w:rsidP="003848F1">
            <w:pPr>
              <w:pStyle w:val="TableText"/>
              <w:keepNext/>
              <w:keepLines/>
              <w:ind w:left="111" w:right="117"/>
              <w:jc w:val="center"/>
              <w:rPr>
                <w:snapToGrid w:val="0"/>
                <w:szCs w:val="20"/>
              </w:rPr>
            </w:pPr>
            <w:r w:rsidRPr="0053312D">
              <w:rPr>
                <w:snapToGrid w:val="0"/>
                <w:szCs w:val="20"/>
              </w:rPr>
              <w:t>34/122 (27.</w:t>
            </w:r>
            <w:r w:rsidR="009F5CCA">
              <w:rPr>
                <w:snapToGrid w:val="0"/>
                <w:szCs w:val="20"/>
              </w:rPr>
              <w:t>1</w:t>
            </w:r>
            <w:r w:rsidRPr="0053312D">
              <w:rPr>
                <w:snapToGrid w:val="0"/>
                <w:szCs w:val="20"/>
              </w:rPr>
              <w:t>%)</w:t>
            </w:r>
          </w:p>
        </w:tc>
        <w:tc>
          <w:tcPr>
            <w:tcW w:w="825" w:type="pct"/>
            <w:vAlign w:val="center"/>
          </w:tcPr>
          <w:p w14:paraId="398A285C" w14:textId="0ED92515" w:rsidR="00216592" w:rsidRPr="0053312D" w:rsidRDefault="00216592" w:rsidP="003848F1">
            <w:pPr>
              <w:pStyle w:val="TableText"/>
              <w:keepNext/>
              <w:keepLines/>
              <w:ind w:left="111" w:right="117"/>
              <w:jc w:val="center"/>
              <w:rPr>
                <w:snapToGrid w:val="0"/>
                <w:szCs w:val="20"/>
              </w:rPr>
            </w:pPr>
            <w:r w:rsidRPr="0053312D">
              <w:rPr>
                <w:snapToGrid w:val="0"/>
                <w:szCs w:val="20"/>
              </w:rPr>
              <w:t>4/122 (4.</w:t>
            </w:r>
            <w:r w:rsidR="009F5CCA">
              <w:rPr>
                <w:snapToGrid w:val="0"/>
                <w:szCs w:val="20"/>
              </w:rPr>
              <w:t>1</w:t>
            </w:r>
            <w:r w:rsidRPr="0053312D">
              <w:rPr>
                <w:snapToGrid w:val="0"/>
                <w:szCs w:val="20"/>
              </w:rPr>
              <w:t>%)</w:t>
            </w:r>
          </w:p>
        </w:tc>
      </w:tr>
      <w:tr w:rsidR="00216592" w:rsidRPr="0053312D" w14:paraId="794CCF93" w14:textId="77777777" w:rsidTr="003848F1">
        <w:tc>
          <w:tcPr>
            <w:tcW w:w="876" w:type="pct"/>
            <w:vAlign w:val="center"/>
          </w:tcPr>
          <w:p w14:paraId="6D9593E5" w14:textId="77777777" w:rsidR="00216592" w:rsidRPr="0053312D" w:rsidRDefault="00216592" w:rsidP="003848F1">
            <w:pPr>
              <w:pStyle w:val="TableText"/>
              <w:keepNext/>
              <w:keepLines/>
              <w:rPr>
                <w:snapToGrid w:val="0"/>
                <w:szCs w:val="20"/>
              </w:rPr>
            </w:pPr>
            <w:r w:rsidRPr="0053312D">
              <w:rPr>
                <w:snapToGrid w:val="0"/>
                <w:szCs w:val="20"/>
              </w:rPr>
              <w:t>Van Hezewijk 2010</w:t>
            </w:r>
            <w:r w:rsidRPr="0053312D">
              <w:rPr>
                <w:snapToGrid w:val="0"/>
                <w:szCs w:val="20"/>
                <w:vertAlign w:val="superscript"/>
              </w:rPr>
              <w:t>*</w:t>
            </w:r>
          </w:p>
        </w:tc>
        <w:tc>
          <w:tcPr>
            <w:tcW w:w="824" w:type="pct"/>
            <w:vAlign w:val="center"/>
          </w:tcPr>
          <w:p w14:paraId="1E57BB78" w14:textId="3FA81AA6" w:rsidR="00216592" w:rsidRPr="0053312D" w:rsidRDefault="00216592" w:rsidP="003848F1">
            <w:pPr>
              <w:pStyle w:val="TableText"/>
              <w:keepNext/>
              <w:keepLines/>
              <w:ind w:left="16" w:right="117"/>
              <w:jc w:val="center"/>
              <w:rPr>
                <w:snapToGrid w:val="0"/>
                <w:szCs w:val="20"/>
              </w:rPr>
            </w:pPr>
            <w:r w:rsidRPr="0053312D">
              <w:rPr>
                <w:snapToGrid w:val="0"/>
                <w:szCs w:val="20"/>
              </w:rPr>
              <w:t>54 Gy group</w:t>
            </w:r>
            <w:r w:rsidR="0020401E">
              <w:rPr>
                <w:snapToGrid w:val="0"/>
                <w:szCs w:val="20"/>
              </w:rPr>
              <w:t>: 66 months</w:t>
            </w:r>
          </w:p>
          <w:p w14:paraId="26BFA710" w14:textId="2D451C30" w:rsidR="00216592" w:rsidRPr="0053312D" w:rsidRDefault="00216592" w:rsidP="003848F1">
            <w:pPr>
              <w:pStyle w:val="TableText"/>
              <w:keepNext/>
              <w:keepLines/>
              <w:ind w:left="16" w:right="117"/>
              <w:jc w:val="center"/>
              <w:rPr>
                <w:snapToGrid w:val="0"/>
                <w:szCs w:val="20"/>
              </w:rPr>
            </w:pPr>
            <w:r w:rsidRPr="0053312D">
              <w:rPr>
                <w:snapToGrid w:val="0"/>
                <w:szCs w:val="20"/>
              </w:rPr>
              <w:t>44 Gy group</w:t>
            </w:r>
            <w:r w:rsidR="0020401E">
              <w:rPr>
                <w:snapToGrid w:val="0"/>
                <w:szCs w:val="20"/>
              </w:rPr>
              <w:t>: 22 months</w:t>
            </w:r>
          </w:p>
        </w:tc>
        <w:tc>
          <w:tcPr>
            <w:tcW w:w="825" w:type="pct"/>
            <w:vAlign w:val="center"/>
          </w:tcPr>
          <w:p w14:paraId="2178DAB2"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346A95E3"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54 Gy group: 38%</w:t>
            </w:r>
          </w:p>
          <w:p w14:paraId="7804FA48"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44 Gy group: 33%</w:t>
            </w:r>
          </w:p>
        </w:tc>
        <w:tc>
          <w:tcPr>
            <w:tcW w:w="825" w:type="pct"/>
            <w:vAlign w:val="center"/>
          </w:tcPr>
          <w:p w14:paraId="72028DAB"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54 Gy group: 49%</w:t>
            </w:r>
          </w:p>
          <w:p w14:paraId="6701E084"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44 Gy group: 50%</w:t>
            </w:r>
          </w:p>
        </w:tc>
        <w:tc>
          <w:tcPr>
            <w:tcW w:w="825" w:type="pct"/>
            <w:vAlign w:val="center"/>
          </w:tcPr>
          <w:p w14:paraId="4E0F0A7C"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54 Gy group: 13%</w:t>
            </w:r>
          </w:p>
          <w:p w14:paraId="32120B6B"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44 Gy group:17%</w:t>
            </w:r>
          </w:p>
        </w:tc>
      </w:tr>
      <w:tr w:rsidR="00DB0525" w:rsidRPr="0053312D" w14:paraId="131463F3" w14:textId="77777777" w:rsidTr="003848F1">
        <w:tc>
          <w:tcPr>
            <w:tcW w:w="876" w:type="pct"/>
            <w:vAlign w:val="center"/>
          </w:tcPr>
          <w:p w14:paraId="12C43417" w14:textId="77777777" w:rsidR="00DB0525" w:rsidRPr="0053312D" w:rsidRDefault="00DB0525" w:rsidP="003848F1">
            <w:pPr>
              <w:pStyle w:val="TableText"/>
              <w:keepNext/>
              <w:keepLines/>
              <w:rPr>
                <w:snapToGrid w:val="0"/>
                <w:szCs w:val="20"/>
              </w:rPr>
            </w:pPr>
            <w:r w:rsidRPr="0053312D">
              <w:rPr>
                <w:snapToGrid w:val="0"/>
                <w:szCs w:val="20"/>
              </w:rPr>
              <w:t>Caccialanza 2009</w:t>
            </w:r>
          </w:p>
        </w:tc>
        <w:tc>
          <w:tcPr>
            <w:tcW w:w="824" w:type="pct"/>
            <w:vAlign w:val="center"/>
          </w:tcPr>
          <w:p w14:paraId="0C0F093C" w14:textId="77777777" w:rsidR="00DB0525" w:rsidRPr="0053312D" w:rsidRDefault="00DB0525" w:rsidP="003848F1">
            <w:pPr>
              <w:pStyle w:val="TableText"/>
              <w:keepNext/>
              <w:keepLines/>
              <w:ind w:left="16" w:right="117"/>
              <w:jc w:val="center"/>
              <w:rPr>
                <w:snapToGrid w:val="0"/>
                <w:szCs w:val="20"/>
              </w:rPr>
            </w:pPr>
            <w:r w:rsidRPr="0053312D">
              <w:rPr>
                <w:snapToGrid w:val="0"/>
                <w:szCs w:val="20"/>
              </w:rPr>
              <w:t>NR</w:t>
            </w:r>
          </w:p>
        </w:tc>
        <w:tc>
          <w:tcPr>
            <w:tcW w:w="825" w:type="pct"/>
            <w:vAlign w:val="center"/>
          </w:tcPr>
          <w:p w14:paraId="37E20316" w14:textId="77777777" w:rsidR="00DB0525" w:rsidRPr="0053312D" w:rsidRDefault="00DB0525"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749D36FC" w14:textId="038B6206" w:rsidR="00DB0525" w:rsidRPr="0053312D" w:rsidRDefault="00DB0525" w:rsidP="003848F1">
            <w:pPr>
              <w:pStyle w:val="TableText"/>
              <w:keepNext/>
              <w:keepLines/>
              <w:ind w:left="111" w:right="117"/>
              <w:jc w:val="center"/>
              <w:rPr>
                <w:snapToGrid w:val="0"/>
                <w:szCs w:val="20"/>
              </w:rPr>
            </w:pPr>
            <w:r w:rsidRPr="0053312D">
              <w:rPr>
                <w:snapToGrid w:val="0"/>
                <w:szCs w:val="20"/>
              </w:rPr>
              <w:t>496/671 (</w:t>
            </w:r>
            <w:r>
              <w:rPr>
                <w:snapToGrid w:val="0"/>
                <w:szCs w:val="20"/>
              </w:rPr>
              <w:t>74.5</w:t>
            </w:r>
            <w:r w:rsidRPr="0053312D">
              <w:rPr>
                <w:snapToGrid w:val="0"/>
                <w:szCs w:val="20"/>
              </w:rPr>
              <w:t>%)</w:t>
            </w:r>
          </w:p>
        </w:tc>
        <w:tc>
          <w:tcPr>
            <w:tcW w:w="825" w:type="pct"/>
            <w:vAlign w:val="center"/>
          </w:tcPr>
          <w:p w14:paraId="4E535323" w14:textId="597AD0D7" w:rsidR="00DB0525" w:rsidRPr="0053312D" w:rsidRDefault="00DB0525" w:rsidP="003848F1">
            <w:pPr>
              <w:pStyle w:val="TableText"/>
              <w:keepNext/>
              <w:keepLines/>
              <w:ind w:left="111" w:right="117"/>
              <w:jc w:val="center"/>
              <w:rPr>
                <w:snapToGrid w:val="0"/>
                <w:szCs w:val="20"/>
              </w:rPr>
            </w:pPr>
            <w:r>
              <w:rPr>
                <w:snapToGrid w:val="0"/>
                <w:szCs w:val="20"/>
              </w:rPr>
              <w:t>149</w:t>
            </w:r>
            <w:r w:rsidRPr="0053312D">
              <w:rPr>
                <w:snapToGrid w:val="0"/>
                <w:szCs w:val="20"/>
              </w:rPr>
              <w:t>/671 (</w:t>
            </w:r>
            <w:r w:rsidR="00560AB8">
              <w:rPr>
                <w:snapToGrid w:val="0"/>
                <w:szCs w:val="20"/>
              </w:rPr>
              <w:t>22.4</w:t>
            </w:r>
            <w:r w:rsidRPr="0053312D">
              <w:rPr>
                <w:snapToGrid w:val="0"/>
                <w:szCs w:val="20"/>
              </w:rPr>
              <w:t>%)</w:t>
            </w:r>
          </w:p>
        </w:tc>
        <w:tc>
          <w:tcPr>
            <w:tcW w:w="825" w:type="pct"/>
            <w:vAlign w:val="center"/>
          </w:tcPr>
          <w:p w14:paraId="6DA94DA3" w14:textId="088352D8" w:rsidR="00DB0525" w:rsidRPr="0053312D" w:rsidRDefault="001C0289" w:rsidP="003848F1">
            <w:pPr>
              <w:pStyle w:val="TableText"/>
              <w:keepNext/>
              <w:keepLines/>
              <w:ind w:left="111" w:right="117"/>
              <w:jc w:val="center"/>
              <w:rPr>
                <w:snapToGrid w:val="0"/>
                <w:szCs w:val="20"/>
              </w:rPr>
            </w:pPr>
            <w:r>
              <w:rPr>
                <w:snapToGrid w:val="0"/>
                <w:szCs w:val="20"/>
              </w:rPr>
              <w:t>16</w:t>
            </w:r>
            <w:r w:rsidR="00DB0525" w:rsidRPr="0053312D">
              <w:rPr>
                <w:snapToGrid w:val="0"/>
                <w:szCs w:val="20"/>
              </w:rPr>
              <w:t>/671 (</w:t>
            </w:r>
            <w:r>
              <w:rPr>
                <w:snapToGrid w:val="0"/>
                <w:szCs w:val="20"/>
              </w:rPr>
              <w:t>2.4</w:t>
            </w:r>
            <w:r w:rsidR="00DB0525" w:rsidRPr="0053312D">
              <w:rPr>
                <w:snapToGrid w:val="0"/>
                <w:szCs w:val="20"/>
              </w:rPr>
              <w:t>%)</w:t>
            </w:r>
          </w:p>
        </w:tc>
      </w:tr>
      <w:tr w:rsidR="00216592" w:rsidRPr="0053312D" w14:paraId="57DBCF08" w14:textId="77777777" w:rsidTr="003848F1">
        <w:tc>
          <w:tcPr>
            <w:tcW w:w="876" w:type="pct"/>
            <w:vAlign w:val="center"/>
          </w:tcPr>
          <w:p w14:paraId="104B0CF7" w14:textId="77777777" w:rsidR="00216592" w:rsidRPr="0053312D" w:rsidRDefault="00216592" w:rsidP="003848F1">
            <w:pPr>
              <w:pStyle w:val="TableText"/>
              <w:keepNext/>
              <w:keepLines/>
              <w:rPr>
                <w:snapToGrid w:val="0"/>
                <w:szCs w:val="20"/>
              </w:rPr>
            </w:pPr>
            <w:r w:rsidRPr="0053312D">
              <w:rPr>
                <w:snapToGrid w:val="0"/>
                <w:szCs w:val="20"/>
              </w:rPr>
              <w:t>Caccialanza 2003</w:t>
            </w:r>
          </w:p>
        </w:tc>
        <w:tc>
          <w:tcPr>
            <w:tcW w:w="824" w:type="pct"/>
            <w:vAlign w:val="center"/>
          </w:tcPr>
          <w:p w14:paraId="2A3D0F3D"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NR</w:t>
            </w:r>
          </w:p>
        </w:tc>
        <w:tc>
          <w:tcPr>
            <w:tcW w:w="825" w:type="pct"/>
            <w:vAlign w:val="center"/>
          </w:tcPr>
          <w:p w14:paraId="037E50C9" w14:textId="77777777" w:rsidR="00216592" w:rsidRPr="0053312D" w:rsidRDefault="00216592" w:rsidP="003848F1">
            <w:pPr>
              <w:pStyle w:val="TableText"/>
              <w:keepNext/>
              <w:keepLines/>
              <w:ind w:left="16" w:right="117"/>
              <w:jc w:val="center"/>
              <w:rPr>
                <w:snapToGrid w:val="0"/>
                <w:szCs w:val="20"/>
              </w:rPr>
            </w:pPr>
            <w:r w:rsidRPr="0053312D">
              <w:rPr>
                <w:snapToGrid w:val="0"/>
                <w:szCs w:val="20"/>
              </w:rPr>
              <w:t>NA</w:t>
            </w:r>
          </w:p>
        </w:tc>
        <w:tc>
          <w:tcPr>
            <w:tcW w:w="825" w:type="pct"/>
            <w:vAlign w:val="center"/>
          </w:tcPr>
          <w:p w14:paraId="1FEDD649"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289/381 (75.9%)</w:t>
            </w:r>
          </w:p>
        </w:tc>
        <w:tc>
          <w:tcPr>
            <w:tcW w:w="825" w:type="pct"/>
            <w:vAlign w:val="center"/>
          </w:tcPr>
          <w:p w14:paraId="024268E5"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82/381 (21.5%)</w:t>
            </w:r>
          </w:p>
        </w:tc>
        <w:tc>
          <w:tcPr>
            <w:tcW w:w="825" w:type="pct"/>
            <w:vAlign w:val="center"/>
          </w:tcPr>
          <w:p w14:paraId="48BEB969" w14:textId="77777777" w:rsidR="00216592" w:rsidRPr="0053312D" w:rsidRDefault="00216592" w:rsidP="003848F1">
            <w:pPr>
              <w:pStyle w:val="TableText"/>
              <w:keepNext/>
              <w:keepLines/>
              <w:ind w:left="111" w:right="117"/>
              <w:jc w:val="center"/>
              <w:rPr>
                <w:snapToGrid w:val="0"/>
                <w:szCs w:val="20"/>
              </w:rPr>
            </w:pPr>
            <w:r w:rsidRPr="0053312D">
              <w:rPr>
                <w:snapToGrid w:val="0"/>
                <w:szCs w:val="20"/>
              </w:rPr>
              <w:t>9/381 (2.4%)</w:t>
            </w:r>
          </w:p>
        </w:tc>
      </w:tr>
    </w:tbl>
    <w:p w14:paraId="64ED1261" w14:textId="1B420E35" w:rsidR="0019731C" w:rsidRPr="0033626B" w:rsidRDefault="00297911" w:rsidP="003848F1">
      <w:pPr>
        <w:pStyle w:val="Tablenotes"/>
        <w:keepNext/>
        <w:keepLines/>
      </w:pPr>
      <w:r>
        <w:t xml:space="preserve">Source: </w:t>
      </w:r>
      <w:r w:rsidR="00065A6C">
        <w:t xml:space="preserve">Commentary Table 6, pg 62 of MSAC 1657 ADAR+in-line </w:t>
      </w:r>
      <w:r w:rsidR="00A93F9B">
        <w:t>c</w:t>
      </w:r>
      <w:r w:rsidR="00065A6C">
        <w:t>ommentary</w:t>
      </w:r>
      <w:r>
        <w:br/>
      </w:r>
      <w:r w:rsidR="0033626B" w:rsidRPr="003848F1">
        <w:t>* Also reported patient assessed cosmetic outcomes. Cosmetic scoring options for each study: Excellent, Good, Fair (Ferro 2014), Excellent, Good, Fair, Poor (Olschewski 2006; Pampena 2016), Good, Fair, Poor (Avril 1997/Petit 2000, Van Hezewijk 2010), Good, Acceptable, Not acceptable (Piccinno 2020, Caccialanza 2009, Caccialanza 2003)</w:t>
      </w:r>
      <w:r w:rsidR="0033626B" w:rsidRPr="003848F1">
        <w:br/>
        <w:t>Abbreviations: NA= not applicable; NR= not reported;</w:t>
      </w:r>
    </w:p>
    <w:p w14:paraId="213924C6" w14:textId="11D5654C" w:rsidR="00772829" w:rsidRDefault="00772829" w:rsidP="003848F1">
      <w:pPr>
        <w:pStyle w:val="Heading3"/>
      </w:pPr>
      <w:r w:rsidRPr="00223664">
        <w:t>Clinical claim</w:t>
      </w:r>
    </w:p>
    <w:p w14:paraId="081363A4" w14:textId="42A66310" w:rsidR="005A0D24" w:rsidRDefault="005A0D24" w:rsidP="005A0D24">
      <w:r>
        <w:t xml:space="preserve">The ADAR </w:t>
      </w:r>
      <w:r w:rsidR="00B867B4">
        <w:t>stated</w:t>
      </w:r>
      <w:r w:rsidR="006907AD">
        <w:t xml:space="preserve"> that</w:t>
      </w:r>
      <w:r>
        <w:t xml:space="preserve"> the evidence available to inform a </w:t>
      </w:r>
      <w:r w:rsidR="007272EC">
        <w:t xml:space="preserve">comparative </w:t>
      </w:r>
      <w:r>
        <w:t>clinical evaluation of Re-188 brachytherapy and EBRT within the proposed MBS setting had significant limitation</w:t>
      </w:r>
      <w:r w:rsidR="00464ECA">
        <w:t>s</w:t>
      </w:r>
      <w:r>
        <w:t xml:space="preserve"> which prevent </w:t>
      </w:r>
      <w:r w:rsidR="006F191B">
        <w:t>the ADAR</w:t>
      </w:r>
      <w:r w:rsidR="006F5210">
        <w:t xml:space="preserve"> from </w:t>
      </w:r>
      <w:r>
        <w:t xml:space="preserve">making any formal clinical claims. Specifically, </w:t>
      </w:r>
      <w:r w:rsidR="00464ECA">
        <w:t xml:space="preserve">that the </w:t>
      </w:r>
      <w:r>
        <w:t xml:space="preserve">evidence presented consisted of ‘two discrete sets of heterogenous, essentially single-arm, prospective and retrospective, </w:t>
      </w:r>
      <w:r w:rsidR="00097B68">
        <w:t>investigator-initiated</w:t>
      </w:r>
      <w:r>
        <w:t xml:space="preserve"> studies, conducted in a wide range of patient populations and clinical settings, over 50 years’. Despite this statement, the ADAR concluded </w:t>
      </w:r>
      <w:r w:rsidR="00647CF5">
        <w:t xml:space="preserve">that </w:t>
      </w:r>
      <w:r w:rsidR="00647CF5" w:rsidRPr="00647CF5">
        <w:t xml:space="preserve">Re-188 brachytherapy is likely to provide generally similar effectiveness and safety to a conventionally fractionated regimen of EBRT using either </w:t>
      </w:r>
      <w:r w:rsidR="00226FE3">
        <w:t>3D megavoltage</w:t>
      </w:r>
      <w:r w:rsidR="00647CF5" w:rsidRPr="00647CF5">
        <w:t xml:space="preserve"> or IMRT/VMAT technologies</w:t>
      </w:r>
      <w:r w:rsidR="00F77024">
        <w:t>.</w:t>
      </w:r>
      <w:r w:rsidR="00847F2B">
        <w:t xml:space="preserve"> </w:t>
      </w:r>
      <w:r w:rsidR="00363A6C">
        <w:t xml:space="preserve">However, </w:t>
      </w:r>
      <w:r w:rsidR="00F77024">
        <w:t xml:space="preserve">due to the paucity and limitations of the available evidence, </w:t>
      </w:r>
      <w:r w:rsidR="00363A6C">
        <w:t xml:space="preserve">the </w:t>
      </w:r>
      <w:r w:rsidR="00A93F9B">
        <w:t>c</w:t>
      </w:r>
      <w:r w:rsidR="00363A6C">
        <w:t>ommentary considered that a</w:t>
      </w:r>
      <w:r w:rsidR="00253125" w:rsidRPr="00253125">
        <w:t xml:space="preserve"> clinical claim of uncertain comparative safety and effectiveness is probably more appropriate. </w:t>
      </w:r>
    </w:p>
    <w:p w14:paraId="17B3459E" w14:textId="78F68798" w:rsidR="00847F2B" w:rsidRPr="00223664" w:rsidRDefault="00847F2B" w:rsidP="005A0D24">
      <w:r>
        <w:t xml:space="preserve">MSAC considered that the comparative effectiveness and safety Re-188 brachytherapy versus EBRT was uncertain at this time. MSAC noted the final peer-reviewed results from the international EPIC-Skin study may assist with MSAC decision-making regarding the ADAR’s clinical claims. </w:t>
      </w:r>
    </w:p>
    <w:p w14:paraId="0D09C9E4" w14:textId="239D16C8" w:rsidR="00772829" w:rsidRPr="00CE28E3" w:rsidRDefault="00C36633" w:rsidP="002A18BE">
      <w:pPr>
        <w:pStyle w:val="Heading2"/>
        <w:numPr>
          <w:ilvl w:val="0"/>
          <w:numId w:val="0"/>
        </w:numPr>
      </w:pPr>
      <w:bookmarkStart w:id="36" w:name="_Toc69491425"/>
      <w:r>
        <w:lastRenderedPageBreak/>
        <w:t>1</w:t>
      </w:r>
      <w:r w:rsidR="00F76D74">
        <w:t>3</w:t>
      </w:r>
      <w:r>
        <w:t>.</w:t>
      </w:r>
      <w:r>
        <w:tab/>
      </w:r>
      <w:r w:rsidR="00772829" w:rsidRPr="00CE28E3">
        <w:t>Economic evaluation</w:t>
      </w:r>
      <w:bookmarkEnd w:id="36"/>
    </w:p>
    <w:p w14:paraId="60C0A127" w14:textId="606C45C5" w:rsidR="00AF161B" w:rsidRDefault="00936085" w:rsidP="009B11A9">
      <w:r>
        <w:t xml:space="preserve">The ADAR </w:t>
      </w:r>
      <w:r w:rsidR="00CD0376">
        <w:t>presented</w:t>
      </w:r>
      <w:r>
        <w:t xml:space="preserve"> a </w:t>
      </w:r>
      <w:r w:rsidRPr="5F55CB25">
        <w:t xml:space="preserve">cost comparison analysis </w:t>
      </w:r>
      <w:r>
        <w:t xml:space="preserve">that compared </w:t>
      </w:r>
      <w:r w:rsidR="00617D67">
        <w:t xml:space="preserve">the </w:t>
      </w:r>
      <w:r>
        <w:t>MBS funded healthcare resources for</w:t>
      </w:r>
      <w:r w:rsidRPr="5F55CB25">
        <w:t xml:space="preserve"> EBRT against Re-188</w:t>
      </w:r>
      <w:r w:rsidR="00986770">
        <w:t xml:space="preserve"> </w:t>
      </w:r>
      <w:r w:rsidR="00986770">
        <w:rPr>
          <w:color w:val="000000" w:themeColor="text1"/>
        </w:rPr>
        <w:t>brachytherapy</w:t>
      </w:r>
      <w:r w:rsidR="00CF3E3C">
        <w:t xml:space="preserve"> instead of a</w:t>
      </w:r>
      <w:r w:rsidR="00CF3E3C" w:rsidRPr="00CF3E3C">
        <w:t xml:space="preserve"> </w:t>
      </w:r>
      <w:r w:rsidR="00CF3E3C" w:rsidRPr="00942F36">
        <w:t>cost-effectiveness or cost-utility analysis</w:t>
      </w:r>
      <w:r w:rsidR="00CF3E3C">
        <w:t xml:space="preserve"> as proposed in the </w:t>
      </w:r>
      <w:r w:rsidR="00674DEB">
        <w:t xml:space="preserve">ratified </w:t>
      </w:r>
      <w:r w:rsidR="009B1B88">
        <w:t>PICO</w:t>
      </w:r>
      <w:r w:rsidR="00192041">
        <w:t xml:space="preserve"> confirmation</w:t>
      </w:r>
      <w:r w:rsidR="00271ADA">
        <w:t xml:space="preserve">. </w:t>
      </w:r>
      <w:r w:rsidR="00015B95">
        <w:t xml:space="preserve">The ADAR justified this approach </w:t>
      </w:r>
      <w:r w:rsidR="00E072B6">
        <w:t>based on</w:t>
      </w:r>
      <w:r>
        <w:t xml:space="preserve"> </w:t>
      </w:r>
      <w:r w:rsidRPr="5F55CB25">
        <w:t xml:space="preserve">the clinical claim </w:t>
      </w:r>
      <w:r>
        <w:t>being</w:t>
      </w:r>
      <w:r w:rsidRPr="5F55CB25">
        <w:t xml:space="preserve"> downgraded to non-inferior safety and effectiveness </w:t>
      </w:r>
      <w:r>
        <w:t>and d</w:t>
      </w:r>
      <w:r w:rsidRPr="5F55CB25">
        <w:t>ue to limited availability of data</w:t>
      </w:r>
      <w:r w:rsidR="00E072B6">
        <w:t>.</w:t>
      </w:r>
      <w:r>
        <w:t xml:space="preserve"> </w:t>
      </w:r>
      <w:r w:rsidR="3B19C6B0">
        <w:t xml:space="preserve">The </w:t>
      </w:r>
      <w:r w:rsidR="00A93F9B">
        <w:t>c</w:t>
      </w:r>
      <w:r w:rsidR="3B19C6B0">
        <w:t xml:space="preserve">ommentary noted that </w:t>
      </w:r>
      <w:r w:rsidR="00D94434">
        <w:t>the</w:t>
      </w:r>
      <w:r w:rsidR="3B19C6B0">
        <w:t xml:space="preserve"> </w:t>
      </w:r>
      <w:r w:rsidR="00FB64C5">
        <w:t>cost-comparison</w:t>
      </w:r>
      <w:r w:rsidR="00E072B6">
        <w:t xml:space="preserve"> </w:t>
      </w:r>
      <w:r w:rsidR="00FB64C5">
        <w:t xml:space="preserve">approach </w:t>
      </w:r>
      <w:r w:rsidR="4AFA7C3A">
        <w:t xml:space="preserve">may be appropriate </w:t>
      </w:r>
      <w:r w:rsidR="00701652">
        <w:t>due to the</w:t>
      </w:r>
      <w:r w:rsidR="4AFA7C3A">
        <w:t xml:space="preserve"> limited clinical evidence</w:t>
      </w:r>
      <w:r w:rsidR="0043504B">
        <w:t xml:space="preserve">, </w:t>
      </w:r>
      <w:r w:rsidR="0043504B" w:rsidRPr="00942F36">
        <w:t>differences in cost structures between the intervention and comparator</w:t>
      </w:r>
      <w:r w:rsidR="15F768FC">
        <w:t xml:space="preserve"> </w:t>
      </w:r>
      <w:r w:rsidR="4AFA7C3A">
        <w:t xml:space="preserve">and </w:t>
      </w:r>
      <w:r w:rsidR="00C60CEE">
        <w:t>an absence of</w:t>
      </w:r>
      <w:r w:rsidR="4AFA7C3A">
        <w:t xml:space="preserve"> existing </w:t>
      </w:r>
      <w:r w:rsidR="1F8EC1D0">
        <w:t xml:space="preserve">economic evaluations </w:t>
      </w:r>
      <w:r w:rsidR="00C60CEE">
        <w:t>with</w:t>
      </w:r>
      <w:r w:rsidR="1F8EC1D0">
        <w:t xml:space="preserve"> </w:t>
      </w:r>
      <w:r w:rsidR="5D19C0E2">
        <w:t>Re-188</w:t>
      </w:r>
      <w:r w:rsidR="00C60CEE">
        <w:t xml:space="preserve"> </w:t>
      </w:r>
      <w:r w:rsidR="00FE0C88">
        <w:t xml:space="preserve">brachytherapy </w:t>
      </w:r>
      <w:r w:rsidR="00C60CEE">
        <w:t>as an intervention for patients with non-melanoma skin cancer</w:t>
      </w:r>
      <w:r w:rsidR="00CA7680">
        <w:t xml:space="preserve"> </w:t>
      </w:r>
      <w:r w:rsidR="1F8EC1D0">
        <w:t xml:space="preserve">found in the literature </w:t>
      </w:r>
      <w:r w:rsidR="21278CF0">
        <w:t>review</w:t>
      </w:r>
      <w:r w:rsidR="00CA7680">
        <w:t>.</w:t>
      </w:r>
      <w:r w:rsidR="5D19C0E2">
        <w:t xml:space="preserve"> </w:t>
      </w:r>
    </w:p>
    <w:p w14:paraId="347B7C76" w14:textId="28A60353" w:rsidR="00FF662A" w:rsidRDefault="00FF662A" w:rsidP="009B11A9">
      <w:r>
        <w:t>A summary of the economic evaluation is detailed in</w:t>
      </w:r>
      <w:r w:rsidR="003848F1">
        <w:t xml:space="preserve"> </w:t>
      </w:r>
      <w:r w:rsidR="003848F1">
        <w:fldChar w:fldCharType="begin"/>
      </w:r>
      <w:r w:rsidR="003848F1">
        <w:instrText xml:space="preserve"> REF _Ref134021910 \h </w:instrText>
      </w:r>
      <w:r w:rsidR="003848F1">
        <w:fldChar w:fldCharType="separate"/>
      </w:r>
      <w:r w:rsidR="009228FB">
        <w:t xml:space="preserve">Table </w:t>
      </w:r>
      <w:r w:rsidR="009228FB">
        <w:rPr>
          <w:noProof/>
        </w:rPr>
        <w:t>10</w:t>
      </w:r>
      <w:r w:rsidR="003848F1">
        <w:fldChar w:fldCharType="end"/>
      </w:r>
      <w:r w:rsidDel="00B67D53">
        <w:t>.</w:t>
      </w:r>
    </w:p>
    <w:p w14:paraId="7832FEBA" w14:textId="03DA480B" w:rsidR="00C107C3" w:rsidRPr="00CE28E3" w:rsidRDefault="00A11BFE" w:rsidP="003848F1">
      <w:pPr>
        <w:pStyle w:val="Caption"/>
      </w:pPr>
      <w:bookmarkStart w:id="37" w:name="_Ref134021910"/>
      <w:r>
        <w:t xml:space="preserve">Table </w:t>
      </w:r>
      <w:r w:rsidR="00BC1AC8">
        <w:fldChar w:fldCharType="begin"/>
      </w:r>
      <w:r w:rsidR="00BC1AC8">
        <w:instrText xml:space="preserve"> SEQ Table \* ARABIC </w:instrText>
      </w:r>
      <w:r w:rsidR="00BC1AC8">
        <w:fldChar w:fldCharType="separate"/>
      </w:r>
      <w:r w:rsidR="009228FB">
        <w:rPr>
          <w:noProof/>
        </w:rPr>
        <w:t>10</w:t>
      </w:r>
      <w:r w:rsidR="00BC1AC8">
        <w:rPr>
          <w:noProof/>
        </w:rPr>
        <w:fldChar w:fldCharType="end"/>
      </w:r>
      <w:bookmarkEnd w:id="37"/>
      <w:r>
        <w:t xml:space="preserve"> </w:t>
      </w:r>
      <w:r w:rsidR="00CF6A10">
        <w:t xml:space="preserve">- </w:t>
      </w:r>
      <w:r w:rsidR="00C107C3" w:rsidRPr="00CE28E3">
        <w:t xml:space="preserve">Summary of the economic evaluation </w:t>
      </w:r>
    </w:p>
    <w:tbl>
      <w:tblPr>
        <w:tblStyle w:val="TableGrid"/>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C05700" w:rsidRPr="00CE28E3" w14:paraId="3C0DF1BD" w14:textId="2726922C" w:rsidTr="003848F1">
        <w:tc>
          <w:tcPr>
            <w:tcW w:w="1285" w:type="pct"/>
          </w:tcPr>
          <w:p w14:paraId="57632985" w14:textId="77777777" w:rsidR="00C05700" w:rsidRPr="000449D1" w:rsidRDefault="00C05700" w:rsidP="00EC7C60">
            <w:pPr>
              <w:pStyle w:val="TableHeading"/>
              <w:spacing w:before="40" w:after="40"/>
              <w:rPr>
                <w:szCs w:val="20"/>
              </w:rPr>
            </w:pPr>
            <w:bookmarkStart w:id="38" w:name="Title_Table5"/>
            <w:bookmarkStart w:id="39" w:name="_Hlk68276446"/>
            <w:bookmarkEnd w:id="38"/>
            <w:r w:rsidRPr="000449D1">
              <w:rPr>
                <w:szCs w:val="20"/>
              </w:rPr>
              <w:t>Component</w:t>
            </w:r>
          </w:p>
        </w:tc>
        <w:tc>
          <w:tcPr>
            <w:tcW w:w="3715" w:type="pct"/>
          </w:tcPr>
          <w:p w14:paraId="123CA837" w14:textId="77777777" w:rsidR="00C05700" w:rsidRPr="000449D1" w:rsidRDefault="00C05700" w:rsidP="00EC7C60">
            <w:pPr>
              <w:pStyle w:val="TableHeading"/>
              <w:spacing w:before="40" w:after="40"/>
              <w:rPr>
                <w:szCs w:val="20"/>
              </w:rPr>
            </w:pPr>
            <w:r w:rsidRPr="000449D1">
              <w:rPr>
                <w:szCs w:val="20"/>
              </w:rPr>
              <w:t>Description</w:t>
            </w:r>
          </w:p>
        </w:tc>
      </w:tr>
      <w:tr w:rsidR="00C05700" w:rsidRPr="000449D1" w14:paraId="31113E27" w14:textId="755DAA21" w:rsidTr="003848F1">
        <w:tc>
          <w:tcPr>
            <w:tcW w:w="1285" w:type="pct"/>
          </w:tcPr>
          <w:p w14:paraId="7DFFBC7E" w14:textId="77777777" w:rsidR="00C05700" w:rsidRPr="000449D1" w:rsidRDefault="00C05700" w:rsidP="00EA561D">
            <w:pPr>
              <w:pStyle w:val="TableText"/>
              <w:keepNext/>
              <w:rPr>
                <w:szCs w:val="20"/>
              </w:rPr>
            </w:pPr>
            <w:r w:rsidRPr="000449D1">
              <w:rPr>
                <w:szCs w:val="20"/>
              </w:rPr>
              <w:t>Perspective</w:t>
            </w:r>
          </w:p>
        </w:tc>
        <w:tc>
          <w:tcPr>
            <w:tcW w:w="3715" w:type="pct"/>
          </w:tcPr>
          <w:p w14:paraId="56EF2FFF" w14:textId="7A5F6B6B" w:rsidR="00C05700" w:rsidRPr="000449D1" w:rsidRDefault="00B07417" w:rsidP="00EA561D">
            <w:pPr>
              <w:pStyle w:val="TableText"/>
              <w:keepNext/>
              <w:rPr>
                <w:szCs w:val="20"/>
              </w:rPr>
            </w:pPr>
            <w:r>
              <w:rPr>
                <w:szCs w:val="20"/>
              </w:rPr>
              <w:t>M</w:t>
            </w:r>
            <w:r w:rsidR="00273F18">
              <w:rPr>
                <w:szCs w:val="20"/>
              </w:rPr>
              <w:t>edicare Benefits Schedule (MBS)</w:t>
            </w:r>
            <w:r w:rsidR="009751B4">
              <w:rPr>
                <w:szCs w:val="20"/>
              </w:rPr>
              <w:t xml:space="preserve"> perspective</w:t>
            </w:r>
          </w:p>
        </w:tc>
      </w:tr>
      <w:tr w:rsidR="00C05700" w:rsidRPr="000449D1" w14:paraId="3AE7C53E" w14:textId="3AF3CBC2" w:rsidTr="003848F1">
        <w:tc>
          <w:tcPr>
            <w:tcW w:w="1285" w:type="pct"/>
          </w:tcPr>
          <w:p w14:paraId="7D8A22F3" w14:textId="77777777" w:rsidR="00C05700" w:rsidRPr="000449D1" w:rsidRDefault="00C05700" w:rsidP="00EA561D">
            <w:pPr>
              <w:pStyle w:val="TableText"/>
              <w:keepNext/>
              <w:rPr>
                <w:szCs w:val="20"/>
              </w:rPr>
            </w:pPr>
            <w:r w:rsidRPr="000449D1">
              <w:rPr>
                <w:szCs w:val="20"/>
              </w:rPr>
              <w:t>Population</w:t>
            </w:r>
          </w:p>
        </w:tc>
        <w:tc>
          <w:tcPr>
            <w:tcW w:w="3715" w:type="pct"/>
          </w:tcPr>
          <w:p w14:paraId="63056CC2" w14:textId="77777777" w:rsidR="00FA7D87" w:rsidRPr="00FA7D87" w:rsidRDefault="00FA7D87" w:rsidP="00EA561D">
            <w:pPr>
              <w:pStyle w:val="TableText"/>
              <w:keepNext/>
              <w:rPr>
                <w:szCs w:val="20"/>
              </w:rPr>
            </w:pPr>
            <w:r w:rsidRPr="00FA7D87">
              <w:rPr>
                <w:szCs w:val="20"/>
              </w:rPr>
              <w:t>Patients with confirmed Basal Cell Carcinoma (BCC) or Squamous Cell Carcinoma (SCC)</w:t>
            </w:r>
          </w:p>
          <w:p w14:paraId="622A2864" w14:textId="77777777" w:rsidR="00FA7D87" w:rsidRPr="00FA7D87" w:rsidRDefault="00FA7D87" w:rsidP="002252F8">
            <w:pPr>
              <w:pStyle w:val="TableText"/>
              <w:keepNext/>
              <w:numPr>
                <w:ilvl w:val="0"/>
                <w:numId w:val="11"/>
              </w:numPr>
              <w:rPr>
                <w:szCs w:val="20"/>
              </w:rPr>
            </w:pPr>
            <w:r w:rsidRPr="00FA7D87">
              <w:rPr>
                <w:szCs w:val="20"/>
              </w:rPr>
              <w:t>Maximum depth 3.0 mm; and</w:t>
            </w:r>
          </w:p>
          <w:p w14:paraId="065C5CF9" w14:textId="77777777" w:rsidR="00FA7D87" w:rsidRPr="00FA7D87" w:rsidRDefault="00FA7D87" w:rsidP="002252F8">
            <w:pPr>
              <w:pStyle w:val="TableText"/>
              <w:keepNext/>
              <w:numPr>
                <w:ilvl w:val="0"/>
                <w:numId w:val="11"/>
              </w:numPr>
              <w:rPr>
                <w:szCs w:val="20"/>
              </w:rPr>
            </w:pPr>
            <w:r w:rsidRPr="00FA7D87">
              <w:rPr>
                <w:szCs w:val="20"/>
              </w:rPr>
              <w:t>Area between 1.5-8.0 cm2; and</w:t>
            </w:r>
          </w:p>
          <w:p w14:paraId="20676B5D" w14:textId="77777777" w:rsidR="00FA7D87" w:rsidRPr="00FA7D87" w:rsidRDefault="00FA7D87" w:rsidP="002252F8">
            <w:pPr>
              <w:pStyle w:val="TableText"/>
              <w:keepNext/>
              <w:numPr>
                <w:ilvl w:val="0"/>
                <w:numId w:val="11"/>
              </w:numPr>
              <w:rPr>
                <w:szCs w:val="20"/>
              </w:rPr>
            </w:pPr>
            <w:r w:rsidRPr="00FA7D87">
              <w:rPr>
                <w:szCs w:val="20"/>
              </w:rPr>
              <w:t>On the nose, eyebrow, lip, ear, digit, genitalia, shin or collarbone or a contiguous area; and</w:t>
            </w:r>
          </w:p>
          <w:p w14:paraId="376BBABD" w14:textId="3A8E9D63" w:rsidR="00C05700" w:rsidRPr="000449D1" w:rsidRDefault="00FA7D87" w:rsidP="002252F8">
            <w:pPr>
              <w:pStyle w:val="TableText"/>
              <w:keepNext/>
              <w:numPr>
                <w:ilvl w:val="0"/>
                <w:numId w:val="11"/>
              </w:numPr>
              <w:rPr>
                <w:szCs w:val="20"/>
              </w:rPr>
            </w:pPr>
            <w:r w:rsidRPr="00FA7D87">
              <w:rPr>
                <w:szCs w:val="20"/>
              </w:rPr>
              <w:t>With comorbidities preventing surgery; or who have refused surgery</w:t>
            </w:r>
          </w:p>
        </w:tc>
      </w:tr>
      <w:tr w:rsidR="00C05700" w:rsidRPr="000449D1" w14:paraId="35DC265A" w14:textId="6A15DD17" w:rsidTr="003848F1">
        <w:tc>
          <w:tcPr>
            <w:tcW w:w="1285" w:type="pct"/>
          </w:tcPr>
          <w:p w14:paraId="6886BA88" w14:textId="77777777" w:rsidR="00C05700" w:rsidRPr="000449D1" w:rsidRDefault="00C05700" w:rsidP="00EA561D">
            <w:pPr>
              <w:pStyle w:val="TableText"/>
              <w:keepNext/>
              <w:rPr>
                <w:szCs w:val="20"/>
              </w:rPr>
            </w:pPr>
            <w:r w:rsidRPr="000449D1">
              <w:rPr>
                <w:szCs w:val="20"/>
              </w:rPr>
              <w:t>Prior testing</w:t>
            </w:r>
          </w:p>
        </w:tc>
        <w:tc>
          <w:tcPr>
            <w:tcW w:w="3715" w:type="pct"/>
          </w:tcPr>
          <w:p w14:paraId="13AED989" w14:textId="67E08DE2" w:rsidR="00C05700" w:rsidRPr="000449D1" w:rsidRDefault="00826748" w:rsidP="00EA561D">
            <w:pPr>
              <w:pStyle w:val="TableText"/>
              <w:keepNext/>
              <w:rPr>
                <w:szCs w:val="20"/>
              </w:rPr>
            </w:pPr>
            <w:r>
              <w:rPr>
                <w:szCs w:val="20"/>
              </w:rPr>
              <w:t>N/A</w:t>
            </w:r>
          </w:p>
        </w:tc>
      </w:tr>
      <w:tr w:rsidR="00C05700" w:rsidRPr="000449D1" w14:paraId="750830A5" w14:textId="33978BE8" w:rsidTr="003848F1">
        <w:tc>
          <w:tcPr>
            <w:tcW w:w="1285" w:type="pct"/>
          </w:tcPr>
          <w:p w14:paraId="59B80C68" w14:textId="77777777" w:rsidR="00C05700" w:rsidRPr="000449D1" w:rsidRDefault="00C05700" w:rsidP="00EA561D">
            <w:pPr>
              <w:pStyle w:val="TableText"/>
              <w:keepNext/>
              <w:rPr>
                <w:szCs w:val="20"/>
              </w:rPr>
            </w:pPr>
            <w:r w:rsidRPr="000449D1">
              <w:rPr>
                <w:szCs w:val="20"/>
              </w:rPr>
              <w:t>Comparator</w:t>
            </w:r>
          </w:p>
        </w:tc>
        <w:tc>
          <w:tcPr>
            <w:tcW w:w="3715" w:type="pct"/>
          </w:tcPr>
          <w:p w14:paraId="0F0DF4C6" w14:textId="77777777" w:rsidR="00403C36" w:rsidRDefault="00403C36" w:rsidP="00EC7C60">
            <w:pPr>
              <w:pStyle w:val="Table"/>
              <w:spacing w:before="40" w:after="40"/>
            </w:pPr>
            <w:r w:rsidRPr="00403C36">
              <w:rPr>
                <w:rFonts w:ascii="Arial Narrow" w:eastAsiaTheme="minorHAnsi" w:hAnsi="Arial Narrow" w:cstheme="minorBidi"/>
                <w:szCs w:val="20"/>
                <w:lang w:bidi="ar-SA"/>
              </w:rPr>
              <w:t>External beam radiation therapy (EBRT)</w:t>
            </w:r>
          </w:p>
          <w:p w14:paraId="2574091A" w14:textId="77777777" w:rsidR="00403C36" w:rsidRPr="00403C36" w:rsidRDefault="00403C36" w:rsidP="002252F8">
            <w:pPr>
              <w:pStyle w:val="TableText"/>
              <w:keepNext/>
              <w:numPr>
                <w:ilvl w:val="0"/>
                <w:numId w:val="11"/>
              </w:numPr>
              <w:rPr>
                <w:szCs w:val="20"/>
              </w:rPr>
            </w:pPr>
            <w:r w:rsidRPr="00403C36">
              <w:rPr>
                <w:szCs w:val="20"/>
              </w:rPr>
              <w:t>Using a conventional fractionation regimen and delivered by:</w:t>
            </w:r>
          </w:p>
          <w:p w14:paraId="6F8DF49F" w14:textId="061CEACE" w:rsidR="00403C36" w:rsidRPr="00403C36" w:rsidRDefault="00226FE3" w:rsidP="002252F8">
            <w:pPr>
              <w:pStyle w:val="TableText"/>
              <w:keepNext/>
              <w:numPr>
                <w:ilvl w:val="0"/>
                <w:numId w:val="11"/>
              </w:numPr>
              <w:rPr>
                <w:szCs w:val="20"/>
              </w:rPr>
            </w:pPr>
            <w:r>
              <w:rPr>
                <w:szCs w:val="20"/>
              </w:rPr>
              <w:t>3D megavoltage (referred to as LINAC -</w:t>
            </w:r>
            <w:r w:rsidR="00403C36" w:rsidRPr="00403C36">
              <w:rPr>
                <w:szCs w:val="20"/>
              </w:rPr>
              <w:t xml:space="preserve">Linear accelerator </w:t>
            </w:r>
            <w:r>
              <w:rPr>
                <w:szCs w:val="20"/>
              </w:rPr>
              <w:t>in the ADAR</w:t>
            </w:r>
            <w:r w:rsidR="00403C36" w:rsidRPr="00403C36">
              <w:rPr>
                <w:szCs w:val="20"/>
              </w:rPr>
              <w:t>); or</w:t>
            </w:r>
          </w:p>
          <w:p w14:paraId="33EE7139" w14:textId="77777777" w:rsidR="00403C36" w:rsidRPr="00403C36" w:rsidRDefault="00403C36" w:rsidP="002252F8">
            <w:pPr>
              <w:pStyle w:val="TableText"/>
              <w:keepNext/>
              <w:numPr>
                <w:ilvl w:val="0"/>
                <w:numId w:val="11"/>
              </w:numPr>
              <w:rPr>
                <w:szCs w:val="20"/>
              </w:rPr>
            </w:pPr>
            <w:r w:rsidRPr="00403C36">
              <w:rPr>
                <w:szCs w:val="20"/>
              </w:rPr>
              <w:t>Intensity modulated radiation therapy (IMRT); or</w:t>
            </w:r>
          </w:p>
          <w:p w14:paraId="04C0D717" w14:textId="5D7A5C1D" w:rsidR="00C05700" w:rsidRPr="000449D1" w:rsidRDefault="00403C36" w:rsidP="002252F8">
            <w:pPr>
              <w:pStyle w:val="TableText"/>
              <w:keepNext/>
              <w:numPr>
                <w:ilvl w:val="0"/>
                <w:numId w:val="11"/>
              </w:numPr>
              <w:rPr>
                <w:szCs w:val="20"/>
              </w:rPr>
            </w:pPr>
            <w:r w:rsidRPr="00403C36">
              <w:rPr>
                <w:szCs w:val="20"/>
              </w:rPr>
              <w:t>Volumetric modulated arc therapy (VMAT)</w:t>
            </w:r>
          </w:p>
        </w:tc>
      </w:tr>
      <w:tr w:rsidR="00C05700" w:rsidRPr="000449D1" w14:paraId="352DFBB5" w14:textId="23E331A7" w:rsidTr="003848F1">
        <w:tc>
          <w:tcPr>
            <w:tcW w:w="1285" w:type="pct"/>
          </w:tcPr>
          <w:p w14:paraId="563F18FC" w14:textId="77777777" w:rsidR="00C05700" w:rsidRPr="000449D1" w:rsidRDefault="00C05700" w:rsidP="00EA561D">
            <w:pPr>
              <w:pStyle w:val="TableText"/>
              <w:keepNext/>
              <w:rPr>
                <w:szCs w:val="20"/>
              </w:rPr>
            </w:pPr>
            <w:r w:rsidRPr="000449D1">
              <w:rPr>
                <w:szCs w:val="20"/>
              </w:rPr>
              <w:t>Type(s) of analysis</w:t>
            </w:r>
          </w:p>
        </w:tc>
        <w:tc>
          <w:tcPr>
            <w:tcW w:w="3715" w:type="pct"/>
          </w:tcPr>
          <w:p w14:paraId="4DAE5CE1" w14:textId="1CF09447" w:rsidR="00C05700" w:rsidRPr="000449D1" w:rsidRDefault="000E6AA5" w:rsidP="00EA561D">
            <w:pPr>
              <w:pStyle w:val="TableText"/>
              <w:keepNext/>
              <w:rPr>
                <w:szCs w:val="20"/>
              </w:rPr>
            </w:pPr>
            <w:r>
              <w:rPr>
                <w:szCs w:val="20"/>
              </w:rPr>
              <w:t>C</w:t>
            </w:r>
            <w:r w:rsidR="001607D9">
              <w:rPr>
                <w:szCs w:val="20"/>
              </w:rPr>
              <w:t>ost-comparison</w:t>
            </w:r>
            <w:r>
              <w:rPr>
                <w:szCs w:val="20"/>
              </w:rPr>
              <w:t xml:space="preserve"> analysis</w:t>
            </w:r>
          </w:p>
        </w:tc>
      </w:tr>
      <w:tr w:rsidR="00C05700" w:rsidRPr="000449D1" w14:paraId="6CB6FA6B" w14:textId="0CFF196E" w:rsidTr="003848F1">
        <w:tc>
          <w:tcPr>
            <w:tcW w:w="1285" w:type="pct"/>
          </w:tcPr>
          <w:p w14:paraId="401E0BAC" w14:textId="77777777" w:rsidR="00C05700" w:rsidRPr="000449D1" w:rsidRDefault="00C05700" w:rsidP="00EA561D">
            <w:pPr>
              <w:pStyle w:val="TableText"/>
              <w:keepNext/>
              <w:rPr>
                <w:szCs w:val="20"/>
              </w:rPr>
            </w:pPr>
            <w:r w:rsidRPr="000449D1">
              <w:rPr>
                <w:szCs w:val="20"/>
              </w:rPr>
              <w:t>Outcomes</w:t>
            </w:r>
          </w:p>
        </w:tc>
        <w:tc>
          <w:tcPr>
            <w:tcW w:w="3715" w:type="pct"/>
          </w:tcPr>
          <w:p w14:paraId="5BB292CF" w14:textId="3439036E" w:rsidR="00C05700" w:rsidRPr="000449D1" w:rsidRDefault="008C0CD5" w:rsidP="00EA561D">
            <w:pPr>
              <w:pStyle w:val="TableText"/>
              <w:keepNext/>
              <w:rPr>
                <w:szCs w:val="20"/>
              </w:rPr>
            </w:pPr>
            <w:r>
              <w:rPr>
                <w:szCs w:val="20"/>
              </w:rPr>
              <w:t>Total treatment cost</w:t>
            </w:r>
          </w:p>
        </w:tc>
      </w:tr>
      <w:tr w:rsidR="00C05700" w:rsidRPr="000449D1" w14:paraId="643C0794" w14:textId="7BA4E085" w:rsidTr="003848F1">
        <w:tc>
          <w:tcPr>
            <w:tcW w:w="1285" w:type="pct"/>
          </w:tcPr>
          <w:p w14:paraId="42B1D84D" w14:textId="77777777" w:rsidR="00C05700" w:rsidRPr="000449D1" w:rsidRDefault="00C05700" w:rsidP="00EA561D">
            <w:pPr>
              <w:pStyle w:val="TableText"/>
              <w:keepNext/>
              <w:rPr>
                <w:szCs w:val="20"/>
              </w:rPr>
            </w:pPr>
            <w:r w:rsidRPr="000449D1">
              <w:rPr>
                <w:szCs w:val="20"/>
              </w:rPr>
              <w:t>Time horizon</w:t>
            </w:r>
          </w:p>
        </w:tc>
        <w:tc>
          <w:tcPr>
            <w:tcW w:w="3715" w:type="pct"/>
          </w:tcPr>
          <w:p w14:paraId="3BC3DE82" w14:textId="2E84E342" w:rsidR="00C05700" w:rsidRPr="000449D1" w:rsidRDefault="00C2043C" w:rsidP="00EA561D">
            <w:pPr>
              <w:pStyle w:val="TableText"/>
              <w:keepNext/>
              <w:rPr>
                <w:szCs w:val="20"/>
              </w:rPr>
            </w:pPr>
            <w:r>
              <w:rPr>
                <w:szCs w:val="20"/>
              </w:rPr>
              <w:t>Discrete time horizon</w:t>
            </w:r>
          </w:p>
        </w:tc>
      </w:tr>
      <w:tr w:rsidR="00C05700" w:rsidRPr="000449D1" w14:paraId="0949BCCC" w14:textId="4456977C" w:rsidTr="003848F1">
        <w:tc>
          <w:tcPr>
            <w:tcW w:w="1285" w:type="pct"/>
          </w:tcPr>
          <w:p w14:paraId="6DFB973F" w14:textId="77777777" w:rsidR="00C05700" w:rsidRPr="000449D1" w:rsidRDefault="00C05700" w:rsidP="00EA561D">
            <w:pPr>
              <w:pStyle w:val="TableText"/>
              <w:keepNext/>
              <w:rPr>
                <w:szCs w:val="20"/>
              </w:rPr>
            </w:pPr>
            <w:r w:rsidRPr="000449D1">
              <w:rPr>
                <w:szCs w:val="20"/>
              </w:rPr>
              <w:t>Computational method</w:t>
            </w:r>
          </w:p>
        </w:tc>
        <w:tc>
          <w:tcPr>
            <w:tcW w:w="3715" w:type="pct"/>
          </w:tcPr>
          <w:p w14:paraId="67E64DF6" w14:textId="4AFB8F7F" w:rsidR="00C05700" w:rsidRPr="000449D1" w:rsidRDefault="00937C65" w:rsidP="00EA561D">
            <w:pPr>
              <w:pStyle w:val="TableText"/>
              <w:keepNext/>
              <w:rPr>
                <w:szCs w:val="20"/>
              </w:rPr>
            </w:pPr>
            <w:r>
              <w:rPr>
                <w:szCs w:val="20"/>
              </w:rPr>
              <w:t>Discrete event simulation</w:t>
            </w:r>
          </w:p>
        </w:tc>
      </w:tr>
      <w:tr w:rsidR="00C05700" w:rsidRPr="000449D1" w14:paraId="780AB6C6" w14:textId="5D51678D" w:rsidTr="003848F1">
        <w:tc>
          <w:tcPr>
            <w:tcW w:w="1285" w:type="pct"/>
          </w:tcPr>
          <w:p w14:paraId="6CDC9D32" w14:textId="77777777" w:rsidR="00C05700" w:rsidRPr="000449D1" w:rsidRDefault="00C05700" w:rsidP="00EA561D">
            <w:pPr>
              <w:pStyle w:val="TableText"/>
              <w:keepNext/>
              <w:rPr>
                <w:szCs w:val="20"/>
              </w:rPr>
            </w:pPr>
            <w:r w:rsidRPr="000449D1">
              <w:rPr>
                <w:szCs w:val="20"/>
              </w:rPr>
              <w:t>Generation of the base case</w:t>
            </w:r>
          </w:p>
        </w:tc>
        <w:tc>
          <w:tcPr>
            <w:tcW w:w="3715" w:type="pct"/>
          </w:tcPr>
          <w:p w14:paraId="6687851E" w14:textId="4F2093B2" w:rsidR="00C05700" w:rsidRPr="000449D1" w:rsidRDefault="009419A0" w:rsidP="00EA561D">
            <w:pPr>
              <w:pStyle w:val="TableText"/>
              <w:keepNext/>
              <w:rPr>
                <w:szCs w:val="20"/>
              </w:rPr>
            </w:pPr>
            <w:r>
              <w:rPr>
                <w:szCs w:val="20"/>
              </w:rPr>
              <w:t>Mo</w:t>
            </w:r>
            <w:r w:rsidR="00C2043C">
              <w:rPr>
                <w:szCs w:val="20"/>
              </w:rPr>
              <w:t>delled</w:t>
            </w:r>
          </w:p>
        </w:tc>
      </w:tr>
      <w:tr w:rsidR="00C05700" w:rsidRPr="000449D1" w14:paraId="507E6356" w14:textId="7BFC4306" w:rsidTr="003848F1">
        <w:tc>
          <w:tcPr>
            <w:tcW w:w="1285" w:type="pct"/>
          </w:tcPr>
          <w:p w14:paraId="23A08C87" w14:textId="77777777" w:rsidR="00C05700" w:rsidRPr="000449D1" w:rsidRDefault="00C05700" w:rsidP="00EA561D">
            <w:pPr>
              <w:pStyle w:val="TableText"/>
              <w:keepNext/>
              <w:rPr>
                <w:szCs w:val="20"/>
              </w:rPr>
            </w:pPr>
            <w:r w:rsidRPr="000449D1">
              <w:rPr>
                <w:szCs w:val="20"/>
              </w:rPr>
              <w:t>Software</w:t>
            </w:r>
          </w:p>
        </w:tc>
        <w:tc>
          <w:tcPr>
            <w:tcW w:w="3715" w:type="pct"/>
          </w:tcPr>
          <w:p w14:paraId="613BDC46" w14:textId="281FF22E" w:rsidR="00C05700" w:rsidRPr="000449D1" w:rsidRDefault="00C2043C" w:rsidP="00EA561D">
            <w:pPr>
              <w:pStyle w:val="TableText"/>
              <w:keepNext/>
              <w:rPr>
                <w:szCs w:val="20"/>
              </w:rPr>
            </w:pPr>
            <w:r>
              <w:rPr>
                <w:szCs w:val="20"/>
              </w:rPr>
              <w:t>Excel</w:t>
            </w:r>
          </w:p>
        </w:tc>
      </w:tr>
    </w:tbl>
    <w:bookmarkEnd w:id="39"/>
    <w:p w14:paraId="23596164" w14:textId="3BF279C8" w:rsidR="0003699A" w:rsidRDefault="0003699A" w:rsidP="001D5D11">
      <w:pPr>
        <w:pStyle w:val="Tablenotes"/>
      </w:pPr>
      <w:r>
        <w:t xml:space="preserve">Source: </w:t>
      </w:r>
      <w:r w:rsidR="00C60322">
        <w:t>Table 11, pg 23 of MSAC 1657 Commentary Executive Summary</w:t>
      </w:r>
    </w:p>
    <w:p w14:paraId="4B9B044B" w14:textId="416D90D0" w:rsidR="00586AE9" w:rsidRPr="00223664" w:rsidRDefault="000E0D66">
      <w:pPr>
        <w:pStyle w:val="Heading3"/>
      </w:pPr>
      <w:r>
        <w:t xml:space="preserve">Inputs </w:t>
      </w:r>
      <w:r w:rsidRPr="00CD5AFD">
        <w:t>and</w:t>
      </w:r>
      <w:r>
        <w:t xml:space="preserve"> assumptions</w:t>
      </w:r>
    </w:p>
    <w:p w14:paraId="0ABB8239" w14:textId="77777777" w:rsidR="000E7AA4" w:rsidRDefault="000E7AA4" w:rsidP="000E7AA4">
      <w:r>
        <w:t xml:space="preserve">The commentary noted that an MBS perspective was used for the economic evaluation, where the costs for EBRT may be well defined. However, whilst these MBS costs may be sufficient to estimate the total treatment costs for EBRT, there is limited available clinical and economic evidence to support the costing of Re-188 </w:t>
      </w:r>
      <w:r w:rsidRPr="005712CE">
        <w:rPr>
          <w:color w:val="000000" w:themeColor="text1"/>
        </w:rPr>
        <w:t>brachytherapy</w:t>
      </w:r>
      <w:r>
        <w:rPr>
          <w:color w:val="000000" w:themeColor="text1"/>
        </w:rPr>
        <w:t>.</w:t>
      </w:r>
      <w:r>
        <w:t xml:space="preserve"> Therefore, further</w:t>
      </w:r>
      <w:r w:rsidDel="5FA369C2">
        <w:t xml:space="preserve"> </w:t>
      </w:r>
      <w:r>
        <w:t>clarification is required by the Applicant’s clinical experts to justify these cost components to aid ESC and MSAC decision-making.</w:t>
      </w:r>
    </w:p>
    <w:p w14:paraId="567F8BAA" w14:textId="289FCA0D" w:rsidR="000E7AA4" w:rsidRDefault="000E7AA4" w:rsidP="000E7AA4">
      <w:pPr>
        <w:rPr>
          <w:color w:val="000000" w:themeColor="text1"/>
        </w:rPr>
      </w:pPr>
      <w:r>
        <w:t>The commentary also noted that the</w:t>
      </w:r>
      <w:r w:rsidRPr="005A697F">
        <w:t xml:space="preserve"> lack of long-term data </w:t>
      </w:r>
      <w:r>
        <w:t xml:space="preserve">to inform the economic evaluation limits the ability </w:t>
      </w:r>
      <w:r w:rsidRPr="005A697F">
        <w:t xml:space="preserve">to determine </w:t>
      </w:r>
      <w:r>
        <w:t xml:space="preserve">other potential </w:t>
      </w:r>
      <w:r w:rsidRPr="005A697F">
        <w:t xml:space="preserve">adverse events of both technologies and therefore can reduce the accuracy of the </w:t>
      </w:r>
      <w:r>
        <w:t>economic evaluation</w:t>
      </w:r>
      <w:r w:rsidRPr="005A697F">
        <w:t>.</w:t>
      </w:r>
      <w:r>
        <w:t xml:space="preserve"> </w:t>
      </w:r>
    </w:p>
    <w:p w14:paraId="761DD31E" w14:textId="182082FA" w:rsidR="000E7AA4" w:rsidRDefault="000E7AA4" w:rsidP="000E7AA4">
      <w:r>
        <w:lastRenderedPageBreak/>
        <w:t xml:space="preserve">The ADAR used a random simulation of 100 lesion sizes </w:t>
      </w:r>
      <w:r w:rsidR="00856D6F">
        <w:t xml:space="preserve">(between 1.5 to 8 cm) </w:t>
      </w:r>
      <w:r>
        <w:t xml:space="preserve">and </w:t>
      </w:r>
      <w:r w:rsidR="00856D6F">
        <w:t xml:space="preserve">EBRT </w:t>
      </w:r>
      <w:r>
        <w:t xml:space="preserve">fractionations </w:t>
      </w:r>
      <w:r w:rsidR="00856D6F">
        <w:t>(between 10 to 30 fractionations)</w:t>
      </w:r>
      <w:r w:rsidR="00856D6F" w:rsidRPr="00EA5F87">
        <w:t xml:space="preserve"> </w:t>
      </w:r>
      <w:r>
        <w:t xml:space="preserve">across a uniform distribution to determine the average total treatment cost of Re-188 brachytherapy and EBRT. </w:t>
      </w:r>
      <w:r w:rsidRPr="0044216D">
        <w:t xml:space="preserve">The </w:t>
      </w:r>
      <w:r>
        <w:t>Commentary noted</w:t>
      </w:r>
      <w:r w:rsidRPr="0044216D">
        <w:t xml:space="preserve"> that </w:t>
      </w:r>
      <w:r>
        <w:t>the</w:t>
      </w:r>
      <w:r w:rsidRPr="0044216D">
        <w:t xml:space="preserve"> uniform distribution assumes all patients are equally likely to have a non-melanoma skin lesion of any size (within the specified range). This is unlikely to </w:t>
      </w:r>
      <w:r>
        <w:t>occur</w:t>
      </w:r>
      <w:r w:rsidRPr="0044216D">
        <w:t xml:space="preserve"> in clinical practice, </w:t>
      </w:r>
      <w:r>
        <w:t>as detailed by the patient populations in the clinical evaluation studies for Re-188 brachytherapy, where a normal or right-</w:t>
      </w:r>
      <w:r w:rsidRPr="0044216D">
        <w:t xml:space="preserve">skewed </w:t>
      </w:r>
      <w:r>
        <w:t>patient distribution is present</w:t>
      </w:r>
      <w:r w:rsidRPr="0044216D">
        <w:t xml:space="preserve">. The </w:t>
      </w:r>
      <w:r>
        <w:t>Commentary highlighted</w:t>
      </w:r>
      <w:r w:rsidRPr="0044216D">
        <w:t xml:space="preserve"> that a simulation of only 100 lesions may not provide enough patient cases to ensure the model is robust. However, as the economic analysis uses uniform distribution sampling, increasing the amount of cases will not influence the average treatment cost as a uniform distribution doesn’t abide by the central limit theorem.</w:t>
      </w:r>
      <w:r>
        <w:t xml:space="preserve">  </w:t>
      </w:r>
    </w:p>
    <w:p w14:paraId="6BA664DB" w14:textId="76190401" w:rsidR="00650739" w:rsidRDefault="009E4A7C" w:rsidP="00942568">
      <w:r w:rsidRPr="00996BCD">
        <w:t xml:space="preserve">The </w:t>
      </w:r>
      <w:r w:rsidR="00A93F9B">
        <w:t>c</w:t>
      </w:r>
      <w:r>
        <w:t xml:space="preserve">ommentary </w:t>
      </w:r>
      <w:r w:rsidR="009C5F8E">
        <w:t xml:space="preserve">also </w:t>
      </w:r>
      <w:r w:rsidR="00FD1AF6">
        <w:t>noted that</w:t>
      </w:r>
      <w:r w:rsidRPr="00996BCD">
        <w:t xml:space="preserve"> the </w:t>
      </w:r>
      <w:r>
        <w:t xml:space="preserve">relationship between </w:t>
      </w:r>
      <w:r w:rsidRPr="00996BCD">
        <w:t xml:space="preserve">lesion size and </w:t>
      </w:r>
      <w:r>
        <w:t>fractionation range is</w:t>
      </w:r>
      <w:r w:rsidR="00FC37B3">
        <w:t xml:space="preserve"> </w:t>
      </w:r>
      <w:r>
        <w:t>unclear</w:t>
      </w:r>
      <w:r w:rsidR="00E40495">
        <w:t xml:space="preserve"> and this becomes an issue in the comparison of average treatment costs between Re-188 brachytherapy and EBRT</w:t>
      </w:r>
      <w:r>
        <w:t>.</w:t>
      </w:r>
      <w:r w:rsidRPr="00996BCD">
        <w:t xml:space="preserve"> </w:t>
      </w:r>
      <w:r w:rsidR="00942568">
        <w:t>The commentary considered m</w:t>
      </w:r>
      <w:r w:rsidR="000979F1" w:rsidRPr="00EA5F87">
        <w:t xml:space="preserve">ore evidence of the relationship between the two technologies is required to ensure an accurate comparison of the average </w:t>
      </w:r>
      <w:r w:rsidR="00AD379F">
        <w:t xml:space="preserve">treatment </w:t>
      </w:r>
      <w:r w:rsidR="000979F1" w:rsidRPr="00EA5F87">
        <w:t>costs between EBRT and Re-188</w:t>
      </w:r>
      <w:r w:rsidR="006E0DF5">
        <w:t xml:space="preserve"> brachytherapy</w:t>
      </w:r>
      <w:r w:rsidR="000979F1" w:rsidRPr="00EA5F87">
        <w:t>.</w:t>
      </w:r>
      <w:r w:rsidR="000979F1">
        <w:t xml:space="preserve"> </w:t>
      </w:r>
      <w:r w:rsidR="00F0531D">
        <w:t xml:space="preserve">The </w:t>
      </w:r>
      <w:r w:rsidR="00A93F9B">
        <w:t>c</w:t>
      </w:r>
      <w:r w:rsidR="00F0531D">
        <w:t xml:space="preserve">ommentary noted that </w:t>
      </w:r>
      <w:r w:rsidR="00452685">
        <w:t xml:space="preserve">the </w:t>
      </w:r>
      <w:r w:rsidR="00315743">
        <w:t>gray</w:t>
      </w:r>
      <w:r w:rsidR="00935EEE">
        <w:t> (</w:t>
      </w:r>
      <w:r w:rsidR="00452685">
        <w:t>Gy</w:t>
      </w:r>
      <w:r w:rsidR="00315743">
        <w:t>)</w:t>
      </w:r>
      <w:r w:rsidR="00452685">
        <w:t xml:space="preserve"> </w:t>
      </w:r>
      <w:r w:rsidR="00C071F2">
        <w:t>range</w:t>
      </w:r>
      <w:r w:rsidR="007419B3">
        <w:t xml:space="preserve"> </w:t>
      </w:r>
      <w:r w:rsidR="003337E8">
        <w:t xml:space="preserve">may be </w:t>
      </w:r>
      <w:r w:rsidR="000679B7">
        <w:t xml:space="preserve">an </w:t>
      </w:r>
      <w:r w:rsidR="003337E8">
        <w:t xml:space="preserve">appropriate </w:t>
      </w:r>
      <w:r w:rsidR="000679B7">
        <w:t xml:space="preserve">alternative method </w:t>
      </w:r>
      <w:r w:rsidR="003337E8">
        <w:t xml:space="preserve">to establish a relationship between </w:t>
      </w:r>
      <w:r w:rsidR="000679B7">
        <w:t>lesion size and fractionations, however this needs further clinical input.</w:t>
      </w:r>
    </w:p>
    <w:p w14:paraId="346BD3DD" w14:textId="2F2E47AA" w:rsidR="0028358F" w:rsidRPr="00A00C6B" w:rsidRDefault="0028358F" w:rsidP="003848F1">
      <w:pPr>
        <w:pStyle w:val="Heading4"/>
      </w:pPr>
      <w:r w:rsidRPr="0028358F">
        <w:t>Re</w:t>
      </w:r>
      <w:r w:rsidR="00647CD7">
        <w:noBreakHyphen/>
      </w:r>
      <w:r w:rsidRPr="0028358F">
        <w:t>188</w:t>
      </w:r>
      <w:r w:rsidR="00FF5362">
        <w:t xml:space="preserve"> brachytherapy</w:t>
      </w:r>
    </w:p>
    <w:p w14:paraId="14A1B9E0" w14:textId="0F174A95" w:rsidR="000B6E90" w:rsidRDefault="000B6E90" w:rsidP="000B6E90">
      <w:r>
        <w:t>The cost of an individual procedure is defined by the proposed (fully inclusive) 100% MBS Schedule Fee for the three “tiered” items proposed. An overall average treatment cost has been calculated based on a random sample of 100 lesions with a reasonably conservative uniform size distribution of between 1.5 and 8.0 cm</w:t>
      </w:r>
      <w:r w:rsidRPr="006D772B">
        <w:rPr>
          <w:rStyle w:val="FontSuperscript"/>
        </w:rPr>
        <w:t>2</w:t>
      </w:r>
      <w:r>
        <w:t>.</w:t>
      </w:r>
    </w:p>
    <w:p w14:paraId="050C2172" w14:textId="0682003D" w:rsidR="009578DB" w:rsidRPr="00F77655" w:rsidRDefault="00415C97" w:rsidP="009578DB">
      <w:r>
        <w:t>As discussed in section 4, t</w:t>
      </w:r>
      <w:r w:rsidR="009578DB" w:rsidRPr="00F77655">
        <w:t xml:space="preserve">he </w:t>
      </w:r>
      <w:r w:rsidR="00A93F9B">
        <w:t>c</w:t>
      </w:r>
      <w:r w:rsidR="009578DB" w:rsidRPr="00F77655">
        <w:t>ommentary note</w:t>
      </w:r>
      <w:r w:rsidR="00D51ED1">
        <w:t>d</w:t>
      </w:r>
      <w:r w:rsidR="009578DB" w:rsidRPr="00F77655">
        <w:t xml:space="preserve"> that the</w:t>
      </w:r>
      <w:r w:rsidR="00426493">
        <w:t xml:space="preserve"> type of</w:t>
      </w:r>
      <w:r w:rsidR="009578DB" w:rsidRPr="00F77655">
        <w:t xml:space="preserve"> cost </w:t>
      </w:r>
      <w:r w:rsidR="009578DB">
        <w:t xml:space="preserve">components </w:t>
      </w:r>
      <w:r w:rsidR="00D80E4B">
        <w:t>for</w:t>
      </w:r>
      <w:r w:rsidR="00D80E4B" w:rsidRPr="00F77655">
        <w:t xml:space="preserve"> </w:t>
      </w:r>
      <w:r w:rsidR="009578DB" w:rsidRPr="00F77655">
        <w:t xml:space="preserve">Re-188 </w:t>
      </w:r>
      <w:r w:rsidR="00F567B3">
        <w:t>brachytherapy</w:t>
      </w:r>
      <w:r>
        <w:t xml:space="preserve"> </w:t>
      </w:r>
      <w:r w:rsidR="002A2BD2">
        <w:t>included in the all-inclusive proposed MBS fee for Re-188</w:t>
      </w:r>
      <w:r w:rsidR="00F567B3">
        <w:t xml:space="preserve"> </w:t>
      </w:r>
      <w:r w:rsidR="00FC37B3">
        <w:rPr>
          <w:color w:val="000000" w:themeColor="text1"/>
        </w:rPr>
        <w:t>brachytherapy</w:t>
      </w:r>
      <w:r w:rsidR="00FC37B3" w:rsidRPr="00F77655">
        <w:t xml:space="preserve"> </w:t>
      </w:r>
      <w:r w:rsidR="009578DB" w:rsidRPr="00F77655">
        <w:t xml:space="preserve">may be appropriately defined given the </w:t>
      </w:r>
      <w:r w:rsidR="00A44C30">
        <w:t>clinical workflow depicted in</w:t>
      </w:r>
      <w:r w:rsidR="00AB060B">
        <w:t xml:space="preserve"> </w:t>
      </w:r>
      <w:r w:rsidR="00AB060B">
        <w:fldChar w:fldCharType="begin"/>
      </w:r>
      <w:r w:rsidR="00AB060B">
        <w:instrText xml:space="preserve"> REF _Ref134634620 \h </w:instrText>
      </w:r>
      <w:r w:rsidR="00AB060B">
        <w:fldChar w:fldCharType="separate"/>
      </w:r>
      <w:r w:rsidR="009228FB">
        <w:t xml:space="preserve">Figure </w:t>
      </w:r>
      <w:r w:rsidR="009228FB">
        <w:rPr>
          <w:noProof/>
        </w:rPr>
        <w:t>1</w:t>
      </w:r>
      <w:r w:rsidR="00AB060B">
        <w:fldChar w:fldCharType="end"/>
      </w:r>
      <w:r w:rsidR="00127D53">
        <w:t>.</w:t>
      </w:r>
      <w:r w:rsidR="009578DB">
        <w:t xml:space="preserve"> </w:t>
      </w:r>
      <w:r w:rsidR="00D51ED1">
        <w:t>However, further</w:t>
      </w:r>
      <w:r w:rsidR="00D51ED1" w:rsidDel="5FA369C2">
        <w:t xml:space="preserve"> </w:t>
      </w:r>
      <w:r w:rsidR="00D51ED1">
        <w:t xml:space="preserve">clarification is required </w:t>
      </w:r>
      <w:r w:rsidR="001520B4">
        <w:t xml:space="preserve">from the Applicant’s </w:t>
      </w:r>
      <w:r w:rsidR="00D51ED1">
        <w:t xml:space="preserve">clinical experts to justify </w:t>
      </w:r>
      <w:r w:rsidR="00D80E4B">
        <w:t xml:space="preserve">the estimated </w:t>
      </w:r>
      <w:r w:rsidR="00D51ED1">
        <w:t xml:space="preserve">cost </w:t>
      </w:r>
      <w:r w:rsidR="00D80E4B">
        <w:t xml:space="preserve">for each of the </w:t>
      </w:r>
      <w:r w:rsidR="00D51ED1">
        <w:t>components to aid ESC and MSAC decision-making.</w:t>
      </w:r>
      <w:r w:rsidR="009578DB">
        <w:t xml:space="preserve">  </w:t>
      </w:r>
    </w:p>
    <w:p w14:paraId="348D6594" w14:textId="77777777" w:rsidR="0075048B" w:rsidRDefault="00CC1E01" w:rsidP="00984294">
      <w:pPr>
        <w:spacing w:line="257" w:lineRule="auto"/>
      </w:pPr>
      <w:r>
        <w:rPr>
          <w:rFonts w:eastAsia="Franklin Gothic Book" w:cs="Franklin Gothic Book"/>
        </w:rPr>
        <w:t xml:space="preserve">The </w:t>
      </w:r>
      <w:r w:rsidR="00A93F9B">
        <w:rPr>
          <w:rFonts w:eastAsia="Franklin Gothic Book" w:cs="Franklin Gothic Book"/>
        </w:rPr>
        <w:t>c</w:t>
      </w:r>
      <w:r>
        <w:rPr>
          <w:rFonts w:eastAsia="Franklin Gothic Book" w:cs="Franklin Gothic Book"/>
        </w:rPr>
        <w:t xml:space="preserve">ommentary </w:t>
      </w:r>
      <w:r w:rsidR="00984294">
        <w:rPr>
          <w:rFonts w:eastAsia="Franklin Gothic Book" w:cs="Franklin Gothic Book"/>
        </w:rPr>
        <w:t>note</w:t>
      </w:r>
      <w:r w:rsidR="00810AA3">
        <w:rPr>
          <w:rFonts w:eastAsia="Franklin Gothic Book" w:cs="Franklin Gothic Book"/>
        </w:rPr>
        <w:t>d</w:t>
      </w:r>
      <w:r>
        <w:rPr>
          <w:rFonts w:eastAsia="Franklin Gothic Book" w:cs="Franklin Gothic Book"/>
        </w:rPr>
        <w:t xml:space="preserve"> that </w:t>
      </w:r>
      <w:r w:rsidR="00A5050D">
        <w:rPr>
          <w:rFonts w:eastAsia="Franklin Gothic Book" w:cs="Franklin Gothic Book"/>
        </w:rPr>
        <w:t>the</w:t>
      </w:r>
      <w:r w:rsidR="002268E7" w:rsidRPr="002268E7">
        <w:rPr>
          <w:rFonts w:eastAsia="Franklin Gothic Book" w:cs="Franklin Gothic Book"/>
        </w:rPr>
        <w:t xml:space="preserve"> </w:t>
      </w:r>
      <w:r w:rsidR="002268E7" w:rsidRPr="0026060A">
        <w:rPr>
          <w:rFonts w:eastAsia="Franklin Gothic Book" w:cs="Franklin Gothic Book"/>
        </w:rPr>
        <w:t>cost of one carpoule of Re-188 is $14,000 and can treat up to 18cm</w:t>
      </w:r>
      <w:r w:rsidR="002268E7" w:rsidRPr="00412ACD">
        <w:rPr>
          <w:rFonts w:eastAsia="Franklin Gothic Book" w:cs="Franklin Gothic Book"/>
          <w:vertAlign w:val="superscript"/>
        </w:rPr>
        <w:t>2</w:t>
      </w:r>
      <w:r w:rsidR="002268E7" w:rsidRPr="0026060A">
        <w:rPr>
          <w:rFonts w:eastAsia="Franklin Gothic Book" w:cs="Franklin Gothic Book"/>
        </w:rPr>
        <w:t xml:space="preserve">, which is approximately </w:t>
      </w:r>
      <w:r w:rsidR="003C06A3">
        <w:rPr>
          <w:rFonts w:eastAsia="Franklin Gothic Book" w:cs="Franklin Gothic Book"/>
        </w:rPr>
        <w:t>2</w:t>
      </w:r>
      <w:r w:rsidR="002268E7">
        <w:rPr>
          <w:rFonts w:eastAsia="Franklin Gothic Book" w:cs="Franklin Gothic Book"/>
        </w:rPr>
        <w:t xml:space="preserve"> to </w:t>
      </w:r>
      <w:r w:rsidR="003C06A3">
        <w:rPr>
          <w:rFonts w:eastAsia="Franklin Gothic Book" w:cs="Franklin Gothic Book"/>
        </w:rPr>
        <w:t>4</w:t>
      </w:r>
      <w:r w:rsidR="002268E7">
        <w:rPr>
          <w:rFonts w:eastAsia="Franklin Gothic Book" w:cs="Franklin Gothic Book"/>
        </w:rPr>
        <w:t xml:space="preserve"> patients</w:t>
      </w:r>
      <w:r w:rsidR="002268E7" w:rsidRPr="0026060A">
        <w:rPr>
          <w:rFonts w:eastAsia="Franklin Gothic Book" w:cs="Franklin Gothic Book"/>
        </w:rPr>
        <w:t xml:space="preserve"> </w:t>
      </w:r>
      <w:r w:rsidR="002268E7">
        <w:rPr>
          <w:rFonts w:eastAsia="Franklin Gothic Book" w:cs="Franklin Gothic Book"/>
        </w:rPr>
        <w:t xml:space="preserve">with </w:t>
      </w:r>
      <w:r w:rsidR="005C608A">
        <w:rPr>
          <w:rFonts w:eastAsia="Franklin Gothic Book" w:cs="Franklin Gothic Book"/>
        </w:rPr>
        <w:t>1</w:t>
      </w:r>
      <w:r w:rsidR="002268E7">
        <w:rPr>
          <w:rFonts w:eastAsia="Franklin Gothic Book" w:cs="Franklin Gothic Book"/>
        </w:rPr>
        <w:t xml:space="preserve"> lesion</w:t>
      </w:r>
      <w:r w:rsidR="005C608A">
        <w:rPr>
          <w:rFonts w:eastAsia="Franklin Gothic Book" w:cs="Franklin Gothic Book"/>
        </w:rPr>
        <w:t xml:space="preserve"> sized 5-8 cm</w:t>
      </w:r>
      <w:r w:rsidR="005C608A">
        <w:rPr>
          <w:rFonts w:eastAsia="Franklin Gothic Book" w:cs="Franklin Gothic Book"/>
          <w:vertAlign w:val="superscript"/>
        </w:rPr>
        <w:t>2</w:t>
      </w:r>
      <w:r w:rsidR="002268E7">
        <w:rPr>
          <w:rFonts w:eastAsia="Franklin Gothic Book" w:cs="Franklin Gothic Book"/>
        </w:rPr>
        <w:t xml:space="preserve"> or </w:t>
      </w:r>
      <w:r w:rsidR="005C608A">
        <w:rPr>
          <w:rFonts w:eastAsia="Franklin Gothic Book" w:cs="Franklin Gothic Book"/>
        </w:rPr>
        <w:t>6</w:t>
      </w:r>
      <w:r w:rsidR="002268E7">
        <w:rPr>
          <w:rFonts w:eastAsia="Franklin Gothic Book" w:cs="Franklin Gothic Book"/>
        </w:rPr>
        <w:t xml:space="preserve"> to </w:t>
      </w:r>
      <w:r w:rsidR="005C608A">
        <w:rPr>
          <w:rFonts w:eastAsia="Franklin Gothic Book" w:cs="Franklin Gothic Book"/>
        </w:rPr>
        <w:t>12</w:t>
      </w:r>
      <w:r w:rsidR="002268E7" w:rsidRPr="0026060A">
        <w:rPr>
          <w:rFonts w:eastAsia="Franklin Gothic Book" w:cs="Franklin Gothic Book"/>
        </w:rPr>
        <w:t xml:space="preserve"> patients</w:t>
      </w:r>
      <w:r w:rsidR="002268E7">
        <w:rPr>
          <w:rFonts w:eastAsia="Franklin Gothic Book" w:cs="Franklin Gothic Book"/>
        </w:rPr>
        <w:t xml:space="preserve"> with </w:t>
      </w:r>
      <w:r w:rsidR="005C608A">
        <w:rPr>
          <w:rFonts w:eastAsia="Franklin Gothic Book" w:cs="Franklin Gothic Book"/>
        </w:rPr>
        <w:t>1 lesion sized 1.5-3 cm</w:t>
      </w:r>
      <w:r w:rsidR="005C608A">
        <w:rPr>
          <w:rFonts w:eastAsia="Franklin Gothic Book" w:cs="Franklin Gothic Book"/>
          <w:vertAlign w:val="superscript"/>
        </w:rPr>
        <w:t>2</w:t>
      </w:r>
      <w:r w:rsidR="002268E7" w:rsidRPr="0026060A">
        <w:rPr>
          <w:rFonts w:eastAsia="Franklin Gothic Book" w:cs="Franklin Gothic Book"/>
        </w:rPr>
        <w:t xml:space="preserve">. </w:t>
      </w:r>
      <w:r w:rsidR="003233AE" w:rsidRPr="00912896">
        <w:rPr>
          <w:color w:val="000000" w:themeColor="text1"/>
        </w:rPr>
        <w:t xml:space="preserve">The ADAR </w:t>
      </w:r>
      <w:r w:rsidR="003233AE">
        <w:rPr>
          <w:color w:val="000000" w:themeColor="text1"/>
        </w:rPr>
        <w:t xml:space="preserve">estimated </w:t>
      </w:r>
      <w:r w:rsidR="003233AE" w:rsidRPr="00912896">
        <w:rPr>
          <w:color w:val="000000" w:themeColor="text1"/>
        </w:rPr>
        <w:t xml:space="preserve">the cost per patient for one </w:t>
      </w:r>
      <w:r w:rsidR="003233AE">
        <w:rPr>
          <w:color w:val="000000" w:themeColor="text1"/>
        </w:rPr>
        <w:t xml:space="preserve">lesion </w:t>
      </w:r>
      <w:r w:rsidR="003233AE" w:rsidRPr="00912896">
        <w:rPr>
          <w:color w:val="000000" w:themeColor="text1"/>
        </w:rPr>
        <w:t xml:space="preserve">treatment </w:t>
      </w:r>
      <w:r w:rsidR="003233AE">
        <w:rPr>
          <w:color w:val="000000" w:themeColor="text1"/>
        </w:rPr>
        <w:t>with</w:t>
      </w:r>
      <w:r w:rsidR="003233AE" w:rsidRPr="00912896">
        <w:rPr>
          <w:color w:val="000000" w:themeColor="text1"/>
        </w:rPr>
        <w:t xml:space="preserve"> Re-188</w:t>
      </w:r>
      <w:r w:rsidR="00AC7DD5" w:rsidRPr="00AC7DD5">
        <w:rPr>
          <w:color w:val="000000" w:themeColor="text1"/>
        </w:rPr>
        <w:t xml:space="preserve"> </w:t>
      </w:r>
      <w:r w:rsidR="00AC7DD5">
        <w:rPr>
          <w:color w:val="000000" w:themeColor="text1"/>
        </w:rPr>
        <w:t>brachytherapy</w:t>
      </w:r>
      <w:r w:rsidR="003233AE">
        <w:rPr>
          <w:color w:val="000000" w:themeColor="text1"/>
        </w:rPr>
        <w:t xml:space="preserve"> but did not include any</w:t>
      </w:r>
      <w:r w:rsidR="003233AE" w:rsidRPr="00912896">
        <w:rPr>
          <w:color w:val="000000" w:themeColor="text1"/>
        </w:rPr>
        <w:t xml:space="preserve"> wastage cost</w:t>
      </w:r>
      <w:r w:rsidR="003233AE">
        <w:rPr>
          <w:color w:val="000000" w:themeColor="text1"/>
        </w:rPr>
        <w:t>s</w:t>
      </w:r>
      <w:r w:rsidR="003233AE" w:rsidRPr="00912896">
        <w:rPr>
          <w:color w:val="000000" w:themeColor="text1"/>
        </w:rPr>
        <w:t xml:space="preserve"> </w:t>
      </w:r>
      <w:r w:rsidR="003233AE">
        <w:rPr>
          <w:color w:val="000000" w:themeColor="text1"/>
        </w:rPr>
        <w:t xml:space="preserve">for </w:t>
      </w:r>
      <w:r w:rsidR="003233AE" w:rsidRPr="00912896">
        <w:rPr>
          <w:color w:val="000000" w:themeColor="text1"/>
        </w:rPr>
        <w:t>the Re-188 compound</w:t>
      </w:r>
      <w:r w:rsidR="003233AE">
        <w:rPr>
          <w:color w:val="000000" w:themeColor="text1"/>
        </w:rPr>
        <w:t>.</w:t>
      </w:r>
      <w:r w:rsidR="002268E7" w:rsidRPr="0026060A">
        <w:rPr>
          <w:rFonts w:eastAsia="Franklin Gothic Book" w:cs="Franklin Gothic Book"/>
        </w:rPr>
        <w:t xml:space="preserve"> </w:t>
      </w:r>
      <w:r w:rsidR="002268E7">
        <w:rPr>
          <w:bCs/>
        </w:rPr>
        <w:t xml:space="preserve">The amount of wastage </w:t>
      </w:r>
      <w:r w:rsidR="00407500">
        <w:rPr>
          <w:bCs/>
        </w:rPr>
        <w:t xml:space="preserve">and the associated costs </w:t>
      </w:r>
      <w:r w:rsidR="002268E7">
        <w:rPr>
          <w:bCs/>
        </w:rPr>
        <w:t>will vary depending on how efficiently lesions are batched</w:t>
      </w:r>
      <w:r w:rsidR="00506861">
        <w:rPr>
          <w:bCs/>
        </w:rPr>
        <w:t xml:space="preserve"> </w:t>
      </w:r>
      <w:r w:rsidR="00506861" w:rsidRPr="00506861">
        <w:rPr>
          <w:bCs/>
        </w:rPr>
        <w:t>(potentially $777 per cm</w:t>
      </w:r>
      <w:r w:rsidR="00506861" w:rsidRPr="00A771C8">
        <w:rPr>
          <w:vertAlign w:val="superscript"/>
        </w:rPr>
        <w:t xml:space="preserve">2 </w:t>
      </w:r>
      <w:r w:rsidR="00506861" w:rsidRPr="00506861">
        <w:rPr>
          <w:bCs/>
        </w:rPr>
        <w:t>wastage)</w:t>
      </w:r>
      <w:r w:rsidR="002268E7">
        <w:rPr>
          <w:bCs/>
        </w:rPr>
        <w:t>.</w:t>
      </w:r>
      <w:r w:rsidR="00506861" w:rsidRPr="00506861">
        <w:t xml:space="preserve"> </w:t>
      </w:r>
      <w:r w:rsidR="0043428B" w:rsidRPr="00333E44">
        <w:t>ESC noted that it was not clear whether one carpoule can treat up to 18 cm</w:t>
      </w:r>
      <w:r w:rsidR="0043428B" w:rsidRPr="00333E44">
        <w:rPr>
          <w:vertAlign w:val="superscript"/>
        </w:rPr>
        <w:t>2</w:t>
      </w:r>
      <w:r w:rsidR="0043428B" w:rsidRPr="00333E44">
        <w:t xml:space="preserve"> (as stated in the ADAR) or up to 25 cm</w:t>
      </w:r>
      <w:r w:rsidR="0043428B" w:rsidRPr="00333E44">
        <w:rPr>
          <w:vertAlign w:val="superscript"/>
        </w:rPr>
        <w:t>2</w:t>
      </w:r>
      <w:r w:rsidR="0043428B" w:rsidRPr="00333E44">
        <w:t xml:space="preserve"> (as stated in the ratified PICO confirmation). ESC noted that if one carpoule can treat an area of 25 cm</w:t>
      </w:r>
      <w:r w:rsidR="0043428B" w:rsidRPr="00333E44">
        <w:rPr>
          <w:vertAlign w:val="superscript"/>
        </w:rPr>
        <w:t>2</w:t>
      </w:r>
      <w:r w:rsidR="0043428B" w:rsidRPr="00333E44">
        <w:t>, the cost across the 3 proposed items reduces from $3,420 - $6,720 (if assume 18 cm</w:t>
      </w:r>
      <w:r w:rsidR="0043428B" w:rsidRPr="00333E44">
        <w:rPr>
          <w:vertAlign w:val="superscript"/>
        </w:rPr>
        <w:t>2</w:t>
      </w:r>
      <w:r w:rsidR="0043428B" w:rsidRPr="00333E44">
        <w:t>) to $2,930 - $5,338 (if assume 25 cm</w:t>
      </w:r>
      <w:r w:rsidR="0043428B" w:rsidRPr="00333E44">
        <w:rPr>
          <w:vertAlign w:val="superscript"/>
        </w:rPr>
        <w:t>2</w:t>
      </w:r>
      <w:r w:rsidR="0043428B" w:rsidRPr="00333E44">
        <w:t xml:space="preserve">). </w:t>
      </w:r>
    </w:p>
    <w:p w14:paraId="39756664" w14:textId="1C3DE074" w:rsidR="009673EB" w:rsidRPr="00333E44" w:rsidRDefault="00E33C85" w:rsidP="00984294">
      <w:pPr>
        <w:spacing w:line="257" w:lineRule="auto"/>
        <w:rPr>
          <w:rFonts w:eastAsia="Franklin Gothic Book" w:cs="Franklin Gothic Book"/>
        </w:rPr>
      </w:pPr>
      <w:r>
        <w:t xml:space="preserve">The pre-MSAC response </w:t>
      </w:r>
      <w:r w:rsidR="00853640">
        <w:t xml:space="preserve">did not confirm and justify the appropriate area </w:t>
      </w:r>
      <w:r w:rsidR="00853640" w:rsidRPr="00853640">
        <w:t>(18 cm2 or 25 cm2)</w:t>
      </w:r>
      <w:r w:rsidR="00853640">
        <w:t xml:space="preserve"> to inform the costings but ackno</w:t>
      </w:r>
      <w:r w:rsidR="00DD767D">
        <w:t xml:space="preserve">wledged the issues raised by ESC and stated a willingness to </w:t>
      </w:r>
      <w:r w:rsidR="00C64ACA" w:rsidRPr="00C64ACA">
        <w:t xml:space="preserve">with MSAC and the </w:t>
      </w:r>
      <w:r w:rsidR="00C64ACA">
        <w:t>department</w:t>
      </w:r>
      <w:r w:rsidR="00C64ACA" w:rsidRPr="00C64ACA">
        <w:t xml:space="preserve"> to better estimate the costs of providing the service (which will likely vary significantly between clinics), establish the most appropriate tier structure for the item fees and ultimately arrive at an MBS listing which will encourage efficiently delivery of the service (with appropriate batching of patients) and minimise inequitable and undesirable out of pocket costs for patients.</w:t>
      </w:r>
    </w:p>
    <w:p w14:paraId="562F797B" w14:textId="1E055762" w:rsidR="00696522" w:rsidRPr="007C33FF" w:rsidRDefault="00D01E5F" w:rsidP="000B6E90">
      <w:r w:rsidRPr="00CD58F1">
        <w:t>According to the clinical evaluation section in the ADAR, the included studies had a proportion of patients who had lesion sizes that were larger than 8</w:t>
      </w:r>
      <w:r w:rsidR="00B61D52">
        <w:t xml:space="preserve"> </w:t>
      </w:r>
      <w:r w:rsidRPr="00CD58F1">
        <w:t>cm</w:t>
      </w:r>
      <w:r w:rsidRPr="00810C76">
        <w:rPr>
          <w:vertAlign w:val="superscript"/>
        </w:rPr>
        <w:t>2</w:t>
      </w:r>
      <w:r>
        <w:t xml:space="preserve"> (</w:t>
      </w:r>
      <w:r w:rsidR="00DD0E3C">
        <w:fldChar w:fldCharType="begin"/>
      </w:r>
      <w:r w:rsidR="00DD0E3C">
        <w:instrText xml:space="preserve"> REF _Ref134000277 \h </w:instrText>
      </w:r>
      <w:r w:rsidR="00DD0E3C">
        <w:fldChar w:fldCharType="separate"/>
      </w:r>
      <w:r w:rsidR="009228FB">
        <w:t xml:space="preserve">Table </w:t>
      </w:r>
      <w:r w:rsidR="009228FB">
        <w:rPr>
          <w:noProof/>
        </w:rPr>
        <w:t>4</w:t>
      </w:r>
      <w:r w:rsidR="00DD0E3C">
        <w:fldChar w:fldCharType="end"/>
      </w:r>
      <w:r w:rsidR="00C5716C" w:rsidDel="00C5716C">
        <w:t>)</w:t>
      </w:r>
      <w:r>
        <w:t>. T</w:t>
      </w:r>
      <w:r w:rsidR="00901AD8" w:rsidRPr="00CD58F1">
        <w:t xml:space="preserve">he </w:t>
      </w:r>
      <w:r w:rsidR="00A93F9B">
        <w:t>c</w:t>
      </w:r>
      <w:r w:rsidR="00901AD8" w:rsidRPr="00CD58F1">
        <w:t xml:space="preserve">ommentary </w:t>
      </w:r>
      <w:r w:rsidR="00901AD8" w:rsidRPr="00CD58F1">
        <w:lastRenderedPageBreak/>
        <w:t xml:space="preserve">recommends that </w:t>
      </w:r>
      <w:r w:rsidR="007C33FF" w:rsidRPr="00CD58F1">
        <w:t>while a</w:t>
      </w:r>
      <w:r w:rsidR="00696522" w:rsidRPr="00CD58F1">
        <w:t xml:space="preserve"> lesion range of 1.5</w:t>
      </w:r>
      <w:r w:rsidR="00C5780F">
        <w:t xml:space="preserve"> to </w:t>
      </w:r>
      <w:r w:rsidR="00696522" w:rsidRPr="00CD58F1">
        <w:t>8</w:t>
      </w:r>
      <w:r w:rsidR="00C5780F">
        <w:t xml:space="preserve"> </w:t>
      </w:r>
      <w:r w:rsidR="00696522" w:rsidRPr="00CD58F1">
        <w:t>cm</w:t>
      </w:r>
      <w:r w:rsidR="00696522" w:rsidRPr="00CD58F1">
        <w:rPr>
          <w:vertAlign w:val="superscript"/>
        </w:rPr>
        <w:t>2</w:t>
      </w:r>
      <w:r w:rsidR="00696522" w:rsidRPr="00CD58F1">
        <w:t xml:space="preserve"> was used in the analysis which is consistent with the population description in the </w:t>
      </w:r>
      <w:r w:rsidR="00674DEB">
        <w:t xml:space="preserve">ratified </w:t>
      </w:r>
      <w:r w:rsidR="00696522" w:rsidRPr="00CD58F1">
        <w:t>PICO</w:t>
      </w:r>
      <w:r w:rsidR="00EC4537">
        <w:t xml:space="preserve"> </w:t>
      </w:r>
      <w:r w:rsidR="00674DEB">
        <w:t xml:space="preserve">confirmation </w:t>
      </w:r>
      <w:r w:rsidR="00EC4537" w:rsidRPr="003848F1">
        <w:t>(</w:t>
      </w:r>
      <w:r w:rsidR="00674DEB">
        <w:t>MSAC 1657 Ratified</w:t>
      </w:r>
      <w:r w:rsidR="00EC4537" w:rsidRPr="003848F1">
        <w:t xml:space="preserve"> PICO</w:t>
      </w:r>
      <w:r w:rsidR="00674DEB">
        <w:t xml:space="preserve"> Confirmation</w:t>
      </w:r>
      <w:r w:rsidR="00EC4537" w:rsidRPr="003848F1">
        <w:t>, pg. 2)</w:t>
      </w:r>
      <w:r w:rsidR="007C33FF" w:rsidRPr="00CD58F1">
        <w:t xml:space="preserve">, </w:t>
      </w:r>
      <w:r w:rsidR="00696522" w:rsidRPr="00CD58F1">
        <w:t xml:space="preserve">further justification of </w:t>
      </w:r>
      <w:r w:rsidR="007C33FF" w:rsidRPr="00CD58F1">
        <w:t>how this</w:t>
      </w:r>
      <w:r w:rsidR="00696522" w:rsidRPr="00CD58F1">
        <w:t xml:space="preserve"> range </w:t>
      </w:r>
      <w:r w:rsidR="007C33FF" w:rsidRPr="00CD58F1">
        <w:t xml:space="preserve">was defined may be useful. </w:t>
      </w:r>
    </w:p>
    <w:p w14:paraId="179E1628" w14:textId="37645C52" w:rsidR="00B15CCA" w:rsidRPr="003848F1" w:rsidRDefault="00B15CCA" w:rsidP="000B6E90">
      <w:pPr>
        <w:rPr>
          <w:color w:val="000000" w:themeColor="text1"/>
        </w:rPr>
      </w:pPr>
      <w:r>
        <w:rPr>
          <w:color w:val="000000" w:themeColor="text1"/>
        </w:rPr>
        <w:t xml:space="preserve">The </w:t>
      </w:r>
      <w:r w:rsidR="00A93F9B">
        <w:rPr>
          <w:color w:val="000000" w:themeColor="text1"/>
        </w:rPr>
        <w:t>c</w:t>
      </w:r>
      <w:r>
        <w:rPr>
          <w:color w:val="000000" w:themeColor="text1"/>
        </w:rPr>
        <w:t xml:space="preserve">ommentary noted that the economic evaluation did not consider more than one Re-188 </w:t>
      </w:r>
      <w:r w:rsidR="008042BD">
        <w:t xml:space="preserve">brachytherapy </w:t>
      </w:r>
      <w:r>
        <w:rPr>
          <w:color w:val="000000" w:themeColor="text1"/>
        </w:rPr>
        <w:t>treatment</w:t>
      </w:r>
      <w:r w:rsidR="00304F52">
        <w:rPr>
          <w:color w:val="000000" w:themeColor="text1"/>
        </w:rPr>
        <w:t xml:space="preserve"> per patient</w:t>
      </w:r>
      <w:r>
        <w:rPr>
          <w:color w:val="000000" w:themeColor="text1"/>
        </w:rPr>
        <w:t xml:space="preserve">. </w:t>
      </w:r>
      <w:r w:rsidR="00A55B09">
        <w:rPr>
          <w:color w:val="000000" w:themeColor="text1"/>
        </w:rPr>
        <w:t>The</w:t>
      </w:r>
      <w:r>
        <w:rPr>
          <w:color w:val="000000" w:themeColor="text1"/>
        </w:rPr>
        <w:t xml:space="preserve"> </w:t>
      </w:r>
      <w:r w:rsidR="00674DEB">
        <w:rPr>
          <w:color w:val="000000" w:themeColor="text1"/>
        </w:rPr>
        <w:t xml:space="preserve">ratified </w:t>
      </w:r>
      <w:r>
        <w:rPr>
          <w:color w:val="000000" w:themeColor="text1"/>
        </w:rPr>
        <w:t>PICO</w:t>
      </w:r>
      <w:r w:rsidR="00674DEB">
        <w:rPr>
          <w:color w:val="000000" w:themeColor="text1"/>
        </w:rPr>
        <w:t xml:space="preserve"> confirmation</w:t>
      </w:r>
      <w:r w:rsidR="00A55B09">
        <w:rPr>
          <w:color w:val="000000" w:themeColor="text1"/>
        </w:rPr>
        <w:t xml:space="preserve"> indicated</w:t>
      </w:r>
      <w:r>
        <w:rPr>
          <w:color w:val="000000" w:themeColor="text1"/>
        </w:rPr>
        <w:t xml:space="preserve"> that “</w:t>
      </w:r>
      <w:r w:rsidRPr="00FA06D2">
        <w:rPr>
          <w:color w:val="000000" w:themeColor="text1"/>
        </w:rPr>
        <w:t>around 85% of patients require only a single treatment”</w:t>
      </w:r>
      <w:r w:rsidR="00865E90" w:rsidRPr="003848F1">
        <w:rPr>
          <w:color w:val="000000" w:themeColor="text1"/>
        </w:rPr>
        <w:t xml:space="preserve"> (</w:t>
      </w:r>
      <w:r w:rsidR="00674DEB">
        <w:rPr>
          <w:color w:val="000000" w:themeColor="text1"/>
        </w:rPr>
        <w:t>MSAC 1657 Ratified</w:t>
      </w:r>
      <w:r w:rsidR="00674DEB" w:rsidRPr="003848F1">
        <w:rPr>
          <w:color w:val="000000" w:themeColor="text1"/>
        </w:rPr>
        <w:t xml:space="preserve"> </w:t>
      </w:r>
      <w:r w:rsidR="00865E90" w:rsidRPr="003848F1">
        <w:rPr>
          <w:color w:val="000000" w:themeColor="text1"/>
        </w:rPr>
        <w:t>PICO</w:t>
      </w:r>
      <w:r w:rsidR="00674DEB">
        <w:rPr>
          <w:color w:val="000000" w:themeColor="text1"/>
        </w:rPr>
        <w:t xml:space="preserve"> Confirmation</w:t>
      </w:r>
      <w:r w:rsidR="00865E90" w:rsidRPr="003848F1">
        <w:rPr>
          <w:color w:val="000000" w:themeColor="text1"/>
        </w:rPr>
        <w:t>, pg. 20)</w:t>
      </w:r>
      <w:r>
        <w:rPr>
          <w:color w:val="000000" w:themeColor="text1"/>
        </w:rPr>
        <w:t xml:space="preserve">. </w:t>
      </w:r>
      <w:r w:rsidRPr="003848F1">
        <w:rPr>
          <w:color w:val="000000" w:themeColor="text1"/>
        </w:rPr>
        <w:t>Additionally</w:t>
      </w:r>
      <w:r w:rsidRPr="00FA06D2">
        <w:t xml:space="preserve">, three out of the five Re-188 </w:t>
      </w:r>
      <w:r w:rsidR="008042BD">
        <w:t xml:space="preserve">brachytherapy </w:t>
      </w:r>
      <w:r w:rsidRPr="00FA06D2">
        <w:t>studies state</w:t>
      </w:r>
      <w:r>
        <w:t>d</w:t>
      </w:r>
      <w:r w:rsidRPr="00FA06D2">
        <w:t xml:space="preserve"> </w:t>
      </w:r>
      <w:r>
        <w:t>that the R</w:t>
      </w:r>
      <w:r w:rsidRPr="00FA06D2">
        <w:t xml:space="preserve">e-188 </w:t>
      </w:r>
      <w:r w:rsidR="00F57E38">
        <w:t xml:space="preserve">brachytherapy </w:t>
      </w:r>
      <w:r w:rsidRPr="00FA06D2">
        <w:t xml:space="preserve">treatment consisted </w:t>
      </w:r>
      <w:r>
        <w:t>of one to two, or three treatments</w:t>
      </w:r>
      <w:r w:rsidRPr="00FA06D2">
        <w:t xml:space="preserve">. </w:t>
      </w:r>
      <w:r>
        <w:t>Therefore</w:t>
      </w:r>
      <w:r w:rsidR="002569C6">
        <w:t>,</w:t>
      </w:r>
      <w:r>
        <w:t xml:space="preserve"> the </w:t>
      </w:r>
      <w:r w:rsidR="00A93F9B">
        <w:t>c</w:t>
      </w:r>
      <w:r>
        <w:t xml:space="preserve">ommentary conducted a scenario analysis where 85% of patients have one Re-188 </w:t>
      </w:r>
      <w:r w:rsidR="00F57E38">
        <w:t xml:space="preserve">brachytherapy </w:t>
      </w:r>
      <w:r>
        <w:t xml:space="preserve">treatment and the remaining </w:t>
      </w:r>
      <w:r w:rsidR="00325B4B">
        <w:t>1</w:t>
      </w:r>
      <w:r>
        <w:t>5% have two treatments</w:t>
      </w:r>
      <w:r w:rsidR="00E22FBE">
        <w:t xml:space="preserve"> (</w:t>
      </w:r>
      <w:r w:rsidR="005E051C">
        <w:rPr>
          <w:highlight w:val="yellow"/>
        </w:rPr>
        <w:fldChar w:fldCharType="begin"/>
      </w:r>
      <w:r w:rsidR="005E051C">
        <w:instrText xml:space="preserve"> REF _Ref133827073 \h </w:instrText>
      </w:r>
      <w:r w:rsidR="005E051C">
        <w:rPr>
          <w:highlight w:val="yellow"/>
        </w:rPr>
      </w:r>
      <w:r w:rsidR="005E051C">
        <w:rPr>
          <w:highlight w:val="yellow"/>
        </w:rPr>
        <w:fldChar w:fldCharType="separate"/>
      </w:r>
      <w:r w:rsidR="009228FB">
        <w:t xml:space="preserve">Table </w:t>
      </w:r>
      <w:r w:rsidR="009228FB">
        <w:rPr>
          <w:noProof/>
        </w:rPr>
        <w:t>14</w:t>
      </w:r>
      <w:r w:rsidR="005E051C">
        <w:rPr>
          <w:highlight w:val="yellow"/>
        </w:rPr>
        <w:fldChar w:fldCharType="end"/>
      </w:r>
      <w:r w:rsidR="00E22FBE">
        <w:t>)</w:t>
      </w:r>
      <w:r>
        <w:t>.</w:t>
      </w:r>
    </w:p>
    <w:p w14:paraId="4B9952DF" w14:textId="2675373E" w:rsidR="00F77655" w:rsidRPr="0028358F" w:rsidRDefault="00F77655" w:rsidP="003848F1">
      <w:pPr>
        <w:pStyle w:val="Heading4"/>
      </w:pPr>
      <w:r>
        <w:t>EBRT</w:t>
      </w:r>
      <w:r w:rsidR="007E044F">
        <w:t xml:space="preserve"> </w:t>
      </w:r>
    </w:p>
    <w:p w14:paraId="12D35A0F" w14:textId="16F62D59" w:rsidR="00D40F70" w:rsidRDefault="00F85F74" w:rsidP="00936CB0">
      <w:pPr>
        <w:keepNext/>
      </w:pPr>
      <w:r>
        <w:t>As noted in Section 6 – Comparator, t</w:t>
      </w:r>
      <w:r w:rsidR="00712436">
        <w:t xml:space="preserve">he ADAR </w:t>
      </w:r>
      <w:r w:rsidR="00CD5AFD">
        <w:t>assumed</w:t>
      </w:r>
      <w:r w:rsidR="00712436">
        <w:t xml:space="preserve"> that</w:t>
      </w:r>
      <w:r w:rsidR="00666B47">
        <w:t xml:space="preserve"> the EBRT modalities used would be </w:t>
      </w:r>
      <w:r w:rsidR="00D40F70">
        <w:t xml:space="preserve">either </w:t>
      </w:r>
      <w:r w:rsidR="00C036B7">
        <w:t xml:space="preserve">3D megavoltage electron </w:t>
      </w:r>
      <w:r w:rsidR="00A30148">
        <w:t>EBR</w:t>
      </w:r>
      <w:r>
        <w:t xml:space="preserve">T </w:t>
      </w:r>
      <w:r w:rsidR="00C036B7">
        <w:t xml:space="preserve">(referred to as </w:t>
      </w:r>
      <w:r w:rsidR="00D40F70">
        <w:t>LINAC</w:t>
      </w:r>
      <w:r w:rsidR="00C036B7">
        <w:t>)</w:t>
      </w:r>
      <w:r w:rsidR="00D40F70">
        <w:t xml:space="preserve"> or IMRT/VMAT</w:t>
      </w:r>
      <w:r w:rsidR="00405EAF">
        <w:t xml:space="preserve">. </w:t>
      </w:r>
      <w:r w:rsidR="00A658DC">
        <w:t>That is, t</w:t>
      </w:r>
      <w:r w:rsidR="00305F50">
        <w:t xml:space="preserve">he </w:t>
      </w:r>
      <w:r w:rsidR="00405EAF">
        <w:t xml:space="preserve">treatment costs for EBRT were based on MBS items for 3D megavoltage </w:t>
      </w:r>
      <w:r w:rsidR="00A30148">
        <w:t>EB</w:t>
      </w:r>
      <w:r w:rsidR="00700A71">
        <w:t>RT</w:t>
      </w:r>
      <w:r w:rsidR="00A6785A">
        <w:t xml:space="preserve"> </w:t>
      </w:r>
      <w:r w:rsidR="00215790">
        <w:t>(</w:t>
      </w:r>
      <w:r w:rsidR="00405EAF">
        <w:t xml:space="preserve">LINAC) and MBS items for IMRT/VMAT. </w:t>
      </w:r>
      <w:r w:rsidR="00215790">
        <w:t xml:space="preserve">The ADAR assumed </w:t>
      </w:r>
      <w:r w:rsidR="00D40F70">
        <w:t xml:space="preserve">all patients </w:t>
      </w:r>
      <w:r w:rsidR="00B81D65">
        <w:t xml:space="preserve">receiving EBRT </w:t>
      </w:r>
      <w:r w:rsidR="00D40F70">
        <w:t>will have one initial specialist consultation with a dermatologist or plastic surgeon (MBS Item 104) for diagnosis and referral and three follow up consultations with the same specialist (MBS Item 105) during and at the completion of their course of treatment,</w:t>
      </w:r>
      <w:r w:rsidR="00D40F70" w:rsidRPr="00595F8C">
        <w:t xml:space="preserve"> </w:t>
      </w:r>
      <w:r w:rsidR="00D40F70">
        <w:t xml:space="preserve">irrespective of the specific fractionation regimen or technical modality employed. </w:t>
      </w:r>
      <w:r w:rsidR="00513B37">
        <w:t>The ADAR</w:t>
      </w:r>
      <w:r w:rsidR="00D40F70">
        <w:t xml:space="preserve"> also assumed patients require three episodes of wound dressing (MBS Item 30003: 100% Schedule Fee: $38.40) during their treatment course. </w:t>
      </w:r>
      <w:r w:rsidR="00712436" w:rsidRPr="00C01382">
        <w:t xml:space="preserve">The </w:t>
      </w:r>
      <w:r w:rsidR="003D4B41">
        <w:t>c</w:t>
      </w:r>
      <w:r w:rsidR="00712436" w:rsidRPr="00C01382">
        <w:t>ommentary note</w:t>
      </w:r>
      <w:r w:rsidR="00CD5AFD">
        <w:t>d</w:t>
      </w:r>
      <w:r w:rsidR="00712436" w:rsidRPr="00C01382">
        <w:t xml:space="preserve"> that the services provided for LINAC and IMRT/VMAT </w:t>
      </w:r>
      <w:r w:rsidR="00712436">
        <w:t>may be</w:t>
      </w:r>
      <w:r w:rsidR="00712436" w:rsidRPr="00C01382">
        <w:t xml:space="preserve"> appropriate given the protocol for skin cancer </w:t>
      </w:r>
      <w:r w:rsidR="00ED7CF4">
        <w:t>BCC</w:t>
      </w:r>
      <w:r w:rsidR="00712436" w:rsidRPr="00C01382">
        <w:t xml:space="preserve"> definitive EBRT.</w:t>
      </w:r>
      <w:r w:rsidR="00712436" w:rsidRPr="00C01382">
        <w:rPr>
          <w:vertAlign w:val="superscript"/>
        </w:rPr>
        <w:footnoteReference w:id="17"/>
      </w:r>
      <w:r w:rsidR="00E34E07">
        <w:t xml:space="preserve">  </w:t>
      </w:r>
    </w:p>
    <w:p w14:paraId="095A9F1C" w14:textId="49C05509" w:rsidR="00125A71" w:rsidRDefault="00712436" w:rsidP="00AA26CB">
      <w:r>
        <w:t xml:space="preserve">The ADAR </w:t>
      </w:r>
      <w:r w:rsidR="00A2463A">
        <w:t>assumed</w:t>
      </w:r>
      <w:r>
        <w:t xml:space="preserve"> that</w:t>
      </w:r>
      <w:r w:rsidR="00512D9C">
        <w:t xml:space="preserve"> </w:t>
      </w:r>
      <w:r w:rsidR="002924FA">
        <w:t>patients require</w:t>
      </w:r>
      <w:r w:rsidR="00A2463A">
        <w:t>d</w:t>
      </w:r>
      <w:r w:rsidR="002924FA">
        <w:t xml:space="preserve"> a single instance of both simulation and dosimetry per treatment course, and between 10 and 30 episodes of treatment and verification, depending on the prescribed fractionation regimen. The</w:t>
      </w:r>
      <w:r w:rsidR="00D30825">
        <w:t xml:space="preserve"> ADAR stated </w:t>
      </w:r>
      <w:r w:rsidR="00747390">
        <w:t>that</w:t>
      </w:r>
      <w:r w:rsidR="00D30825">
        <w:t xml:space="preserve"> the</w:t>
      </w:r>
      <w:r w:rsidR="002924FA">
        <w:t xml:space="preserve"> range of fractionation regimens considered was informed by local and international treatment guidelines and targeted consultation with local clinicians. </w:t>
      </w:r>
      <w:r w:rsidR="00DE744B">
        <w:t xml:space="preserve">The averaged number of fractionations applied was 19.03 based on the simulation of </w:t>
      </w:r>
      <w:r w:rsidR="00AA26CB">
        <w:t xml:space="preserve">a random sample of 100 lesions, with a uniform distribution of between 10 and 30 dose fractions.  </w:t>
      </w:r>
    </w:p>
    <w:p w14:paraId="794546DE" w14:textId="378FE50D" w:rsidR="00AA26CB" w:rsidRDefault="00BB2E61" w:rsidP="00AA26CB">
      <w:r>
        <w:t xml:space="preserve">The ADAR also assumed </w:t>
      </w:r>
      <w:r w:rsidR="009800FD">
        <w:t xml:space="preserve">that the EBRT modality used would be evenly split </w:t>
      </w:r>
      <w:r w:rsidR="007B6136">
        <w:t xml:space="preserve">between </w:t>
      </w:r>
      <w:r w:rsidR="00A30148">
        <w:t>3D megavoltage</w:t>
      </w:r>
      <w:r w:rsidR="007B6136">
        <w:t xml:space="preserve"> (50%) and IMRT/VMAT (50%). </w:t>
      </w:r>
      <w:r w:rsidR="00827B9B">
        <w:t xml:space="preserve">The ADAR suggested that based on the total MBS utilisation patterns between </w:t>
      </w:r>
      <w:r w:rsidR="00A30148">
        <w:t>3D megavoltage</w:t>
      </w:r>
      <w:r w:rsidR="00827B9B">
        <w:t xml:space="preserve"> and IMRT/VMAT items and targeted consultation with local clinicians, </w:t>
      </w:r>
      <w:r w:rsidR="00DB1C9D">
        <w:t>50:50 weighting was</w:t>
      </w:r>
      <w:r w:rsidR="00827B9B">
        <w:t xml:space="preserve"> a relatively conservative </w:t>
      </w:r>
      <w:r w:rsidR="00827B9B" w:rsidRPr="00AD36F2">
        <w:rPr>
          <w:color w:val="000000" w:themeColor="text1"/>
        </w:rPr>
        <w:t>assumption, with the true proportion of relevant services provided using IMRT/VMAT technologies being significantly higher.</w:t>
      </w:r>
    </w:p>
    <w:p w14:paraId="39CC600E" w14:textId="77777777" w:rsidR="00BE5AEE" w:rsidRDefault="00A24C27" w:rsidP="0004068F">
      <w:r>
        <w:t xml:space="preserve">The following issues with the costing of the EBRT comparator were noted by the </w:t>
      </w:r>
      <w:r w:rsidR="00BE5AEE">
        <w:t xml:space="preserve">commentary and ESC: </w:t>
      </w:r>
    </w:p>
    <w:p w14:paraId="5E85BE2E" w14:textId="52554071" w:rsidR="00373BB3" w:rsidRPr="00333E44" w:rsidRDefault="00B3549A" w:rsidP="002252F8">
      <w:pPr>
        <w:pStyle w:val="ListParagraph"/>
        <w:numPr>
          <w:ilvl w:val="0"/>
          <w:numId w:val="22"/>
        </w:numPr>
      </w:pPr>
      <w:r w:rsidRPr="00333E44">
        <w:t xml:space="preserve">Other </w:t>
      </w:r>
      <w:r w:rsidR="00373BB3" w:rsidRPr="00333E44">
        <w:t>EBRT modalities</w:t>
      </w:r>
    </w:p>
    <w:p w14:paraId="1F043C36" w14:textId="71F44C95" w:rsidR="001C5294" w:rsidRDefault="00FD6F9B" w:rsidP="000A6864">
      <w:pPr>
        <w:ind w:left="360"/>
      </w:pPr>
      <w:r w:rsidRPr="00FD6F9B">
        <w:t xml:space="preserve">Orthovoltage </w:t>
      </w:r>
      <w:r w:rsidR="00C71FED">
        <w:t>is</w:t>
      </w:r>
      <w:r w:rsidRPr="00FD6F9B">
        <w:t xml:space="preserve"> an alternative EBRT </w:t>
      </w:r>
      <w:r w:rsidR="00FC040C">
        <w:t>modality</w:t>
      </w:r>
      <w:r w:rsidRPr="00FD6F9B">
        <w:t xml:space="preserve"> commonly used for treatment of BCC and SCC and would be a more suitable comparator for technologies that target superficial tumours.</w:t>
      </w:r>
      <w:r w:rsidR="007F6056">
        <w:t xml:space="preserve"> However, orthovoltage was not included as an EBRT modality in the ADAR. Therefore, s</w:t>
      </w:r>
      <w:r w:rsidR="002B3C5E">
        <w:t>ensitivity analyses including orth</w:t>
      </w:r>
      <w:r w:rsidR="001C5294">
        <w:t>o</w:t>
      </w:r>
      <w:r w:rsidR="002B3C5E">
        <w:t xml:space="preserve">voltage in the EBRT comparator </w:t>
      </w:r>
      <w:r w:rsidR="001C5294">
        <w:t xml:space="preserve">have been included (see </w:t>
      </w:r>
      <w:r w:rsidR="002533F9">
        <w:fldChar w:fldCharType="begin"/>
      </w:r>
      <w:r w:rsidR="002533F9">
        <w:instrText xml:space="preserve"> REF _Ref133827073 \h </w:instrText>
      </w:r>
      <w:r w:rsidR="002533F9">
        <w:fldChar w:fldCharType="separate"/>
      </w:r>
      <w:r w:rsidR="009228FB">
        <w:t xml:space="preserve">Table </w:t>
      </w:r>
      <w:r w:rsidR="009228FB">
        <w:rPr>
          <w:noProof/>
        </w:rPr>
        <w:t>14</w:t>
      </w:r>
      <w:r w:rsidR="002533F9">
        <w:fldChar w:fldCharType="end"/>
      </w:r>
      <w:r w:rsidR="001C5294">
        <w:t xml:space="preserve">). </w:t>
      </w:r>
    </w:p>
    <w:p w14:paraId="6C9E2112" w14:textId="7D367D1B" w:rsidR="00690AA1" w:rsidRPr="00333E44" w:rsidRDefault="003A7D03" w:rsidP="002252F8">
      <w:pPr>
        <w:pStyle w:val="ListParagraph"/>
        <w:numPr>
          <w:ilvl w:val="0"/>
          <w:numId w:val="22"/>
        </w:numPr>
      </w:pPr>
      <w:r w:rsidRPr="00333E44">
        <w:lastRenderedPageBreak/>
        <w:t xml:space="preserve">3D megavoltage </w:t>
      </w:r>
      <w:r w:rsidR="00877D42" w:rsidRPr="00333E44">
        <w:t>EBRT</w:t>
      </w:r>
      <w:r w:rsidRPr="00333E44">
        <w:t xml:space="preserve"> referred to as ‘</w:t>
      </w:r>
      <w:r w:rsidR="000502E6" w:rsidRPr="00333E44">
        <w:t>LINAC</w:t>
      </w:r>
      <w:r w:rsidRPr="00333E44">
        <w:t>’</w:t>
      </w:r>
    </w:p>
    <w:p w14:paraId="1877F934" w14:textId="2E6A637B" w:rsidR="00CB0275" w:rsidRDefault="001C5294" w:rsidP="000A6864">
      <w:pPr>
        <w:ind w:left="360"/>
      </w:pPr>
      <w:r>
        <w:t xml:space="preserve">The ADAR included </w:t>
      </w:r>
      <w:r w:rsidR="00F47B8B">
        <w:t>‘LINAC’ as an EBRT modality</w:t>
      </w:r>
      <w:r w:rsidR="000279CC">
        <w:t xml:space="preserve">. </w:t>
      </w:r>
      <w:r w:rsidR="0030435E">
        <w:t xml:space="preserve">Although LINAC can be used to deliver </w:t>
      </w:r>
      <w:r w:rsidR="0030435E" w:rsidRPr="005F077C">
        <w:t>x-ray or electron beam RT, in 2D or 3D</w:t>
      </w:r>
      <w:r w:rsidR="0030435E">
        <w:t xml:space="preserve">, </w:t>
      </w:r>
      <w:r w:rsidR="0030435E" w:rsidRPr="005F077C">
        <w:t>at low or high energies (megavoltage) and also IMRT/VMAT</w:t>
      </w:r>
      <w:r w:rsidR="0030435E">
        <w:t>, t</w:t>
      </w:r>
      <w:r w:rsidR="00FA0CB6">
        <w:t xml:space="preserve">he ADAR </w:t>
      </w:r>
      <w:r w:rsidR="00F47B8B">
        <w:t xml:space="preserve">costed </w:t>
      </w:r>
      <w:r w:rsidR="00FA0CB6">
        <w:t>‘LINAC’</w:t>
      </w:r>
      <w:r w:rsidR="00F47B8B">
        <w:t xml:space="preserve"> using</w:t>
      </w:r>
      <w:r w:rsidR="00A6532D">
        <w:t xml:space="preserve"> </w:t>
      </w:r>
      <w:r w:rsidR="00770B40">
        <w:t>MBS items for</w:t>
      </w:r>
      <w:r w:rsidR="00F47B8B">
        <w:t xml:space="preserve"> 3D megavoltage</w:t>
      </w:r>
      <w:r w:rsidR="000279CC">
        <w:t xml:space="preserve"> </w:t>
      </w:r>
      <w:r w:rsidR="00877D42">
        <w:t>EBRT</w:t>
      </w:r>
      <w:r w:rsidR="008F582E">
        <w:t xml:space="preserve"> (including simulation, dosimetry, treatment and verification)</w:t>
      </w:r>
      <w:r w:rsidR="00F47B8B">
        <w:t xml:space="preserve">. </w:t>
      </w:r>
      <w:r w:rsidR="00783035">
        <w:t xml:space="preserve">ESC advice is that 2D rather than 3D electron beam </w:t>
      </w:r>
      <w:r w:rsidR="00154C1E">
        <w:t>EBRT would be used</w:t>
      </w:r>
      <w:r w:rsidR="009A3295">
        <w:t xml:space="preserve"> for treatment of shallow</w:t>
      </w:r>
      <w:r w:rsidR="00697CAE">
        <w:t xml:space="preserve"> and small</w:t>
      </w:r>
      <w:r w:rsidR="009A3295">
        <w:t xml:space="preserve"> (≤3mm) BCC or SCC</w:t>
      </w:r>
      <w:r w:rsidR="00154C1E">
        <w:t xml:space="preserve"> (see </w:t>
      </w:r>
      <w:r w:rsidR="00154C1E">
        <w:fldChar w:fldCharType="begin"/>
      </w:r>
      <w:r w:rsidR="00154C1E">
        <w:instrText xml:space="preserve"> REF _Ref133827073 \h </w:instrText>
      </w:r>
      <w:r w:rsidR="00154C1E">
        <w:fldChar w:fldCharType="separate"/>
      </w:r>
      <w:r w:rsidR="009228FB">
        <w:t xml:space="preserve">Table </w:t>
      </w:r>
      <w:r w:rsidR="009228FB">
        <w:rPr>
          <w:noProof/>
        </w:rPr>
        <w:t>14</w:t>
      </w:r>
      <w:r w:rsidR="00154C1E">
        <w:fldChar w:fldCharType="end"/>
      </w:r>
      <w:r w:rsidR="00154C1E">
        <w:t xml:space="preserve"> for ESC requested sensitivity analyses).</w:t>
      </w:r>
    </w:p>
    <w:p w14:paraId="2E854B04" w14:textId="77777777" w:rsidR="00CB0275" w:rsidRPr="00333E44" w:rsidRDefault="00CB0275" w:rsidP="002252F8">
      <w:pPr>
        <w:pStyle w:val="ListParagraph"/>
        <w:numPr>
          <w:ilvl w:val="0"/>
          <w:numId w:val="22"/>
        </w:numPr>
      </w:pPr>
      <w:r w:rsidRPr="00333E44">
        <w:t>Number of fractions</w:t>
      </w:r>
    </w:p>
    <w:p w14:paraId="5B733059" w14:textId="53DC4857" w:rsidR="0004068F" w:rsidRPr="00FA06D2" w:rsidRDefault="00DF494A" w:rsidP="000A6864">
      <w:pPr>
        <w:ind w:left="360"/>
      </w:pPr>
      <w:r>
        <w:t>The ADAR assumed a fraction</w:t>
      </w:r>
      <w:r w:rsidR="00747081">
        <w:t>ation range of 10-30 fractions would be used, with an average of 19.0</w:t>
      </w:r>
      <w:r w:rsidR="002533F9">
        <w:t>3</w:t>
      </w:r>
      <w:r w:rsidR="00747081">
        <w:t xml:space="preserve"> fractions</w:t>
      </w:r>
      <w:r w:rsidR="00682C1F">
        <w:t xml:space="preserve"> from the 100 sample simulation</w:t>
      </w:r>
      <w:r w:rsidR="00A96B7D">
        <w:t>.</w:t>
      </w:r>
      <w:r w:rsidR="00747081">
        <w:t xml:space="preserve"> </w:t>
      </w:r>
      <w:r w:rsidR="0004068F">
        <w:t xml:space="preserve">The </w:t>
      </w:r>
      <w:r w:rsidR="003D4B41">
        <w:t>c</w:t>
      </w:r>
      <w:r w:rsidR="0004068F">
        <w:t xml:space="preserve">ommentary noted that </w:t>
      </w:r>
      <w:r w:rsidR="00603B79">
        <w:t>the</w:t>
      </w:r>
      <w:r w:rsidR="0004068F">
        <w:t xml:space="preserve"> </w:t>
      </w:r>
      <w:r w:rsidR="005B633F">
        <w:t>G</w:t>
      </w:r>
      <w:r w:rsidR="0004068F">
        <w:t>y range of 23</w:t>
      </w:r>
      <w:r w:rsidR="005B633F">
        <w:t xml:space="preserve"> to </w:t>
      </w:r>
      <w:r w:rsidR="0004068F">
        <w:t xml:space="preserve">47gy </w:t>
      </w:r>
      <w:r w:rsidR="00391E10">
        <w:t xml:space="preserve">was </w:t>
      </w:r>
      <w:r w:rsidR="0004068F">
        <w:t xml:space="preserve">used in one of the Re-188 </w:t>
      </w:r>
      <w:r w:rsidR="00F57E38">
        <w:t xml:space="preserve">brachytherapy </w:t>
      </w:r>
      <w:r w:rsidR="0004068F">
        <w:t>studies</w:t>
      </w:r>
      <w:r w:rsidR="000C78AF">
        <w:rPr>
          <w:rStyle w:val="FootnoteReference"/>
        </w:rPr>
        <w:footnoteReference w:id="18"/>
      </w:r>
      <w:r w:rsidR="00391E10">
        <w:t xml:space="preserve"> and a</w:t>
      </w:r>
      <w:r w:rsidR="0004068F">
        <w:t xml:space="preserve">ccording to EviQ guidelines, for a prescription dose of up to 50 </w:t>
      </w:r>
      <w:r w:rsidR="00F13E47">
        <w:t>G</w:t>
      </w:r>
      <w:r w:rsidR="0004068F">
        <w:t>y, the fractionation range is 5</w:t>
      </w:r>
      <w:r w:rsidR="00F13E47">
        <w:t xml:space="preserve"> to </w:t>
      </w:r>
      <w:r w:rsidR="0004068F">
        <w:t>20, as opposed to the 10</w:t>
      </w:r>
      <w:r w:rsidR="00F13E47">
        <w:t xml:space="preserve"> to </w:t>
      </w:r>
      <w:r w:rsidR="0004068F">
        <w:t>30 range used in the ADAR.</w:t>
      </w:r>
      <w:r w:rsidR="00F83313">
        <w:rPr>
          <w:rStyle w:val="FootnoteReference"/>
        </w:rPr>
        <w:footnoteReference w:id="19"/>
      </w:r>
      <w:r w:rsidR="0004068F">
        <w:t xml:space="preserve"> Additionally, t</w:t>
      </w:r>
      <w:r w:rsidR="0004068F" w:rsidRPr="0036159A">
        <w:t xml:space="preserve">he </w:t>
      </w:r>
      <w:r w:rsidR="003D4B41">
        <w:t>c</w:t>
      </w:r>
      <w:r w:rsidR="0004068F" w:rsidRPr="0036159A">
        <w:t>ommentary</w:t>
      </w:r>
      <w:r w:rsidR="0020445D">
        <w:t xml:space="preserve"> noted</w:t>
      </w:r>
      <w:r w:rsidR="0004068F" w:rsidRPr="0036159A">
        <w:t xml:space="preserve"> that the standard curative dose schedules for the treatment of small lesions (&lt;</w:t>
      </w:r>
      <w:r w:rsidR="00F13E47">
        <w:t xml:space="preserve"> </w:t>
      </w:r>
      <w:r w:rsidR="0004068F" w:rsidRPr="0036159A">
        <w:t>2</w:t>
      </w:r>
      <w:r w:rsidR="00F13E47">
        <w:t xml:space="preserve"> </w:t>
      </w:r>
      <w:r w:rsidR="0004068F" w:rsidRPr="0036159A">
        <w:t>cm) typically require fewer treatments (4</w:t>
      </w:r>
      <w:r w:rsidR="00AB72EE">
        <w:t xml:space="preserve"> to </w:t>
      </w:r>
      <w:r w:rsidR="0004068F" w:rsidRPr="0036159A">
        <w:t xml:space="preserve">12 </w:t>
      </w:r>
      <w:r w:rsidR="0004068F">
        <w:t>treatments</w:t>
      </w:r>
      <w:r w:rsidR="0004068F" w:rsidRPr="0036159A">
        <w:t xml:space="preserve"> over 1</w:t>
      </w:r>
      <w:r w:rsidR="00AB72EE">
        <w:t xml:space="preserve"> to </w:t>
      </w:r>
      <w:r w:rsidR="0004068F" w:rsidRPr="0036159A">
        <w:t>2 weeks) compared with larger lesions which require 15</w:t>
      </w:r>
      <w:r w:rsidR="00AB72EE">
        <w:t xml:space="preserve"> to </w:t>
      </w:r>
      <w:r w:rsidR="0004068F" w:rsidRPr="0036159A">
        <w:t>30 treatments over 3</w:t>
      </w:r>
      <w:r w:rsidR="00AB72EE">
        <w:t xml:space="preserve"> to </w:t>
      </w:r>
      <w:r w:rsidR="0004068F" w:rsidRPr="0036159A">
        <w:t>6 weeks.</w:t>
      </w:r>
      <w:r w:rsidR="00B94786">
        <w:rPr>
          <w:rStyle w:val="FootnoteReference"/>
        </w:rPr>
        <w:footnoteReference w:id="20"/>
      </w:r>
      <w:r w:rsidR="0004068F">
        <w:t xml:space="preserve"> </w:t>
      </w:r>
      <w:r w:rsidR="005E051C">
        <w:t>Furthermore</w:t>
      </w:r>
      <w:r w:rsidR="0004068F" w:rsidRPr="0036159A">
        <w:t xml:space="preserve">, according to </w:t>
      </w:r>
      <w:r w:rsidR="008F5731">
        <w:t>Khong et al</w:t>
      </w:r>
      <w:r w:rsidR="0004068F" w:rsidRPr="0036159A">
        <w:t>,</w:t>
      </w:r>
      <w:r w:rsidR="008F5731">
        <w:rPr>
          <w:rStyle w:val="FootnoteReference"/>
        </w:rPr>
        <w:footnoteReference w:id="21"/>
      </w:r>
      <w:r w:rsidR="0004068F" w:rsidRPr="0036159A">
        <w:t xml:space="preserve"> treatment for low-risk BCC and SCC (early-stage tumours) involves 5</w:t>
      </w:r>
      <w:r w:rsidR="00AB72EE">
        <w:t xml:space="preserve"> to </w:t>
      </w:r>
      <w:r w:rsidR="0004068F" w:rsidRPr="0036159A">
        <w:t>15 fractions daily (</w:t>
      </w:r>
      <w:r w:rsidR="005F3DF7">
        <w:t xml:space="preserve">administered </w:t>
      </w:r>
      <w:r w:rsidR="0004068F" w:rsidRPr="0036159A">
        <w:t>Monday to Friday).</w:t>
      </w:r>
      <w:r w:rsidR="0004068F">
        <w:t xml:space="preserve"> The </w:t>
      </w:r>
      <w:r w:rsidR="003D4B41">
        <w:t>c</w:t>
      </w:r>
      <w:r w:rsidR="0004068F">
        <w:t>ommentary included additional scenario analysis to test the impact of different fractionation ranges in the economic evaluation</w:t>
      </w:r>
      <w:r w:rsidR="00945FE1">
        <w:t xml:space="preserve"> (</w:t>
      </w:r>
      <w:r w:rsidR="002533F9">
        <w:fldChar w:fldCharType="begin"/>
      </w:r>
      <w:r w:rsidR="002533F9">
        <w:instrText xml:space="preserve"> REF _Ref133827073 \h </w:instrText>
      </w:r>
      <w:r w:rsidR="002533F9">
        <w:fldChar w:fldCharType="separate"/>
      </w:r>
      <w:r w:rsidR="009228FB">
        <w:t xml:space="preserve">Table </w:t>
      </w:r>
      <w:r w:rsidR="009228FB">
        <w:rPr>
          <w:noProof/>
        </w:rPr>
        <w:t>14</w:t>
      </w:r>
      <w:r w:rsidR="002533F9">
        <w:fldChar w:fldCharType="end"/>
      </w:r>
      <w:r w:rsidR="00945FE1">
        <w:fldChar w:fldCharType="begin"/>
      </w:r>
      <w:r w:rsidR="00945FE1">
        <w:instrText xml:space="preserve"> REF _Ref133827073 \h </w:instrText>
      </w:r>
      <w:r w:rsidR="00945FE1">
        <w:fldChar w:fldCharType="separate"/>
      </w:r>
      <w:r w:rsidR="009228FB">
        <w:t xml:space="preserve">Table </w:t>
      </w:r>
      <w:r w:rsidR="009228FB">
        <w:rPr>
          <w:noProof/>
        </w:rPr>
        <w:t>14</w:t>
      </w:r>
      <w:r w:rsidR="00945FE1">
        <w:fldChar w:fldCharType="end"/>
      </w:r>
      <w:r w:rsidR="00945FE1">
        <w:t>)</w:t>
      </w:r>
      <w:r w:rsidR="0004068F">
        <w:t>.</w:t>
      </w:r>
      <w:r w:rsidR="00D124CC">
        <w:t xml:space="preserve"> </w:t>
      </w:r>
      <w:r w:rsidR="006C6484">
        <w:t xml:space="preserve">In addition, </w:t>
      </w:r>
      <w:r w:rsidR="00BC4A61">
        <w:t xml:space="preserve">ESC advice was that generally 5-10 fractions would be </w:t>
      </w:r>
      <w:r w:rsidR="005C65AA">
        <w:t>most common.</w:t>
      </w:r>
    </w:p>
    <w:p w14:paraId="6C5C7F43" w14:textId="338B1198" w:rsidR="00935EEE" w:rsidRPr="00935EEE" w:rsidRDefault="002533F9" w:rsidP="00935EEE">
      <w:r>
        <w:fldChar w:fldCharType="begin"/>
      </w:r>
      <w:r>
        <w:instrText xml:space="preserve"> REF _Ref138087801 \h </w:instrText>
      </w:r>
      <w:r>
        <w:fldChar w:fldCharType="separate"/>
      </w:r>
      <w:r w:rsidR="009228FB">
        <w:t xml:space="preserve">Table </w:t>
      </w:r>
      <w:r w:rsidR="009228FB">
        <w:rPr>
          <w:noProof/>
        </w:rPr>
        <w:t>11</w:t>
      </w:r>
      <w:r>
        <w:fldChar w:fldCharType="end"/>
      </w:r>
      <w:r w:rsidR="00392E83">
        <w:t xml:space="preserve"> </w:t>
      </w:r>
      <w:r w:rsidR="001B1671">
        <w:t xml:space="preserve">below compares how the </w:t>
      </w:r>
      <w:r w:rsidR="000636A1">
        <w:t xml:space="preserve">EBRT comparator </w:t>
      </w:r>
      <w:r w:rsidR="004D1985">
        <w:t xml:space="preserve">was costed </w:t>
      </w:r>
      <w:r w:rsidR="00392E83">
        <w:t>i</w:t>
      </w:r>
      <w:r w:rsidR="004D1985">
        <w:t xml:space="preserve">n the ADAR and revised by the commentary and ESC. </w:t>
      </w:r>
      <w:bookmarkStart w:id="40" w:name="_Ref138087801"/>
      <w:r w:rsidR="00935EEE">
        <w:br w:type="page"/>
      </w:r>
    </w:p>
    <w:p w14:paraId="41D056B2" w14:textId="0B94F3E0" w:rsidR="004D1985" w:rsidRDefault="00D9587A" w:rsidP="00D9587A">
      <w:pPr>
        <w:pStyle w:val="Caption"/>
      </w:pPr>
      <w:r>
        <w:lastRenderedPageBreak/>
        <w:t xml:space="preserve">Table </w:t>
      </w:r>
      <w:r w:rsidR="00BC1AC8">
        <w:fldChar w:fldCharType="begin"/>
      </w:r>
      <w:r w:rsidR="00BC1AC8">
        <w:instrText xml:space="preserve"> SEQ Table \* ARABIC </w:instrText>
      </w:r>
      <w:r w:rsidR="00BC1AC8">
        <w:fldChar w:fldCharType="separate"/>
      </w:r>
      <w:r w:rsidR="009228FB">
        <w:rPr>
          <w:noProof/>
        </w:rPr>
        <w:t>11</w:t>
      </w:r>
      <w:r w:rsidR="00BC1AC8">
        <w:rPr>
          <w:noProof/>
        </w:rPr>
        <w:fldChar w:fldCharType="end"/>
      </w:r>
      <w:bookmarkEnd w:id="40"/>
      <w:r>
        <w:t xml:space="preserve"> </w:t>
      </w:r>
      <w:r w:rsidR="002533F9">
        <w:t>– Summary of EBRT costing in the ADAR and revised by the commentary and ESC</w:t>
      </w:r>
    </w:p>
    <w:tbl>
      <w:tblPr>
        <w:tblStyle w:val="TableGrid1"/>
        <w:tblW w:w="8642" w:type="dxa"/>
        <w:tblLook w:val="04A0" w:firstRow="1" w:lastRow="0" w:firstColumn="1" w:lastColumn="0" w:noHBand="0" w:noVBand="1"/>
      </w:tblPr>
      <w:tblGrid>
        <w:gridCol w:w="3964"/>
        <w:gridCol w:w="1560"/>
        <w:gridCol w:w="1559"/>
        <w:gridCol w:w="1559"/>
      </w:tblGrid>
      <w:tr w:rsidR="007050CA" w:rsidRPr="000636A1" w14:paraId="1C4DF151" w14:textId="77777777" w:rsidTr="002C4E95">
        <w:trPr>
          <w:cnfStyle w:val="100000000000" w:firstRow="1" w:lastRow="0" w:firstColumn="0" w:lastColumn="0" w:oddVBand="0" w:evenVBand="0" w:oddHBand="0" w:evenHBand="0" w:firstRowFirstColumn="0" w:firstRowLastColumn="0" w:lastRowFirstColumn="0" w:lastRowLastColumn="0"/>
          <w:trHeight w:val="40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50C0" w14:textId="77777777" w:rsidR="00D95CA1" w:rsidRPr="000636A1" w:rsidRDefault="00D95CA1" w:rsidP="00A52FC3">
            <w:pPr>
              <w:pStyle w:val="TableHeading0"/>
            </w:pPr>
            <w:r w:rsidRPr="000636A1">
              <w:t>Input</w:t>
            </w:r>
          </w:p>
        </w:tc>
        <w:tc>
          <w:tcPr>
            <w:tcW w:w="1560" w:type="dxa"/>
            <w:tcBorders>
              <w:top w:val="single" w:sz="4" w:space="0" w:color="auto"/>
              <w:left w:val="nil"/>
              <w:bottom w:val="single" w:sz="4" w:space="0" w:color="auto"/>
              <w:right w:val="single" w:sz="4" w:space="0" w:color="auto"/>
            </w:tcBorders>
            <w:shd w:val="clear" w:color="auto" w:fill="auto"/>
            <w:noWrap/>
            <w:hideMark/>
          </w:tcPr>
          <w:p w14:paraId="7849C76A" w14:textId="77777777" w:rsidR="00D95CA1" w:rsidRPr="000636A1" w:rsidRDefault="00D95CA1" w:rsidP="002C4E95">
            <w:pPr>
              <w:pStyle w:val="TableHeading0"/>
              <w:jc w:val="center"/>
            </w:pPr>
            <w:r w:rsidRPr="000636A1">
              <w:t>ADAR</w:t>
            </w:r>
          </w:p>
        </w:tc>
        <w:tc>
          <w:tcPr>
            <w:tcW w:w="1559" w:type="dxa"/>
            <w:tcBorders>
              <w:top w:val="single" w:sz="4" w:space="0" w:color="auto"/>
              <w:left w:val="nil"/>
              <w:bottom w:val="single" w:sz="4" w:space="0" w:color="auto"/>
              <w:right w:val="single" w:sz="4" w:space="0" w:color="auto"/>
            </w:tcBorders>
            <w:shd w:val="clear" w:color="auto" w:fill="auto"/>
            <w:hideMark/>
          </w:tcPr>
          <w:p w14:paraId="41741C67" w14:textId="1627AC05" w:rsidR="00D95CA1" w:rsidRPr="000636A1" w:rsidRDefault="00D95CA1" w:rsidP="002C4E95">
            <w:pPr>
              <w:pStyle w:val="TableHeading0"/>
              <w:jc w:val="center"/>
            </w:pPr>
            <w:r w:rsidRPr="000636A1">
              <w:t>Commentary</w:t>
            </w:r>
            <w:r>
              <w:rPr>
                <w:vertAlign w:val="superscript"/>
              </w:rPr>
              <w:t>1</w:t>
            </w:r>
          </w:p>
        </w:tc>
        <w:tc>
          <w:tcPr>
            <w:tcW w:w="1559" w:type="dxa"/>
            <w:tcBorders>
              <w:top w:val="single" w:sz="4" w:space="0" w:color="auto"/>
              <w:left w:val="nil"/>
              <w:bottom w:val="single" w:sz="4" w:space="0" w:color="auto"/>
              <w:right w:val="single" w:sz="4" w:space="0" w:color="auto"/>
            </w:tcBorders>
            <w:shd w:val="clear" w:color="auto" w:fill="auto"/>
            <w:hideMark/>
          </w:tcPr>
          <w:p w14:paraId="270C4208" w14:textId="0AFEF5F7" w:rsidR="00D95CA1" w:rsidRPr="000636A1" w:rsidRDefault="00D95CA1" w:rsidP="002C4E95">
            <w:pPr>
              <w:pStyle w:val="TableHeading0"/>
              <w:jc w:val="center"/>
            </w:pPr>
            <w:r w:rsidRPr="000636A1">
              <w:t>ESC</w:t>
            </w:r>
            <w:r w:rsidR="002533F9">
              <w:rPr>
                <w:vertAlign w:val="superscript"/>
              </w:rPr>
              <w:t>2</w:t>
            </w:r>
          </w:p>
        </w:tc>
      </w:tr>
      <w:tr w:rsidR="007050CA" w:rsidRPr="000636A1" w14:paraId="0C4584EE" w14:textId="77777777" w:rsidTr="002C4E95">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52F840B" w14:textId="4B4217F2" w:rsidR="007050CA" w:rsidRPr="000636A1" w:rsidRDefault="00B56E27" w:rsidP="002178D6">
            <w:pPr>
              <w:pStyle w:val="Tabletext0"/>
              <w:jc w:val="left"/>
            </w:pPr>
            <w:r>
              <w:t>3D megavoltage</w:t>
            </w:r>
          </w:p>
        </w:tc>
        <w:tc>
          <w:tcPr>
            <w:tcW w:w="1560" w:type="dxa"/>
            <w:tcBorders>
              <w:top w:val="nil"/>
              <w:left w:val="nil"/>
              <w:bottom w:val="single" w:sz="4" w:space="0" w:color="auto"/>
              <w:right w:val="single" w:sz="4" w:space="0" w:color="auto"/>
            </w:tcBorders>
            <w:shd w:val="clear" w:color="auto" w:fill="auto"/>
            <w:noWrap/>
            <w:hideMark/>
          </w:tcPr>
          <w:p w14:paraId="3AE98F1C" w14:textId="77777777" w:rsidR="00D95CA1" w:rsidRPr="000636A1" w:rsidRDefault="00D95CA1" w:rsidP="002C4E95">
            <w:pPr>
              <w:pStyle w:val="Tabletext0"/>
              <w:jc w:val="center"/>
            </w:pPr>
            <w:r w:rsidRPr="000636A1">
              <w:t>$4,351.25</w:t>
            </w:r>
          </w:p>
        </w:tc>
        <w:tc>
          <w:tcPr>
            <w:tcW w:w="1559" w:type="dxa"/>
            <w:tcBorders>
              <w:top w:val="nil"/>
              <w:left w:val="nil"/>
              <w:bottom w:val="single" w:sz="4" w:space="0" w:color="auto"/>
              <w:right w:val="single" w:sz="4" w:space="0" w:color="auto"/>
            </w:tcBorders>
            <w:shd w:val="clear" w:color="auto" w:fill="auto"/>
            <w:noWrap/>
            <w:hideMark/>
          </w:tcPr>
          <w:p w14:paraId="2D23FB6A" w14:textId="77777777" w:rsidR="00D95CA1" w:rsidRPr="000636A1" w:rsidRDefault="00D95CA1" w:rsidP="002C4E95">
            <w:pPr>
              <w:pStyle w:val="Tabletext0"/>
              <w:jc w:val="center"/>
            </w:pPr>
            <w:r w:rsidRPr="000636A1">
              <w:t>$4,351.25</w:t>
            </w:r>
          </w:p>
        </w:tc>
        <w:tc>
          <w:tcPr>
            <w:tcW w:w="1559" w:type="dxa"/>
            <w:tcBorders>
              <w:top w:val="nil"/>
              <w:left w:val="nil"/>
              <w:bottom w:val="single" w:sz="4" w:space="0" w:color="auto"/>
              <w:right w:val="single" w:sz="4" w:space="0" w:color="auto"/>
            </w:tcBorders>
            <w:shd w:val="clear" w:color="auto" w:fill="auto"/>
            <w:noWrap/>
            <w:hideMark/>
          </w:tcPr>
          <w:p w14:paraId="7F662279" w14:textId="05189E09" w:rsidR="00D95CA1" w:rsidRPr="000636A1" w:rsidRDefault="00D95CA1" w:rsidP="002C4E95">
            <w:pPr>
              <w:pStyle w:val="Tabletext0"/>
              <w:jc w:val="center"/>
            </w:pPr>
            <w:r w:rsidRPr="000636A1">
              <w:t>-</w:t>
            </w:r>
          </w:p>
        </w:tc>
      </w:tr>
      <w:tr w:rsidR="007050CA" w:rsidRPr="000636A1" w14:paraId="41464A52" w14:textId="77777777" w:rsidTr="002C4E95">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209536F" w14:textId="5A4DCD4D" w:rsidR="007050CA" w:rsidRPr="000636A1" w:rsidRDefault="00B56E27" w:rsidP="002178D6">
            <w:pPr>
              <w:pStyle w:val="Tabletext0"/>
              <w:jc w:val="left"/>
            </w:pPr>
            <w:r>
              <w:t>2D e</w:t>
            </w:r>
            <w:r w:rsidR="00D95CA1" w:rsidRPr="000636A1">
              <w:t xml:space="preserve">lectron beam </w:t>
            </w:r>
          </w:p>
        </w:tc>
        <w:tc>
          <w:tcPr>
            <w:tcW w:w="1560" w:type="dxa"/>
            <w:tcBorders>
              <w:top w:val="nil"/>
              <w:left w:val="nil"/>
              <w:bottom w:val="single" w:sz="4" w:space="0" w:color="auto"/>
              <w:right w:val="single" w:sz="4" w:space="0" w:color="auto"/>
            </w:tcBorders>
            <w:shd w:val="clear" w:color="auto" w:fill="auto"/>
            <w:noWrap/>
            <w:hideMark/>
          </w:tcPr>
          <w:p w14:paraId="1AD2B347" w14:textId="118D7783" w:rsidR="00D95CA1" w:rsidRPr="000636A1" w:rsidRDefault="00D95CA1" w:rsidP="002C4E95">
            <w:pPr>
              <w:pStyle w:val="Tabletext0"/>
              <w:jc w:val="center"/>
            </w:pPr>
            <w:r w:rsidRPr="000636A1">
              <w:t>-</w:t>
            </w:r>
          </w:p>
        </w:tc>
        <w:tc>
          <w:tcPr>
            <w:tcW w:w="1559" w:type="dxa"/>
            <w:tcBorders>
              <w:top w:val="nil"/>
              <w:left w:val="nil"/>
              <w:bottom w:val="single" w:sz="4" w:space="0" w:color="auto"/>
              <w:right w:val="single" w:sz="4" w:space="0" w:color="auto"/>
            </w:tcBorders>
            <w:shd w:val="clear" w:color="auto" w:fill="auto"/>
            <w:noWrap/>
            <w:hideMark/>
          </w:tcPr>
          <w:p w14:paraId="20345820" w14:textId="47EBC4B9" w:rsidR="00D95CA1" w:rsidRPr="000636A1" w:rsidRDefault="00D95CA1" w:rsidP="002C4E95">
            <w:pPr>
              <w:pStyle w:val="Tabletext0"/>
              <w:jc w:val="center"/>
            </w:pPr>
            <w:r w:rsidRPr="000636A1">
              <w:t>-</w:t>
            </w:r>
          </w:p>
        </w:tc>
        <w:tc>
          <w:tcPr>
            <w:tcW w:w="1559" w:type="dxa"/>
            <w:tcBorders>
              <w:top w:val="nil"/>
              <w:left w:val="nil"/>
              <w:bottom w:val="single" w:sz="4" w:space="0" w:color="auto"/>
              <w:right w:val="single" w:sz="4" w:space="0" w:color="auto"/>
            </w:tcBorders>
            <w:shd w:val="clear" w:color="auto" w:fill="auto"/>
            <w:noWrap/>
            <w:hideMark/>
          </w:tcPr>
          <w:p w14:paraId="24789704" w14:textId="77777777" w:rsidR="00D95CA1" w:rsidRPr="000636A1" w:rsidRDefault="00D95CA1" w:rsidP="002C4E95">
            <w:pPr>
              <w:pStyle w:val="Tabletext0"/>
              <w:jc w:val="center"/>
            </w:pPr>
            <w:r w:rsidRPr="000636A1">
              <w:t>$1,315.93</w:t>
            </w:r>
          </w:p>
        </w:tc>
      </w:tr>
      <w:tr w:rsidR="007050CA" w:rsidRPr="000636A1" w14:paraId="20F8D563" w14:textId="77777777" w:rsidTr="002C4E95">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9E0BC6" w14:textId="1D0E4261" w:rsidR="002C4E95" w:rsidRPr="000636A1" w:rsidRDefault="00D95CA1" w:rsidP="002C4E95">
            <w:pPr>
              <w:pStyle w:val="Tabletext0"/>
              <w:jc w:val="left"/>
            </w:pPr>
            <w:r w:rsidRPr="000636A1">
              <w:t>IMRT/VMAT</w:t>
            </w:r>
          </w:p>
        </w:tc>
        <w:tc>
          <w:tcPr>
            <w:tcW w:w="1560" w:type="dxa"/>
            <w:tcBorders>
              <w:top w:val="nil"/>
              <w:left w:val="nil"/>
              <w:bottom w:val="single" w:sz="4" w:space="0" w:color="auto"/>
              <w:right w:val="single" w:sz="4" w:space="0" w:color="auto"/>
            </w:tcBorders>
            <w:shd w:val="clear" w:color="auto" w:fill="auto"/>
            <w:noWrap/>
            <w:hideMark/>
          </w:tcPr>
          <w:p w14:paraId="0A36788F" w14:textId="77777777" w:rsidR="00D95CA1" w:rsidRPr="000636A1" w:rsidRDefault="00D95CA1" w:rsidP="002C4E95">
            <w:pPr>
              <w:pStyle w:val="Tabletext0"/>
              <w:jc w:val="center"/>
            </w:pPr>
            <w:r w:rsidRPr="000636A1">
              <w:t>$9,821.73</w:t>
            </w:r>
          </w:p>
        </w:tc>
        <w:tc>
          <w:tcPr>
            <w:tcW w:w="1559" w:type="dxa"/>
            <w:tcBorders>
              <w:top w:val="nil"/>
              <w:left w:val="nil"/>
              <w:bottom w:val="single" w:sz="4" w:space="0" w:color="auto"/>
              <w:right w:val="single" w:sz="4" w:space="0" w:color="auto"/>
            </w:tcBorders>
            <w:shd w:val="clear" w:color="auto" w:fill="auto"/>
            <w:noWrap/>
            <w:hideMark/>
          </w:tcPr>
          <w:p w14:paraId="66BBC051" w14:textId="77777777" w:rsidR="00D95CA1" w:rsidRPr="000636A1" w:rsidRDefault="00D95CA1" w:rsidP="002C4E95">
            <w:pPr>
              <w:pStyle w:val="Tabletext0"/>
              <w:jc w:val="center"/>
            </w:pPr>
            <w:r w:rsidRPr="000636A1">
              <w:t>$9,821.73</w:t>
            </w:r>
          </w:p>
        </w:tc>
        <w:tc>
          <w:tcPr>
            <w:tcW w:w="1559" w:type="dxa"/>
            <w:tcBorders>
              <w:top w:val="nil"/>
              <w:left w:val="nil"/>
              <w:bottom w:val="single" w:sz="4" w:space="0" w:color="auto"/>
              <w:right w:val="single" w:sz="4" w:space="0" w:color="auto"/>
            </w:tcBorders>
            <w:shd w:val="clear" w:color="auto" w:fill="auto"/>
            <w:noWrap/>
            <w:hideMark/>
          </w:tcPr>
          <w:p w14:paraId="31BFAA66" w14:textId="77777777" w:rsidR="00D95CA1" w:rsidRPr="000636A1" w:rsidRDefault="00D95CA1" w:rsidP="002C4E95">
            <w:pPr>
              <w:pStyle w:val="Tabletext0"/>
              <w:jc w:val="center"/>
            </w:pPr>
            <w:r w:rsidRPr="000636A1">
              <w:t>$7,343.90</w:t>
            </w:r>
          </w:p>
        </w:tc>
      </w:tr>
      <w:tr w:rsidR="007050CA" w:rsidRPr="000636A1" w14:paraId="7F4D12A2" w14:textId="77777777" w:rsidTr="002C4E95">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1EF1A3" w14:textId="77777777" w:rsidR="00D95CA1" w:rsidRPr="000636A1" w:rsidRDefault="00D95CA1" w:rsidP="00D31CFD">
            <w:pPr>
              <w:pStyle w:val="Tabletext0"/>
              <w:jc w:val="left"/>
            </w:pPr>
            <w:r w:rsidRPr="000636A1">
              <w:t>Orthovoltage</w:t>
            </w:r>
          </w:p>
        </w:tc>
        <w:tc>
          <w:tcPr>
            <w:tcW w:w="1560" w:type="dxa"/>
            <w:tcBorders>
              <w:top w:val="nil"/>
              <w:left w:val="nil"/>
              <w:bottom w:val="single" w:sz="4" w:space="0" w:color="auto"/>
              <w:right w:val="single" w:sz="4" w:space="0" w:color="auto"/>
            </w:tcBorders>
            <w:shd w:val="clear" w:color="auto" w:fill="auto"/>
            <w:noWrap/>
            <w:hideMark/>
          </w:tcPr>
          <w:p w14:paraId="0F28B650" w14:textId="4171F46A" w:rsidR="00D95CA1" w:rsidRPr="000636A1" w:rsidRDefault="00D95CA1" w:rsidP="002C4E95">
            <w:pPr>
              <w:pStyle w:val="Tabletext0"/>
              <w:jc w:val="center"/>
            </w:pPr>
            <w:r w:rsidRPr="000636A1">
              <w:t>-</w:t>
            </w:r>
          </w:p>
        </w:tc>
        <w:tc>
          <w:tcPr>
            <w:tcW w:w="1559" w:type="dxa"/>
            <w:tcBorders>
              <w:top w:val="nil"/>
              <w:left w:val="nil"/>
              <w:bottom w:val="single" w:sz="4" w:space="0" w:color="auto"/>
              <w:right w:val="single" w:sz="4" w:space="0" w:color="auto"/>
            </w:tcBorders>
            <w:shd w:val="clear" w:color="auto" w:fill="auto"/>
            <w:noWrap/>
            <w:hideMark/>
          </w:tcPr>
          <w:p w14:paraId="27E6C21A" w14:textId="77777777" w:rsidR="00D95CA1" w:rsidRPr="000636A1" w:rsidRDefault="00D95CA1" w:rsidP="002C4E95">
            <w:pPr>
              <w:pStyle w:val="Tabletext0"/>
              <w:jc w:val="center"/>
            </w:pPr>
            <w:r w:rsidRPr="000636A1">
              <w:t>$1,098.01</w:t>
            </w:r>
          </w:p>
        </w:tc>
        <w:tc>
          <w:tcPr>
            <w:tcW w:w="1559" w:type="dxa"/>
            <w:tcBorders>
              <w:top w:val="nil"/>
              <w:left w:val="nil"/>
              <w:bottom w:val="single" w:sz="4" w:space="0" w:color="auto"/>
              <w:right w:val="single" w:sz="4" w:space="0" w:color="auto"/>
            </w:tcBorders>
            <w:shd w:val="clear" w:color="auto" w:fill="auto"/>
            <w:noWrap/>
            <w:hideMark/>
          </w:tcPr>
          <w:p w14:paraId="59D5EF60" w14:textId="77777777" w:rsidR="00D95CA1" w:rsidRPr="000636A1" w:rsidRDefault="00D95CA1" w:rsidP="002C4E95">
            <w:pPr>
              <w:pStyle w:val="Tabletext0"/>
              <w:jc w:val="center"/>
            </w:pPr>
            <w:r w:rsidRPr="000636A1">
              <w:t>$642.45</w:t>
            </w:r>
          </w:p>
        </w:tc>
      </w:tr>
      <w:tr w:rsidR="007050CA" w:rsidRPr="000636A1" w14:paraId="3343287E" w14:textId="77777777" w:rsidTr="002C4E95">
        <w:trPr>
          <w:trHeight w:val="343"/>
        </w:trPr>
        <w:tc>
          <w:tcPr>
            <w:tcW w:w="3964" w:type="dxa"/>
            <w:tcBorders>
              <w:top w:val="nil"/>
              <w:left w:val="single" w:sz="4" w:space="0" w:color="auto"/>
              <w:bottom w:val="single" w:sz="4" w:space="0" w:color="auto"/>
              <w:right w:val="single" w:sz="4" w:space="0" w:color="auto"/>
            </w:tcBorders>
            <w:shd w:val="clear" w:color="auto" w:fill="auto"/>
            <w:noWrap/>
          </w:tcPr>
          <w:p w14:paraId="629891DE" w14:textId="53D6F175" w:rsidR="002A7B36" w:rsidRPr="000636A1" w:rsidRDefault="002A7B36" w:rsidP="00D31CFD">
            <w:pPr>
              <w:pStyle w:val="Tabletext0"/>
              <w:jc w:val="left"/>
            </w:pPr>
            <w:r>
              <w:t>Average # of fractions</w:t>
            </w:r>
            <w:r w:rsidR="00B331E5">
              <w:rPr>
                <w:vertAlign w:val="superscript"/>
              </w:rPr>
              <w:t>3</w:t>
            </w:r>
            <w:r w:rsidR="00451151">
              <w:t xml:space="preserve"> </w:t>
            </w:r>
          </w:p>
        </w:tc>
        <w:tc>
          <w:tcPr>
            <w:tcW w:w="1560" w:type="dxa"/>
            <w:tcBorders>
              <w:top w:val="nil"/>
              <w:left w:val="nil"/>
              <w:bottom w:val="single" w:sz="4" w:space="0" w:color="auto"/>
              <w:right w:val="single" w:sz="4" w:space="0" w:color="auto"/>
            </w:tcBorders>
            <w:shd w:val="clear" w:color="auto" w:fill="auto"/>
          </w:tcPr>
          <w:p w14:paraId="1220ED49" w14:textId="3DF21E55" w:rsidR="002A7B36" w:rsidRDefault="002A7B36" w:rsidP="002C4E95">
            <w:pPr>
              <w:pStyle w:val="Tabletext0"/>
              <w:jc w:val="center"/>
            </w:pPr>
            <w:r>
              <w:t>19.03</w:t>
            </w:r>
          </w:p>
        </w:tc>
        <w:tc>
          <w:tcPr>
            <w:tcW w:w="1559" w:type="dxa"/>
            <w:tcBorders>
              <w:top w:val="nil"/>
              <w:left w:val="nil"/>
              <w:bottom w:val="single" w:sz="4" w:space="0" w:color="auto"/>
              <w:right w:val="single" w:sz="4" w:space="0" w:color="auto"/>
            </w:tcBorders>
            <w:shd w:val="clear" w:color="auto" w:fill="auto"/>
          </w:tcPr>
          <w:p w14:paraId="143BB1C2" w14:textId="1CBE41D7" w:rsidR="002A7B36" w:rsidRDefault="002A7B36" w:rsidP="002C4E95">
            <w:pPr>
              <w:pStyle w:val="Tabletext0"/>
              <w:jc w:val="center"/>
            </w:pPr>
            <w:r>
              <w:t>19.03</w:t>
            </w:r>
          </w:p>
        </w:tc>
        <w:tc>
          <w:tcPr>
            <w:tcW w:w="1559" w:type="dxa"/>
            <w:tcBorders>
              <w:top w:val="nil"/>
              <w:left w:val="nil"/>
              <w:bottom w:val="single" w:sz="4" w:space="0" w:color="auto"/>
              <w:right w:val="single" w:sz="4" w:space="0" w:color="auto"/>
            </w:tcBorders>
            <w:shd w:val="clear" w:color="auto" w:fill="auto"/>
          </w:tcPr>
          <w:p w14:paraId="511F27B5" w14:textId="2EAE4B88" w:rsidR="002A7B36" w:rsidRDefault="002A7B36" w:rsidP="002C4E95">
            <w:pPr>
              <w:pStyle w:val="Tabletext0"/>
              <w:jc w:val="center"/>
            </w:pPr>
            <w:r>
              <w:t>10</w:t>
            </w:r>
          </w:p>
        </w:tc>
      </w:tr>
      <w:tr w:rsidR="007050CA" w:rsidRPr="000636A1" w14:paraId="7BFB5EA8" w14:textId="77777777" w:rsidTr="002C4E95">
        <w:trPr>
          <w:trHeight w:val="880"/>
        </w:trPr>
        <w:tc>
          <w:tcPr>
            <w:tcW w:w="3964" w:type="dxa"/>
            <w:tcBorders>
              <w:top w:val="nil"/>
              <w:left w:val="single" w:sz="4" w:space="0" w:color="auto"/>
              <w:bottom w:val="single" w:sz="4" w:space="0" w:color="auto"/>
              <w:right w:val="single" w:sz="4" w:space="0" w:color="auto"/>
            </w:tcBorders>
            <w:shd w:val="clear" w:color="auto" w:fill="auto"/>
            <w:noWrap/>
            <w:hideMark/>
          </w:tcPr>
          <w:p w14:paraId="1D602129" w14:textId="77777777" w:rsidR="00D95CA1" w:rsidRDefault="00D95CA1" w:rsidP="00D31CFD">
            <w:pPr>
              <w:pStyle w:val="Tabletext0"/>
              <w:jc w:val="left"/>
            </w:pPr>
            <w:r w:rsidRPr="000636A1">
              <w:t>EBRT weighting</w:t>
            </w:r>
          </w:p>
          <w:p w14:paraId="29B93838" w14:textId="6B07E1E9" w:rsidR="00A50017" w:rsidRDefault="007F0508" w:rsidP="00A50017">
            <w:pPr>
              <w:pStyle w:val="Tabletext0"/>
              <w:ind w:left="306"/>
              <w:jc w:val="left"/>
            </w:pPr>
            <w:r>
              <w:t xml:space="preserve">Electron </w:t>
            </w:r>
            <w:r w:rsidR="00B56E27">
              <w:t>beam</w:t>
            </w:r>
          </w:p>
          <w:p w14:paraId="7325D2C1" w14:textId="77777777" w:rsidR="00915006" w:rsidRDefault="00915006" w:rsidP="00A50017">
            <w:pPr>
              <w:pStyle w:val="Tabletext0"/>
              <w:ind w:left="306"/>
              <w:jc w:val="left"/>
            </w:pPr>
            <w:r>
              <w:t>IMRT/VMAT</w:t>
            </w:r>
          </w:p>
          <w:p w14:paraId="4AD0CC1C" w14:textId="7DF66CB8" w:rsidR="00915006" w:rsidRPr="000636A1" w:rsidRDefault="00915006" w:rsidP="008D376F">
            <w:pPr>
              <w:pStyle w:val="Tabletext0"/>
              <w:ind w:left="306"/>
              <w:jc w:val="left"/>
            </w:pPr>
            <w:r>
              <w:t>Orthovoltage</w:t>
            </w:r>
          </w:p>
        </w:tc>
        <w:tc>
          <w:tcPr>
            <w:tcW w:w="1560" w:type="dxa"/>
            <w:tcBorders>
              <w:top w:val="nil"/>
              <w:left w:val="nil"/>
              <w:bottom w:val="single" w:sz="4" w:space="0" w:color="auto"/>
              <w:right w:val="single" w:sz="4" w:space="0" w:color="auto"/>
            </w:tcBorders>
            <w:shd w:val="clear" w:color="auto" w:fill="auto"/>
            <w:hideMark/>
          </w:tcPr>
          <w:p w14:paraId="659B7F47" w14:textId="77777777" w:rsidR="00915006" w:rsidRDefault="00915006" w:rsidP="000949FF">
            <w:pPr>
              <w:pStyle w:val="Tabletext0"/>
              <w:jc w:val="center"/>
            </w:pPr>
          </w:p>
          <w:p w14:paraId="4FA18CC3" w14:textId="67AAFF04" w:rsidR="00D95CA1" w:rsidRDefault="00D95CA1" w:rsidP="000949FF">
            <w:pPr>
              <w:pStyle w:val="Tabletext0"/>
              <w:jc w:val="center"/>
            </w:pPr>
            <w:r w:rsidRPr="000636A1">
              <w:t>50</w:t>
            </w:r>
            <w:r w:rsidR="00915006">
              <w:t>%</w:t>
            </w:r>
            <w:r w:rsidR="00B56E27">
              <w:t xml:space="preserve"> (3D)</w:t>
            </w:r>
            <w:r w:rsidRPr="000636A1">
              <w:t xml:space="preserve"> </w:t>
            </w:r>
            <w:r w:rsidRPr="000636A1">
              <w:br/>
              <w:t>50%</w:t>
            </w:r>
          </w:p>
          <w:p w14:paraId="4733205E" w14:textId="03A1FFFE" w:rsidR="00915006" w:rsidRPr="000636A1" w:rsidRDefault="00915006" w:rsidP="000949FF">
            <w:pPr>
              <w:pStyle w:val="Tabletext0"/>
              <w:jc w:val="center"/>
            </w:pPr>
            <w:r>
              <w:t>-</w:t>
            </w:r>
          </w:p>
        </w:tc>
        <w:tc>
          <w:tcPr>
            <w:tcW w:w="1559" w:type="dxa"/>
            <w:tcBorders>
              <w:top w:val="nil"/>
              <w:left w:val="nil"/>
              <w:bottom w:val="single" w:sz="4" w:space="0" w:color="auto"/>
              <w:right w:val="single" w:sz="4" w:space="0" w:color="auto"/>
            </w:tcBorders>
            <w:shd w:val="clear" w:color="auto" w:fill="auto"/>
            <w:hideMark/>
          </w:tcPr>
          <w:p w14:paraId="388AF63C" w14:textId="77777777" w:rsidR="00915006" w:rsidRDefault="00915006" w:rsidP="000949FF">
            <w:pPr>
              <w:pStyle w:val="Tabletext0"/>
              <w:jc w:val="center"/>
            </w:pPr>
          </w:p>
          <w:p w14:paraId="0F6D99F5" w14:textId="7322CCE8" w:rsidR="00D95CA1" w:rsidRPr="000636A1" w:rsidRDefault="00D95CA1" w:rsidP="000949FF">
            <w:pPr>
              <w:pStyle w:val="Tabletext0"/>
              <w:jc w:val="center"/>
            </w:pPr>
            <w:r w:rsidRPr="000636A1">
              <w:t>5%</w:t>
            </w:r>
            <w:r w:rsidR="00B56E27">
              <w:t xml:space="preserve"> (3D)</w:t>
            </w:r>
            <w:r w:rsidRPr="000636A1">
              <w:t xml:space="preserve"> </w:t>
            </w:r>
            <w:r w:rsidRPr="000636A1">
              <w:br/>
              <w:t xml:space="preserve">5% </w:t>
            </w:r>
            <w:r w:rsidRPr="000636A1">
              <w:br/>
              <w:t>90%</w:t>
            </w:r>
          </w:p>
        </w:tc>
        <w:tc>
          <w:tcPr>
            <w:tcW w:w="1559" w:type="dxa"/>
            <w:tcBorders>
              <w:top w:val="nil"/>
              <w:left w:val="nil"/>
              <w:bottom w:val="single" w:sz="4" w:space="0" w:color="auto"/>
              <w:right w:val="single" w:sz="4" w:space="0" w:color="auto"/>
            </w:tcBorders>
            <w:shd w:val="clear" w:color="auto" w:fill="auto"/>
            <w:hideMark/>
          </w:tcPr>
          <w:p w14:paraId="01E3F207" w14:textId="77777777" w:rsidR="002A7B36" w:rsidRDefault="002A7B36" w:rsidP="000949FF">
            <w:pPr>
              <w:pStyle w:val="Tabletext0"/>
              <w:jc w:val="center"/>
            </w:pPr>
          </w:p>
          <w:p w14:paraId="7F8066F9" w14:textId="42DB0585" w:rsidR="00D95CA1" w:rsidRPr="000636A1" w:rsidRDefault="00D95CA1" w:rsidP="000949FF">
            <w:pPr>
              <w:pStyle w:val="Tabletext0"/>
              <w:jc w:val="center"/>
            </w:pPr>
            <w:r w:rsidRPr="000636A1">
              <w:t xml:space="preserve">70% </w:t>
            </w:r>
            <w:r w:rsidR="00B56E27">
              <w:t>(</w:t>
            </w:r>
            <w:r w:rsidR="002533F9">
              <w:t>2D</w:t>
            </w:r>
            <w:r w:rsidR="00B56E27">
              <w:t>)</w:t>
            </w:r>
            <w:r w:rsidRPr="000636A1">
              <w:br/>
              <w:t xml:space="preserve">10% </w:t>
            </w:r>
            <w:r w:rsidRPr="000636A1">
              <w:br/>
              <w:t>20%</w:t>
            </w:r>
          </w:p>
        </w:tc>
      </w:tr>
      <w:tr w:rsidR="007050CA" w:rsidRPr="000636A1" w14:paraId="3069014E" w14:textId="77777777" w:rsidTr="002C4E95">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56B4B23" w14:textId="77777777" w:rsidR="00D95CA1" w:rsidRPr="000636A1" w:rsidRDefault="00D95CA1" w:rsidP="00D31CFD">
            <w:pPr>
              <w:pStyle w:val="Tabletext0"/>
              <w:jc w:val="left"/>
            </w:pPr>
            <w:r w:rsidRPr="000636A1">
              <w:t>Weighted EBRT cost</w:t>
            </w:r>
          </w:p>
        </w:tc>
        <w:tc>
          <w:tcPr>
            <w:tcW w:w="1560" w:type="dxa"/>
            <w:tcBorders>
              <w:top w:val="nil"/>
              <w:left w:val="nil"/>
              <w:bottom w:val="single" w:sz="4" w:space="0" w:color="auto"/>
              <w:right w:val="single" w:sz="4" w:space="0" w:color="auto"/>
            </w:tcBorders>
            <w:shd w:val="clear" w:color="auto" w:fill="auto"/>
            <w:noWrap/>
            <w:vAlign w:val="bottom"/>
            <w:hideMark/>
          </w:tcPr>
          <w:p w14:paraId="302E8483" w14:textId="77777777" w:rsidR="00D95CA1" w:rsidRPr="000636A1" w:rsidRDefault="00D95CA1" w:rsidP="000949FF">
            <w:pPr>
              <w:pStyle w:val="Tabletext0"/>
              <w:jc w:val="center"/>
            </w:pPr>
            <w:r w:rsidRPr="000636A1">
              <w:t>$7,086.49</w:t>
            </w:r>
          </w:p>
        </w:tc>
        <w:tc>
          <w:tcPr>
            <w:tcW w:w="1559" w:type="dxa"/>
            <w:tcBorders>
              <w:top w:val="nil"/>
              <w:left w:val="nil"/>
              <w:bottom w:val="single" w:sz="4" w:space="0" w:color="auto"/>
              <w:right w:val="single" w:sz="4" w:space="0" w:color="auto"/>
            </w:tcBorders>
            <w:shd w:val="clear" w:color="auto" w:fill="auto"/>
            <w:noWrap/>
            <w:vAlign w:val="bottom"/>
            <w:hideMark/>
          </w:tcPr>
          <w:p w14:paraId="039E66BE" w14:textId="3425FE05" w:rsidR="00D95CA1" w:rsidRPr="000636A1" w:rsidRDefault="00D95CA1" w:rsidP="000949FF">
            <w:pPr>
              <w:pStyle w:val="Tabletext0"/>
              <w:jc w:val="center"/>
            </w:pPr>
            <w:r w:rsidRPr="000636A1">
              <w:t>$</w:t>
            </w:r>
            <w:r w:rsidR="002533F9">
              <w:t>1,696.86</w:t>
            </w:r>
          </w:p>
        </w:tc>
        <w:tc>
          <w:tcPr>
            <w:tcW w:w="1559" w:type="dxa"/>
            <w:tcBorders>
              <w:top w:val="nil"/>
              <w:left w:val="nil"/>
              <w:bottom w:val="single" w:sz="4" w:space="0" w:color="auto"/>
              <w:right w:val="single" w:sz="4" w:space="0" w:color="auto"/>
            </w:tcBorders>
            <w:shd w:val="clear" w:color="auto" w:fill="auto"/>
            <w:noWrap/>
            <w:vAlign w:val="bottom"/>
            <w:hideMark/>
          </w:tcPr>
          <w:p w14:paraId="76A844EC" w14:textId="77777777" w:rsidR="00D95CA1" w:rsidRPr="000636A1" w:rsidRDefault="00D95CA1" w:rsidP="000949FF">
            <w:pPr>
              <w:pStyle w:val="Tabletext0"/>
              <w:jc w:val="center"/>
            </w:pPr>
            <w:r w:rsidRPr="000636A1">
              <w:t>$1,748.03</w:t>
            </w:r>
          </w:p>
        </w:tc>
      </w:tr>
    </w:tbl>
    <w:p w14:paraId="5C8C9B77" w14:textId="4729F8C1" w:rsidR="000636A1" w:rsidRDefault="00530EBC" w:rsidP="00530EBC">
      <w:pPr>
        <w:pStyle w:val="Tablenotes"/>
      </w:pPr>
      <w:r>
        <w:t>Source:</w:t>
      </w:r>
      <w:r w:rsidR="00CE0F7D">
        <w:t xml:space="preserve"> </w:t>
      </w:r>
      <w:r w:rsidR="002533F9">
        <w:t>Constructed by the Department from information on pg 14 and Commentary Table 9of MSAC 1657 ADAR+in-line commentary and ESC advice.</w:t>
      </w:r>
    </w:p>
    <w:p w14:paraId="623A3059" w14:textId="497FB582" w:rsidR="008B1767" w:rsidRDefault="00530EBC" w:rsidP="00530EBC">
      <w:pPr>
        <w:pStyle w:val="Tablenotes"/>
      </w:pPr>
      <w:r>
        <w:t>Abbreviations</w:t>
      </w:r>
      <w:r w:rsidR="00D31CFD">
        <w:t>: ADAR</w:t>
      </w:r>
      <w:r w:rsidR="00D70192">
        <w:t xml:space="preserve"> = Applicant Developed Assessment Report; </w:t>
      </w:r>
      <w:r w:rsidR="00C27780">
        <w:t>EBRT = external beam radiation therapy;</w:t>
      </w:r>
      <w:r w:rsidR="008B1767">
        <w:t xml:space="preserve"> ESC = Evaluation Sub-Committee;</w:t>
      </w:r>
      <w:r w:rsidR="008B1767" w:rsidRPr="008B1767">
        <w:t xml:space="preserve"> IMRT = Intensity-Modulated Radiation Therapy; VMAT = Volumetric modulated arc therapy</w:t>
      </w:r>
    </w:p>
    <w:p w14:paraId="409B848C" w14:textId="637D8A94" w:rsidR="00530EBC" w:rsidRDefault="00530EBC" w:rsidP="00530EBC">
      <w:pPr>
        <w:pStyle w:val="Tablenotes"/>
      </w:pPr>
      <w:r>
        <w:t>Notes:</w:t>
      </w:r>
    </w:p>
    <w:p w14:paraId="1D3C1632" w14:textId="1535B611" w:rsidR="00530EBC" w:rsidRDefault="00530EBC" w:rsidP="002252F8">
      <w:pPr>
        <w:pStyle w:val="Tablenotes"/>
        <w:numPr>
          <w:ilvl w:val="0"/>
          <w:numId w:val="17"/>
        </w:numPr>
      </w:pPr>
      <w:r>
        <w:t xml:space="preserve">In the commentary, the EBRT comparator costings were amended to include orthovoltage as a comparator: </w:t>
      </w:r>
      <w:r w:rsidR="003A1E0B">
        <w:t>initial consult (MBS 104), follow up visit (MBS 105)</w:t>
      </w:r>
      <w:r w:rsidR="00F943C8">
        <w:t xml:space="preserve">, treatment (MBS 15100). </w:t>
      </w:r>
      <w:r w:rsidR="00F332CC">
        <w:t xml:space="preserve">No </w:t>
      </w:r>
      <w:r w:rsidR="0064592A">
        <w:t>simulation, dosimetry or verification MBS items required.</w:t>
      </w:r>
    </w:p>
    <w:p w14:paraId="7F23C769" w14:textId="6978CB03" w:rsidR="00D55C17" w:rsidRDefault="00D55C17" w:rsidP="002252F8">
      <w:pPr>
        <w:pStyle w:val="Tablenotes"/>
        <w:numPr>
          <w:ilvl w:val="0"/>
          <w:numId w:val="17"/>
        </w:numPr>
      </w:pPr>
      <w:r>
        <w:t xml:space="preserve">Costings of the EBRT comparator were amended to include orthovoltage (see note 1), </w:t>
      </w:r>
      <w:r w:rsidR="002C21E1">
        <w:t xml:space="preserve">revise the costs for electron beam from 3D to 2D electron beam: same initial follow up and wound care MBS items; simulation (MBS 15500), dosimetry (MBS 15527) and treatment (MBS 15254); </w:t>
      </w:r>
      <w:r w:rsidR="00C40617">
        <w:t xml:space="preserve">no verification </w:t>
      </w:r>
      <w:r w:rsidR="00296F88">
        <w:t xml:space="preserve">MBS item required; </w:t>
      </w:r>
      <w:r w:rsidR="002C21E1">
        <w:t>and amend the number of fractions from 19.03 to 10.</w:t>
      </w:r>
    </w:p>
    <w:p w14:paraId="04CFC2DB" w14:textId="06EDAECA" w:rsidR="002924FA" w:rsidRPr="00562EA6" w:rsidRDefault="00B331E5" w:rsidP="002252F8">
      <w:pPr>
        <w:pStyle w:val="Tablenotes"/>
        <w:numPr>
          <w:ilvl w:val="0"/>
          <w:numId w:val="17"/>
        </w:numPr>
      </w:pPr>
      <w:r>
        <w:t>Applied to all EBRT modalities</w:t>
      </w:r>
    </w:p>
    <w:p w14:paraId="4B4FB72B" w14:textId="77777777" w:rsidR="00A033F0" w:rsidRPr="00223664" w:rsidRDefault="00A033F0" w:rsidP="003848F1">
      <w:pPr>
        <w:pStyle w:val="Heading3"/>
      </w:pPr>
      <w:r>
        <w:t>Results of the base-case economic evaluation</w:t>
      </w:r>
    </w:p>
    <w:p w14:paraId="095EB591" w14:textId="2F66AF9E" w:rsidR="000D797F" w:rsidRDefault="000D797F" w:rsidP="000D797F">
      <w:r>
        <w:t>The ADAR</w:t>
      </w:r>
      <w:r w:rsidRPr="00157D95">
        <w:t xml:space="preserve"> </w:t>
      </w:r>
      <w:r>
        <w:t xml:space="preserve">claimed </w:t>
      </w:r>
      <w:r w:rsidRPr="00157D95">
        <w:t xml:space="preserve">that the cost of Re-188 </w:t>
      </w:r>
      <w:r>
        <w:t>brachytherapy will vary predictably (but non-linearly) by lesion size, while the cost of the EBRT comparator is less predictably variable by both technological approach (</w:t>
      </w:r>
      <w:r w:rsidR="0081716E">
        <w:t>3D megavoltage</w:t>
      </w:r>
      <w:r>
        <w:t xml:space="preserve"> vs. IMRT/VMAT) and the number of fractions used. This is based on a variety of factors including lesion size and anatomical location, patient/lesion characteristics, availability of the respective technologies, and individual clinician/patient preferences. The results in the ADAR have therefore been presented as a range of estimated treatment costs for the respective technologies, across their relevant dependent variable, and then as an expected “average” treatment cost, given independent (uniform) distributions of lesion sizes and dose fractionation regimens, and a specified mix of comparator technologies.</w:t>
      </w:r>
    </w:p>
    <w:p w14:paraId="3CC061DC" w14:textId="792ECF8E" w:rsidR="004B51D9" w:rsidRPr="003C4582" w:rsidRDefault="004B51D9" w:rsidP="004B51D9">
      <w:r>
        <w:t>Over a simulated population of 100 lesions uniformly distributed between 1.5 and 8.0 cm</w:t>
      </w:r>
      <w:r w:rsidRPr="003848F1">
        <w:rPr>
          <w:vertAlign w:val="superscript"/>
        </w:rPr>
        <w:t>2</w:t>
      </w:r>
      <w:r w:rsidR="006335D9">
        <w:t xml:space="preserve">, </w:t>
      </w:r>
      <w:r w:rsidRPr="003C4582">
        <w:t xml:space="preserve">the average total treatment cost for Re-188 brachytherapy </w:t>
      </w:r>
      <w:r w:rsidR="009006E8" w:rsidRPr="003C4582">
        <w:t>was</w:t>
      </w:r>
      <w:r w:rsidRPr="003C4582">
        <w:t xml:space="preserve"> estimated to be $5,438. Across an independently simulated population of 100 lesions treated with 10</w:t>
      </w:r>
      <w:r w:rsidR="00D274BC">
        <w:t xml:space="preserve"> to </w:t>
      </w:r>
      <w:r w:rsidRPr="003C4582">
        <w:t xml:space="preserve">30 (uniformly distributed) EBRT fractions, the average total treatment cost for </w:t>
      </w:r>
      <w:r w:rsidR="0081716E">
        <w:t>3D megavoltage</w:t>
      </w:r>
      <w:r w:rsidR="0081716E" w:rsidRPr="003C4582">
        <w:t xml:space="preserve"> </w:t>
      </w:r>
      <w:r w:rsidR="009006E8" w:rsidRPr="003C4582">
        <w:t>was</w:t>
      </w:r>
      <w:r w:rsidRPr="003C4582">
        <w:t xml:space="preserve"> estimated to be $4,351 and that for IMRT/VMAT to be $9,821. Assuming a </w:t>
      </w:r>
      <w:r w:rsidR="005A57EB">
        <w:t>weighted average</w:t>
      </w:r>
      <w:r w:rsidR="00ED05E3">
        <w:t xml:space="preserve"> of </w:t>
      </w:r>
      <w:r w:rsidRPr="003C4582">
        <w:t>50</w:t>
      </w:r>
      <w:r w:rsidR="00624FD1">
        <w:t xml:space="preserve">% </w:t>
      </w:r>
      <w:r w:rsidR="0081716E">
        <w:t xml:space="preserve">3D megavoltage </w:t>
      </w:r>
      <w:r w:rsidR="00624FD1">
        <w:t xml:space="preserve">and </w:t>
      </w:r>
      <w:r w:rsidR="00640C7C">
        <w:t xml:space="preserve">50% IMRT/VMAT, </w:t>
      </w:r>
      <w:r w:rsidRPr="003C4582">
        <w:t xml:space="preserve">the overall average cost of EBRT </w:t>
      </w:r>
      <w:r w:rsidR="00640C7C">
        <w:t>was</w:t>
      </w:r>
      <w:r w:rsidRPr="003C4582">
        <w:t xml:space="preserve"> estimated to be $7,086. </w:t>
      </w:r>
    </w:p>
    <w:p w14:paraId="3B771B46" w14:textId="357D098A" w:rsidR="004B51D9" w:rsidRPr="00086954" w:rsidRDefault="00610A8A" w:rsidP="004B51D9">
      <w:r>
        <w:t xml:space="preserve">Based on the </w:t>
      </w:r>
      <w:r w:rsidR="004B51D9" w:rsidRPr="00086954">
        <w:t>estimated difference in treatment costs between the proposed intervention and main comparator</w:t>
      </w:r>
      <w:r>
        <w:t>, the ADAR estimated</w:t>
      </w:r>
      <w:r w:rsidR="004B51D9" w:rsidRPr="00086954">
        <w:t xml:space="preserve"> an average saving of $1,6</w:t>
      </w:r>
      <w:r w:rsidR="008C7A20">
        <w:t>48</w:t>
      </w:r>
      <w:r w:rsidR="004B51D9" w:rsidRPr="00086954">
        <w:t xml:space="preserve"> per patient</w:t>
      </w:r>
      <w:r w:rsidR="00FC7996">
        <w:t xml:space="preserve"> </w:t>
      </w:r>
      <w:r w:rsidR="008C7A20">
        <w:t>(</w:t>
      </w:r>
      <w:r w:rsidR="008C7A20">
        <w:fldChar w:fldCharType="begin"/>
      </w:r>
      <w:r w:rsidR="008C7A20">
        <w:instrText xml:space="preserve"> REF _Ref134001840 \h </w:instrText>
      </w:r>
      <w:r w:rsidR="008C7A20">
        <w:fldChar w:fldCharType="separate"/>
      </w:r>
      <w:r w:rsidR="009228FB">
        <w:t xml:space="preserve">Table </w:t>
      </w:r>
      <w:r w:rsidR="009228FB">
        <w:rPr>
          <w:noProof/>
        </w:rPr>
        <w:t>12</w:t>
      </w:r>
      <w:r w:rsidR="008C7A20">
        <w:fldChar w:fldCharType="end"/>
      </w:r>
      <w:r w:rsidR="007112D8">
        <w:t>)</w:t>
      </w:r>
      <w:r w:rsidR="004B51D9" w:rsidRPr="00086954">
        <w:t>.</w:t>
      </w:r>
    </w:p>
    <w:p w14:paraId="635E2AEA" w14:textId="76F0391A" w:rsidR="004B51D9" w:rsidRPr="00A412C9" w:rsidRDefault="00086954" w:rsidP="004B51D9">
      <w:r w:rsidRPr="00A412C9">
        <w:t xml:space="preserve">The </w:t>
      </w:r>
      <w:r w:rsidR="003D4B41">
        <w:t>c</w:t>
      </w:r>
      <w:r w:rsidRPr="00A412C9">
        <w:t xml:space="preserve">ommentary </w:t>
      </w:r>
      <w:r w:rsidR="00086105" w:rsidRPr="00A412C9">
        <w:t>note</w:t>
      </w:r>
      <w:r w:rsidR="000324EA">
        <w:t>d</w:t>
      </w:r>
      <w:r w:rsidR="00086105" w:rsidRPr="00A412C9">
        <w:t xml:space="preserve"> </w:t>
      </w:r>
      <w:r w:rsidR="006C218F" w:rsidRPr="00A412C9">
        <w:t xml:space="preserve">that due to the high level of uncertainty regarding the relationship between lesion size and fractionations </w:t>
      </w:r>
      <w:r w:rsidR="004B51D9" w:rsidRPr="00A412C9">
        <w:t xml:space="preserve">for Re-188 </w:t>
      </w:r>
      <w:r w:rsidR="00F57E38">
        <w:t xml:space="preserve">brachytherapy </w:t>
      </w:r>
      <w:r w:rsidR="004B51D9" w:rsidRPr="00A412C9">
        <w:t>and EBRT</w:t>
      </w:r>
      <w:r w:rsidR="006C218F" w:rsidRPr="00A412C9">
        <w:t>,</w:t>
      </w:r>
      <w:r w:rsidR="00453F4C" w:rsidRPr="00A412C9">
        <w:t xml:space="preserve"> the results of the economic model may not be </w:t>
      </w:r>
      <w:r w:rsidR="00A412C9" w:rsidRPr="00A412C9">
        <w:t>robust. M</w:t>
      </w:r>
      <w:r w:rsidR="004B51D9" w:rsidRPr="00A412C9">
        <w:t>ore evidence of the relationship between the two technologies is required to ensure an accurate comparison of the total cost between two technologies.</w:t>
      </w:r>
    </w:p>
    <w:p w14:paraId="38217724" w14:textId="4CE78D82" w:rsidR="00012D93" w:rsidRPr="00CE28E3" w:rsidRDefault="00A11BFE" w:rsidP="00A11BFE">
      <w:pPr>
        <w:pStyle w:val="Caption"/>
      </w:pPr>
      <w:bookmarkStart w:id="41" w:name="_Ref134001840"/>
      <w:r>
        <w:lastRenderedPageBreak/>
        <w:t xml:space="preserve">Table </w:t>
      </w:r>
      <w:r w:rsidR="00BC1AC8">
        <w:fldChar w:fldCharType="begin"/>
      </w:r>
      <w:r w:rsidR="00BC1AC8">
        <w:instrText xml:space="preserve"> SEQ Table \* ARABIC </w:instrText>
      </w:r>
      <w:r w:rsidR="00BC1AC8">
        <w:fldChar w:fldCharType="separate"/>
      </w:r>
      <w:r w:rsidR="009228FB">
        <w:rPr>
          <w:noProof/>
        </w:rPr>
        <w:t>12</w:t>
      </w:r>
      <w:r w:rsidR="00BC1AC8">
        <w:rPr>
          <w:noProof/>
        </w:rPr>
        <w:fldChar w:fldCharType="end"/>
      </w:r>
      <w:bookmarkEnd w:id="41"/>
      <w:r w:rsidR="00F76D74">
        <w:tab/>
      </w:r>
      <w:r w:rsidR="00012D93" w:rsidRPr="00CE28E3">
        <w:t>Results of the economic evaluation</w:t>
      </w:r>
      <w:r w:rsidR="0080267C">
        <w:t xml:space="preserve"> for Re-188 vs EBRT (</w:t>
      </w:r>
      <w:r w:rsidR="0081716E">
        <w:t xml:space="preserve">3D megavoltage </w:t>
      </w:r>
      <w:r w:rsidR="00760122">
        <w:t xml:space="preserve">&amp; </w:t>
      </w:r>
      <w:r w:rsidR="0080267C">
        <w:t>IMRT</w:t>
      </w:r>
      <w:r w:rsidR="00760122">
        <w:t>/VMAT</w:t>
      </w:r>
      <w:r w:rsidR="0080267C">
        <w:t>)</w:t>
      </w:r>
    </w:p>
    <w:tbl>
      <w:tblPr>
        <w:tblStyle w:val="TableGrid"/>
        <w:tblW w:w="5002" w:type="pct"/>
        <w:tblLayout w:type="fixed"/>
        <w:tblLook w:val="04A0" w:firstRow="1" w:lastRow="0" w:firstColumn="1" w:lastColumn="0" w:noHBand="0" w:noVBand="1"/>
      </w:tblPr>
      <w:tblGrid>
        <w:gridCol w:w="2259"/>
        <w:gridCol w:w="2239"/>
        <w:gridCol w:w="2244"/>
        <w:gridCol w:w="2278"/>
      </w:tblGrid>
      <w:tr w:rsidR="00E4572E" w:rsidRPr="00CE28E3" w14:paraId="7118C905" w14:textId="77777777" w:rsidTr="003848F1">
        <w:trPr>
          <w:trHeight w:val="247"/>
        </w:trPr>
        <w:tc>
          <w:tcPr>
            <w:tcW w:w="1252" w:type="pct"/>
            <w:vAlign w:val="center"/>
          </w:tcPr>
          <w:p w14:paraId="76E4647C" w14:textId="00716E90" w:rsidR="00012D93" w:rsidRPr="00CE28E3" w:rsidRDefault="00012D93" w:rsidP="0042653B">
            <w:pPr>
              <w:pStyle w:val="In-tableHeading"/>
              <w:spacing w:before="40" w:after="40"/>
            </w:pPr>
            <w:r>
              <w:t>Parameter</w:t>
            </w:r>
          </w:p>
        </w:tc>
        <w:tc>
          <w:tcPr>
            <w:tcW w:w="1241" w:type="pct"/>
            <w:vAlign w:val="center"/>
          </w:tcPr>
          <w:p w14:paraId="32EFE308" w14:textId="3EA9D392" w:rsidR="00012D93" w:rsidRPr="00CE28E3" w:rsidRDefault="00012D93" w:rsidP="0042653B">
            <w:pPr>
              <w:pStyle w:val="In-tableHeading"/>
              <w:spacing w:before="40" w:after="40"/>
              <w:jc w:val="center"/>
            </w:pPr>
            <w:r>
              <w:t>Re-188</w:t>
            </w:r>
            <w:r w:rsidR="001D7DD5">
              <w:t xml:space="preserve"> brachytherapy</w:t>
            </w:r>
          </w:p>
        </w:tc>
        <w:tc>
          <w:tcPr>
            <w:tcW w:w="1244" w:type="pct"/>
            <w:vAlign w:val="center"/>
          </w:tcPr>
          <w:p w14:paraId="37E578A8" w14:textId="1B9B8EB4" w:rsidR="00012D93" w:rsidRPr="00CE28E3" w:rsidRDefault="00012D93" w:rsidP="0042653B">
            <w:pPr>
              <w:pStyle w:val="In-tableHeading"/>
              <w:spacing w:before="40" w:after="40"/>
              <w:jc w:val="center"/>
            </w:pPr>
            <w:r>
              <w:t>EBRT</w:t>
            </w:r>
            <w:r w:rsidR="0080267C">
              <w:t xml:space="preserve"> (</w:t>
            </w:r>
            <w:r w:rsidR="0081716E">
              <w:t xml:space="preserve">3D megavoltage </w:t>
            </w:r>
            <w:r w:rsidR="00760122">
              <w:t xml:space="preserve">&amp; </w:t>
            </w:r>
            <w:r w:rsidR="0080267C">
              <w:t>IMRT</w:t>
            </w:r>
            <w:r w:rsidR="00CF146C">
              <w:t>/VMAT</w:t>
            </w:r>
            <w:r w:rsidR="0080267C">
              <w:t>)</w:t>
            </w:r>
          </w:p>
        </w:tc>
        <w:tc>
          <w:tcPr>
            <w:tcW w:w="1263" w:type="pct"/>
            <w:vAlign w:val="center"/>
          </w:tcPr>
          <w:p w14:paraId="79529B32" w14:textId="77777777" w:rsidR="00012D93" w:rsidRPr="00CE28E3" w:rsidRDefault="00012D93" w:rsidP="0042653B">
            <w:pPr>
              <w:pStyle w:val="In-tableHeading"/>
              <w:spacing w:before="40" w:after="40"/>
              <w:jc w:val="center"/>
            </w:pPr>
            <w:r>
              <w:t>Difference</w:t>
            </w:r>
          </w:p>
        </w:tc>
      </w:tr>
      <w:tr w:rsidR="00012D93" w:rsidRPr="00CE28E3" w14:paraId="5EC91C06" w14:textId="77777777" w:rsidTr="003848F1">
        <w:trPr>
          <w:trHeight w:val="247"/>
        </w:trPr>
        <w:tc>
          <w:tcPr>
            <w:tcW w:w="1252" w:type="pct"/>
            <w:vAlign w:val="center"/>
          </w:tcPr>
          <w:p w14:paraId="5EE4A865" w14:textId="77777777" w:rsidR="00012D93" w:rsidRPr="00CE28E3" w:rsidRDefault="00012D93" w:rsidP="0042653B">
            <w:pPr>
              <w:pStyle w:val="TableText"/>
              <w:keepNext/>
            </w:pPr>
            <w:r>
              <w:t>Average treatment c</w:t>
            </w:r>
            <w:r w:rsidRPr="00CE28E3">
              <w:t>osts</w:t>
            </w:r>
          </w:p>
        </w:tc>
        <w:tc>
          <w:tcPr>
            <w:tcW w:w="1241" w:type="pct"/>
            <w:vAlign w:val="center"/>
          </w:tcPr>
          <w:p w14:paraId="051D13F8" w14:textId="77777777" w:rsidR="00012D93" w:rsidRPr="00CE28E3" w:rsidRDefault="00012D93" w:rsidP="0042653B">
            <w:pPr>
              <w:pStyle w:val="TableText"/>
              <w:keepNext/>
              <w:jc w:val="center"/>
            </w:pPr>
            <w:r w:rsidRPr="00CE28E3">
              <w:t>$</w:t>
            </w:r>
            <w:r>
              <w:t>5,438</w:t>
            </w:r>
          </w:p>
        </w:tc>
        <w:tc>
          <w:tcPr>
            <w:tcW w:w="1244" w:type="pct"/>
            <w:vAlign w:val="center"/>
          </w:tcPr>
          <w:p w14:paraId="4793CC70" w14:textId="77777777" w:rsidR="00012D93" w:rsidRPr="00CE28E3" w:rsidRDefault="00012D93" w:rsidP="0042653B">
            <w:pPr>
              <w:pStyle w:val="TableText"/>
              <w:keepNext/>
              <w:jc w:val="center"/>
            </w:pPr>
            <w:r w:rsidRPr="00CE28E3">
              <w:t>$</w:t>
            </w:r>
            <w:r>
              <w:t>7,086</w:t>
            </w:r>
          </w:p>
        </w:tc>
        <w:tc>
          <w:tcPr>
            <w:tcW w:w="1263" w:type="pct"/>
            <w:vAlign w:val="center"/>
          </w:tcPr>
          <w:p w14:paraId="0C16B923" w14:textId="77777777" w:rsidR="00012D93" w:rsidRPr="00CE28E3" w:rsidRDefault="00012D93" w:rsidP="0042653B">
            <w:pPr>
              <w:pStyle w:val="TableText"/>
              <w:keepNext/>
              <w:jc w:val="center"/>
            </w:pPr>
            <w:r>
              <w:t xml:space="preserve">- </w:t>
            </w:r>
            <w:r w:rsidRPr="00CE28E3">
              <w:t>$</w:t>
            </w:r>
            <w:r>
              <w:t>1,648</w:t>
            </w:r>
          </w:p>
        </w:tc>
      </w:tr>
      <w:tr w:rsidR="00012D93" w:rsidRPr="00CE28E3" w14:paraId="04B19959" w14:textId="77777777" w:rsidTr="003848F1">
        <w:trPr>
          <w:trHeight w:val="22"/>
        </w:trPr>
        <w:tc>
          <w:tcPr>
            <w:tcW w:w="3737" w:type="pct"/>
            <w:gridSpan w:val="3"/>
            <w:vAlign w:val="center"/>
          </w:tcPr>
          <w:p w14:paraId="644507BE" w14:textId="77777777" w:rsidR="00012D93" w:rsidRPr="00CE28E3" w:rsidRDefault="00012D93" w:rsidP="0042653B">
            <w:pPr>
              <w:pStyle w:val="In-tableHeading"/>
              <w:spacing w:before="40" w:after="40"/>
            </w:pPr>
            <w:r>
              <w:t>C</w:t>
            </w:r>
            <w:r w:rsidRPr="00CE28E3">
              <w:t xml:space="preserve">ost </w:t>
            </w:r>
            <w:r>
              <w:t>saving</w:t>
            </w:r>
          </w:p>
        </w:tc>
        <w:tc>
          <w:tcPr>
            <w:tcW w:w="1263" w:type="pct"/>
            <w:vAlign w:val="center"/>
          </w:tcPr>
          <w:p w14:paraId="4746DDA3" w14:textId="77777777" w:rsidR="00012D93" w:rsidRPr="00CE28E3" w:rsidRDefault="00012D93" w:rsidP="0042653B">
            <w:pPr>
              <w:keepNext/>
              <w:keepLines/>
              <w:spacing w:before="40" w:after="40"/>
              <w:jc w:val="center"/>
              <w:rPr>
                <w:rFonts w:ascii="Arial Narrow" w:eastAsia="Calibri" w:hAnsi="Arial Narrow"/>
                <w:b/>
                <w:sz w:val="20"/>
                <w:szCs w:val="20"/>
              </w:rPr>
            </w:pPr>
            <w:r w:rsidRPr="00CE28E3">
              <w:rPr>
                <w:rFonts w:ascii="Arial Narrow" w:eastAsia="Calibri" w:hAnsi="Arial Narrow"/>
                <w:b/>
                <w:sz w:val="20"/>
                <w:szCs w:val="20"/>
              </w:rPr>
              <w:t>$</w:t>
            </w:r>
            <w:r>
              <w:rPr>
                <w:rFonts w:ascii="Arial Narrow" w:eastAsia="Calibri" w:hAnsi="Arial Narrow"/>
                <w:b/>
                <w:sz w:val="20"/>
                <w:szCs w:val="20"/>
              </w:rPr>
              <w:t>1,648</w:t>
            </w:r>
          </w:p>
        </w:tc>
      </w:tr>
    </w:tbl>
    <w:p w14:paraId="314926BA" w14:textId="39BE4591" w:rsidR="007F3890" w:rsidRDefault="007F3890" w:rsidP="0042653B">
      <w:pPr>
        <w:pStyle w:val="Tablenotes"/>
        <w:keepNext/>
        <w:keepLines/>
      </w:pPr>
      <w:r>
        <w:t xml:space="preserve">Source: </w:t>
      </w:r>
      <w:r w:rsidR="00C60322">
        <w:t>Table 12, pg 26 of MSAC 1657 Commentary Executive Summary</w:t>
      </w:r>
      <w:r w:rsidR="00294D21" w:rsidDel="00FA36D3">
        <w:t xml:space="preserve"> </w:t>
      </w:r>
    </w:p>
    <w:p w14:paraId="3003B5BE" w14:textId="0AE04D2A" w:rsidR="008617A6" w:rsidRPr="00CE28E3" w:rsidRDefault="007F3890" w:rsidP="0042653B">
      <w:pPr>
        <w:pStyle w:val="Tablenotes"/>
        <w:keepNext/>
        <w:keepLines/>
      </w:pPr>
      <w:r>
        <w:t xml:space="preserve">Abbreviations: </w:t>
      </w:r>
      <w:r w:rsidR="008617A6">
        <w:t>EBRT</w:t>
      </w:r>
      <w:r w:rsidR="007561A7">
        <w:t xml:space="preserve"> </w:t>
      </w:r>
      <w:r w:rsidR="008617A6">
        <w:t>= External Beam Radiation Therapy</w:t>
      </w:r>
      <w:bookmarkStart w:id="42" w:name="_Hlk138086481"/>
      <w:r w:rsidR="00F931EB">
        <w:t xml:space="preserve">; </w:t>
      </w:r>
      <w:r w:rsidR="00CF146C">
        <w:t xml:space="preserve">IMRT = </w:t>
      </w:r>
      <w:r w:rsidR="00CF146C" w:rsidRPr="00F27C36">
        <w:t>Intensity-</w:t>
      </w:r>
      <w:r w:rsidR="00CF146C">
        <w:t>M</w:t>
      </w:r>
      <w:r w:rsidR="00CF146C" w:rsidRPr="00F27C36">
        <w:t xml:space="preserve">odulated </w:t>
      </w:r>
      <w:r w:rsidR="00CF146C">
        <w:t>R</w:t>
      </w:r>
      <w:r w:rsidR="00CF146C" w:rsidRPr="00F27C36">
        <w:t xml:space="preserve">adiation </w:t>
      </w:r>
      <w:r w:rsidR="00CF146C">
        <w:t>T</w:t>
      </w:r>
      <w:r w:rsidR="00CF146C" w:rsidRPr="00F27C36">
        <w:t>herapy</w:t>
      </w:r>
      <w:r w:rsidR="00CF146C">
        <w:t xml:space="preserve">; </w:t>
      </w:r>
      <w:r w:rsidR="00F931EB">
        <w:t>Re-188</w:t>
      </w:r>
      <w:r w:rsidR="007561A7">
        <w:t xml:space="preserve"> </w:t>
      </w:r>
      <w:r w:rsidR="00F931EB">
        <w:t>=</w:t>
      </w:r>
      <w:r w:rsidR="007561A7">
        <w:t xml:space="preserve"> </w:t>
      </w:r>
      <w:r w:rsidR="00F931EB">
        <w:t>Rhenium 188</w:t>
      </w:r>
      <w:r w:rsidR="00CF146C">
        <w:t xml:space="preserve">; VMAT = </w:t>
      </w:r>
      <w:r w:rsidR="00515CE3">
        <w:t>V</w:t>
      </w:r>
      <w:r w:rsidR="00515CE3" w:rsidRPr="00515CE3">
        <w:t>olumetric modulated arc therapy</w:t>
      </w:r>
    </w:p>
    <w:bookmarkEnd w:id="42"/>
    <w:p w14:paraId="0B58EAB0" w14:textId="231750F9" w:rsidR="008051D6" w:rsidRDefault="009D7A38" w:rsidP="00F62E3E">
      <w:pPr>
        <w:pStyle w:val="Heading3"/>
      </w:pPr>
      <w:r>
        <w:t>ADAR sensitivity analyses</w:t>
      </w:r>
    </w:p>
    <w:p w14:paraId="3279E448" w14:textId="777B8DF0" w:rsidR="00724246" w:rsidRDefault="009B1B4D" w:rsidP="00724246">
      <w:r>
        <w:t>The ADAR conducted a</w:t>
      </w:r>
      <w:r w:rsidR="005B4D91" w:rsidRPr="00FA35D8">
        <w:t xml:space="preserve"> limited range of one-way sensitivity analyses</w:t>
      </w:r>
      <w:r w:rsidR="002B41BD">
        <w:t xml:space="preserve"> </w:t>
      </w:r>
      <w:r w:rsidR="002B41BD">
        <w:rPr>
          <w:color w:val="000000" w:themeColor="text1"/>
        </w:rPr>
        <w:t>(</w:t>
      </w:r>
      <w:r w:rsidR="002B41BD">
        <w:rPr>
          <w:color w:val="000000" w:themeColor="text1"/>
        </w:rPr>
        <w:fldChar w:fldCharType="begin"/>
      </w:r>
      <w:r w:rsidR="002B41BD">
        <w:rPr>
          <w:color w:val="000000" w:themeColor="text1"/>
        </w:rPr>
        <w:instrText xml:space="preserve"> REF _Ref134002025 \h </w:instrText>
      </w:r>
      <w:r w:rsidR="002B41BD">
        <w:rPr>
          <w:color w:val="000000" w:themeColor="text1"/>
        </w:rPr>
      </w:r>
      <w:r w:rsidR="002B41BD">
        <w:rPr>
          <w:color w:val="000000" w:themeColor="text1"/>
        </w:rPr>
        <w:fldChar w:fldCharType="separate"/>
      </w:r>
      <w:r w:rsidR="009228FB">
        <w:t>Table</w:t>
      </w:r>
      <w:r w:rsidR="002B41BD">
        <w:rPr>
          <w:color w:val="000000" w:themeColor="text1"/>
        </w:rPr>
        <w:fldChar w:fldCharType="end"/>
      </w:r>
      <w:r w:rsidR="002B41BD">
        <w:rPr>
          <w:color w:val="000000" w:themeColor="text1"/>
        </w:rPr>
        <w:t xml:space="preserve"> 13)</w:t>
      </w:r>
      <w:r w:rsidR="005B4D91" w:rsidRPr="00FA35D8">
        <w:t xml:space="preserve">. </w:t>
      </w:r>
      <w:r w:rsidR="0033132A" w:rsidRPr="00FA35D8">
        <w:rPr>
          <w:color w:val="000000" w:themeColor="text1"/>
        </w:rPr>
        <w:t xml:space="preserve">All outcomes from the sensitivity analysis demonstrated </w:t>
      </w:r>
      <w:r w:rsidR="005210E3">
        <w:rPr>
          <w:color w:val="000000" w:themeColor="text1"/>
        </w:rPr>
        <w:t>Re-188</w:t>
      </w:r>
      <w:r w:rsidR="0033132A" w:rsidRPr="00FA35D8">
        <w:rPr>
          <w:color w:val="000000" w:themeColor="text1"/>
        </w:rPr>
        <w:t xml:space="preserve"> </w:t>
      </w:r>
      <w:r w:rsidR="00AC7DD5">
        <w:rPr>
          <w:color w:val="000000" w:themeColor="text1"/>
        </w:rPr>
        <w:t>brachytherapy</w:t>
      </w:r>
      <w:r w:rsidR="00AC7DD5" w:rsidRPr="00FA35D8">
        <w:rPr>
          <w:color w:val="000000" w:themeColor="text1"/>
        </w:rPr>
        <w:t xml:space="preserve"> </w:t>
      </w:r>
      <w:r w:rsidR="0033132A" w:rsidRPr="00FA35D8">
        <w:rPr>
          <w:color w:val="000000" w:themeColor="text1"/>
        </w:rPr>
        <w:t xml:space="preserve">cost saving </w:t>
      </w:r>
      <w:r w:rsidR="005210E3">
        <w:rPr>
          <w:color w:val="000000" w:themeColor="text1"/>
        </w:rPr>
        <w:t>compared to EBRT (</w:t>
      </w:r>
      <w:r w:rsidR="0081716E">
        <w:rPr>
          <w:color w:val="000000" w:themeColor="text1"/>
        </w:rPr>
        <w:t xml:space="preserve">3D megavoltage </w:t>
      </w:r>
      <w:r w:rsidR="005210E3">
        <w:rPr>
          <w:color w:val="000000" w:themeColor="text1"/>
        </w:rPr>
        <w:t>&amp; IMRT/VMAT)</w:t>
      </w:r>
      <w:r w:rsidR="00987203">
        <w:rPr>
          <w:color w:val="000000" w:themeColor="text1"/>
        </w:rPr>
        <w:t>.</w:t>
      </w:r>
      <w:r w:rsidR="00724246">
        <w:t xml:space="preserve"> The analyses</w:t>
      </w:r>
      <w:r w:rsidR="001D5D11">
        <w:t xml:space="preserve"> varied the</w:t>
      </w:r>
      <w:r w:rsidR="00724246">
        <w:t>:</w:t>
      </w:r>
    </w:p>
    <w:p w14:paraId="2879BC83" w14:textId="5A0139E8" w:rsidR="00724246" w:rsidRPr="001A0F9B" w:rsidRDefault="00724246" w:rsidP="002252F8">
      <w:pPr>
        <w:pStyle w:val="ListParagraph"/>
        <w:numPr>
          <w:ilvl w:val="0"/>
          <w:numId w:val="15"/>
        </w:numPr>
      </w:pPr>
      <w:r w:rsidRPr="001A0F9B">
        <w:rPr>
          <w:color w:val="000000" w:themeColor="text1"/>
        </w:rPr>
        <w:t>comparator mix (</w:t>
      </w:r>
      <w:r w:rsidR="0081716E">
        <w:rPr>
          <w:color w:val="000000" w:themeColor="text1"/>
        </w:rPr>
        <w:t>3D megavoltage</w:t>
      </w:r>
      <w:r w:rsidRPr="001A0F9B">
        <w:rPr>
          <w:color w:val="000000" w:themeColor="text1"/>
        </w:rPr>
        <w:t>:IMRT/VMAT) from 50:50 to 75:25 or 25:75</w:t>
      </w:r>
    </w:p>
    <w:p w14:paraId="6141B31F" w14:textId="0C2B517C" w:rsidR="00724246" w:rsidRPr="00233FAE" w:rsidRDefault="00724246" w:rsidP="002252F8">
      <w:pPr>
        <w:pStyle w:val="ListParagraph"/>
        <w:numPr>
          <w:ilvl w:val="0"/>
          <w:numId w:val="15"/>
        </w:numPr>
      </w:pPr>
      <w:r w:rsidRPr="001A0F9B">
        <w:rPr>
          <w:color w:val="000000" w:themeColor="text1"/>
        </w:rPr>
        <w:t xml:space="preserve">respective distribution of cases from uniform (1.5-8.0 cm2 | 10-30 fractions) to left or right skewed PERT distributions within the same intervals; and </w:t>
      </w:r>
    </w:p>
    <w:p w14:paraId="3980874D" w14:textId="32C8973F" w:rsidR="00D40F70" w:rsidRPr="003161A9" w:rsidRDefault="00724246" w:rsidP="002252F8">
      <w:pPr>
        <w:pStyle w:val="ListParagraph"/>
        <w:numPr>
          <w:ilvl w:val="0"/>
          <w:numId w:val="15"/>
        </w:numPr>
      </w:pPr>
      <w:r w:rsidRPr="00EA5115">
        <w:rPr>
          <w:color w:val="000000" w:themeColor="text1"/>
        </w:rPr>
        <w:t>proposed MBS item fees for Re-188 brachytherapy by +/- 25%</w:t>
      </w:r>
      <w:r w:rsidR="001A0F9B">
        <w:rPr>
          <w:color w:val="000000" w:themeColor="text1"/>
        </w:rPr>
        <w:t>.</w:t>
      </w:r>
    </w:p>
    <w:p w14:paraId="11157027" w14:textId="3564734D" w:rsidR="00987203" w:rsidRDefault="000B3CAB" w:rsidP="00330A0A">
      <w:pPr>
        <w:rPr>
          <w:rFonts w:eastAsia="Franklin Gothic Book" w:cs="Franklin Gothic Book"/>
        </w:rPr>
      </w:pPr>
      <w:r>
        <w:rPr>
          <w:color w:val="000000" w:themeColor="text1"/>
        </w:rPr>
        <w:t xml:space="preserve">The Commentary noted that </w:t>
      </w:r>
      <w:r w:rsidR="00845A05">
        <w:rPr>
          <w:rFonts w:eastAsia="Franklin Gothic Book" w:cs="Franklin Gothic Book"/>
        </w:rPr>
        <w:t>whilst the ADAR included a</w:t>
      </w:r>
      <w:r w:rsidR="001C1986">
        <w:rPr>
          <w:rFonts w:eastAsia="Franklin Gothic Book" w:cs="Franklin Gothic Book"/>
        </w:rPr>
        <w:t>n arbitrary</w:t>
      </w:r>
      <w:r w:rsidR="00845A05">
        <w:rPr>
          <w:rFonts w:eastAsia="Franklin Gothic Book" w:cs="Franklin Gothic Book"/>
        </w:rPr>
        <w:t xml:space="preserve"> sensitivity analysis that tested the upper and lower bounds of the MBS item fee for Re-188 </w:t>
      </w:r>
      <w:r w:rsidR="00845A05">
        <w:t xml:space="preserve">brachytherapy, </w:t>
      </w:r>
      <w:r w:rsidR="005670DF">
        <w:t>it is unclear what uncertainty this sensitivity analysis is attempting to address</w:t>
      </w:r>
      <w:r w:rsidR="00987203">
        <w:rPr>
          <w:rFonts w:eastAsia="Franklin Gothic Book" w:cs="Franklin Gothic Book"/>
        </w:rPr>
        <w:t>.</w:t>
      </w:r>
    </w:p>
    <w:p w14:paraId="3FF71BA5" w14:textId="69A811C9" w:rsidR="004E71ED" w:rsidRPr="00973DDC" w:rsidRDefault="680A6A47" w:rsidP="00330A0A">
      <w:pPr>
        <w:rPr>
          <w:color w:val="000000" w:themeColor="text1"/>
        </w:rPr>
      </w:pPr>
      <w:r w:rsidRPr="4E670531">
        <w:rPr>
          <w:color w:val="000000" w:themeColor="text1"/>
        </w:rPr>
        <w:t xml:space="preserve">The </w:t>
      </w:r>
      <w:r w:rsidR="003D4B41">
        <w:rPr>
          <w:color w:val="000000" w:themeColor="text1"/>
        </w:rPr>
        <w:t>c</w:t>
      </w:r>
      <w:r w:rsidRPr="4E670531">
        <w:rPr>
          <w:color w:val="000000" w:themeColor="text1"/>
        </w:rPr>
        <w:t>ommentary noted that a PERT distribution creates a curve that fits well to normal or lognormal distributions. However, to ensure the simulation is robust more clinical input is required as there remains a degree of uncertainty with this distribution. The results of the sensitivity analysis demonstrate that with a PERT distribution, Re-188 brachytherapy remains less costly when compared to EBRT.</w:t>
      </w:r>
    </w:p>
    <w:p w14:paraId="2C785A4C" w14:textId="284914EA" w:rsidR="008B5B67" w:rsidRPr="00CE28E3" w:rsidRDefault="00A11BFE" w:rsidP="003848F1">
      <w:pPr>
        <w:pStyle w:val="Caption"/>
        <w:keepLines/>
      </w:pPr>
      <w:bookmarkStart w:id="43" w:name="_Ref134002025"/>
      <w:r>
        <w:t>Table</w:t>
      </w:r>
      <w:bookmarkEnd w:id="43"/>
      <w:r>
        <w:t xml:space="preserve"> </w:t>
      </w:r>
      <w:r>
        <w:fldChar w:fldCharType="begin"/>
      </w:r>
      <w:r>
        <w:instrText>SEQ Table \* ARABIC</w:instrText>
      </w:r>
      <w:r>
        <w:fldChar w:fldCharType="separate"/>
      </w:r>
      <w:r w:rsidR="009228FB">
        <w:rPr>
          <w:noProof/>
        </w:rPr>
        <w:t>13</w:t>
      </w:r>
      <w:r>
        <w:fldChar w:fldCharType="end"/>
      </w:r>
      <w:r w:rsidR="00F76D74">
        <w:tab/>
      </w:r>
      <w:r w:rsidR="008B5B67" w:rsidRPr="00CE28E3">
        <w:t>Sensitivity analyses</w:t>
      </w:r>
    </w:p>
    <w:tbl>
      <w:tblPr>
        <w:tblStyle w:val="TableGrid"/>
        <w:tblW w:w="9011" w:type="dxa"/>
        <w:tblLayout w:type="fixed"/>
        <w:tblLook w:val="00A0" w:firstRow="1" w:lastRow="0" w:firstColumn="1" w:lastColumn="0" w:noHBand="0" w:noVBand="0"/>
      </w:tblPr>
      <w:tblGrid>
        <w:gridCol w:w="2608"/>
        <w:gridCol w:w="1176"/>
        <w:gridCol w:w="1437"/>
        <w:gridCol w:w="1307"/>
        <w:gridCol w:w="1437"/>
        <w:gridCol w:w="1046"/>
      </w:tblGrid>
      <w:tr w:rsidR="00B8527D" w:rsidRPr="004D3878" w14:paraId="2C784516" w14:textId="77777777" w:rsidTr="003848F1">
        <w:trPr>
          <w:trHeight w:val="242"/>
        </w:trPr>
        <w:tc>
          <w:tcPr>
            <w:tcW w:w="2608" w:type="dxa"/>
            <w:vMerge w:val="restart"/>
            <w:vAlign w:val="center"/>
          </w:tcPr>
          <w:p w14:paraId="0872CF2C" w14:textId="77777777" w:rsidR="00EC7FC6" w:rsidRPr="00F775CD" w:rsidRDefault="00EC7FC6" w:rsidP="003848F1">
            <w:pPr>
              <w:pStyle w:val="TableText"/>
              <w:keepNext/>
              <w:keepLines/>
              <w:rPr>
                <w:b/>
              </w:rPr>
            </w:pPr>
            <w:bookmarkStart w:id="44" w:name="_Hlk68276759"/>
            <w:r w:rsidRPr="00F775CD">
              <w:rPr>
                <w:b/>
              </w:rPr>
              <w:t>Sensitivity analysis</w:t>
            </w:r>
          </w:p>
        </w:tc>
        <w:tc>
          <w:tcPr>
            <w:tcW w:w="1176" w:type="dxa"/>
            <w:vAlign w:val="center"/>
          </w:tcPr>
          <w:p w14:paraId="37827312" w14:textId="77777777" w:rsidR="00EC7FC6" w:rsidRPr="00F775CD" w:rsidRDefault="00EC7FC6" w:rsidP="003848F1">
            <w:pPr>
              <w:pStyle w:val="TableText"/>
              <w:keepNext/>
              <w:keepLines/>
              <w:jc w:val="center"/>
              <w:rPr>
                <w:b/>
              </w:rPr>
            </w:pPr>
            <w:r w:rsidRPr="00F775CD">
              <w:rPr>
                <w:b/>
              </w:rPr>
              <w:t>Base Case</w:t>
            </w:r>
          </w:p>
        </w:tc>
        <w:tc>
          <w:tcPr>
            <w:tcW w:w="2744" w:type="dxa"/>
            <w:gridSpan w:val="2"/>
            <w:vAlign w:val="center"/>
          </w:tcPr>
          <w:p w14:paraId="22855A33" w14:textId="77777777" w:rsidR="00EC7FC6" w:rsidRPr="00F775CD" w:rsidRDefault="00EC7FC6" w:rsidP="003848F1">
            <w:pPr>
              <w:pStyle w:val="TableText"/>
              <w:keepNext/>
              <w:keepLines/>
              <w:jc w:val="center"/>
              <w:rPr>
                <w:b/>
              </w:rPr>
            </w:pPr>
            <w:r w:rsidRPr="00F775CD">
              <w:rPr>
                <w:b/>
              </w:rPr>
              <w:t>Worst case</w:t>
            </w:r>
          </w:p>
        </w:tc>
        <w:tc>
          <w:tcPr>
            <w:tcW w:w="2483" w:type="dxa"/>
            <w:gridSpan w:val="2"/>
            <w:vAlign w:val="center"/>
          </w:tcPr>
          <w:p w14:paraId="70E21624" w14:textId="77777777" w:rsidR="00EC7FC6" w:rsidRPr="00F775CD" w:rsidRDefault="00EC7FC6" w:rsidP="003848F1">
            <w:pPr>
              <w:pStyle w:val="TableText"/>
              <w:keepNext/>
              <w:keepLines/>
              <w:jc w:val="center"/>
              <w:rPr>
                <w:b/>
              </w:rPr>
            </w:pPr>
            <w:r w:rsidRPr="00F775CD">
              <w:rPr>
                <w:b/>
              </w:rPr>
              <w:t>Best case</w:t>
            </w:r>
          </w:p>
        </w:tc>
      </w:tr>
      <w:tr w:rsidR="00B8527D" w:rsidRPr="004D3878" w14:paraId="28C6524E" w14:textId="77777777" w:rsidTr="003848F1">
        <w:trPr>
          <w:trHeight w:val="242"/>
        </w:trPr>
        <w:tc>
          <w:tcPr>
            <w:tcW w:w="2608" w:type="dxa"/>
            <w:vMerge/>
            <w:vAlign w:val="center"/>
          </w:tcPr>
          <w:p w14:paraId="1CFF26F3" w14:textId="77777777" w:rsidR="00EC7FC6" w:rsidRPr="00F775CD" w:rsidRDefault="00EC7FC6" w:rsidP="003848F1">
            <w:pPr>
              <w:pStyle w:val="TableText"/>
              <w:keepNext/>
              <w:keepLines/>
              <w:rPr>
                <w:b/>
              </w:rPr>
            </w:pPr>
          </w:p>
        </w:tc>
        <w:tc>
          <w:tcPr>
            <w:tcW w:w="1176" w:type="dxa"/>
            <w:vAlign w:val="center"/>
          </w:tcPr>
          <w:p w14:paraId="0385F679" w14:textId="77777777" w:rsidR="00EC7FC6" w:rsidRPr="00F775CD" w:rsidRDefault="00EC7FC6" w:rsidP="003848F1">
            <w:pPr>
              <w:pStyle w:val="TableText"/>
              <w:keepNext/>
              <w:keepLines/>
              <w:jc w:val="center"/>
              <w:rPr>
                <w:b/>
              </w:rPr>
            </w:pPr>
            <w:r w:rsidRPr="00F775CD">
              <w:rPr>
                <w:b/>
              </w:rPr>
              <w:t>Value</w:t>
            </w:r>
          </w:p>
        </w:tc>
        <w:tc>
          <w:tcPr>
            <w:tcW w:w="1437" w:type="dxa"/>
            <w:vAlign w:val="center"/>
          </w:tcPr>
          <w:p w14:paraId="454D2A4B" w14:textId="77777777" w:rsidR="00EC7FC6" w:rsidRPr="00F775CD" w:rsidRDefault="00EC7FC6" w:rsidP="003848F1">
            <w:pPr>
              <w:pStyle w:val="TableText"/>
              <w:keepNext/>
              <w:keepLines/>
              <w:jc w:val="center"/>
              <w:rPr>
                <w:b/>
              </w:rPr>
            </w:pPr>
            <w:r w:rsidRPr="00F775CD">
              <w:rPr>
                <w:b/>
              </w:rPr>
              <w:t>Value</w:t>
            </w:r>
          </w:p>
        </w:tc>
        <w:tc>
          <w:tcPr>
            <w:tcW w:w="1307" w:type="dxa"/>
            <w:vAlign w:val="center"/>
          </w:tcPr>
          <w:p w14:paraId="3C5C4AC6" w14:textId="5D5172CA" w:rsidR="00EC7FC6" w:rsidRPr="00F775CD" w:rsidRDefault="0038532E" w:rsidP="003848F1">
            <w:pPr>
              <w:pStyle w:val="TableText"/>
              <w:keepNext/>
              <w:keepLines/>
              <w:jc w:val="center"/>
              <w:rPr>
                <w:b/>
              </w:rPr>
            </w:pPr>
            <w:r>
              <w:rPr>
                <w:b/>
              </w:rPr>
              <w:t>Result</w:t>
            </w:r>
          </w:p>
        </w:tc>
        <w:tc>
          <w:tcPr>
            <w:tcW w:w="1437" w:type="dxa"/>
            <w:vAlign w:val="center"/>
          </w:tcPr>
          <w:p w14:paraId="3BAD6B5E" w14:textId="77777777" w:rsidR="00EC7FC6" w:rsidRPr="00F775CD" w:rsidRDefault="00EC7FC6" w:rsidP="003848F1">
            <w:pPr>
              <w:pStyle w:val="TableText"/>
              <w:keepNext/>
              <w:keepLines/>
              <w:jc w:val="center"/>
              <w:rPr>
                <w:b/>
              </w:rPr>
            </w:pPr>
            <w:r w:rsidRPr="00F775CD">
              <w:rPr>
                <w:b/>
              </w:rPr>
              <w:t>Value</w:t>
            </w:r>
          </w:p>
        </w:tc>
        <w:tc>
          <w:tcPr>
            <w:tcW w:w="1046" w:type="dxa"/>
            <w:vAlign w:val="center"/>
          </w:tcPr>
          <w:p w14:paraId="06FCBC09" w14:textId="345B77B9" w:rsidR="00EC7FC6" w:rsidRPr="00F775CD" w:rsidRDefault="0038532E" w:rsidP="003848F1">
            <w:pPr>
              <w:pStyle w:val="TableText"/>
              <w:keepNext/>
              <w:keepLines/>
              <w:jc w:val="center"/>
              <w:rPr>
                <w:b/>
              </w:rPr>
            </w:pPr>
            <w:r>
              <w:rPr>
                <w:b/>
              </w:rPr>
              <w:t>Result</w:t>
            </w:r>
          </w:p>
        </w:tc>
      </w:tr>
      <w:tr w:rsidR="00EC7FC6" w:rsidRPr="004D3878" w14:paraId="2EEEAB3E" w14:textId="77777777" w:rsidTr="003848F1">
        <w:trPr>
          <w:trHeight w:val="256"/>
        </w:trPr>
        <w:tc>
          <w:tcPr>
            <w:tcW w:w="9011" w:type="dxa"/>
            <w:gridSpan w:val="6"/>
            <w:vAlign w:val="center"/>
          </w:tcPr>
          <w:p w14:paraId="5B50342E" w14:textId="77777777" w:rsidR="00EC7FC6" w:rsidRPr="00F775CD" w:rsidRDefault="00EC7FC6" w:rsidP="003848F1">
            <w:pPr>
              <w:pStyle w:val="TableText"/>
              <w:keepNext/>
              <w:keepLines/>
            </w:pPr>
            <w:r w:rsidRPr="00F775CD">
              <w:t>Base case difference: -$1,648.08</w:t>
            </w:r>
          </w:p>
        </w:tc>
      </w:tr>
      <w:tr w:rsidR="00EC7FC6" w:rsidRPr="004D3878" w14:paraId="3647610E" w14:textId="77777777" w:rsidTr="003848F1">
        <w:trPr>
          <w:trHeight w:val="164"/>
        </w:trPr>
        <w:tc>
          <w:tcPr>
            <w:tcW w:w="2608" w:type="dxa"/>
            <w:vAlign w:val="center"/>
          </w:tcPr>
          <w:p w14:paraId="152C3DE5" w14:textId="6FBF2A6D" w:rsidR="00EC7FC6" w:rsidRPr="00F775CD" w:rsidRDefault="00EC7FC6" w:rsidP="003848F1">
            <w:pPr>
              <w:pStyle w:val="TableText"/>
              <w:keepNext/>
              <w:keepLines/>
            </w:pPr>
            <w:r w:rsidRPr="00F775CD">
              <w:t>Comparator mix (</w:t>
            </w:r>
            <w:r w:rsidR="0081716E">
              <w:t>3D megavoltage</w:t>
            </w:r>
            <w:r w:rsidRPr="00F775CD">
              <w:t>:IMRT</w:t>
            </w:r>
            <w:r w:rsidR="00CF146C">
              <w:t>/VMAT</w:t>
            </w:r>
            <w:r w:rsidRPr="00F775CD">
              <w:t>)</w:t>
            </w:r>
          </w:p>
        </w:tc>
        <w:tc>
          <w:tcPr>
            <w:tcW w:w="1176" w:type="dxa"/>
            <w:vAlign w:val="center"/>
          </w:tcPr>
          <w:p w14:paraId="5D4F41E5" w14:textId="77777777" w:rsidR="00EC7FC6" w:rsidRPr="00F775CD" w:rsidRDefault="00EC7FC6" w:rsidP="003848F1">
            <w:pPr>
              <w:pStyle w:val="TableText"/>
              <w:keepNext/>
              <w:keepLines/>
              <w:jc w:val="center"/>
            </w:pPr>
            <w:r w:rsidRPr="00F775CD">
              <w:t>50:50</w:t>
            </w:r>
          </w:p>
        </w:tc>
        <w:tc>
          <w:tcPr>
            <w:tcW w:w="1437" w:type="dxa"/>
            <w:vAlign w:val="center"/>
          </w:tcPr>
          <w:p w14:paraId="449FE7E0" w14:textId="77777777" w:rsidR="00EC7FC6" w:rsidRPr="00F775CD" w:rsidRDefault="00EC7FC6" w:rsidP="003848F1">
            <w:pPr>
              <w:pStyle w:val="TableText"/>
              <w:keepNext/>
              <w:keepLines/>
              <w:jc w:val="center"/>
            </w:pPr>
            <w:r w:rsidRPr="00F775CD">
              <w:t>75:25</w:t>
            </w:r>
          </w:p>
        </w:tc>
        <w:tc>
          <w:tcPr>
            <w:tcW w:w="1307" w:type="dxa"/>
            <w:vAlign w:val="center"/>
          </w:tcPr>
          <w:p w14:paraId="458F559D" w14:textId="77777777" w:rsidR="00EC7FC6" w:rsidRPr="00F775CD" w:rsidRDefault="00EC7FC6" w:rsidP="003848F1">
            <w:pPr>
              <w:pStyle w:val="TableText"/>
              <w:keepNext/>
              <w:keepLines/>
              <w:jc w:val="center"/>
            </w:pPr>
            <w:r w:rsidRPr="00F775CD">
              <w:t>-$280.46</w:t>
            </w:r>
          </w:p>
        </w:tc>
        <w:tc>
          <w:tcPr>
            <w:tcW w:w="1437" w:type="dxa"/>
            <w:vAlign w:val="center"/>
          </w:tcPr>
          <w:p w14:paraId="26D44EB0" w14:textId="77777777" w:rsidR="00EC7FC6" w:rsidRPr="00F775CD" w:rsidRDefault="00EC7FC6" w:rsidP="003848F1">
            <w:pPr>
              <w:pStyle w:val="TableText"/>
              <w:keepNext/>
              <w:keepLines/>
              <w:jc w:val="center"/>
            </w:pPr>
            <w:r w:rsidRPr="00F775CD">
              <w:t>25:75</w:t>
            </w:r>
          </w:p>
        </w:tc>
        <w:tc>
          <w:tcPr>
            <w:tcW w:w="1046" w:type="dxa"/>
            <w:vAlign w:val="center"/>
          </w:tcPr>
          <w:p w14:paraId="39DB89EF" w14:textId="77777777" w:rsidR="00EC7FC6" w:rsidRPr="00F775CD" w:rsidRDefault="00EC7FC6" w:rsidP="003848F1">
            <w:pPr>
              <w:pStyle w:val="TableText"/>
              <w:keepNext/>
              <w:keepLines/>
              <w:jc w:val="center"/>
            </w:pPr>
            <w:r w:rsidRPr="00F775CD">
              <w:t>-$3,015.70</w:t>
            </w:r>
          </w:p>
        </w:tc>
      </w:tr>
      <w:tr w:rsidR="00EC7FC6" w:rsidRPr="004D3878" w14:paraId="4892C315" w14:textId="77777777" w:rsidTr="003848F1">
        <w:trPr>
          <w:trHeight w:val="164"/>
        </w:trPr>
        <w:tc>
          <w:tcPr>
            <w:tcW w:w="2608" w:type="dxa"/>
            <w:vAlign w:val="center"/>
          </w:tcPr>
          <w:p w14:paraId="6B6317A5" w14:textId="0B6F9C8E" w:rsidR="00EC7FC6" w:rsidRPr="00F775CD" w:rsidRDefault="00EC7FC6" w:rsidP="003848F1">
            <w:pPr>
              <w:pStyle w:val="TableText"/>
              <w:keepNext/>
              <w:keepLines/>
            </w:pPr>
            <w:r w:rsidRPr="00F775CD">
              <w:t>Case distribution (Re-188</w:t>
            </w:r>
            <w:r w:rsidR="005D1840">
              <w:t xml:space="preserve"> brachytherapy</w:t>
            </w:r>
            <w:r w:rsidRPr="00F775CD">
              <w:t>)</w:t>
            </w:r>
          </w:p>
        </w:tc>
        <w:tc>
          <w:tcPr>
            <w:tcW w:w="1176" w:type="dxa"/>
            <w:vAlign w:val="center"/>
          </w:tcPr>
          <w:p w14:paraId="538F12AC" w14:textId="77777777" w:rsidR="00EC7FC6" w:rsidRPr="00F775CD" w:rsidRDefault="00EC7FC6" w:rsidP="003848F1">
            <w:pPr>
              <w:pStyle w:val="TableText"/>
              <w:keepNext/>
              <w:keepLines/>
              <w:jc w:val="center"/>
            </w:pPr>
            <w:r w:rsidRPr="00F775CD">
              <w:t>Uniform</w:t>
            </w:r>
          </w:p>
        </w:tc>
        <w:tc>
          <w:tcPr>
            <w:tcW w:w="1437" w:type="dxa"/>
            <w:vAlign w:val="center"/>
          </w:tcPr>
          <w:p w14:paraId="32CC2288" w14:textId="6397A223" w:rsidR="00EC7FC6" w:rsidRPr="00F775CD" w:rsidRDefault="00EC7FC6" w:rsidP="003848F1">
            <w:pPr>
              <w:pStyle w:val="TableText"/>
              <w:keepNext/>
              <w:keepLines/>
              <w:jc w:val="center"/>
            </w:pPr>
            <w:r w:rsidRPr="00F775CD">
              <w:t xml:space="preserve">Right </w:t>
            </w:r>
            <w:r w:rsidR="000D4F62">
              <w:t xml:space="preserve">skewed </w:t>
            </w:r>
            <w:r w:rsidRPr="00F775CD">
              <w:t>(6.5)</w:t>
            </w:r>
          </w:p>
        </w:tc>
        <w:tc>
          <w:tcPr>
            <w:tcW w:w="1307" w:type="dxa"/>
            <w:vAlign w:val="center"/>
          </w:tcPr>
          <w:p w14:paraId="5C559146" w14:textId="77777777" w:rsidR="00EC7FC6" w:rsidRPr="00F775CD" w:rsidRDefault="00EC7FC6" w:rsidP="003848F1">
            <w:pPr>
              <w:pStyle w:val="TableText"/>
              <w:keepNext/>
              <w:keepLines/>
              <w:jc w:val="center"/>
            </w:pPr>
            <w:r w:rsidRPr="00F775CD">
              <w:t>-$638.76</w:t>
            </w:r>
          </w:p>
        </w:tc>
        <w:tc>
          <w:tcPr>
            <w:tcW w:w="1437" w:type="dxa"/>
            <w:vAlign w:val="center"/>
          </w:tcPr>
          <w:p w14:paraId="59B30A69" w14:textId="372BD41E" w:rsidR="00EC7FC6" w:rsidRPr="00F775CD" w:rsidRDefault="00EC7FC6" w:rsidP="003848F1">
            <w:pPr>
              <w:pStyle w:val="TableText"/>
              <w:keepNext/>
              <w:keepLines/>
              <w:jc w:val="center"/>
            </w:pPr>
            <w:r w:rsidRPr="00F775CD">
              <w:t xml:space="preserve">Left </w:t>
            </w:r>
            <w:r w:rsidR="00693B73">
              <w:t>skewed</w:t>
            </w:r>
            <w:r w:rsidRPr="00F775CD">
              <w:t xml:space="preserve"> (2.25)</w:t>
            </w:r>
          </w:p>
        </w:tc>
        <w:tc>
          <w:tcPr>
            <w:tcW w:w="1046" w:type="dxa"/>
            <w:vAlign w:val="center"/>
          </w:tcPr>
          <w:p w14:paraId="44A35222" w14:textId="77777777" w:rsidR="00EC7FC6" w:rsidRPr="00F775CD" w:rsidRDefault="00EC7FC6" w:rsidP="003848F1">
            <w:pPr>
              <w:pStyle w:val="TableText"/>
              <w:keepNext/>
              <w:keepLines/>
              <w:jc w:val="center"/>
            </w:pPr>
            <w:r w:rsidRPr="00F775CD">
              <w:t>-$2,867.44</w:t>
            </w:r>
          </w:p>
        </w:tc>
      </w:tr>
      <w:tr w:rsidR="00EC7FC6" w:rsidRPr="004D3878" w14:paraId="6F75623E" w14:textId="77777777" w:rsidTr="003848F1">
        <w:trPr>
          <w:trHeight w:val="242"/>
        </w:trPr>
        <w:tc>
          <w:tcPr>
            <w:tcW w:w="2608" w:type="dxa"/>
            <w:vAlign w:val="center"/>
          </w:tcPr>
          <w:p w14:paraId="4152E993" w14:textId="77777777" w:rsidR="00EC7FC6" w:rsidRPr="00F775CD" w:rsidRDefault="00EC7FC6" w:rsidP="003848F1">
            <w:pPr>
              <w:pStyle w:val="TableText"/>
              <w:keepNext/>
              <w:keepLines/>
            </w:pPr>
            <w:r w:rsidRPr="00F775CD">
              <w:t>Case distribution (EBRT)</w:t>
            </w:r>
          </w:p>
        </w:tc>
        <w:tc>
          <w:tcPr>
            <w:tcW w:w="1176" w:type="dxa"/>
            <w:vAlign w:val="center"/>
          </w:tcPr>
          <w:p w14:paraId="24D78A4A" w14:textId="77777777" w:rsidR="00EC7FC6" w:rsidRPr="00F775CD" w:rsidRDefault="00EC7FC6" w:rsidP="003848F1">
            <w:pPr>
              <w:pStyle w:val="TableText"/>
              <w:keepNext/>
              <w:keepLines/>
              <w:jc w:val="center"/>
            </w:pPr>
            <w:r w:rsidRPr="00F775CD">
              <w:t>Uniform</w:t>
            </w:r>
          </w:p>
        </w:tc>
        <w:tc>
          <w:tcPr>
            <w:tcW w:w="1437" w:type="dxa"/>
            <w:vAlign w:val="center"/>
          </w:tcPr>
          <w:p w14:paraId="7BE10335" w14:textId="25B5E8C2" w:rsidR="00EC7FC6" w:rsidRPr="00F775CD" w:rsidRDefault="00EC7FC6" w:rsidP="003848F1">
            <w:pPr>
              <w:pStyle w:val="TableText"/>
              <w:keepNext/>
              <w:keepLines/>
              <w:jc w:val="center"/>
            </w:pPr>
            <w:r w:rsidRPr="00F775CD">
              <w:t xml:space="preserve">Left </w:t>
            </w:r>
            <w:r w:rsidR="000D4F62">
              <w:t>skewed</w:t>
            </w:r>
            <w:r w:rsidRPr="00F775CD">
              <w:t xml:space="preserve"> (15)</w:t>
            </w:r>
          </w:p>
        </w:tc>
        <w:tc>
          <w:tcPr>
            <w:tcW w:w="1307" w:type="dxa"/>
            <w:vAlign w:val="center"/>
          </w:tcPr>
          <w:p w14:paraId="02450FA7" w14:textId="77777777" w:rsidR="00EC7FC6" w:rsidRPr="00F775CD" w:rsidRDefault="00EC7FC6" w:rsidP="003848F1">
            <w:pPr>
              <w:pStyle w:val="TableText"/>
              <w:keepNext/>
              <w:keepLines/>
              <w:jc w:val="center"/>
            </w:pPr>
            <w:r w:rsidRPr="00F775CD">
              <w:t>-$1,175.17</w:t>
            </w:r>
          </w:p>
        </w:tc>
        <w:tc>
          <w:tcPr>
            <w:tcW w:w="1437" w:type="dxa"/>
            <w:vAlign w:val="center"/>
          </w:tcPr>
          <w:p w14:paraId="2E7635D6" w14:textId="56D474F0" w:rsidR="00EC7FC6" w:rsidRPr="00F775CD" w:rsidRDefault="00EC7FC6" w:rsidP="003848F1">
            <w:pPr>
              <w:pStyle w:val="TableText"/>
              <w:keepNext/>
              <w:keepLines/>
              <w:jc w:val="center"/>
            </w:pPr>
            <w:r w:rsidRPr="00F775CD">
              <w:t xml:space="preserve">Right </w:t>
            </w:r>
            <w:r w:rsidR="00693B73">
              <w:t>skewed</w:t>
            </w:r>
            <w:r w:rsidRPr="00F775CD">
              <w:t xml:space="preserve"> (25)</w:t>
            </w:r>
          </w:p>
        </w:tc>
        <w:tc>
          <w:tcPr>
            <w:tcW w:w="1046" w:type="dxa"/>
            <w:vAlign w:val="center"/>
          </w:tcPr>
          <w:p w14:paraId="07FC271E" w14:textId="77777777" w:rsidR="00EC7FC6" w:rsidRPr="00F775CD" w:rsidRDefault="00EC7FC6" w:rsidP="003848F1">
            <w:pPr>
              <w:pStyle w:val="TableText"/>
              <w:keepNext/>
              <w:keepLines/>
              <w:jc w:val="center"/>
            </w:pPr>
            <w:r w:rsidRPr="00F775CD">
              <w:t>-$2,476.16</w:t>
            </w:r>
          </w:p>
        </w:tc>
      </w:tr>
      <w:tr w:rsidR="00EC7FC6" w:rsidRPr="004D3878" w14:paraId="1F7A6D68" w14:textId="77777777" w:rsidTr="003848F1">
        <w:trPr>
          <w:trHeight w:val="242"/>
        </w:trPr>
        <w:tc>
          <w:tcPr>
            <w:tcW w:w="2608" w:type="dxa"/>
            <w:vAlign w:val="center"/>
          </w:tcPr>
          <w:p w14:paraId="0546D525" w14:textId="6BAB96DD" w:rsidR="00EC7FC6" w:rsidRPr="00F775CD" w:rsidRDefault="00EC7FC6" w:rsidP="003848F1">
            <w:pPr>
              <w:pStyle w:val="TableText"/>
              <w:keepNext/>
              <w:keepLines/>
            </w:pPr>
            <w:r w:rsidRPr="00F775CD">
              <w:t>MBS item fees (Re-188</w:t>
            </w:r>
            <w:r w:rsidR="005D1840">
              <w:t xml:space="preserve"> brachytherapy</w:t>
            </w:r>
            <w:r w:rsidRPr="00F775CD">
              <w:t>)</w:t>
            </w:r>
          </w:p>
        </w:tc>
        <w:tc>
          <w:tcPr>
            <w:tcW w:w="1176" w:type="dxa"/>
            <w:vAlign w:val="center"/>
          </w:tcPr>
          <w:p w14:paraId="096BA038" w14:textId="77777777" w:rsidR="00EC7FC6" w:rsidRPr="00F775CD" w:rsidRDefault="00EC7FC6" w:rsidP="003848F1">
            <w:pPr>
              <w:pStyle w:val="TableText"/>
              <w:keepNext/>
              <w:keepLines/>
              <w:jc w:val="center"/>
            </w:pPr>
            <w:r w:rsidRPr="00F775CD">
              <w:t>$3,420-6,726</w:t>
            </w:r>
          </w:p>
        </w:tc>
        <w:tc>
          <w:tcPr>
            <w:tcW w:w="1437" w:type="dxa"/>
            <w:vAlign w:val="center"/>
          </w:tcPr>
          <w:p w14:paraId="00EE4B88" w14:textId="56B895CD" w:rsidR="00EC7FC6" w:rsidRPr="00F775CD" w:rsidRDefault="00EC7FC6" w:rsidP="003848F1">
            <w:pPr>
              <w:pStyle w:val="TableText"/>
              <w:keepNext/>
              <w:keepLines/>
              <w:jc w:val="center"/>
            </w:pPr>
            <w:r w:rsidRPr="00F775CD">
              <w:t>$4,275</w:t>
            </w:r>
            <w:r w:rsidR="001836AD">
              <w:t xml:space="preserve"> t</w:t>
            </w:r>
            <w:r w:rsidR="00987203">
              <w:t>o</w:t>
            </w:r>
            <w:r w:rsidR="001836AD">
              <w:t xml:space="preserve"> </w:t>
            </w:r>
            <w:r w:rsidRPr="00F775CD">
              <w:t>$8,407</w:t>
            </w:r>
          </w:p>
        </w:tc>
        <w:tc>
          <w:tcPr>
            <w:tcW w:w="1307" w:type="dxa"/>
            <w:vAlign w:val="center"/>
          </w:tcPr>
          <w:p w14:paraId="50D442F3" w14:textId="77777777" w:rsidR="00EC7FC6" w:rsidRPr="00F775CD" w:rsidRDefault="00EC7FC6" w:rsidP="003848F1">
            <w:pPr>
              <w:pStyle w:val="TableText"/>
              <w:keepNext/>
              <w:keepLines/>
              <w:jc w:val="center"/>
            </w:pPr>
            <w:r w:rsidRPr="00F775CD">
              <w:t>-$322.97</w:t>
            </w:r>
          </w:p>
        </w:tc>
        <w:tc>
          <w:tcPr>
            <w:tcW w:w="1437" w:type="dxa"/>
            <w:vAlign w:val="center"/>
          </w:tcPr>
          <w:p w14:paraId="7A193400" w14:textId="1A96F5BC" w:rsidR="00EC7FC6" w:rsidRPr="00F775CD" w:rsidRDefault="00EC7FC6" w:rsidP="003848F1">
            <w:pPr>
              <w:pStyle w:val="TableText"/>
              <w:keepNext/>
              <w:keepLines/>
              <w:jc w:val="center"/>
            </w:pPr>
            <w:r w:rsidRPr="00F775CD">
              <w:t>$2,565</w:t>
            </w:r>
            <w:r w:rsidR="008C2956">
              <w:t xml:space="preserve"> to </w:t>
            </w:r>
            <w:r w:rsidRPr="00F775CD">
              <w:t>$5,044</w:t>
            </w:r>
          </w:p>
        </w:tc>
        <w:tc>
          <w:tcPr>
            <w:tcW w:w="1046" w:type="dxa"/>
            <w:vAlign w:val="center"/>
          </w:tcPr>
          <w:p w14:paraId="33ECD37F" w14:textId="77777777" w:rsidR="00EC7FC6" w:rsidRPr="00F775CD" w:rsidRDefault="00EC7FC6" w:rsidP="003848F1">
            <w:pPr>
              <w:pStyle w:val="TableText"/>
              <w:keepNext/>
              <w:keepLines/>
              <w:jc w:val="center"/>
            </w:pPr>
            <w:r w:rsidRPr="00F775CD">
              <w:t>-$2,973.20</w:t>
            </w:r>
          </w:p>
        </w:tc>
      </w:tr>
    </w:tbl>
    <w:p w14:paraId="4B861E60" w14:textId="13CB92B5" w:rsidR="005E2253" w:rsidRDefault="005E2253" w:rsidP="005E2253">
      <w:pPr>
        <w:pStyle w:val="Tablenotes"/>
        <w:keepNext/>
        <w:keepLines/>
      </w:pPr>
      <w:bookmarkStart w:id="45" w:name="_Toc69491426"/>
      <w:bookmarkEnd w:id="44"/>
      <w:r>
        <w:t xml:space="preserve">Source: </w:t>
      </w:r>
      <w:r w:rsidR="00515CE3">
        <w:t xml:space="preserve">Table 3-2, pg146 of </w:t>
      </w:r>
      <w:r>
        <w:t>MSAC 1657 ADAR</w:t>
      </w:r>
      <w:r w:rsidR="00515CE3">
        <w:t xml:space="preserve">+in-line </w:t>
      </w:r>
      <w:r w:rsidR="003D4B41">
        <w:t>c</w:t>
      </w:r>
      <w:r w:rsidR="00515CE3">
        <w:t>ommentary</w:t>
      </w:r>
    </w:p>
    <w:p w14:paraId="387D4DF4" w14:textId="13E6B59C" w:rsidR="00C261BE" w:rsidRDefault="005E2253" w:rsidP="003848F1">
      <w:pPr>
        <w:pStyle w:val="Tablenotes"/>
        <w:keepNext/>
        <w:keepLines/>
        <w:spacing w:after="0"/>
      </w:pPr>
      <w:r>
        <w:t xml:space="preserve">Abbreviations: </w:t>
      </w:r>
      <w:r w:rsidR="00C261BE">
        <w:t>EBRT</w:t>
      </w:r>
      <w:r w:rsidR="007561A7">
        <w:t xml:space="preserve"> </w:t>
      </w:r>
      <w:r w:rsidR="00C261BE">
        <w:t>= External Beam Radiation Therapy; IMRT</w:t>
      </w:r>
      <w:r w:rsidR="007561A7">
        <w:t xml:space="preserve"> </w:t>
      </w:r>
      <w:r w:rsidR="00C261BE">
        <w:t>=</w:t>
      </w:r>
      <w:r w:rsidR="007561A7">
        <w:t xml:space="preserve"> </w:t>
      </w:r>
      <w:r w:rsidR="00C261BE" w:rsidRPr="00F27C36">
        <w:t>Intensity-</w:t>
      </w:r>
      <w:r w:rsidR="00C261BE">
        <w:t>M</w:t>
      </w:r>
      <w:r w:rsidR="00C261BE" w:rsidRPr="00F27C36">
        <w:t xml:space="preserve">odulated </w:t>
      </w:r>
      <w:r w:rsidR="00C261BE">
        <w:t>R</w:t>
      </w:r>
      <w:r w:rsidR="00C261BE" w:rsidRPr="00F27C36">
        <w:t xml:space="preserve">adiation </w:t>
      </w:r>
      <w:r w:rsidR="00C261BE">
        <w:t>T</w:t>
      </w:r>
      <w:r w:rsidR="00C261BE" w:rsidRPr="00F27C36">
        <w:t>herapy</w:t>
      </w:r>
      <w:r w:rsidR="00C261BE">
        <w:t>; MBS</w:t>
      </w:r>
      <w:r w:rsidR="007561A7">
        <w:t xml:space="preserve"> </w:t>
      </w:r>
      <w:r w:rsidR="00C261BE">
        <w:t>=</w:t>
      </w:r>
      <w:r w:rsidR="007561A7">
        <w:t xml:space="preserve"> </w:t>
      </w:r>
      <w:r w:rsidR="00C261BE">
        <w:t>Medicare Benefits Scheme; Re-188</w:t>
      </w:r>
      <w:r w:rsidR="007561A7">
        <w:t xml:space="preserve"> </w:t>
      </w:r>
      <w:r w:rsidR="00C261BE">
        <w:t>=</w:t>
      </w:r>
      <w:r w:rsidR="007561A7">
        <w:t xml:space="preserve"> </w:t>
      </w:r>
      <w:r w:rsidR="00C261BE">
        <w:t>Rhenium 188</w:t>
      </w:r>
      <w:r w:rsidR="00CF146C">
        <w:t xml:space="preserve">; VMAT = </w:t>
      </w:r>
      <w:r w:rsidR="00515CE3">
        <w:t>V</w:t>
      </w:r>
      <w:r w:rsidR="00515CE3" w:rsidRPr="00515CE3">
        <w:t xml:space="preserve">olumetric </w:t>
      </w:r>
      <w:r w:rsidR="00CF640F">
        <w:t>M</w:t>
      </w:r>
      <w:r w:rsidR="00515CE3" w:rsidRPr="00515CE3">
        <w:t xml:space="preserve">odulated </w:t>
      </w:r>
      <w:r w:rsidR="00CF640F">
        <w:t>A</w:t>
      </w:r>
      <w:r w:rsidR="00515CE3" w:rsidRPr="00515CE3">
        <w:t xml:space="preserve">rc </w:t>
      </w:r>
      <w:r w:rsidR="00CF640F">
        <w:t>T</w:t>
      </w:r>
      <w:r w:rsidR="00515CE3" w:rsidRPr="00515CE3">
        <w:t>herapy</w:t>
      </w:r>
    </w:p>
    <w:p w14:paraId="5604C4B1" w14:textId="6CE1DF65" w:rsidR="009D7A38" w:rsidRDefault="002022DD" w:rsidP="00F62E3E">
      <w:pPr>
        <w:pStyle w:val="Heading3"/>
      </w:pPr>
      <w:r>
        <w:t xml:space="preserve">Additional </w:t>
      </w:r>
      <w:r w:rsidR="00D85E15">
        <w:t>sensitivity analyses on ADAR base case</w:t>
      </w:r>
    </w:p>
    <w:p w14:paraId="18A07A91" w14:textId="62D55EE0" w:rsidR="00694FC1" w:rsidRDefault="00AD03DD" w:rsidP="00B6439B">
      <w:pPr>
        <w:pStyle w:val="Instructionaltext-afterfiguretable"/>
        <w:spacing w:before="0" w:after="0"/>
        <w:rPr>
          <w:color w:val="000000" w:themeColor="text1"/>
        </w:rPr>
      </w:pPr>
      <w:r>
        <w:rPr>
          <w:color w:val="000000" w:themeColor="text1"/>
        </w:rPr>
        <w:t>Additional sensitivity analyses</w:t>
      </w:r>
      <w:r w:rsidR="00EA0F38">
        <w:rPr>
          <w:color w:val="000000" w:themeColor="text1"/>
        </w:rPr>
        <w:t>,</w:t>
      </w:r>
      <w:r>
        <w:rPr>
          <w:color w:val="000000" w:themeColor="text1"/>
        </w:rPr>
        <w:t xml:space="preserve"> undertaken</w:t>
      </w:r>
      <w:r w:rsidR="00D321AA">
        <w:rPr>
          <w:color w:val="000000" w:themeColor="text1"/>
        </w:rPr>
        <w:t xml:space="preserve"> by the commentary and the department </w:t>
      </w:r>
      <w:r w:rsidR="009F76F9">
        <w:rPr>
          <w:color w:val="000000" w:themeColor="text1"/>
        </w:rPr>
        <w:t>at the request of ESC</w:t>
      </w:r>
      <w:r w:rsidR="00EA0F38">
        <w:rPr>
          <w:color w:val="000000" w:themeColor="text1"/>
        </w:rPr>
        <w:t>,</w:t>
      </w:r>
      <w:r w:rsidR="009F76F9">
        <w:rPr>
          <w:color w:val="000000" w:themeColor="text1"/>
        </w:rPr>
        <w:t xml:space="preserve"> are presented in</w:t>
      </w:r>
      <w:r w:rsidR="009F76F9" w:rsidRPr="00562EA6">
        <w:rPr>
          <w:color w:val="auto"/>
        </w:rPr>
        <w:t xml:space="preserve"> </w:t>
      </w:r>
      <w:r w:rsidR="00B711A9" w:rsidRPr="00562EA6">
        <w:rPr>
          <w:color w:val="auto"/>
        </w:rPr>
        <w:fldChar w:fldCharType="begin"/>
      </w:r>
      <w:r w:rsidR="00B711A9" w:rsidRPr="00562EA6">
        <w:rPr>
          <w:color w:val="auto"/>
        </w:rPr>
        <w:instrText xml:space="preserve"> REF _Ref133827073 \h </w:instrText>
      </w:r>
      <w:r w:rsidR="00B711A9" w:rsidRPr="00562EA6">
        <w:rPr>
          <w:color w:val="auto"/>
        </w:rPr>
      </w:r>
      <w:r w:rsidR="00B711A9" w:rsidRPr="00562EA6">
        <w:rPr>
          <w:color w:val="auto"/>
        </w:rPr>
        <w:fldChar w:fldCharType="separate"/>
      </w:r>
      <w:r w:rsidR="009228FB" w:rsidRPr="00562EA6">
        <w:rPr>
          <w:color w:val="auto"/>
        </w:rPr>
        <w:t xml:space="preserve">Table </w:t>
      </w:r>
      <w:r w:rsidR="009228FB" w:rsidRPr="00562EA6">
        <w:rPr>
          <w:noProof/>
          <w:color w:val="auto"/>
        </w:rPr>
        <w:t>14</w:t>
      </w:r>
      <w:r w:rsidR="00B711A9" w:rsidRPr="00562EA6">
        <w:rPr>
          <w:color w:val="auto"/>
        </w:rPr>
        <w:fldChar w:fldCharType="end"/>
      </w:r>
      <w:r w:rsidR="009F76F9">
        <w:rPr>
          <w:color w:val="000000" w:themeColor="text1"/>
        </w:rPr>
        <w:t>. These</w:t>
      </w:r>
      <w:r w:rsidR="007E5AD2">
        <w:rPr>
          <w:color w:val="000000" w:themeColor="text1"/>
        </w:rPr>
        <w:t xml:space="preserve"> sensitivity</w:t>
      </w:r>
      <w:r w:rsidR="009F76F9">
        <w:rPr>
          <w:color w:val="000000" w:themeColor="text1"/>
        </w:rPr>
        <w:t xml:space="preserve"> analyses explore</w:t>
      </w:r>
      <w:r w:rsidR="003E36E6">
        <w:rPr>
          <w:color w:val="000000" w:themeColor="text1"/>
        </w:rPr>
        <w:t xml:space="preserve"> the impact of</w:t>
      </w:r>
      <w:r w:rsidR="00694FC1">
        <w:rPr>
          <w:color w:val="000000" w:themeColor="text1"/>
        </w:rPr>
        <w:t>:</w:t>
      </w:r>
    </w:p>
    <w:p w14:paraId="30816661" w14:textId="30C6FE84" w:rsidR="00694FC1" w:rsidRDefault="004D5C76" w:rsidP="002252F8">
      <w:pPr>
        <w:pStyle w:val="Instructionaltext-afterfiguretable"/>
        <w:numPr>
          <w:ilvl w:val="0"/>
          <w:numId w:val="16"/>
        </w:numPr>
        <w:spacing w:before="0" w:after="0"/>
        <w:rPr>
          <w:color w:val="000000" w:themeColor="text1"/>
        </w:rPr>
      </w:pPr>
      <w:r>
        <w:rPr>
          <w:color w:val="000000" w:themeColor="text1"/>
        </w:rPr>
        <w:t>m</w:t>
      </w:r>
      <w:r w:rsidR="00694FC1">
        <w:rPr>
          <w:color w:val="000000" w:themeColor="text1"/>
        </w:rPr>
        <w:t>ultiple Re-188 treatments</w:t>
      </w:r>
    </w:p>
    <w:p w14:paraId="6E7E9F78" w14:textId="5B3FD6B0" w:rsidR="005035CB" w:rsidRDefault="004D5C76" w:rsidP="002252F8">
      <w:pPr>
        <w:pStyle w:val="Instructionaltext-afterfiguretable"/>
        <w:numPr>
          <w:ilvl w:val="0"/>
          <w:numId w:val="16"/>
        </w:numPr>
        <w:spacing w:before="0" w:after="0"/>
        <w:rPr>
          <w:color w:val="000000" w:themeColor="text1"/>
        </w:rPr>
      </w:pPr>
      <w:r>
        <w:rPr>
          <w:color w:val="000000" w:themeColor="text1"/>
        </w:rPr>
        <w:t>i</w:t>
      </w:r>
      <w:r w:rsidR="00C22F15">
        <w:rPr>
          <w:color w:val="000000" w:themeColor="text1"/>
        </w:rPr>
        <w:t>nclusion of orthovol</w:t>
      </w:r>
      <w:r w:rsidR="00D166C2">
        <w:rPr>
          <w:color w:val="000000" w:themeColor="text1"/>
        </w:rPr>
        <w:t>tage as one of the</w:t>
      </w:r>
      <w:r w:rsidR="005035CB">
        <w:rPr>
          <w:color w:val="000000" w:themeColor="text1"/>
        </w:rPr>
        <w:t xml:space="preserve"> EBRT modalities</w:t>
      </w:r>
    </w:p>
    <w:p w14:paraId="45D2095F" w14:textId="276EE2B2" w:rsidR="005035CB" w:rsidRDefault="004D5C76" w:rsidP="002252F8">
      <w:pPr>
        <w:pStyle w:val="Instructionaltext-afterfiguretable"/>
        <w:numPr>
          <w:ilvl w:val="0"/>
          <w:numId w:val="16"/>
        </w:numPr>
        <w:spacing w:before="0" w:after="0"/>
        <w:rPr>
          <w:color w:val="000000" w:themeColor="text1"/>
        </w:rPr>
      </w:pPr>
      <w:r>
        <w:rPr>
          <w:color w:val="000000" w:themeColor="text1"/>
        </w:rPr>
        <w:t>a</w:t>
      </w:r>
      <w:r w:rsidR="00E66D0E">
        <w:rPr>
          <w:color w:val="000000" w:themeColor="text1"/>
        </w:rPr>
        <w:t>mendment of t</w:t>
      </w:r>
      <w:r w:rsidR="005035CB">
        <w:rPr>
          <w:color w:val="000000" w:themeColor="text1"/>
        </w:rPr>
        <w:t xml:space="preserve">he </w:t>
      </w:r>
      <w:r w:rsidR="00D74245">
        <w:rPr>
          <w:color w:val="000000" w:themeColor="text1"/>
        </w:rPr>
        <w:t xml:space="preserve">ADAR </w:t>
      </w:r>
      <w:r w:rsidR="00541A70">
        <w:rPr>
          <w:color w:val="000000" w:themeColor="text1"/>
        </w:rPr>
        <w:t>3D megavoltage</w:t>
      </w:r>
      <w:r w:rsidR="00D74245">
        <w:rPr>
          <w:color w:val="000000" w:themeColor="text1"/>
        </w:rPr>
        <w:t xml:space="preserve"> costs to 2D electron beam costs</w:t>
      </w:r>
    </w:p>
    <w:p w14:paraId="4ECBA6D7" w14:textId="25E012DC" w:rsidR="00920358" w:rsidRPr="00F910CE" w:rsidRDefault="004D5C76" w:rsidP="002252F8">
      <w:pPr>
        <w:pStyle w:val="Instructionaltext-afterfiguretable"/>
        <w:numPr>
          <w:ilvl w:val="0"/>
          <w:numId w:val="16"/>
        </w:numPr>
        <w:spacing w:before="0" w:after="0"/>
        <w:rPr>
          <w:rFonts w:eastAsiaTheme="minorEastAsia"/>
        </w:rPr>
      </w:pPr>
      <w:r>
        <w:rPr>
          <w:color w:val="000000" w:themeColor="text1"/>
        </w:rPr>
        <w:lastRenderedPageBreak/>
        <w:t>a</w:t>
      </w:r>
      <w:r w:rsidR="008E4DF9">
        <w:rPr>
          <w:color w:val="000000" w:themeColor="text1"/>
        </w:rPr>
        <w:t>djustment</w:t>
      </w:r>
      <w:r w:rsidR="00C22F15">
        <w:rPr>
          <w:color w:val="000000" w:themeColor="text1"/>
        </w:rPr>
        <w:t xml:space="preserve"> of the</w:t>
      </w:r>
      <w:r w:rsidR="00D166C2">
        <w:rPr>
          <w:color w:val="000000" w:themeColor="text1"/>
        </w:rPr>
        <w:t xml:space="preserve"> EBRT fractionation number</w:t>
      </w:r>
      <w:r>
        <w:rPr>
          <w:color w:val="000000" w:themeColor="text1"/>
        </w:rPr>
        <w:t>.</w:t>
      </w:r>
      <w:r w:rsidR="00C22F15">
        <w:rPr>
          <w:color w:val="000000" w:themeColor="text1"/>
        </w:rPr>
        <w:t xml:space="preserve"> </w:t>
      </w:r>
    </w:p>
    <w:p w14:paraId="1F96CB8F" w14:textId="2EFAE5A7" w:rsidR="00267248" w:rsidRDefault="00267248" w:rsidP="00B6439B">
      <w:r>
        <w:t>The results</w:t>
      </w:r>
      <w:r w:rsidR="0075431F">
        <w:t xml:space="preserve"> of the sensitivity analyses indicate Re-188 is more costly then EBRT when </w:t>
      </w:r>
      <w:r w:rsidR="00904E85">
        <w:t xml:space="preserve">orthovoltage is included, when the electron beam costs are changed from 3D to 2D and when the </w:t>
      </w:r>
      <w:r w:rsidR="00C863B7">
        <w:t xml:space="preserve">number of fractions is reduced. </w:t>
      </w:r>
      <w:r w:rsidR="0075431F">
        <w:t xml:space="preserve"> </w:t>
      </w:r>
    </w:p>
    <w:p w14:paraId="1F3475AF" w14:textId="0955DB4A" w:rsidR="00267248" w:rsidRDefault="00C863B7" w:rsidP="001A0F9B">
      <w:pPr>
        <w:spacing w:before="0"/>
      </w:pPr>
      <w:r>
        <w:t xml:space="preserve">The </w:t>
      </w:r>
      <w:r w:rsidR="00443476">
        <w:t xml:space="preserve">applicant’s </w:t>
      </w:r>
      <w:r>
        <w:t>pre</w:t>
      </w:r>
      <w:r w:rsidR="00AF7104">
        <w:t>-</w:t>
      </w:r>
      <w:r w:rsidR="00434AA9">
        <w:t xml:space="preserve">MSAC </w:t>
      </w:r>
      <w:r>
        <w:t xml:space="preserve">response </w:t>
      </w:r>
      <w:r w:rsidR="00353EC0">
        <w:t xml:space="preserve">refuted the inclusion of orthovoltage </w:t>
      </w:r>
      <w:r w:rsidR="00443476">
        <w:t>stating the</w:t>
      </w:r>
      <w:r w:rsidR="00ED13D5">
        <w:t xml:space="preserve"> EBRT modalities used in the economic analysis was</w:t>
      </w:r>
      <w:r w:rsidR="00443476">
        <w:t xml:space="preserve"> based on the</w:t>
      </w:r>
      <w:r w:rsidR="008E3F70">
        <w:t xml:space="preserve"> advice of </w:t>
      </w:r>
      <w:r w:rsidR="00443476">
        <w:t>clinical expert</w:t>
      </w:r>
      <w:r w:rsidR="008E3F70">
        <w:t>’s experienced in</w:t>
      </w:r>
      <w:r w:rsidR="00C12021">
        <w:t xml:space="preserve"> </w:t>
      </w:r>
      <w:r w:rsidR="008E3F70">
        <w:t xml:space="preserve">treating the </w:t>
      </w:r>
      <w:r w:rsidR="00C12021" w:rsidRPr="00C12021">
        <w:t>of complex keratinocyte cancers</w:t>
      </w:r>
      <w:r w:rsidR="00C12021">
        <w:t>.  As such the applicant did not accept</w:t>
      </w:r>
      <w:r w:rsidR="00E774FE">
        <w:t xml:space="preserve"> that </w:t>
      </w:r>
      <w:r w:rsidR="00E774FE" w:rsidRPr="00E774FE">
        <w:t xml:space="preserve">orthovoltage represents a contemporary standard of care commonly used for treatment of BCC or SCC in contemporary Australian clinical practice </w:t>
      </w:r>
      <w:r w:rsidR="00E774FE">
        <w:t xml:space="preserve">and did not accept the validity that of the sensitivity analysis presented by the commentary </w:t>
      </w:r>
      <w:r w:rsidR="004E699C">
        <w:t>where the EBRT modality split was changed to</w:t>
      </w:r>
      <w:r w:rsidR="005A5C8A">
        <w:t xml:space="preserve"> include</w:t>
      </w:r>
      <w:r w:rsidR="004E699C">
        <w:t xml:space="preserve"> 90% orthovoltage</w:t>
      </w:r>
      <w:r w:rsidR="005A5C8A">
        <w:t>.</w:t>
      </w:r>
      <w:r w:rsidR="00F0168B">
        <w:t xml:space="preserve"> </w:t>
      </w:r>
      <w:r w:rsidR="00287919">
        <w:t>Similarly</w:t>
      </w:r>
      <w:r w:rsidR="00AC28DC">
        <w:t>,</w:t>
      </w:r>
      <w:r w:rsidR="00287919">
        <w:t xml:space="preserve"> the fractionation ranged used in the ADAR was informed by</w:t>
      </w:r>
      <w:r w:rsidR="00C26C39" w:rsidRPr="00C26C39">
        <w:t xml:space="preserve"> targeted local clinical consultation</w:t>
      </w:r>
      <w:r w:rsidR="00C26C39">
        <w:t xml:space="preserve">. </w:t>
      </w:r>
      <w:r w:rsidR="00F0168B">
        <w:t xml:space="preserve">However, the applicant accepted that there is some uncertainty regarding the </w:t>
      </w:r>
      <w:r w:rsidR="003B4BF0" w:rsidRPr="003B4BF0">
        <w:t>appropriate weighting for the respective EBRT modalities</w:t>
      </w:r>
      <w:r w:rsidR="003B4BF0">
        <w:t xml:space="preserve"> and the </w:t>
      </w:r>
      <w:r w:rsidR="009F3E4E">
        <w:t>fractionation ranged used</w:t>
      </w:r>
      <w:r w:rsidR="00D967CF">
        <w:t xml:space="preserve"> to treat the target population in Australian practice</w:t>
      </w:r>
      <w:r w:rsidR="00A315CC">
        <w:t>. The applicant expressed willingness to</w:t>
      </w:r>
      <w:r w:rsidR="00AC28DC" w:rsidRPr="00AC28DC">
        <w:t xml:space="preserve"> undertake further research to inform these assumptions more robustly</w:t>
      </w:r>
      <w:r w:rsidR="00AC28DC">
        <w:t>.</w:t>
      </w:r>
    </w:p>
    <w:p w14:paraId="285D70B6" w14:textId="1B707C0E" w:rsidR="007B5D80" w:rsidRDefault="007B5D80" w:rsidP="003848F1">
      <w:pPr>
        <w:pStyle w:val="Caption"/>
        <w:spacing w:before="0"/>
        <w:ind w:left="851" w:hanging="851"/>
      </w:pPr>
      <w:bookmarkStart w:id="46" w:name="_Ref133827073"/>
      <w:r>
        <w:t xml:space="preserve">Table </w:t>
      </w:r>
      <w:r>
        <w:fldChar w:fldCharType="begin"/>
      </w:r>
      <w:r>
        <w:instrText>SEQ Table \* ARABIC</w:instrText>
      </w:r>
      <w:r>
        <w:fldChar w:fldCharType="separate"/>
      </w:r>
      <w:r w:rsidR="009228FB">
        <w:rPr>
          <w:noProof/>
        </w:rPr>
        <w:t>14</w:t>
      </w:r>
      <w:r>
        <w:fldChar w:fldCharType="end"/>
      </w:r>
      <w:bookmarkEnd w:id="46"/>
      <w:r>
        <w:t xml:space="preserve"> </w:t>
      </w:r>
      <w:r w:rsidR="001F4D63">
        <w:t xml:space="preserve"> </w:t>
      </w:r>
      <w:r w:rsidR="00920358">
        <w:t>Additional sensitivity</w:t>
      </w:r>
      <w:r w:rsidR="00920358" w:rsidRPr="00A5752B">
        <w:t xml:space="preserve"> </w:t>
      </w:r>
      <w:r w:rsidRPr="00A5752B">
        <w:t>analys</w:t>
      </w:r>
      <w:r w:rsidR="00920358">
        <w:t>e</w:t>
      </w:r>
      <w:r w:rsidRPr="00A5752B">
        <w:t>s</w:t>
      </w:r>
      <w:r w:rsidR="00920358">
        <w:t xml:space="preserve"> </w:t>
      </w:r>
      <w:r w:rsidR="007801A9">
        <w:t>for the economic analysis</w:t>
      </w:r>
      <w:r w:rsidR="00920358">
        <w:t xml:space="preserve"> </w:t>
      </w:r>
    </w:p>
    <w:tbl>
      <w:tblPr>
        <w:tblStyle w:val="TableGrid"/>
        <w:tblW w:w="9071" w:type="dxa"/>
        <w:tblLayout w:type="fixed"/>
        <w:tblLook w:val="00A0" w:firstRow="1" w:lastRow="0" w:firstColumn="1" w:lastColumn="0" w:noHBand="0" w:noVBand="0"/>
      </w:tblPr>
      <w:tblGrid>
        <w:gridCol w:w="2547"/>
        <w:gridCol w:w="2173"/>
        <w:gridCol w:w="2174"/>
        <w:gridCol w:w="2177"/>
      </w:tblGrid>
      <w:tr w:rsidR="000B0E34" w:rsidRPr="004D3878" w14:paraId="2FB83E53" w14:textId="77777777" w:rsidTr="00B6439B">
        <w:trPr>
          <w:trHeight w:val="178"/>
        </w:trPr>
        <w:tc>
          <w:tcPr>
            <w:tcW w:w="2547" w:type="dxa"/>
            <w:shd w:val="clear" w:color="auto" w:fill="auto"/>
            <w:vAlign w:val="center"/>
          </w:tcPr>
          <w:p w14:paraId="028A951D" w14:textId="4553E24D" w:rsidR="0092675E" w:rsidRPr="00FA06D2" w:rsidRDefault="002432AA">
            <w:pPr>
              <w:pStyle w:val="TableText"/>
              <w:rPr>
                <w:b/>
              </w:rPr>
            </w:pPr>
            <w:r w:rsidRPr="00FA06D2">
              <w:rPr>
                <w:b/>
              </w:rPr>
              <w:t>S</w:t>
            </w:r>
            <w:r>
              <w:rPr>
                <w:b/>
              </w:rPr>
              <w:t>ensitivity</w:t>
            </w:r>
            <w:r w:rsidRPr="00FA06D2">
              <w:rPr>
                <w:b/>
              </w:rPr>
              <w:t xml:space="preserve"> </w:t>
            </w:r>
            <w:r w:rsidR="0092675E" w:rsidRPr="00FA06D2">
              <w:rPr>
                <w:b/>
              </w:rPr>
              <w:t>analysis</w:t>
            </w:r>
          </w:p>
        </w:tc>
        <w:tc>
          <w:tcPr>
            <w:tcW w:w="2173" w:type="dxa"/>
            <w:shd w:val="clear" w:color="auto" w:fill="auto"/>
            <w:vAlign w:val="center"/>
          </w:tcPr>
          <w:p w14:paraId="19873555" w14:textId="146ED407" w:rsidR="0092675E" w:rsidRPr="00FA06D2" w:rsidRDefault="0025221F" w:rsidP="0025221F">
            <w:pPr>
              <w:pStyle w:val="TableText"/>
              <w:jc w:val="center"/>
              <w:rPr>
                <w:b/>
              </w:rPr>
            </w:pPr>
            <w:r w:rsidRPr="00FA06D2">
              <w:rPr>
                <w:b/>
              </w:rPr>
              <w:t xml:space="preserve">Total </w:t>
            </w:r>
            <w:r w:rsidRPr="00FA06D2">
              <w:rPr>
                <w:b/>
                <w:bCs/>
              </w:rPr>
              <w:t>average</w:t>
            </w:r>
            <w:r w:rsidRPr="00FA06D2">
              <w:rPr>
                <w:b/>
              </w:rPr>
              <w:t xml:space="preserve"> treatment cost (Re-188)</w:t>
            </w:r>
          </w:p>
        </w:tc>
        <w:tc>
          <w:tcPr>
            <w:tcW w:w="2174" w:type="dxa"/>
            <w:shd w:val="clear" w:color="auto" w:fill="auto"/>
            <w:vAlign w:val="center"/>
          </w:tcPr>
          <w:p w14:paraId="7315AF68" w14:textId="0EBDABBA" w:rsidR="0025221F" w:rsidRPr="00FA06D2" w:rsidRDefault="0025221F">
            <w:pPr>
              <w:pStyle w:val="TableText"/>
              <w:jc w:val="center"/>
              <w:rPr>
                <w:b/>
              </w:rPr>
            </w:pPr>
            <w:r w:rsidRPr="00FA06D2">
              <w:rPr>
                <w:b/>
              </w:rPr>
              <w:t xml:space="preserve">Total average treatment cost (EBRT – </w:t>
            </w:r>
            <w:r w:rsidR="00541A70">
              <w:rPr>
                <w:b/>
              </w:rPr>
              <w:t xml:space="preserve">3D megavoltage </w:t>
            </w:r>
            <w:r>
              <w:rPr>
                <w:b/>
              </w:rPr>
              <w:t xml:space="preserve">&amp; </w:t>
            </w:r>
            <w:r w:rsidRPr="00FA06D2">
              <w:rPr>
                <w:b/>
              </w:rPr>
              <w:t>IMRT</w:t>
            </w:r>
            <w:r>
              <w:rPr>
                <w:b/>
              </w:rPr>
              <w:t>/VMAT</w:t>
            </w:r>
            <w:r w:rsidRPr="00FA06D2">
              <w:rPr>
                <w:b/>
              </w:rPr>
              <w:t>)</w:t>
            </w:r>
          </w:p>
        </w:tc>
        <w:tc>
          <w:tcPr>
            <w:tcW w:w="2174" w:type="dxa"/>
            <w:shd w:val="clear" w:color="auto" w:fill="auto"/>
            <w:vAlign w:val="center"/>
          </w:tcPr>
          <w:p w14:paraId="21F71C19" w14:textId="77777777" w:rsidR="0092675E" w:rsidRPr="00FA06D2" w:rsidRDefault="0092675E">
            <w:pPr>
              <w:pStyle w:val="TableText"/>
              <w:jc w:val="center"/>
              <w:rPr>
                <w:b/>
              </w:rPr>
            </w:pPr>
            <w:r w:rsidRPr="00FA06D2">
              <w:rPr>
                <w:b/>
              </w:rPr>
              <w:t>Difference</w:t>
            </w:r>
          </w:p>
        </w:tc>
      </w:tr>
      <w:tr w:rsidR="0019574E" w:rsidRPr="004D3878" w14:paraId="7FA3F131" w14:textId="77777777" w:rsidTr="00B6439B">
        <w:trPr>
          <w:trHeight w:val="178"/>
        </w:trPr>
        <w:tc>
          <w:tcPr>
            <w:tcW w:w="2547" w:type="dxa"/>
            <w:vAlign w:val="center"/>
          </w:tcPr>
          <w:p w14:paraId="62DD8168" w14:textId="4C359BDD" w:rsidR="0092675E" w:rsidRPr="00F62E3E" w:rsidRDefault="0092675E">
            <w:pPr>
              <w:pStyle w:val="TableText"/>
              <w:rPr>
                <w:b/>
                <w:bCs/>
              </w:rPr>
            </w:pPr>
            <w:r w:rsidRPr="00F62E3E">
              <w:rPr>
                <w:b/>
                <w:bCs/>
              </w:rPr>
              <w:t>Base Case</w:t>
            </w:r>
          </w:p>
        </w:tc>
        <w:tc>
          <w:tcPr>
            <w:tcW w:w="2173" w:type="dxa"/>
            <w:vAlign w:val="center"/>
          </w:tcPr>
          <w:p w14:paraId="66BA6F89" w14:textId="1262925B" w:rsidR="0092675E" w:rsidRPr="00F62E3E" w:rsidRDefault="0092675E">
            <w:pPr>
              <w:pStyle w:val="TableText"/>
              <w:jc w:val="center"/>
              <w:rPr>
                <w:b/>
                <w:bCs/>
              </w:rPr>
            </w:pPr>
            <w:r w:rsidRPr="00F62E3E">
              <w:rPr>
                <w:b/>
                <w:bCs/>
              </w:rPr>
              <w:t>$5,438</w:t>
            </w:r>
          </w:p>
        </w:tc>
        <w:tc>
          <w:tcPr>
            <w:tcW w:w="2174" w:type="dxa"/>
            <w:vAlign w:val="center"/>
          </w:tcPr>
          <w:p w14:paraId="1955C52C" w14:textId="0A233BF0" w:rsidR="0092675E" w:rsidRPr="00F62E3E" w:rsidRDefault="0092675E">
            <w:pPr>
              <w:pStyle w:val="TableText"/>
              <w:jc w:val="center"/>
              <w:rPr>
                <w:b/>
                <w:bCs/>
              </w:rPr>
            </w:pPr>
            <w:r w:rsidRPr="00F62E3E">
              <w:rPr>
                <w:b/>
                <w:bCs/>
              </w:rPr>
              <w:t>$7,086</w:t>
            </w:r>
          </w:p>
        </w:tc>
        <w:tc>
          <w:tcPr>
            <w:tcW w:w="2174" w:type="dxa"/>
            <w:vAlign w:val="center"/>
          </w:tcPr>
          <w:p w14:paraId="0A79D9C4" w14:textId="7A010D60" w:rsidR="0092675E" w:rsidRPr="00F62E3E" w:rsidRDefault="0092675E">
            <w:pPr>
              <w:pStyle w:val="TableText"/>
              <w:jc w:val="center"/>
              <w:rPr>
                <w:b/>
                <w:bCs/>
              </w:rPr>
            </w:pPr>
            <w:r w:rsidRPr="00F62E3E">
              <w:rPr>
                <w:b/>
                <w:bCs/>
              </w:rPr>
              <w:t>-$1,648</w:t>
            </w:r>
          </w:p>
        </w:tc>
      </w:tr>
      <w:tr w:rsidR="005437D5" w:rsidRPr="004D3878" w14:paraId="46F8ABD5" w14:textId="77777777" w:rsidTr="00B6439B">
        <w:trPr>
          <w:trHeight w:val="263"/>
        </w:trPr>
        <w:tc>
          <w:tcPr>
            <w:tcW w:w="9071" w:type="dxa"/>
            <w:gridSpan w:val="4"/>
            <w:vAlign w:val="center"/>
          </w:tcPr>
          <w:p w14:paraId="3566E1FE" w14:textId="08E02348" w:rsidR="005437D5" w:rsidRPr="003848F1" w:rsidRDefault="00A77A61" w:rsidP="00F62E3E">
            <w:pPr>
              <w:pStyle w:val="TableText"/>
            </w:pPr>
            <w:r>
              <w:t xml:space="preserve">Commentary </w:t>
            </w:r>
            <w:r w:rsidR="00CE2D6E">
              <w:t>SA</w:t>
            </w:r>
            <w:r w:rsidR="00873590">
              <w:t xml:space="preserve"> - </w:t>
            </w:r>
            <w:r w:rsidR="00CE2D6E">
              <w:t>multiple Re-188 treatments</w:t>
            </w:r>
            <w:r w:rsidR="00D85E15">
              <w:t xml:space="preserve"> (base case 100% 1 Re-188 treatment)</w:t>
            </w:r>
          </w:p>
        </w:tc>
      </w:tr>
      <w:tr w:rsidR="0019574E" w:rsidRPr="004D3878" w14:paraId="7A88BA68" w14:textId="77777777" w:rsidTr="00B6439B">
        <w:trPr>
          <w:trHeight w:val="263"/>
        </w:trPr>
        <w:tc>
          <w:tcPr>
            <w:tcW w:w="2547" w:type="dxa"/>
            <w:vAlign w:val="center"/>
          </w:tcPr>
          <w:p w14:paraId="4F68DF75" w14:textId="396EDCCC" w:rsidR="0092675E" w:rsidRPr="00F775CD" w:rsidRDefault="0092675E">
            <w:pPr>
              <w:pStyle w:val="TableText"/>
            </w:pPr>
            <w:r>
              <w:t xml:space="preserve">85% one treatment of Re-188, </w:t>
            </w:r>
            <w:r w:rsidR="000D3FAA">
              <w:t>1</w:t>
            </w:r>
            <w:r>
              <w:t>5% two treatments of Re-188</w:t>
            </w:r>
          </w:p>
        </w:tc>
        <w:tc>
          <w:tcPr>
            <w:tcW w:w="2173" w:type="dxa"/>
            <w:vAlign w:val="center"/>
          </w:tcPr>
          <w:p w14:paraId="055172AF" w14:textId="010CD7AB" w:rsidR="0092675E" w:rsidRPr="003848F1" w:rsidRDefault="00FD1939" w:rsidP="003848F1">
            <w:pPr>
              <w:pStyle w:val="TableText"/>
              <w:jc w:val="center"/>
            </w:pPr>
            <w:r w:rsidRPr="003848F1">
              <w:t>$6,254</w:t>
            </w:r>
          </w:p>
        </w:tc>
        <w:tc>
          <w:tcPr>
            <w:tcW w:w="2174" w:type="dxa"/>
            <w:vAlign w:val="center"/>
          </w:tcPr>
          <w:p w14:paraId="20A95B9F" w14:textId="308B1849" w:rsidR="0092675E" w:rsidRPr="003848F1" w:rsidRDefault="0092675E" w:rsidP="003848F1">
            <w:pPr>
              <w:pStyle w:val="TableText"/>
              <w:jc w:val="center"/>
            </w:pPr>
            <w:r w:rsidRPr="003848F1">
              <w:t>$7,086</w:t>
            </w:r>
          </w:p>
        </w:tc>
        <w:tc>
          <w:tcPr>
            <w:tcW w:w="2174" w:type="dxa"/>
            <w:vAlign w:val="center"/>
          </w:tcPr>
          <w:p w14:paraId="1C2CB782" w14:textId="60C2ABEB" w:rsidR="0092675E" w:rsidRPr="003848F1" w:rsidRDefault="00940D42" w:rsidP="003848F1">
            <w:pPr>
              <w:pStyle w:val="TableText"/>
              <w:jc w:val="center"/>
            </w:pPr>
            <w:r w:rsidRPr="003848F1">
              <w:t>-$832</w:t>
            </w:r>
          </w:p>
        </w:tc>
      </w:tr>
      <w:tr w:rsidR="00A911D5" w:rsidRPr="004D3878" w14:paraId="720DE44C" w14:textId="77777777" w:rsidTr="00B6439B">
        <w:trPr>
          <w:trHeight w:val="263"/>
        </w:trPr>
        <w:tc>
          <w:tcPr>
            <w:tcW w:w="9071" w:type="dxa"/>
            <w:gridSpan w:val="4"/>
            <w:vAlign w:val="center"/>
          </w:tcPr>
          <w:p w14:paraId="16AFD1BC" w14:textId="543EF5B5" w:rsidR="00A911D5" w:rsidRPr="003848F1" w:rsidRDefault="00873590" w:rsidP="00873590">
            <w:pPr>
              <w:pStyle w:val="TableText"/>
            </w:pPr>
            <w:r>
              <w:t>Commentary S</w:t>
            </w:r>
            <w:r w:rsidR="00D63347">
              <w:t>A</w:t>
            </w:r>
            <w:r>
              <w:t xml:space="preserve"> – including orthovoltage</w:t>
            </w:r>
            <w:r w:rsidR="00534816">
              <w:t xml:space="preserve"> as an</w:t>
            </w:r>
            <w:r w:rsidRPr="00873590">
              <w:t xml:space="preserve"> EBRT </w:t>
            </w:r>
            <w:r w:rsidR="00534816">
              <w:t>modality (base case</w:t>
            </w:r>
            <w:r w:rsidRPr="00873590">
              <w:t xml:space="preserve"> </w:t>
            </w:r>
            <w:r w:rsidR="00541A70">
              <w:t>3D megavoltage</w:t>
            </w:r>
            <w:r w:rsidRPr="00873590">
              <w:t xml:space="preserve"> 5</w:t>
            </w:r>
            <w:r w:rsidR="00534816">
              <w:t>0</w:t>
            </w:r>
            <w:r w:rsidRPr="00873590">
              <w:t>%, IMRT/VMAT 5</w:t>
            </w:r>
            <w:r w:rsidR="00534816">
              <w:t>0</w:t>
            </w:r>
            <w:r w:rsidRPr="00873590">
              <w:t>%)</w:t>
            </w:r>
          </w:p>
        </w:tc>
      </w:tr>
      <w:tr w:rsidR="00A911D5" w:rsidRPr="004D3878" w14:paraId="1DC55C05" w14:textId="77777777" w:rsidTr="00B6439B">
        <w:trPr>
          <w:trHeight w:val="263"/>
        </w:trPr>
        <w:tc>
          <w:tcPr>
            <w:tcW w:w="2547" w:type="dxa"/>
            <w:vAlign w:val="center"/>
          </w:tcPr>
          <w:p w14:paraId="588BC0BF" w14:textId="1ADB9283" w:rsidR="00A911D5" w:rsidRDefault="004A36B9">
            <w:pPr>
              <w:pStyle w:val="TableText"/>
            </w:pPr>
            <w:r w:rsidRPr="004A36B9">
              <w:t xml:space="preserve">EBRT </w:t>
            </w:r>
            <w:r>
              <w:t>modality</w:t>
            </w:r>
            <w:r w:rsidRPr="004A36B9">
              <w:t xml:space="preserve"> (orthovoltage 90%, </w:t>
            </w:r>
            <w:r w:rsidR="00541A70">
              <w:t>3D megavoltage</w:t>
            </w:r>
            <w:r w:rsidRPr="004A36B9">
              <w:t xml:space="preserve"> 5%, IMRT/VMAT 5%)</w:t>
            </w:r>
          </w:p>
        </w:tc>
        <w:tc>
          <w:tcPr>
            <w:tcW w:w="2173" w:type="dxa"/>
            <w:vAlign w:val="center"/>
          </w:tcPr>
          <w:p w14:paraId="046E4BD0" w14:textId="2E61A3E6" w:rsidR="00A911D5" w:rsidRPr="003848F1" w:rsidRDefault="004A36B9" w:rsidP="003848F1">
            <w:pPr>
              <w:pStyle w:val="TableText"/>
              <w:jc w:val="center"/>
            </w:pPr>
            <w:r w:rsidRPr="004A36B9">
              <w:t>$5,438</w:t>
            </w:r>
          </w:p>
        </w:tc>
        <w:tc>
          <w:tcPr>
            <w:tcW w:w="2174" w:type="dxa"/>
            <w:vAlign w:val="center"/>
          </w:tcPr>
          <w:p w14:paraId="165F17AC" w14:textId="235AC174" w:rsidR="00A911D5" w:rsidRPr="003848F1" w:rsidRDefault="004A36B9" w:rsidP="003848F1">
            <w:pPr>
              <w:pStyle w:val="TableText"/>
              <w:jc w:val="center"/>
            </w:pPr>
            <w:r w:rsidRPr="004A36B9">
              <w:t>$1,697</w:t>
            </w:r>
          </w:p>
        </w:tc>
        <w:tc>
          <w:tcPr>
            <w:tcW w:w="2174" w:type="dxa"/>
            <w:vAlign w:val="center"/>
          </w:tcPr>
          <w:p w14:paraId="591BE24C" w14:textId="13BCABEF" w:rsidR="00A911D5" w:rsidRPr="003848F1" w:rsidRDefault="004A36B9" w:rsidP="003848F1">
            <w:pPr>
              <w:pStyle w:val="TableText"/>
              <w:jc w:val="center"/>
            </w:pPr>
            <w:r w:rsidRPr="004A36B9">
              <w:t>$3,742</w:t>
            </w:r>
          </w:p>
        </w:tc>
      </w:tr>
      <w:tr w:rsidR="004A36B9" w:rsidRPr="004D3878" w14:paraId="61F708D4" w14:textId="77777777" w:rsidTr="00B6439B">
        <w:trPr>
          <w:trHeight w:val="263"/>
        </w:trPr>
        <w:tc>
          <w:tcPr>
            <w:tcW w:w="9071" w:type="dxa"/>
            <w:gridSpan w:val="4"/>
            <w:vAlign w:val="center"/>
          </w:tcPr>
          <w:p w14:paraId="4B0D8D6A" w14:textId="6ED50155" w:rsidR="004A36B9" w:rsidRPr="003848F1" w:rsidRDefault="00D63347" w:rsidP="004E602C">
            <w:pPr>
              <w:pStyle w:val="TableText"/>
            </w:pPr>
            <w:r>
              <w:t xml:space="preserve">ESC requested SA – amend </w:t>
            </w:r>
            <w:r w:rsidR="00DA755A">
              <w:t xml:space="preserve">electron beam (LINAC) costing (base case </w:t>
            </w:r>
            <w:r w:rsidR="00541A70">
              <w:t>3D megavoltage</w:t>
            </w:r>
            <w:r w:rsidR="00AE3F0C">
              <w:t xml:space="preserve"> </w:t>
            </w:r>
            <w:r w:rsidR="004E602C">
              <w:t>costed using 3D megavoltage MBS items)</w:t>
            </w:r>
          </w:p>
        </w:tc>
      </w:tr>
      <w:tr w:rsidR="00A911D5" w:rsidRPr="004D3878" w14:paraId="75D07C1B" w14:textId="77777777" w:rsidTr="00B6439B">
        <w:trPr>
          <w:trHeight w:val="263"/>
        </w:trPr>
        <w:tc>
          <w:tcPr>
            <w:tcW w:w="2547" w:type="dxa"/>
            <w:vAlign w:val="center"/>
          </w:tcPr>
          <w:p w14:paraId="4E846826" w14:textId="2A23A223" w:rsidR="00A911D5" w:rsidRDefault="009F5754">
            <w:pPr>
              <w:pStyle w:val="TableText"/>
            </w:pPr>
            <w:r w:rsidRPr="009F5754">
              <w:t>Amended electron beam cost</w:t>
            </w:r>
            <w:r>
              <w:t xml:space="preserve"> to use 2D electron beam MBS items</w:t>
            </w:r>
            <w:r w:rsidRPr="009F5754">
              <w:t xml:space="preserve">, retain ADAR ERBT modality </w:t>
            </w:r>
            <w:r>
              <w:t>(</w:t>
            </w:r>
            <w:r w:rsidR="00541A70">
              <w:t>3D megavoltage</w:t>
            </w:r>
            <w:r>
              <w:t xml:space="preserve"> 50%</w:t>
            </w:r>
            <w:r w:rsidR="004E2934">
              <w:t xml:space="preserve"> </w:t>
            </w:r>
            <w:r>
              <w:t>/</w:t>
            </w:r>
            <w:r w:rsidR="001741C1">
              <w:t>IMRT/VMAT 50%)</w:t>
            </w:r>
          </w:p>
        </w:tc>
        <w:tc>
          <w:tcPr>
            <w:tcW w:w="2173" w:type="dxa"/>
            <w:vAlign w:val="center"/>
          </w:tcPr>
          <w:p w14:paraId="489C55F7" w14:textId="49F37579" w:rsidR="00A911D5" w:rsidRPr="003848F1" w:rsidRDefault="001741C1" w:rsidP="003848F1">
            <w:pPr>
              <w:pStyle w:val="TableText"/>
              <w:jc w:val="center"/>
            </w:pPr>
            <w:r w:rsidRPr="001741C1">
              <w:t>$5,438</w:t>
            </w:r>
          </w:p>
        </w:tc>
        <w:tc>
          <w:tcPr>
            <w:tcW w:w="2174" w:type="dxa"/>
            <w:vAlign w:val="center"/>
          </w:tcPr>
          <w:p w14:paraId="309ACE9B" w14:textId="42E05AB3" w:rsidR="00A911D5" w:rsidRPr="003848F1" w:rsidRDefault="001741C1" w:rsidP="003848F1">
            <w:pPr>
              <w:pStyle w:val="TableText"/>
              <w:jc w:val="center"/>
            </w:pPr>
            <w:r w:rsidRPr="001741C1">
              <w:t>$5,854</w:t>
            </w:r>
          </w:p>
        </w:tc>
        <w:tc>
          <w:tcPr>
            <w:tcW w:w="2174" w:type="dxa"/>
            <w:vAlign w:val="center"/>
          </w:tcPr>
          <w:p w14:paraId="3DF4DD09" w14:textId="690DF46D" w:rsidR="00A911D5" w:rsidRPr="003848F1" w:rsidRDefault="001741C1" w:rsidP="003848F1">
            <w:pPr>
              <w:pStyle w:val="TableText"/>
              <w:jc w:val="center"/>
            </w:pPr>
            <w:r w:rsidRPr="001741C1">
              <w:t>-$415</w:t>
            </w:r>
          </w:p>
        </w:tc>
      </w:tr>
      <w:tr w:rsidR="001741C1" w:rsidRPr="004D3878" w14:paraId="3AEEE845" w14:textId="77777777" w:rsidTr="00B6439B">
        <w:trPr>
          <w:trHeight w:val="263"/>
        </w:trPr>
        <w:tc>
          <w:tcPr>
            <w:tcW w:w="9071" w:type="dxa"/>
            <w:gridSpan w:val="4"/>
            <w:vAlign w:val="center"/>
          </w:tcPr>
          <w:p w14:paraId="6EC5F257" w14:textId="68B51AB0" w:rsidR="001741C1" w:rsidRPr="003848F1" w:rsidRDefault="00952B02" w:rsidP="00952B02">
            <w:pPr>
              <w:pStyle w:val="TableText"/>
            </w:pPr>
            <w:r>
              <w:t>ESC requested multi-variate SA</w:t>
            </w:r>
          </w:p>
        </w:tc>
      </w:tr>
      <w:tr w:rsidR="00BF2DB3" w:rsidRPr="004D3878" w14:paraId="47DA0D35" w14:textId="77777777" w:rsidTr="00B6439B">
        <w:trPr>
          <w:trHeight w:val="263"/>
        </w:trPr>
        <w:tc>
          <w:tcPr>
            <w:tcW w:w="9071" w:type="dxa"/>
            <w:gridSpan w:val="4"/>
            <w:vAlign w:val="center"/>
          </w:tcPr>
          <w:p w14:paraId="132D31BE" w14:textId="052D52B8" w:rsidR="00BF2DB3" w:rsidRPr="003848F1" w:rsidRDefault="00BF2DB3" w:rsidP="00393730">
            <w:pPr>
              <w:pStyle w:val="TableText"/>
            </w:pPr>
            <w:r>
              <w:t xml:space="preserve">Amend electron beam cost </w:t>
            </w:r>
            <w:r w:rsidR="00620E81">
              <w:t xml:space="preserve">(2D electron beam MBS items) </w:t>
            </w:r>
            <w:r>
              <w:t xml:space="preserve">and EBRT modality split </w:t>
            </w:r>
          </w:p>
        </w:tc>
      </w:tr>
      <w:tr w:rsidR="00052536" w:rsidRPr="004D3878" w14:paraId="10D9E815" w14:textId="77777777" w:rsidTr="00B6439B">
        <w:trPr>
          <w:trHeight w:val="263"/>
        </w:trPr>
        <w:tc>
          <w:tcPr>
            <w:tcW w:w="2547" w:type="dxa"/>
            <w:vAlign w:val="center"/>
          </w:tcPr>
          <w:p w14:paraId="7956582F" w14:textId="6D9E8FFE" w:rsidR="00052536" w:rsidRDefault="00052536" w:rsidP="00052536">
            <w:pPr>
              <w:pStyle w:val="TableText"/>
            </w:pPr>
            <w:r>
              <w:rPr>
                <w:rFonts w:cs="Calibri"/>
                <w:color w:val="000000"/>
                <w:szCs w:val="20"/>
              </w:rPr>
              <w:t>EBRT split (orthovoltage 45%, electron beam 45%, IMRT/VMAT 10%)</w:t>
            </w:r>
          </w:p>
        </w:tc>
        <w:tc>
          <w:tcPr>
            <w:tcW w:w="2173" w:type="dxa"/>
            <w:vAlign w:val="center"/>
          </w:tcPr>
          <w:p w14:paraId="0081F352" w14:textId="28432D8F" w:rsidR="00052536" w:rsidRPr="003848F1" w:rsidRDefault="00052536" w:rsidP="00052536">
            <w:pPr>
              <w:pStyle w:val="TableText"/>
              <w:jc w:val="center"/>
            </w:pPr>
            <w:r>
              <w:rPr>
                <w:rFonts w:cs="Calibri"/>
                <w:color w:val="000000"/>
                <w:szCs w:val="20"/>
              </w:rPr>
              <w:t>$5,438</w:t>
            </w:r>
          </w:p>
        </w:tc>
        <w:tc>
          <w:tcPr>
            <w:tcW w:w="2174" w:type="dxa"/>
            <w:vAlign w:val="center"/>
          </w:tcPr>
          <w:p w14:paraId="1460482A" w14:textId="34377CC0" w:rsidR="00052536" w:rsidRPr="003848F1" w:rsidRDefault="00052536" w:rsidP="00052536">
            <w:pPr>
              <w:pStyle w:val="TableText"/>
              <w:jc w:val="center"/>
            </w:pPr>
            <w:r>
              <w:rPr>
                <w:rFonts w:cs="Calibri"/>
                <w:color w:val="000000"/>
                <w:szCs w:val="20"/>
              </w:rPr>
              <w:t>$2,325</w:t>
            </w:r>
          </w:p>
        </w:tc>
        <w:tc>
          <w:tcPr>
            <w:tcW w:w="2174" w:type="dxa"/>
            <w:vAlign w:val="center"/>
          </w:tcPr>
          <w:p w14:paraId="4CBD2FA7" w14:textId="4FB99542" w:rsidR="00052536" w:rsidRPr="003848F1" w:rsidRDefault="00052536" w:rsidP="00052536">
            <w:pPr>
              <w:pStyle w:val="TableText"/>
              <w:jc w:val="center"/>
            </w:pPr>
            <w:r>
              <w:rPr>
                <w:rFonts w:cs="Calibri"/>
                <w:szCs w:val="20"/>
              </w:rPr>
              <w:t>$3,114</w:t>
            </w:r>
          </w:p>
        </w:tc>
      </w:tr>
      <w:tr w:rsidR="00052536" w:rsidRPr="004D3878" w14:paraId="41154702" w14:textId="77777777" w:rsidTr="00B6439B">
        <w:trPr>
          <w:trHeight w:val="263"/>
        </w:trPr>
        <w:tc>
          <w:tcPr>
            <w:tcW w:w="2547" w:type="dxa"/>
            <w:vAlign w:val="center"/>
          </w:tcPr>
          <w:p w14:paraId="6CB77845" w14:textId="7706ED98" w:rsidR="00052536" w:rsidRDefault="00052536" w:rsidP="00052536">
            <w:pPr>
              <w:pStyle w:val="TableText"/>
            </w:pPr>
            <w:r>
              <w:rPr>
                <w:rFonts w:cs="Calibri"/>
                <w:color w:val="000000"/>
                <w:szCs w:val="20"/>
              </w:rPr>
              <w:t>EBRT split (orthovoltage 30%, electron beam 60%, IMRT/VMAT 10%)</w:t>
            </w:r>
          </w:p>
        </w:tc>
        <w:tc>
          <w:tcPr>
            <w:tcW w:w="2173" w:type="dxa"/>
            <w:vAlign w:val="center"/>
          </w:tcPr>
          <w:p w14:paraId="558DE60D" w14:textId="1CFC7E04" w:rsidR="00052536" w:rsidRPr="003848F1" w:rsidRDefault="00052536" w:rsidP="00052536">
            <w:pPr>
              <w:pStyle w:val="TableText"/>
              <w:jc w:val="center"/>
            </w:pPr>
            <w:r>
              <w:rPr>
                <w:rFonts w:cs="Calibri"/>
                <w:color w:val="000000"/>
                <w:szCs w:val="20"/>
              </w:rPr>
              <w:t>$5,438</w:t>
            </w:r>
          </w:p>
        </w:tc>
        <w:tc>
          <w:tcPr>
            <w:tcW w:w="2174" w:type="dxa"/>
            <w:vAlign w:val="center"/>
          </w:tcPr>
          <w:p w14:paraId="3FBF6BA5" w14:textId="1D7B3121" w:rsidR="00052536" w:rsidRPr="003848F1" w:rsidRDefault="00052536" w:rsidP="00052536">
            <w:pPr>
              <w:pStyle w:val="TableText"/>
              <w:jc w:val="center"/>
            </w:pPr>
            <w:r>
              <w:rPr>
                <w:rFonts w:cs="Calibri"/>
                <w:color w:val="000000"/>
                <w:szCs w:val="20"/>
              </w:rPr>
              <w:t>$2,443</w:t>
            </w:r>
          </w:p>
        </w:tc>
        <w:tc>
          <w:tcPr>
            <w:tcW w:w="2174" w:type="dxa"/>
            <w:vAlign w:val="center"/>
          </w:tcPr>
          <w:p w14:paraId="2D917A80" w14:textId="1A187204" w:rsidR="00052536" w:rsidRPr="003848F1" w:rsidRDefault="00052536" w:rsidP="00052536">
            <w:pPr>
              <w:pStyle w:val="TableText"/>
              <w:jc w:val="center"/>
            </w:pPr>
            <w:r>
              <w:rPr>
                <w:rFonts w:cs="Calibri"/>
                <w:color w:val="000000"/>
                <w:szCs w:val="20"/>
              </w:rPr>
              <w:t>$2,996</w:t>
            </w:r>
          </w:p>
        </w:tc>
      </w:tr>
      <w:tr w:rsidR="00052536" w:rsidRPr="004D3878" w14:paraId="7A43F585" w14:textId="77777777" w:rsidTr="00B6439B">
        <w:trPr>
          <w:trHeight w:val="263"/>
        </w:trPr>
        <w:tc>
          <w:tcPr>
            <w:tcW w:w="2547" w:type="dxa"/>
            <w:vAlign w:val="center"/>
          </w:tcPr>
          <w:p w14:paraId="538B0DB0" w14:textId="5FD5D6D4" w:rsidR="00052536" w:rsidRDefault="00052536" w:rsidP="00052536">
            <w:pPr>
              <w:pStyle w:val="TableText"/>
            </w:pPr>
            <w:r>
              <w:rPr>
                <w:rFonts w:cs="Calibri"/>
                <w:color w:val="000000"/>
                <w:szCs w:val="20"/>
              </w:rPr>
              <w:t>EBRT split (orthovoltage 20%, electron beam 70%, IMRT/VMAT 10%)</w:t>
            </w:r>
          </w:p>
        </w:tc>
        <w:tc>
          <w:tcPr>
            <w:tcW w:w="2173" w:type="dxa"/>
            <w:vAlign w:val="center"/>
          </w:tcPr>
          <w:p w14:paraId="1898EE5C" w14:textId="03AACBF8" w:rsidR="00052536" w:rsidRPr="003848F1" w:rsidRDefault="00052536" w:rsidP="00052536">
            <w:pPr>
              <w:pStyle w:val="TableText"/>
              <w:jc w:val="center"/>
            </w:pPr>
            <w:r>
              <w:rPr>
                <w:rFonts w:cs="Calibri"/>
                <w:color w:val="000000"/>
                <w:szCs w:val="20"/>
              </w:rPr>
              <w:t>$5,438</w:t>
            </w:r>
          </w:p>
        </w:tc>
        <w:tc>
          <w:tcPr>
            <w:tcW w:w="2174" w:type="dxa"/>
            <w:vAlign w:val="center"/>
          </w:tcPr>
          <w:p w14:paraId="3DFCF598" w14:textId="4A5F8EB5" w:rsidR="00052536" w:rsidRPr="003848F1" w:rsidRDefault="00052536" w:rsidP="00052536">
            <w:pPr>
              <w:pStyle w:val="TableText"/>
              <w:jc w:val="center"/>
            </w:pPr>
            <w:r>
              <w:rPr>
                <w:rFonts w:cs="Calibri"/>
                <w:color w:val="000000"/>
                <w:szCs w:val="20"/>
              </w:rPr>
              <w:t>$2,521</w:t>
            </w:r>
          </w:p>
        </w:tc>
        <w:tc>
          <w:tcPr>
            <w:tcW w:w="2174" w:type="dxa"/>
            <w:vAlign w:val="center"/>
          </w:tcPr>
          <w:p w14:paraId="2C66AE93" w14:textId="4EF296A3" w:rsidR="00052536" w:rsidRPr="003848F1" w:rsidRDefault="00052536" w:rsidP="00052536">
            <w:pPr>
              <w:pStyle w:val="TableText"/>
              <w:jc w:val="center"/>
            </w:pPr>
            <w:r>
              <w:rPr>
                <w:rFonts w:cs="Calibri"/>
                <w:color w:val="000000"/>
                <w:szCs w:val="20"/>
              </w:rPr>
              <w:t>$2,917</w:t>
            </w:r>
          </w:p>
        </w:tc>
      </w:tr>
      <w:tr w:rsidR="00DF02A2" w:rsidRPr="004D3878" w14:paraId="78B8D757" w14:textId="77777777" w:rsidTr="00B6439B">
        <w:trPr>
          <w:trHeight w:val="263"/>
        </w:trPr>
        <w:tc>
          <w:tcPr>
            <w:tcW w:w="9071" w:type="dxa"/>
            <w:gridSpan w:val="4"/>
            <w:vAlign w:val="center"/>
          </w:tcPr>
          <w:p w14:paraId="2E792623" w14:textId="222DF81D" w:rsidR="00DF02A2" w:rsidRDefault="00DF02A2" w:rsidP="00DF02A2">
            <w:pPr>
              <w:pStyle w:val="TableText"/>
              <w:rPr>
                <w:rFonts w:cs="Calibri"/>
                <w:color w:val="000000"/>
                <w:szCs w:val="20"/>
              </w:rPr>
            </w:pPr>
            <w:r>
              <w:rPr>
                <w:rFonts w:cs="Calibri"/>
                <w:color w:val="000000"/>
                <w:szCs w:val="20"/>
              </w:rPr>
              <w:t>Amend electron beam cost</w:t>
            </w:r>
            <w:r w:rsidR="007B115B">
              <w:rPr>
                <w:rFonts w:cs="Calibri"/>
                <w:color w:val="000000"/>
                <w:szCs w:val="20"/>
              </w:rPr>
              <w:t xml:space="preserve"> (2D electron beam MBS items)</w:t>
            </w:r>
            <w:r>
              <w:rPr>
                <w:rFonts w:cs="Calibri"/>
                <w:color w:val="000000"/>
                <w:szCs w:val="20"/>
              </w:rPr>
              <w:t>, EBRT modality split</w:t>
            </w:r>
            <w:r w:rsidR="007B115B">
              <w:rPr>
                <w:rFonts w:cs="Calibri"/>
                <w:color w:val="000000"/>
                <w:szCs w:val="20"/>
              </w:rPr>
              <w:t xml:space="preserve"> (</w:t>
            </w:r>
            <w:r w:rsidR="00620E81" w:rsidRPr="00620E81">
              <w:rPr>
                <w:rFonts w:cs="Calibri"/>
                <w:color w:val="000000"/>
                <w:szCs w:val="20"/>
              </w:rPr>
              <w:t xml:space="preserve">orthovoltage </w:t>
            </w:r>
            <w:r w:rsidR="00347B69">
              <w:rPr>
                <w:rFonts w:cs="Calibri"/>
                <w:color w:val="000000"/>
                <w:szCs w:val="20"/>
              </w:rPr>
              <w:t>2</w:t>
            </w:r>
            <w:r w:rsidR="00620E81" w:rsidRPr="00620E81">
              <w:rPr>
                <w:rFonts w:cs="Calibri"/>
                <w:color w:val="000000"/>
                <w:szCs w:val="20"/>
              </w:rPr>
              <w:t xml:space="preserve">0%, electron beam </w:t>
            </w:r>
            <w:r w:rsidR="00347B69">
              <w:rPr>
                <w:rFonts w:cs="Calibri"/>
                <w:color w:val="000000"/>
                <w:szCs w:val="20"/>
              </w:rPr>
              <w:t>7</w:t>
            </w:r>
            <w:r w:rsidR="00620E81" w:rsidRPr="00620E81">
              <w:rPr>
                <w:rFonts w:cs="Calibri"/>
                <w:color w:val="000000"/>
                <w:szCs w:val="20"/>
              </w:rPr>
              <w:t>0%, IMRT/VMAT 10%)</w:t>
            </w:r>
            <w:r w:rsidR="00620E81">
              <w:rPr>
                <w:rFonts w:cs="Calibri"/>
                <w:color w:val="000000"/>
                <w:szCs w:val="20"/>
              </w:rPr>
              <w:t xml:space="preserve"> </w:t>
            </w:r>
            <w:r w:rsidR="007B115B">
              <w:rPr>
                <w:rFonts w:cs="Calibri"/>
                <w:color w:val="000000"/>
                <w:szCs w:val="20"/>
              </w:rPr>
              <w:t>and number of fractions</w:t>
            </w:r>
            <w:r w:rsidR="00620E81">
              <w:rPr>
                <w:rFonts w:cs="Calibri"/>
                <w:color w:val="000000"/>
                <w:szCs w:val="20"/>
              </w:rPr>
              <w:t xml:space="preserve"> </w:t>
            </w:r>
            <w:r w:rsidR="007B115B">
              <w:rPr>
                <w:rFonts w:cs="Calibri"/>
                <w:color w:val="000000"/>
                <w:szCs w:val="20"/>
              </w:rPr>
              <w:t xml:space="preserve"> </w:t>
            </w:r>
          </w:p>
        </w:tc>
      </w:tr>
      <w:tr w:rsidR="007666FE" w:rsidRPr="004D3878" w14:paraId="4676463D" w14:textId="77777777" w:rsidTr="00B6439B">
        <w:trPr>
          <w:trHeight w:val="263"/>
        </w:trPr>
        <w:tc>
          <w:tcPr>
            <w:tcW w:w="2547" w:type="dxa"/>
          </w:tcPr>
          <w:p w14:paraId="4698B067" w14:textId="2E9290FE" w:rsidR="007666FE" w:rsidRDefault="007666FE" w:rsidP="007666FE">
            <w:pPr>
              <w:pStyle w:val="TableText"/>
              <w:rPr>
                <w:rFonts w:cs="Calibri"/>
                <w:color w:val="000000"/>
                <w:szCs w:val="20"/>
              </w:rPr>
            </w:pPr>
            <w:r w:rsidRPr="0036102B">
              <w:lastRenderedPageBreak/>
              <w:t>6: 5 fractions</w:t>
            </w:r>
          </w:p>
        </w:tc>
        <w:tc>
          <w:tcPr>
            <w:tcW w:w="2173" w:type="dxa"/>
          </w:tcPr>
          <w:p w14:paraId="6AB437E8" w14:textId="47D1279B" w:rsidR="007666FE" w:rsidRDefault="007666FE" w:rsidP="007666FE">
            <w:pPr>
              <w:pStyle w:val="TableText"/>
              <w:jc w:val="center"/>
              <w:rPr>
                <w:rFonts w:cs="Calibri"/>
                <w:color w:val="000000"/>
                <w:szCs w:val="20"/>
              </w:rPr>
            </w:pPr>
            <w:r w:rsidRPr="0036102B">
              <w:t>$5,438</w:t>
            </w:r>
          </w:p>
        </w:tc>
        <w:tc>
          <w:tcPr>
            <w:tcW w:w="2174" w:type="dxa"/>
          </w:tcPr>
          <w:p w14:paraId="1ED1ACFB" w14:textId="3DE93C27" w:rsidR="007666FE" w:rsidRDefault="007666FE" w:rsidP="007666FE">
            <w:pPr>
              <w:pStyle w:val="TableText"/>
              <w:jc w:val="center"/>
              <w:rPr>
                <w:rFonts w:cs="Calibri"/>
                <w:color w:val="000000"/>
                <w:szCs w:val="20"/>
              </w:rPr>
            </w:pPr>
            <w:r w:rsidRPr="0036102B">
              <w:t>$1,376</w:t>
            </w:r>
          </w:p>
        </w:tc>
        <w:tc>
          <w:tcPr>
            <w:tcW w:w="2174" w:type="dxa"/>
          </w:tcPr>
          <w:p w14:paraId="6CE5C9A9" w14:textId="37B56BA7" w:rsidR="007666FE" w:rsidRDefault="007666FE" w:rsidP="007666FE">
            <w:pPr>
              <w:pStyle w:val="TableText"/>
              <w:jc w:val="center"/>
              <w:rPr>
                <w:rFonts w:cs="Calibri"/>
                <w:color w:val="000000"/>
                <w:szCs w:val="20"/>
              </w:rPr>
            </w:pPr>
            <w:r w:rsidRPr="0036102B">
              <w:t>$4,063</w:t>
            </w:r>
          </w:p>
        </w:tc>
      </w:tr>
      <w:tr w:rsidR="007666FE" w:rsidRPr="004D3878" w14:paraId="0C376A61" w14:textId="77777777" w:rsidTr="00B6439B">
        <w:trPr>
          <w:trHeight w:val="263"/>
        </w:trPr>
        <w:tc>
          <w:tcPr>
            <w:tcW w:w="2547" w:type="dxa"/>
          </w:tcPr>
          <w:p w14:paraId="565DFD4F" w14:textId="45EFA415" w:rsidR="007666FE" w:rsidRDefault="007666FE" w:rsidP="007666FE">
            <w:pPr>
              <w:pStyle w:val="TableText"/>
              <w:rPr>
                <w:rFonts w:cs="Calibri"/>
                <w:color w:val="000000"/>
                <w:szCs w:val="20"/>
              </w:rPr>
            </w:pPr>
            <w:r w:rsidRPr="0036102B">
              <w:t>7: 10 fractions</w:t>
            </w:r>
          </w:p>
        </w:tc>
        <w:tc>
          <w:tcPr>
            <w:tcW w:w="2173" w:type="dxa"/>
          </w:tcPr>
          <w:p w14:paraId="6ECB9F28" w14:textId="15769F3C" w:rsidR="007666FE" w:rsidRDefault="007666FE" w:rsidP="007666FE">
            <w:pPr>
              <w:pStyle w:val="TableText"/>
              <w:jc w:val="center"/>
              <w:rPr>
                <w:rFonts w:cs="Calibri"/>
                <w:color w:val="000000"/>
                <w:szCs w:val="20"/>
              </w:rPr>
            </w:pPr>
            <w:r w:rsidRPr="0036102B">
              <w:t>$5,438</w:t>
            </w:r>
          </w:p>
        </w:tc>
        <w:tc>
          <w:tcPr>
            <w:tcW w:w="2174" w:type="dxa"/>
          </w:tcPr>
          <w:p w14:paraId="14A5AB1C" w14:textId="02C77FF7" w:rsidR="007666FE" w:rsidRDefault="007666FE" w:rsidP="007666FE">
            <w:pPr>
              <w:pStyle w:val="TableText"/>
              <w:jc w:val="center"/>
              <w:rPr>
                <w:rFonts w:cs="Calibri"/>
                <w:color w:val="000000"/>
                <w:szCs w:val="20"/>
              </w:rPr>
            </w:pPr>
            <w:r w:rsidRPr="0036102B">
              <w:t>$1,784</w:t>
            </w:r>
          </w:p>
        </w:tc>
        <w:tc>
          <w:tcPr>
            <w:tcW w:w="2174" w:type="dxa"/>
          </w:tcPr>
          <w:p w14:paraId="32A2021A" w14:textId="3A84DEED" w:rsidR="007666FE" w:rsidRDefault="007666FE" w:rsidP="007666FE">
            <w:pPr>
              <w:pStyle w:val="TableText"/>
              <w:jc w:val="center"/>
              <w:rPr>
                <w:rFonts w:cs="Calibri"/>
                <w:color w:val="000000"/>
                <w:szCs w:val="20"/>
              </w:rPr>
            </w:pPr>
            <w:r w:rsidRPr="0036102B">
              <w:t>$3,654</w:t>
            </w:r>
          </w:p>
        </w:tc>
      </w:tr>
      <w:tr w:rsidR="007666FE" w:rsidRPr="004D3878" w14:paraId="2341D2A9" w14:textId="77777777" w:rsidTr="00B6439B">
        <w:trPr>
          <w:trHeight w:val="263"/>
        </w:trPr>
        <w:tc>
          <w:tcPr>
            <w:tcW w:w="2547" w:type="dxa"/>
          </w:tcPr>
          <w:p w14:paraId="1AE8D735" w14:textId="16690CC9" w:rsidR="007666FE" w:rsidRDefault="007666FE" w:rsidP="007666FE">
            <w:pPr>
              <w:pStyle w:val="TableText"/>
              <w:rPr>
                <w:rFonts w:cs="Calibri"/>
                <w:color w:val="000000"/>
                <w:szCs w:val="20"/>
              </w:rPr>
            </w:pPr>
            <w:r w:rsidRPr="0036102B">
              <w:t>8: 15 fractions</w:t>
            </w:r>
          </w:p>
        </w:tc>
        <w:tc>
          <w:tcPr>
            <w:tcW w:w="2173" w:type="dxa"/>
          </w:tcPr>
          <w:p w14:paraId="7194D1A3" w14:textId="571C279A" w:rsidR="007666FE" w:rsidRDefault="007666FE" w:rsidP="007666FE">
            <w:pPr>
              <w:pStyle w:val="TableText"/>
              <w:jc w:val="center"/>
              <w:rPr>
                <w:rFonts w:cs="Calibri"/>
                <w:color w:val="000000"/>
                <w:szCs w:val="20"/>
              </w:rPr>
            </w:pPr>
            <w:r w:rsidRPr="0036102B">
              <w:t>$5,438</w:t>
            </w:r>
          </w:p>
        </w:tc>
        <w:tc>
          <w:tcPr>
            <w:tcW w:w="2174" w:type="dxa"/>
          </w:tcPr>
          <w:p w14:paraId="753B3BB2" w14:textId="6E281BB4" w:rsidR="007666FE" w:rsidRDefault="007666FE" w:rsidP="007666FE">
            <w:pPr>
              <w:pStyle w:val="TableText"/>
              <w:jc w:val="center"/>
              <w:rPr>
                <w:rFonts w:cs="Calibri"/>
                <w:color w:val="000000"/>
                <w:szCs w:val="20"/>
              </w:rPr>
            </w:pPr>
            <w:r w:rsidRPr="0036102B">
              <w:t>$2,192</w:t>
            </w:r>
          </w:p>
        </w:tc>
        <w:tc>
          <w:tcPr>
            <w:tcW w:w="2174" w:type="dxa"/>
          </w:tcPr>
          <w:p w14:paraId="7C6E01A3" w14:textId="13BBC3A7" w:rsidR="007666FE" w:rsidRDefault="007666FE" w:rsidP="007666FE">
            <w:pPr>
              <w:pStyle w:val="TableText"/>
              <w:jc w:val="center"/>
              <w:rPr>
                <w:rFonts w:cs="Calibri"/>
                <w:color w:val="000000"/>
                <w:szCs w:val="20"/>
              </w:rPr>
            </w:pPr>
            <w:r w:rsidRPr="0036102B">
              <w:t>$3,246</w:t>
            </w:r>
          </w:p>
        </w:tc>
      </w:tr>
      <w:tr w:rsidR="007666FE" w:rsidRPr="004D3878" w14:paraId="4C157504" w14:textId="77777777" w:rsidTr="00B6439B">
        <w:trPr>
          <w:trHeight w:val="263"/>
        </w:trPr>
        <w:tc>
          <w:tcPr>
            <w:tcW w:w="2547" w:type="dxa"/>
          </w:tcPr>
          <w:p w14:paraId="34368524" w14:textId="254D8981" w:rsidR="007666FE" w:rsidRDefault="007666FE" w:rsidP="007666FE">
            <w:pPr>
              <w:pStyle w:val="TableText"/>
              <w:rPr>
                <w:rFonts w:cs="Calibri"/>
                <w:color w:val="000000"/>
                <w:szCs w:val="20"/>
              </w:rPr>
            </w:pPr>
            <w:r w:rsidRPr="0036102B">
              <w:t>9: 20 fractions</w:t>
            </w:r>
          </w:p>
        </w:tc>
        <w:tc>
          <w:tcPr>
            <w:tcW w:w="2173" w:type="dxa"/>
          </w:tcPr>
          <w:p w14:paraId="2A9E9098" w14:textId="2AA0D74E" w:rsidR="007666FE" w:rsidRDefault="007666FE" w:rsidP="007666FE">
            <w:pPr>
              <w:pStyle w:val="TableText"/>
              <w:jc w:val="center"/>
              <w:rPr>
                <w:rFonts w:cs="Calibri"/>
                <w:color w:val="000000"/>
                <w:szCs w:val="20"/>
              </w:rPr>
            </w:pPr>
            <w:r w:rsidRPr="0036102B">
              <w:t>$5,438</w:t>
            </w:r>
          </w:p>
        </w:tc>
        <w:tc>
          <w:tcPr>
            <w:tcW w:w="2174" w:type="dxa"/>
          </w:tcPr>
          <w:p w14:paraId="201DDAE2" w14:textId="7770A313" w:rsidR="007666FE" w:rsidRDefault="007666FE" w:rsidP="007666FE">
            <w:pPr>
              <w:pStyle w:val="TableText"/>
              <w:jc w:val="center"/>
              <w:rPr>
                <w:rFonts w:cs="Calibri"/>
                <w:color w:val="000000"/>
                <w:szCs w:val="20"/>
              </w:rPr>
            </w:pPr>
            <w:r w:rsidRPr="0036102B">
              <w:t>$2,601</w:t>
            </w:r>
          </w:p>
        </w:tc>
        <w:tc>
          <w:tcPr>
            <w:tcW w:w="2174" w:type="dxa"/>
          </w:tcPr>
          <w:p w14:paraId="3462C467" w14:textId="372D04A4" w:rsidR="007666FE" w:rsidRDefault="007666FE" w:rsidP="007666FE">
            <w:pPr>
              <w:pStyle w:val="TableText"/>
              <w:jc w:val="center"/>
              <w:rPr>
                <w:rFonts w:cs="Calibri"/>
                <w:color w:val="000000"/>
                <w:szCs w:val="20"/>
              </w:rPr>
            </w:pPr>
            <w:r w:rsidRPr="0036102B">
              <w:t>$2,838</w:t>
            </w:r>
          </w:p>
        </w:tc>
      </w:tr>
      <w:tr w:rsidR="007666FE" w:rsidRPr="004D3878" w14:paraId="2EF491C3" w14:textId="77777777" w:rsidTr="00B6439B">
        <w:trPr>
          <w:trHeight w:val="263"/>
        </w:trPr>
        <w:tc>
          <w:tcPr>
            <w:tcW w:w="2547" w:type="dxa"/>
          </w:tcPr>
          <w:p w14:paraId="4C6F0D4A" w14:textId="5517E16B" w:rsidR="007666FE" w:rsidRDefault="007666FE" w:rsidP="007666FE">
            <w:pPr>
              <w:pStyle w:val="TableText"/>
              <w:rPr>
                <w:rFonts w:cs="Calibri"/>
                <w:color w:val="000000"/>
                <w:szCs w:val="20"/>
              </w:rPr>
            </w:pPr>
            <w:r w:rsidRPr="0036102B">
              <w:t>10: 25 fractions</w:t>
            </w:r>
          </w:p>
        </w:tc>
        <w:tc>
          <w:tcPr>
            <w:tcW w:w="2173" w:type="dxa"/>
          </w:tcPr>
          <w:p w14:paraId="5B5DA2E7" w14:textId="102F978C" w:rsidR="007666FE" w:rsidRDefault="007666FE" w:rsidP="007666FE">
            <w:pPr>
              <w:pStyle w:val="TableText"/>
              <w:jc w:val="center"/>
              <w:rPr>
                <w:rFonts w:cs="Calibri"/>
                <w:color w:val="000000"/>
                <w:szCs w:val="20"/>
              </w:rPr>
            </w:pPr>
            <w:r w:rsidRPr="0036102B">
              <w:t>$5,438</w:t>
            </w:r>
          </w:p>
        </w:tc>
        <w:tc>
          <w:tcPr>
            <w:tcW w:w="2174" w:type="dxa"/>
          </w:tcPr>
          <w:p w14:paraId="323F5BA6" w14:textId="0CD588E4" w:rsidR="007666FE" w:rsidRDefault="007666FE" w:rsidP="007666FE">
            <w:pPr>
              <w:pStyle w:val="TableText"/>
              <w:jc w:val="center"/>
              <w:rPr>
                <w:rFonts w:cs="Calibri"/>
                <w:color w:val="000000"/>
                <w:szCs w:val="20"/>
              </w:rPr>
            </w:pPr>
            <w:r w:rsidRPr="0036102B">
              <w:t>$3,009</w:t>
            </w:r>
          </w:p>
        </w:tc>
        <w:tc>
          <w:tcPr>
            <w:tcW w:w="2174" w:type="dxa"/>
          </w:tcPr>
          <w:p w14:paraId="43ABC014" w14:textId="76F13AB0" w:rsidR="007666FE" w:rsidRDefault="007666FE" w:rsidP="007666FE">
            <w:pPr>
              <w:pStyle w:val="TableText"/>
              <w:jc w:val="center"/>
              <w:rPr>
                <w:rFonts w:cs="Calibri"/>
                <w:color w:val="000000"/>
                <w:szCs w:val="20"/>
              </w:rPr>
            </w:pPr>
            <w:r w:rsidRPr="0036102B">
              <w:t>$2,429</w:t>
            </w:r>
          </w:p>
        </w:tc>
      </w:tr>
      <w:tr w:rsidR="007666FE" w:rsidRPr="004D3878" w14:paraId="02D1784C" w14:textId="77777777" w:rsidTr="00B6439B">
        <w:trPr>
          <w:trHeight w:val="263"/>
        </w:trPr>
        <w:tc>
          <w:tcPr>
            <w:tcW w:w="2547" w:type="dxa"/>
          </w:tcPr>
          <w:p w14:paraId="18B85410" w14:textId="1F65640E" w:rsidR="007666FE" w:rsidRDefault="007666FE" w:rsidP="007666FE">
            <w:pPr>
              <w:pStyle w:val="TableText"/>
              <w:rPr>
                <w:rFonts w:cs="Calibri"/>
                <w:color w:val="000000"/>
                <w:szCs w:val="20"/>
              </w:rPr>
            </w:pPr>
            <w:r w:rsidRPr="0036102B">
              <w:t>11: 30 fractions</w:t>
            </w:r>
          </w:p>
        </w:tc>
        <w:tc>
          <w:tcPr>
            <w:tcW w:w="2173" w:type="dxa"/>
          </w:tcPr>
          <w:p w14:paraId="727DACF2" w14:textId="0FBC3924" w:rsidR="007666FE" w:rsidRDefault="007666FE" w:rsidP="007666FE">
            <w:pPr>
              <w:pStyle w:val="TableText"/>
              <w:jc w:val="center"/>
              <w:rPr>
                <w:rFonts w:cs="Calibri"/>
                <w:color w:val="000000"/>
                <w:szCs w:val="20"/>
              </w:rPr>
            </w:pPr>
            <w:r w:rsidRPr="0036102B">
              <w:t>$5,438</w:t>
            </w:r>
          </w:p>
        </w:tc>
        <w:tc>
          <w:tcPr>
            <w:tcW w:w="2174" w:type="dxa"/>
          </w:tcPr>
          <w:p w14:paraId="5A60B686" w14:textId="42E8DB91" w:rsidR="007666FE" w:rsidRDefault="007666FE" w:rsidP="007666FE">
            <w:pPr>
              <w:pStyle w:val="TableText"/>
              <w:jc w:val="center"/>
              <w:rPr>
                <w:rFonts w:cs="Calibri"/>
                <w:color w:val="000000"/>
                <w:szCs w:val="20"/>
              </w:rPr>
            </w:pPr>
            <w:r w:rsidRPr="0036102B">
              <w:t>$3,417</w:t>
            </w:r>
          </w:p>
        </w:tc>
        <w:tc>
          <w:tcPr>
            <w:tcW w:w="2174" w:type="dxa"/>
          </w:tcPr>
          <w:p w14:paraId="4B472133" w14:textId="7A3C1A12" w:rsidR="007666FE" w:rsidRDefault="007666FE" w:rsidP="007666FE">
            <w:pPr>
              <w:pStyle w:val="TableText"/>
              <w:jc w:val="center"/>
              <w:rPr>
                <w:rFonts w:cs="Calibri"/>
                <w:color w:val="000000"/>
                <w:szCs w:val="20"/>
              </w:rPr>
            </w:pPr>
            <w:r w:rsidRPr="0036102B">
              <w:t>$2,021</w:t>
            </w:r>
          </w:p>
        </w:tc>
      </w:tr>
    </w:tbl>
    <w:p w14:paraId="4DA59BFC" w14:textId="435006DA" w:rsidR="0015108E" w:rsidRDefault="00F97BE5" w:rsidP="0015108E">
      <w:pPr>
        <w:pStyle w:val="Tablenotes"/>
      </w:pPr>
      <w:r>
        <w:t xml:space="preserve">Source: </w:t>
      </w:r>
      <w:r w:rsidR="001B17D8">
        <w:t xml:space="preserve">Constructed from </w:t>
      </w:r>
      <w:r w:rsidR="00515CE3">
        <w:t xml:space="preserve">Commentary Table 8, pg 147 of MSAC 1657 ADAR+in-line </w:t>
      </w:r>
      <w:r w:rsidR="00A201A9">
        <w:t>c</w:t>
      </w:r>
      <w:r w:rsidR="00515CE3">
        <w:t>ommentary</w:t>
      </w:r>
      <w:r w:rsidR="001B17D8">
        <w:t xml:space="preserve"> and </w:t>
      </w:r>
      <w:r w:rsidR="007E09B8">
        <w:t xml:space="preserve">additional analyses by </w:t>
      </w:r>
      <w:r w:rsidR="0003681F">
        <w:t>the Department as requested by ESC</w:t>
      </w:r>
    </w:p>
    <w:p w14:paraId="06F4279C" w14:textId="1EF6C7C8" w:rsidR="00511CFB" w:rsidRPr="00CE28E3" w:rsidRDefault="005E2253" w:rsidP="00511CFB">
      <w:pPr>
        <w:pStyle w:val="Tablenotes"/>
        <w:keepNext/>
        <w:keepLines/>
      </w:pPr>
      <w:bookmarkStart w:id="47" w:name="_Hlk138152992"/>
      <w:r>
        <w:t xml:space="preserve">Abbreviations: </w:t>
      </w:r>
      <w:r w:rsidR="00511CFB">
        <w:t>EBRT</w:t>
      </w:r>
      <w:r w:rsidR="00967D06">
        <w:t xml:space="preserve"> </w:t>
      </w:r>
      <w:r w:rsidR="00511CFB">
        <w:t xml:space="preserve">= External Beam Radiation Therapy; </w:t>
      </w:r>
      <w:r w:rsidR="00511CFB" w:rsidRPr="00F42D9F">
        <w:t>IMRT</w:t>
      </w:r>
      <w:r w:rsidR="00967D06">
        <w:t xml:space="preserve"> </w:t>
      </w:r>
      <w:r w:rsidR="00511CFB" w:rsidRPr="00F42D9F">
        <w:t xml:space="preserve">= </w:t>
      </w:r>
      <w:r w:rsidR="00511CFB" w:rsidRPr="00F27C36">
        <w:t>Intensity-</w:t>
      </w:r>
      <w:r w:rsidR="00511CFB">
        <w:t>M</w:t>
      </w:r>
      <w:r w:rsidR="00511CFB" w:rsidRPr="00F27C36">
        <w:t xml:space="preserve">odulated </w:t>
      </w:r>
      <w:r w:rsidR="00511CFB">
        <w:t>R</w:t>
      </w:r>
      <w:r w:rsidR="00511CFB" w:rsidRPr="00F27C36">
        <w:t xml:space="preserve">adiation </w:t>
      </w:r>
      <w:r w:rsidR="00511CFB">
        <w:t>T</w:t>
      </w:r>
      <w:r w:rsidR="00511CFB" w:rsidRPr="00F27C36">
        <w:t>herapy</w:t>
      </w:r>
      <w:r w:rsidR="00511CFB">
        <w:t>;</w:t>
      </w:r>
      <w:r w:rsidR="00511CFB" w:rsidRPr="00762D17">
        <w:t xml:space="preserve"> </w:t>
      </w:r>
      <w:r w:rsidR="00086BA3">
        <w:t xml:space="preserve">MBS = </w:t>
      </w:r>
      <w:r w:rsidR="00EF6948">
        <w:t xml:space="preserve">Medicare Benefits Schedule; </w:t>
      </w:r>
      <w:r w:rsidR="00511CFB">
        <w:t>Re-188</w:t>
      </w:r>
      <w:r w:rsidR="007561A7">
        <w:t xml:space="preserve"> </w:t>
      </w:r>
      <w:r w:rsidR="00511CFB">
        <w:t>= Rhenium 188</w:t>
      </w:r>
      <w:r w:rsidR="00CF146C">
        <w:t xml:space="preserve">; </w:t>
      </w:r>
      <w:r w:rsidR="00986C33">
        <w:t xml:space="preserve">SA = sensitivity analysis; </w:t>
      </w:r>
      <w:r w:rsidR="00CF146C">
        <w:t xml:space="preserve">VMAT = </w:t>
      </w:r>
      <w:r w:rsidR="00515CE3">
        <w:t>V</w:t>
      </w:r>
      <w:r w:rsidR="00515CE3" w:rsidRPr="00515CE3">
        <w:t xml:space="preserve">olumetric </w:t>
      </w:r>
      <w:r w:rsidR="00694CBD">
        <w:t>M</w:t>
      </w:r>
      <w:r w:rsidR="00515CE3" w:rsidRPr="00515CE3">
        <w:t xml:space="preserve">odulated </w:t>
      </w:r>
      <w:r w:rsidR="00694CBD">
        <w:t>A</w:t>
      </w:r>
      <w:r w:rsidR="00515CE3" w:rsidRPr="00515CE3">
        <w:t xml:space="preserve">rc </w:t>
      </w:r>
      <w:r w:rsidR="00694CBD">
        <w:t>T</w:t>
      </w:r>
      <w:r w:rsidR="00515CE3" w:rsidRPr="00515CE3">
        <w:t>herapy</w:t>
      </w:r>
    </w:p>
    <w:bookmarkEnd w:id="47"/>
    <w:p w14:paraId="06F5ABEF" w14:textId="5D8A0083" w:rsidR="00760FC8" w:rsidRDefault="00760FC8" w:rsidP="00760FC8">
      <w:pPr>
        <w:pStyle w:val="Heading3"/>
      </w:pPr>
      <w:r>
        <w:t>Commentary sensitivity analysis to account for wastage</w:t>
      </w:r>
    </w:p>
    <w:p w14:paraId="6F2B6147" w14:textId="618D9241" w:rsidR="006B0487" w:rsidRDefault="006B0487" w:rsidP="006B0487">
      <w:pPr>
        <w:pStyle w:val="Tablenotes"/>
        <w:spacing w:before="240"/>
        <w:rPr>
          <w:rFonts w:ascii="Franklin Gothic Book" w:hAnsi="Franklin Gothic Book"/>
          <w:color w:val="000000" w:themeColor="text1"/>
          <w:sz w:val="22"/>
        </w:rPr>
      </w:pPr>
      <w:r>
        <w:rPr>
          <w:rFonts w:ascii="Franklin Gothic Book" w:eastAsiaTheme="minorHAnsi" w:hAnsi="Franklin Gothic Book" w:cstheme="minorBidi"/>
          <w:snapToGrid/>
          <w:color w:val="000000" w:themeColor="text1"/>
          <w:sz w:val="22"/>
          <w:szCs w:val="22"/>
        </w:rPr>
        <w:t xml:space="preserve">As previously noted, </w:t>
      </w:r>
      <w:r w:rsidRPr="00912896">
        <w:rPr>
          <w:rFonts w:ascii="Franklin Gothic Book" w:eastAsiaTheme="minorHAnsi" w:hAnsi="Franklin Gothic Book" w:cstheme="minorBidi"/>
          <w:snapToGrid/>
          <w:color w:val="000000" w:themeColor="text1"/>
          <w:sz w:val="22"/>
          <w:szCs w:val="22"/>
        </w:rPr>
        <w:t xml:space="preserve">one carpoule of Re-188 </w:t>
      </w:r>
      <w:r w:rsidR="00587582">
        <w:rPr>
          <w:rFonts w:ascii="Franklin Gothic Book" w:eastAsiaTheme="minorHAnsi" w:hAnsi="Franklin Gothic Book" w:cstheme="minorBidi"/>
          <w:snapToGrid/>
          <w:color w:val="000000" w:themeColor="text1"/>
          <w:sz w:val="22"/>
          <w:szCs w:val="22"/>
        </w:rPr>
        <w:t>costs</w:t>
      </w:r>
      <w:r w:rsidRPr="00912896">
        <w:rPr>
          <w:rFonts w:ascii="Franklin Gothic Book" w:eastAsiaTheme="minorHAnsi" w:hAnsi="Franklin Gothic Book" w:cstheme="minorBidi"/>
          <w:snapToGrid/>
          <w:color w:val="000000" w:themeColor="text1"/>
          <w:sz w:val="22"/>
          <w:szCs w:val="22"/>
        </w:rPr>
        <w:t xml:space="preserve"> $14,000 and can treat up to 18</w:t>
      </w:r>
      <w:r w:rsidR="00AF393D">
        <w:rPr>
          <w:rFonts w:ascii="Franklin Gothic Book" w:eastAsiaTheme="minorHAnsi" w:hAnsi="Franklin Gothic Book" w:cstheme="minorBidi"/>
          <w:snapToGrid/>
          <w:color w:val="000000" w:themeColor="text1"/>
          <w:sz w:val="22"/>
          <w:szCs w:val="22"/>
        </w:rPr>
        <w:t xml:space="preserve"> </w:t>
      </w:r>
      <w:r w:rsidRPr="00912896">
        <w:rPr>
          <w:rFonts w:ascii="Franklin Gothic Book" w:eastAsiaTheme="minorHAnsi" w:hAnsi="Franklin Gothic Book" w:cstheme="minorBidi"/>
          <w:snapToGrid/>
          <w:color w:val="000000" w:themeColor="text1"/>
          <w:sz w:val="22"/>
          <w:szCs w:val="22"/>
        </w:rPr>
        <w:t>cm</w:t>
      </w:r>
      <w:r w:rsidRPr="00912896">
        <w:rPr>
          <w:rFonts w:ascii="Franklin Gothic Book" w:eastAsiaTheme="minorHAnsi" w:hAnsi="Franklin Gothic Book" w:cstheme="minorBidi"/>
          <w:snapToGrid/>
          <w:color w:val="000000" w:themeColor="text1"/>
          <w:sz w:val="22"/>
          <w:szCs w:val="22"/>
          <w:vertAlign w:val="superscript"/>
        </w:rPr>
        <w:t>2</w:t>
      </w:r>
      <w:r w:rsidRPr="00912896">
        <w:rPr>
          <w:rFonts w:ascii="Franklin Gothic Book" w:eastAsiaTheme="minorHAnsi" w:hAnsi="Franklin Gothic Book" w:cstheme="minorBidi"/>
          <w:snapToGrid/>
          <w:color w:val="000000" w:themeColor="text1"/>
          <w:sz w:val="22"/>
          <w:szCs w:val="22"/>
        </w:rPr>
        <w:t xml:space="preserve">, which </w:t>
      </w:r>
      <w:r w:rsidR="00E23E1E">
        <w:rPr>
          <w:rFonts w:ascii="Franklin Gothic Book" w:eastAsiaTheme="minorHAnsi" w:hAnsi="Franklin Gothic Book" w:cstheme="minorBidi"/>
          <w:snapToGrid/>
          <w:color w:val="000000" w:themeColor="text1"/>
          <w:sz w:val="22"/>
          <w:szCs w:val="22"/>
        </w:rPr>
        <w:t xml:space="preserve">could </w:t>
      </w:r>
      <w:r w:rsidR="00471F5D">
        <w:rPr>
          <w:rFonts w:ascii="Franklin Gothic Book" w:eastAsiaTheme="minorHAnsi" w:hAnsi="Franklin Gothic Book" w:cstheme="minorBidi"/>
          <w:snapToGrid/>
          <w:color w:val="000000" w:themeColor="text1"/>
          <w:sz w:val="22"/>
          <w:szCs w:val="22"/>
        </w:rPr>
        <w:t xml:space="preserve">potentially </w:t>
      </w:r>
      <w:r w:rsidR="00E23E1E">
        <w:rPr>
          <w:rFonts w:ascii="Franklin Gothic Book" w:eastAsiaTheme="minorHAnsi" w:hAnsi="Franklin Gothic Book" w:cstheme="minorBidi"/>
          <w:snapToGrid/>
          <w:color w:val="000000" w:themeColor="text1"/>
          <w:sz w:val="22"/>
          <w:szCs w:val="22"/>
        </w:rPr>
        <w:t>treat</w:t>
      </w:r>
      <w:r w:rsidRPr="00912896">
        <w:rPr>
          <w:rFonts w:ascii="Franklin Gothic Book" w:eastAsiaTheme="minorHAnsi" w:hAnsi="Franklin Gothic Book" w:cstheme="minorBidi"/>
          <w:snapToGrid/>
          <w:color w:val="000000" w:themeColor="text1"/>
          <w:sz w:val="22"/>
          <w:szCs w:val="22"/>
        </w:rPr>
        <w:t xml:space="preserve"> </w:t>
      </w:r>
      <w:r w:rsidR="00CF27EF">
        <w:rPr>
          <w:rFonts w:ascii="Franklin Gothic Book" w:eastAsiaTheme="minorHAnsi" w:hAnsi="Franklin Gothic Book" w:cstheme="minorBidi"/>
          <w:snapToGrid/>
          <w:color w:val="000000" w:themeColor="text1"/>
          <w:sz w:val="22"/>
          <w:szCs w:val="22"/>
        </w:rPr>
        <w:t>2</w:t>
      </w:r>
      <w:r w:rsidRPr="00912896">
        <w:rPr>
          <w:rFonts w:ascii="Franklin Gothic Book" w:eastAsiaTheme="minorHAnsi" w:hAnsi="Franklin Gothic Book" w:cstheme="minorBidi"/>
          <w:snapToGrid/>
          <w:color w:val="000000" w:themeColor="text1"/>
          <w:sz w:val="22"/>
          <w:szCs w:val="22"/>
        </w:rPr>
        <w:t xml:space="preserve"> to </w:t>
      </w:r>
      <w:r w:rsidR="00CF27EF">
        <w:rPr>
          <w:rFonts w:ascii="Franklin Gothic Book" w:eastAsiaTheme="minorHAnsi" w:hAnsi="Franklin Gothic Book" w:cstheme="minorBidi"/>
          <w:snapToGrid/>
          <w:color w:val="000000" w:themeColor="text1"/>
          <w:sz w:val="22"/>
          <w:szCs w:val="22"/>
        </w:rPr>
        <w:t>4</w:t>
      </w:r>
      <w:r w:rsidRPr="00912896">
        <w:rPr>
          <w:rFonts w:ascii="Franklin Gothic Book" w:eastAsiaTheme="minorHAnsi" w:hAnsi="Franklin Gothic Book" w:cstheme="minorBidi"/>
          <w:snapToGrid/>
          <w:color w:val="000000" w:themeColor="text1"/>
          <w:sz w:val="22"/>
          <w:szCs w:val="22"/>
        </w:rPr>
        <w:t xml:space="preserve"> patients</w:t>
      </w:r>
      <w:r w:rsidR="00D738B5">
        <w:rPr>
          <w:rFonts w:ascii="Franklin Gothic Book" w:eastAsiaTheme="minorHAnsi" w:hAnsi="Franklin Gothic Book" w:cstheme="minorBidi"/>
          <w:snapToGrid/>
          <w:color w:val="000000" w:themeColor="text1"/>
          <w:sz w:val="22"/>
          <w:szCs w:val="22"/>
        </w:rPr>
        <w:t>,</w:t>
      </w:r>
      <w:r w:rsidRPr="00912896">
        <w:rPr>
          <w:rFonts w:ascii="Franklin Gothic Book" w:eastAsiaTheme="minorHAnsi" w:hAnsi="Franklin Gothic Book" w:cstheme="minorBidi"/>
          <w:snapToGrid/>
          <w:color w:val="000000" w:themeColor="text1"/>
          <w:sz w:val="22"/>
          <w:szCs w:val="22"/>
        </w:rPr>
        <w:t xml:space="preserve"> </w:t>
      </w:r>
      <w:r w:rsidR="000064A0">
        <w:rPr>
          <w:rFonts w:ascii="Franklin Gothic Book" w:eastAsiaTheme="minorHAnsi" w:hAnsi="Franklin Gothic Book" w:cstheme="minorBidi"/>
          <w:snapToGrid/>
          <w:color w:val="000000" w:themeColor="text1"/>
          <w:sz w:val="22"/>
          <w:szCs w:val="22"/>
        </w:rPr>
        <w:t>each</w:t>
      </w:r>
      <w:r w:rsidRPr="00912896">
        <w:rPr>
          <w:rFonts w:ascii="Franklin Gothic Book" w:eastAsiaTheme="minorHAnsi" w:hAnsi="Franklin Gothic Book" w:cstheme="minorBidi"/>
          <w:snapToGrid/>
          <w:color w:val="000000" w:themeColor="text1"/>
          <w:sz w:val="22"/>
          <w:szCs w:val="22"/>
        </w:rPr>
        <w:t xml:space="preserve"> with</w:t>
      </w:r>
      <w:r w:rsidR="00471F5D">
        <w:rPr>
          <w:rFonts w:ascii="Franklin Gothic Book" w:eastAsiaTheme="minorHAnsi" w:hAnsi="Franklin Gothic Book" w:cstheme="minorBidi"/>
          <w:snapToGrid/>
          <w:color w:val="000000" w:themeColor="text1"/>
          <w:sz w:val="22"/>
          <w:szCs w:val="22"/>
        </w:rPr>
        <w:t xml:space="preserve"> </w:t>
      </w:r>
      <w:r w:rsidR="00CF27EF">
        <w:rPr>
          <w:rFonts w:ascii="Franklin Gothic Book" w:eastAsiaTheme="minorHAnsi" w:hAnsi="Franklin Gothic Book" w:cstheme="minorBidi"/>
          <w:snapToGrid/>
          <w:color w:val="000000" w:themeColor="text1"/>
          <w:sz w:val="22"/>
          <w:szCs w:val="22"/>
        </w:rPr>
        <w:t>1 </w:t>
      </w:r>
      <w:r w:rsidR="00471F5D">
        <w:rPr>
          <w:rFonts w:ascii="Franklin Gothic Book" w:eastAsiaTheme="minorHAnsi" w:hAnsi="Franklin Gothic Book" w:cstheme="minorBidi"/>
          <w:snapToGrid/>
          <w:color w:val="000000" w:themeColor="text1"/>
          <w:sz w:val="22"/>
          <w:szCs w:val="22"/>
        </w:rPr>
        <w:t xml:space="preserve">lesion </w:t>
      </w:r>
      <w:r w:rsidR="00813174">
        <w:rPr>
          <w:rFonts w:ascii="Franklin Gothic Book" w:eastAsiaTheme="minorHAnsi" w:hAnsi="Franklin Gothic Book" w:cstheme="minorBidi"/>
          <w:snapToGrid/>
          <w:color w:val="000000" w:themeColor="text1"/>
          <w:sz w:val="22"/>
          <w:szCs w:val="22"/>
        </w:rPr>
        <w:t xml:space="preserve">sized </w:t>
      </w:r>
      <w:r w:rsidR="005651A9">
        <w:rPr>
          <w:rFonts w:ascii="Franklin Gothic Book" w:eastAsiaTheme="minorHAnsi" w:hAnsi="Franklin Gothic Book" w:cstheme="minorBidi"/>
          <w:snapToGrid/>
          <w:color w:val="000000" w:themeColor="text1"/>
          <w:sz w:val="22"/>
          <w:szCs w:val="22"/>
        </w:rPr>
        <w:t>5-8 cm</w:t>
      </w:r>
      <w:r w:rsidR="005651A9" w:rsidRPr="00912896">
        <w:rPr>
          <w:rFonts w:ascii="Franklin Gothic Book" w:eastAsiaTheme="minorHAnsi" w:hAnsi="Franklin Gothic Book" w:cstheme="minorBidi"/>
          <w:snapToGrid/>
          <w:color w:val="000000" w:themeColor="text1"/>
          <w:sz w:val="22"/>
          <w:szCs w:val="22"/>
          <w:vertAlign w:val="superscript"/>
        </w:rPr>
        <w:t>2</w:t>
      </w:r>
      <w:r w:rsidR="00D738B5">
        <w:rPr>
          <w:rFonts w:ascii="Franklin Gothic Book" w:eastAsiaTheme="minorHAnsi" w:hAnsi="Franklin Gothic Book" w:cstheme="minorBidi"/>
          <w:snapToGrid/>
          <w:color w:val="000000" w:themeColor="text1"/>
          <w:sz w:val="22"/>
          <w:szCs w:val="22"/>
        </w:rPr>
        <w:t>,</w:t>
      </w:r>
      <w:r w:rsidRPr="00912896">
        <w:rPr>
          <w:rFonts w:ascii="Franklin Gothic Book" w:eastAsiaTheme="minorHAnsi" w:hAnsi="Franklin Gothic Book" w:cstheme="minorBidi"/>
          <w:snapToGrid/>
          <w:color w:val="000000" w:themeColor="text1"/>
          <w:sz w:val="22"/>
          <w:szCs w:val="22"/>
        </w:rPr>
        <w:t xml:space="preserve"> or </w:t>
      </w:r>
      <w:r w:rsidR="00CF27EF">
        <w:rPr>
          <w:rFonts w:ascii="Franklin Gothic Book" w:eastAsiaTheme="minorHAnsi" w:hAnsi="Franklin Gothic Book" w:cstheme="minorBidi"/>
          <w:snapToGrid/>
          <w:color w:val="000000" w:themeColor="text1"/>
          <w:sz w:val="22"/>
          <w:szCs w:val="22"/>
        </w:rPr>
        <w:t>6</w:t>
      </w:r>
      <w:r w:rsidRPr="00912896">
        <w:rPr>
          <w:rFonts w:ascii="Franklin Gothic Book" w:eastAsiaTheme="minorHAnsi" w:hAnsi="Franklin Gothic Book" w:cstheme="minorBidi"/>
          <w:snapToGrid/>
          <w:color w:val="000000" w:themeColor="text1"/>
          <w:sz w:val="22"/>
          <w:szCs w:val="22"/>
        </w:rPr>
        <w:t xml:space="preserve"> to </w:t>
      </w:r>
      <w:r w:rsidR="00CF27EF">
        <w:rPr>
          <w:rFonts w:ascii="Franklin Gothic Book" w:eastAsiaTheme="minorHAnsi" w:hAnsi="Franklin Gothic Book" w:cstheme="minorBidi"/>
          <w:snapToGrid/>
          <w:color w:val="000000" w:themeColor="text1"/>
          <w:sz w:val="22"/>
          <w:szCs w:val="22"/>
        </w:rPr>
        <w:t>12</w:t>
      </w:r>
      <w:r w:rsidRPr="00912896">
        <w:rPr>
          <w:rFonts w:ascii="Franklin Gothic Book" w:eastAsiaTheme="minorHAnsi" w:hAnsi="Franklin Gothic Book" w:cstheme="minorBidi"/>
          <w:snapToGrid/>
          <w:color w:val="000000" w:themeColor="text1"/>
          <w:sz w:val="22"/>
          <w:szCs w:val="22"/>
        </w:rPr>
        <w:t xml:space="preserve"> patients</w:t>
      </w:r>
      <w:r w:rsidR="0098248B">
        <w:rPr>
          <w:rFonts w:ascii="Franklin Gothic Book" w:eastAsiaTheme="minorHAnsi" w:hAnsi="Franklin Gothic Book" w:cstheme="minorBidi"/>
          <w:snapToGrid/>
          <w:color w:val="000000" w:themeColor="text1"/>
          <w:sz w:val="22"/>
          <w:szCs w:val="22"/>
        </w:rPr>
        <w:t>, each</w:t>
      </w:r>
      <w:r w:rsidRPr="00912896">
        <w:rPr>
          <w:rFonts w:ascii="Franklin Gothic Book" w:eastAsiaTheme="minorHAnsi" w:hAnsi="Franklin Gothic Book" w:cstheme="minorBidi"/>
          <w:snapToGrid/>
          <w:color w:val="000000" w:themeColor="text1"/>
          <w:sz w:val="22"/>
          <w:szCs w:val="22"/>
        </w:rPr>
        <w:t xml:space="preserve"> with </w:t>
      </w:r>
      <w:r w:rsidR="00CF27EF">
        <w:rPr>
          <w:rFonts w:ascii="Franklin Gothic Book" w:eastAsiaTheme="minorHAnsi" w:hAnsi="Franklin Gothic Book" w:cstheme="minorBidi"/>
          <w:snapToGrid/>
          <w:color w:val="000000" w:themeColor="text1"/>
          <w:sz w:val="22"/>
          <w:szCs w:val="22"/>
        </w:rPr>
        <w:t>1</w:t>
      </w:r>
      <w:r w:rsidR="005651A9">
        <w:rPr>
          <w:rFonts w:ascii="Franklin Gothic Book" w:eastAsiaTheme="minorHAnsi" w:hAnsi="Franklin Gothic Book" w:cstheme="minorBidi"/>
          <w:snapToGrid/>
          <w:color w:val="000000" w:themeColor="text1"/>
          <w:sz w:val="22"/>
          <w:szCs w:val="22"/>
        </w:rPr>
        <w:t xml:space="preserve"> lesion siz</w:t>
      </w:r>
      <w:r w:rsidR="001038E6">
        <w:rPr>
          <w:rFonts w:ascii="Franklin Gothic Book" w:eastAsiaTheme="minorHAnsi" w:hAnsi="Franklin Gothic Book" w:cstheme="minorBidi"/>
          <w:snapToGrid/>
          <w:color w:val="000000" w:themeColor="text1"/>
          <w:sz w:val="22"/>
          <w:szCs w:val="22"/>
        </w:rPr>
        <w:t>ed 1.5-3.0 cm</w:t>
      </w:r>
      <w:r w:rsidR="001038E6" w:rsidRPr="00912896">
        <w:rPr>
          <w:rFonts w:ascii="Franklin Gothic Book" w:eastAsiaTheme="minorHAnsi" w:hAnsi="Franklin Gothic Book" w:cstheme="minorBidi"/>
          <w:snapToGrid/>
          <w:color w:val="000000" w:themeColor="text1"/>
          <w:sz w:val="22"/>
          <w:szCs w:val="22"/>
          <w:vertAlign w:val="superscript"/>
        </w:rPr>
        <w:t>2</w:t>
      </w:r>
      <w:r w:rsidRPr="00912896">
        <w:rPr>
          <w:rFonts w:ascii="Franklin Gothic Book" w:eastAsiaTheme="minorHAnsi" w:hAnsi="Franklin Gothic Book" w:cstheme="minorBidi"/>
          <w:snapToGrid/>
          <w:color w:val="000000" w:themeColor="text1"/>
          <w:sz w:val="22"/>
          <w:szCs w:val="22"/>
        </w:rPr>
        <w:t xml:space="preserve">. The ADAR </w:t>
      </w:r>
      <w:r w:rsidR="007C7F8E">
        <w:rPr>
          <w:rFonts w:ascii="Franklin Gothic Book" w:eastAsiaTheme="minorHAnsi" w:hAnsi="Franklin Gothic Book" w:cstheme="minorBidi"/>
          <w:snapToGrid/>
          <w:color w:val="000000" w:themeColor="text1"/>
          <w:sz w:val="22"/>
          <w:szCs w:val="22"/>
        </w:rPr>
        <w:t xml:space="preserve">estimated </w:t>
      </w:r>
      <w:r w:rsidRPr="00912896">
        <w:rPr>
          <w:rFonts w:ascii="Franklin Gothic Book" w:eastAsiaTheme="minorHAnsi" w:hAnsi="Franklin Gothic Book" w:cstheme="minorBidi"/>
          <w:snapToGrid/>
          <w:color w:val="000000" w:themeColor="text1"/>
          <w:sz w:val="22"/>
          <w:szCs w:val="22"/>
        </w:rPr>
        <w:t xml:space="preserve">the cost per patient for one </w:t>
      </w:r>
      <w:r w:rsidR="003633C2">
        <w:rPr>
          <w:rFonts w:ascii="Franklin Gothic Book" w:eastAsiaTheme="minorHAnsi" w:hAnsi="Franklin Gothic Book" w:cstheme="minorBidi"/>
          <w:snapToGrid/>
          <w:color w:val="000000" w:themeColor="text1"/>
          <w:sz w:val="22"/>
          <w:szCs w:val="22"/>
        </w:rPr>
        <w:t xml:space="preserve">lesion </w:t>
      </w:r>
      <w:r w:rsidRPr="00912896">
        <w:rPr>
          <w:rFonts w:ascii="Franklin Gothic Book" w:eastAsiaTheme="minorHAnsi" w:hAnsi="Franklin Gothic Book" w:cstheme="minorBidi"/>
          <w:snapToGrid/>
          <w:color w:val="000000" w:themeColor="text1"/>
          <w:sz w:val="22"/>
          <w:szCs w:val="22"/>
        </w:rPr>
        <w:t xml:space="preserve">treatment </w:t>
      </w:r>
      <w:r w:rsidR="003633C2">
        <w:rPr>
          <w:rFonts w:ascii="Franklin Gothic Book" w:eastAsiaTheme="minorHAnsi" w:hAnsi="Franklin Gothic Book" w:cstheme="minorBidi"/>
          <w:snapToGrid/>
          <w:color w:val="000000" w:themeColor="text1"/>
          <w:sz w:val="22"/>
          <w:szCs w:val="22"/>
        </w:rPr>
        <w:t>with</w:t>
      </w:r>
      <w:r w:rsidRPr="00912896">
        <w:rPr>
          <w:rFonts w:ascii="Franklin Gothic Book" w:eastAsiaTheme="minorHAnsi" w:hAnsi="Franklin Gothic Book" w:cstheme="minorBidi"/>
          <w:snapToGrid/>
          <w:color w:val="000000" w:themeColor="text1"/>
          <w:sz w:val="22"/>
          <w:szCs w:val="22"/>
        </w:rPr>
        <w:t xml:space="preserve"> Re-188</w:t>
      </w:r>
      <w:r w:rsidR="00107766" w:rsidRPr="00107766">
        <w:t xml:space="preserve"> </w:t>
      </w:r>
      <w:r w:rsidR="00107766" w:rsidRPr="00107766">
        <w:rPr>
          <w:rFonts w:ascii="Franklin Gothic Book" w:eastAsiaTheme="minorHAnsi" w:hAnsi="Franklin Gothic Book" w:cstheme="minorBidi"/>
          <w:snapToGrid/>
          <w:color w:val="000000" w:themeColor="text1"/>
          <w:sz w:val="22"/>
          <w:szCs w:val="22"/>
        </w:rPr>
        <w:t>brachytherapy</w:t>
      </w:r>
      <w:r w:rsidR="007C7F8E">
        <w:rPr>
          <w:rFonts w:ascii="Franklin Gothic Book" w:eastAsiaTheme="minorHAnsi" w:hAnsi="Franklin Gothic Book" w:cstheme="minorBidi"/>
          <w:snapToGrid/>
          <w:color w:val="000000" w:themeColor="text1"/>
          <w:sz w:val="22"/>
          <w:szCs w:val="22"/>
        </w:rPr>
        <w:t xml:space="preserve"> but </w:t>
      </w:r>
      <w:r w:rsidR="003820F7">
        <w:rPr>
          <w:rFonts w:ascii="Franklin Gothic Book" w:eastAsiaTheme="minorHAnsi" w:hAnsi="Franklin Gothic Book" w:cstheme="minorBidi"/>
          <w:snapToGrid/>
          <w:color w:val="000000" w:themeColor="text1"/>
          <w:sz w:val="22"/>
          <w:szCs w:val="22"/>
        </w:rPr>
        <w:t>did not include any</w:t>
      </w:r>
      <w:r w:rsidRPr="00912896">
        <w:rPr>
          <w:rFonts w:ascii="Franklin Gothic Book" w:eastAsiaTheme="minorHAnsi" w:hAnsi="Franklin Gothic Book" w:cstheme="minorBidi"/>
          <w:snapToGrid/>
          <w:color w:val="000000" w:themeColor="text1"/>
          <w:sz w:val="22"/>
          <w:szCs w:val="22"/>
        </w:rPr>
        <w:t xml:space="preserve"> wastage cost</w:t>
      </w:r>
      <w:r w:rsidR="003E3219">
        <w:rPr>
          <w:rFonts w:ascii="Franklin Gothic Book" w:eastAsiaTheme="minorHAnsi" w:hAnsi="Franklin Gothic Book" w:cstheme="minorBidi"/>
          <w:snapToGrid/>
          <w:color w:val="000000" w:themeColor="text1"/>
          <w:sz w:val="22"/>
          <w:szCs w:val="22"/>
        </w:rPr>
        <w:t>s</w:t>
      </w:r>
      <w:r w:rsidRPr="00912896">
        <w:rPr>
          <w:rFonts w:ascii="Franklin Gothic Book" w:eastAsiaTheme="minorHAnsi" w:hAnsi="Franklin Gothic Book" w:cstheme="minorBidi"/>
          <w:snapToGrid/>
          <w:color w:val="000000" w:themeColor="text1"/>
          <w:sz w:val="22"/>
          <w:szCs w:val="22"/>
        </w:rPr>
        <w:t xml:space="preserve"> </w:t>
      </w:r>
      <w:r w:rsidR="003E3219">
        <w:rPr>
          <w:rFonts w:ascii="Franklin Gothic Book" w:eastAsiaTheme="minorHAnsi" w:hAnsi="Franklin Gothic Book" w:cstheme="minorBidi"/>
          <w:snapToGrid/>
          <w:color w:val="000000" w:themeColor="text1"/>
          <w:sz w:val="22"/>
          <w:szCs w:val="22"/>
        </w:rPr>
        <w:t xml:space="preserve">for </w:t>
      </w:r>
      <w:r w:rsidRPr="00912896">
        <w:rPr>
          <w:rFonts w:ascii="Franklin Gothic Book" w:eastAsiaTheme="minorHAnsi" w:hAnsi="Franklin Gothic Book" w:cstheme="minorBidi"/>
          <w:snapToGrid/>
          <w:color w:val="000000" w:themeColor="text1"/>
          <w:sz w:val="22"/>
          <w:szCs w:val="22"/>
        </w:rPr>
        <w:t>the Re-188 compound</w:t>
      </w:r>
      <w:r w:rsidR="000A2243">
        <w:rPr>
          <w:rFonts w:ascii="Franklin Gothic Book" w:eastAsiaTheme="minorHAnsi" w:hAnsi="Franklin Gothic Book" w:cstheme="minorBidi"/>
          <w:snapToGrid/>
          <w:color w:val="000000" w:themeColor="text1"/>
          <w:sz w:val="22"/>
          <w:szCs w:val="22"/>
        </w:rPr>
        <w:t xml:space="preserve">. As also noted earlier, some wastage may occur and will vary depending on how efficiently lesions are batch treated. </w:t>
      </w:r>
      <w:r w:rsidRPr="00912896">
        <w:rPr>
          <w:rFonts w:ascii="Franklin Gothic Book" w:eastAsiaTheme="minorHAnsi" w:hAnsi="Franklin Gothic Book" w:cstheme="minorBidi"/>
          <w:snapToGrid/>
          <w:color w:val="000000" w:themeColor="text1"/>
          <w:sz w:val="22"/>
          <w:szCs w:val="22"/>
        </w:rPr>
        <w:t xml:space="preserve">The </w:t>
      </w:r>
      <w:r w:rsidR="00A201A9">
        <w:rPr>
          <w:rFonts w:ascii="Franklin Gothic Book" w:eastAsiaTheme="minorHAnsi" w:hAnsi="Franklin Gothic Book" w:cstheme="minorBidi"/>
          <w:snapToGrid/>
          <w:color w:val="000000" w:themeColor="text1"/>
          <w:sz w:val="22"/>
          <w:szCs w:val="22"/>
        </w:rPr>
        <w:t>c</w:t>
      </w:r>
      <w:r w:rsidRPr="00912896">
        <w:rPr>
          <w:rFonts w:ascii="Franklin Gothic Book" w:eastAsiaTheme="minorHAnsi" w:hAnsi="Franklin Gothic Book" w:cstheme="minorBidi"/>
          <w:snapToGrid/>
          <w:color w:val="000000" w:themeColor="text1"/>
          <w:sz w:val="22"/>
          <w:szCs w:val="22"/>
        </w:rPr>
        <w:t xml:space="preserve">ommentary notes that the total treatment cost for Re-188 </w:t>
      </w:r>
      <w:r w:rsidR="00107766" w:rsidRPr="00107766">
        <w:rPr>
          <w:rFonts w:ascii="Franklin Gothic Book" w:eastAsiaTheme="minorHAnsi" w:hAnsi="Franklin Gothic Book" w:cstheme="minorBidi"/>
          <w:snapToGrid/>
          <w:color w:val="000000" w:themeColor="text1"/>
          <w:sz w:val="22"/>
          <w:szCs w:val="22"/>
        </w:rPr>
        <w:t xml:space="preserve">brachytherapy </w:t>
      </w:r>
      <w:r w:rsidRPr="00912896">
        <w:rPr>
          <w:rFonts w:ascii="Franklin Gothic Book" w:eastAsiaTheme="minorHAnsi" w:hAnsi="Franklin Gothic Book" w:cstheme="minorBidi"/>
          <w:snapToGrid/>
          <w:color w:val="000000" w:themeColor="text1"/>
          <w:sz w:val="22"/>
          <w:szCs w:val="22"/>
        </w:rPr>
        <w:t>is</w:t>
      </w:r>
      <w:r w:rsidR="00404B74">
        <w:rPr>
          <w:rFonts w:ascii="Franklin Gothic Book" w:eastAsiaTheme="minorHAnsi" w:hAnsi="Franklin Gothic Book" w:cstheme="minorBidi"/>
          <w:snapToGrid/>
          <w:color w:val="000000" w:themeColor="text1"/>
          <w:sz w:val="22"/>
          <w:szCs w:val="22"/>
        </w:rPr>
        <w:t xml:space="preserve"> likely</w:t>
      </w:r>
      <w:r w:rsidRPr="00912896">
        <w:rPr>
          <w:rFonts w:ascii="Franklin Gothic Book" w:eastAsiaTheme="minorHAnsi" w:hAnsi="Franklin Gothic Book" w:cstheme="minorBidi"/>
          <w:snapToGrid/>
          <w:color w:val="000000" w:themeColor="text1"/>
          <w:sz w:val="22"/>
          <w:szCs w:val="22"/>
        </w:rPr>
        <w:t xml:space="preserve"> underestimated as these wastage costs have not been included in the </w:t>
      </w:r>
      <w:r w:rsidR="005D4D9E">
        <w:rPr>
          <w:rFonts w:ascii="Franklin Gothic Book" w:eastAsiaTheme="minorHAnsi" w:hAnsi="Franklin Gothic Book" w:cstheme="minorBidi"/>
          <w:snapToGrid/>
          <w:color w:val="000000" w:themeColor="text1"/>
          <w:sz w:val="22"/>
          <w:szCs w:val="22"/>
        </w:rPr>
        <w:t>economic analysis</w:t>
      </w:r>
      <w:r w:rsidRPr="00912896">
        <w:rPr>
          <w:rFonts w:ascii="Franklin Gothic Book" w:eastAsiaTheme="minorHAnsi" w:hAnsi="Franklin Gothic Book" w:cstheme="minorBidi"/>
          <w:snapToGrid/>
          <w:color w:val="000000" w:themeColor="text1"/>
          <w:sz w:val="22"/>
          <w:szCs w:val="22"/>
        </w:rPr>
        <w:t xml:space="preserve">. </w:t>
      </w:r>
      <w:r w:rsidR="00C71234">
        <w:rPr>
          <w:rFonts w:ascii="Franklin Gothic Book" w:eastAsiaTheme="minorHAnsi" w:hAnsi="Franklin Gothic Book" w:cstheme="minorBidi"/>
          <w:snapToGrid/>
          <w:color w:val="000000" w:themeColor="text1"/>
          <w:sz w:val="22"/>
          <w:szCs w:val="22"/>
        </w:rPr>
        <w:t xml:space="preserve">The </w:t>
      </w:r>
      <w:r w:rsidR="00A201A9">
        <w:rPr>
          <w:rFonts w:ascii="Franklin Gothic Book" w:eastAsiaTheme="minorHAnsi" w:hAnsi="Franklin Gothic Book" w:cstheme="minorBidi"/>
          <w:snapToGrid/>
          <w:color w:val="000000" w:themeColor="text1"/>
          <w:sz w:val="22"/>
          <w:szCs w:val="22"/>
        </w:rPr>
        <w:t>c</w:t>
      </w:r>
      <w:r w:rsidR="00C71234">
        <w:rPr>
          <w:rFonts w:ascii="Franklin Gothic Book" w:eastAsiaTheme="minorHAnsi" w:hAnsi="Franklin Gothic Book" w:cstheme="minorBidi"/>
          <w:snapToGrid/>
          <w:color w:val="000000" w:themeColor="text1"/>
          <w:sz w:val="22"/>
          <w:szCs w:val="22"/>
        </w:rPr>
        <w:t xml:space="preserve">ommentary conducted a </w:t>
      </w:r>
      <w:r w:rsidRPr="00912896">
        <w:rPr>
          <w:rFonts w:ascii="Franklin Gothic Book" w:eastAsiaTheme="minorHAnsi" w:hAnsi="Franklin Gothic Book" w:cstheme="minorBidi"/>
          <w:snapToGrid/>
          <w:color w:val="000000" w:themeColor="text1"/>
          <w:sz w:val="22"/>
          <w:szCs w:val="22"/>
        </w:rPr>
        <w:t>scenario analysis to assess</w:t>
      </w:r>
      <w:r w:rsidR="00036854">
        <w:rPr>
          <w:rFonts w:ascii="Franklin Gothic Book" w:eastAsiaTheme="minorHAnsi" w:hAnsi="Franklin Gothic Book" w:cstheme="minorBidi"/>
          <w:snapToGrid/>
          <w:color w:val="000000" w:themeColor="text1"/>
          <w:sz w:val="22"/>
          <w:szCs w:val="22"/>
        </w:rPr>
        <w:t xml:space="preserve"> the potential </w:t>
      </w:r>
      <w:r w:rsidR="00D771BF">
        <w:rPr>
          <w:rFonts w:ascii="Franklin Gothic Book" w:eastAsiaTheme="minorHAnsi" w:hAnsi="Franklin Gothic Book" w:cstheme="minorBidi"/>
          <w:snapToGrid/>
          <w:color w:val="000000" w:themeColor="text1"/>
          <w:sz w:val="22"/>
          <w:szCs w:val="22"/>
        </w:rPr>
        <w:t xml:space="preserve">impact of </w:t>
      </w:r>
      <w:r w:rsidR="00527629">
        <w:rPr>
          <w:rFonts w:ascii="Franklin Gothic Book" w:eastAsiaTheme="minorHAnsi" w:hAnsi="Franklin Gothic Book" w:cstheme="minorBidi"/>
          <w:snapToGrid/>
          <w:color w:val="000000" w:themeColor="text1"/>
          <w:sz w:val="22"/>
          <w:szCs w:val="22"/>
        </w:rPr>
        <w:t>wastage</w:t>
      </w:r>
      <w:r w:rsidR="00036854">
        <w:rPr>
          <w:rFonts w:ascii="Franklin Gothic Book" w:eastAsiaTheme="minorHAnsi" w:hAnsi="Franklin Gothic Book" w:cstheme="minorBidi"/>
          <w:snapToGrid/>
          <w:color w:val="000000" w:themeColor="text1"/>
          <w:sz w:val="22"/>
          <w:szCs w:val="22"/>
        </w:rPr>
        <w:t xml:space="preserve"> costs on the cost-effectiveness of </w:t>
      </w:r>
      <w:r w:rsidR="004032FF">
        <w:rPr>
          <w:rFonts w:ascii="Franklin Gothic Book" w:eastAsiaTheme="minorHAnsi" w:hAnsi="Franklin Gothic Book" w:cstheme="minorBidi"/>
          <w:snapToGrid/>
          <w:color w:val="000000" w:themeColor="text1"/>
          <w:sz w:val="22"/>
          <w:szCs w:val="22"/>
        </w:rPr>
        <w:t xml:space="preserve">Re-188 </w:t>
      </w:r>
      <w:r w:rsidR="00107766" w:rsidRPr="00107766">
        <w:rPr>
          <w:rFonts w:ascii="Franklin Gothic Book" w:eastAsiaTheme="minorHAnsi" w:hAnsi="Franklin Gothic Book" w:cstheme="minorBidi"/>
          <w:snapToGrid/>
          <w:color w:val="000000" w:themeColor="text1"/>
          <w:sz w:val="22"/>
          <w:szCs w:val="22"/>
        </w:rPr>
        <w:t xml:space="preserve">brachytherapy </w:t>
      </w:r>
      <w:r w:rsidR="004032FF">
        <w:rPr>
          <w:rFonts w:ascii="Franklin Gothic Book" w:eastAsiaTheme="minorHAnsi" w:hAnsi="Franklin Gothic Book" w:cstheme="minorBidi"/>
          <w:snapToGrid/>
          <w:color w:val="000000" w:themeColor="text1"/>
          <w:sz w:val="22"/>
          <w:szCs w:val="22"/>
        </w:rPr>
        <w:t>compared to EBRT</w:t>
      </w:r>
      <w:r w:rsidR="00AE54E4">
        <w:rPr>
          <w:rFonts w:ascii="Franklin Gothic Book" w:eastAsiaTheme="minorHAnsi" w:hAnsi="Franklin Gothic Book" w:cstheme="minorBidi"/>
          <w:snapToGrid/>
          <w:color w:val="000000" w:themeColor="text1"/>
          <w:sz w:val="22"/>
          <w:szCs w:val="22"/>
        </w:rPr>
        <w:t xml:space="preserve"> </w:t>
      </w:r>
      <w:r w:rsidR="00D010CB">
        <w:rPr>
          <w:rFonts w:ascii="Franklin Gothic Book" w:eastAsiaTheme="minorHAnsi" w:hAnsi="Franklin Gothic Book" w:cstheme="minorBidi"/>
          <w:snapToGrid/>
          <w:color w:val="000000" w:themeColor="text1"/>
          <w:sz w:val="22"/>
          <w:szCs w:val="22"/>
        </w:rPr>
        <w:t>(</w:t>
      </w:r>
      <w:r w:rsidR="00D010CB">
        <w:rPr>
          <w:rFonts w:ascii="Franklin Gothic Book" w:eastAsiaTheme="minorHAnsi" w:hAnsi="Franklin Gothic Book" w:cstheme="minorBidi"/>
          <w:snapToGrid/>
          <w:color w:val="000000" w:themeColor="text1"/>
          <w:sz w:val="22"/>
          <w:szCs w:val="22"/>
        </w:rPr>
        <w:fldChar w:fldCharType="begin"/>
      </w:r>
      <w:r w:rsidR="00D010CB">
        <w:rPr>
          <w:rFonts w:ascii="Franklin Gothic Book" w:eastAsiaTheme="minorHAnsi" w:hAnsi="Franklin Gothic Book" w:cstheme="minorBidi"/>
          <w:snapToGrid/>
          <w:color w:val="000000" w:themeColor="text1"/>
          <w:sz w:val="22"/>
          <w:szCs w:val="22"/>
        </w:rPr>
        <w:instrText xml:space="preserve"> REF _Ref134538657 \h  \* MERGEFORMAT </w:instrText>
      </w:r>
      <w:r w:rsidR="00D010CB">
        <w:rPr>
          <w:rFonts w:ascii="Franklin Gothic Book" w:eastAsiaTheme="minorHAnsi" w:hAnsi="Franklin Gothic Book" w:cstheme="minorBidi"/>
          <w:snapToGrid/>
          <w:color w:val="000000" w:themeColor="text1"/>
          <w:sz w:val="22"/>
          <w:szCs w:val="22"/>
        </w:rPr>
      </w:r>
      <w:r w:rsidR="00D010CB">
        <w:rPr>
          <w:rFonts w:ascii="Franklin Gothic Book" w:eastAsiaTheme="minorHAnsi" w:hAnsi="Franklin Gothic Book" w:cstheme="minorBidi"/>
          <w:snapToGrid/>
          <w:color w:val="000000" w:themeColor="text1"/>
          <w:sz w:val="22"/>
          <w:szCs w:val="22"/>
        </w:rPr>
        <w:fldChar w:fldCharType="separate"/>
      </w:r>
      <w:r w:rsidR="00C60322" w:rsidRPr="00F227EA">
        <w:rPr>
          <w:rFonts w:ascii="Franklin Gothic Book" w:eastAsiaTheme="minorHAnsi" w:hAnsi="Franklin Gothic Book" w:cstheme="minorBidi"/>
          <w:snapToGrid/>
          <w:color w:val="000000" w:themeColor="text1"/>
          <w:sz w:val="22"/>
          <w:szCs w:val="22"/>
        </w:rPr>
        <w:t>Table 15</w:t>
      </w:r>
      <w:r w:rsidR="00D010CB">
        <w:rPr>
          <w:rFonts w:ascii="Franklin Gothic Book" w:eastAsiaTheme="minorHAnsi" w:hAnsi="Franklin Gothic Book" w:cstheme="minorBidi"/>
          <w:snapToGrid/>
          <w:color w:val="000000" w:themeColor="text1"/>
          <w:sz w:val="22"/>
          <w:szCs w:val="22"/>
        </w:rPr>
        <w:fldChar w:fldCharType="end"/>
      </w:r>
      <w:r w:rsidR="00D010CB">
        <w:rPr>
          <w:rFonts w:ascii="Franklin Gothic Book" w:eastAsiaTheme="minorHAnsi" w:hAnsi="Franklin Gothic Book" w:cstheme="minorBidi"/>
          <w:snapToGrid/>
          <w:color w:val="000000" w:themeColor="text1"/>
          <w:sz w:val="22"/>
          <w:szCs w:val="22"/>
        </w:rPr>
        <w:t>)</w:t>
      </w:r>
      <w:r w:rsidR="00D010CB" w:rsidRPr="00912896">
        <w:rPr>
          <w:rFonts w:ascii="Franklin Gothic Book" w:eastAsiaTheme="minorHAnsi" w:hAnsi="Franklin Gothic Book" w:cstheme="minorBidi"/>
          <w:snapToGrid/>
          <w:color w:val="000000" w:themeColor="text1"/>
          <w:sz w:val="22"/>
          <w:szCs w:val="22"/>
        </w:rPr>
        <w:t>.</w:t>
      </w:r>
      <w:r w:rsidR="004C3D28">
        <w:rPr>
          <w:rFonts w:ascii="Franklin Gothic Book" w:eastAsiaTheme="minorHAnsi" w:hAnsi="Franklin Gothic Book" w:cstheme="minorBidi"/>
          <w:snapToGrid/>
          <w:color w:val="000000" w:themeColor="text1"/>
          <w:sz w:val="22"/>
          <w:szCs w:val="22"/>
        </w:rPr>
        <w:t xml:space="preserve"> In the absence of </w:t>
      </w:r>
      <w:r w:rsidR="0071094C">
        <w:rPr>
          <w:rFonts w:ascii="Franklin Gothic Book" w:eastAsiaTheme="minorHAnsi" w:hAnsi="Franklin Gothic Book" w:cstheme="minorBidi"/>
          <w:snapToGrid/>
          <w:color w:val="000000" w:themeColor="text1"/>
          <w:sz w:val="22"/>
          <w:szCs w:val="22"/>
        </w:rPr>
        <w:t xml:space="preserve">information </w:t>
      </w:r>
      <w:r w:rsidR="00757A83">
        <w:rPr>
          <w:rFonts w:ascii="Franklin Gothic Book" w:eastAsiaTheme="minorHAnsi" w:hAnsi="Franklin Gothic Book" w:cstheme="minorBidi"/>
          <w:snapToGrid/>
          <w:color w:val="000000" w:themeColor="text1"/>
          <w:sz w:val="22"/>
          <w:szCs w:val="22"/>
        </w:rPr>
        <w:t>on the feasibility to efficiently</w:t>
      </w:r>
      <w:r w:rsidR="0071094C">
        <w:rPr>
          <w:rFonts w:ascii="Franklin Gothic Book" w:eastAsiaTheme="minorHAnsi" w:hAnsi="Franklin Gothic Book" w:cstheme="minorBidi"/>
          <w:snapToGrid/>
          <w:color w:val="000000" w:themeColor="text1"/>
          <w:sz w:val="22"/>
          <w:szCs w:val="22"/>
        </w:rPr>
        <w:t xml:space="preserve"> batch</w:t>
      </w:r>
      <w:r w:rsidR="00757A83">
        <w:rPr>
          <w:rFonts w:ascii="Franklin Gothic Book" w:eastAsiaTheme="minorHAnsi" w:hAnsi="Franklin Gothic Book" w:cstheme="minorBidi"/>
          <w:snapToGrid/>
          <w:color w:val="000000" w:themeColor="text1"/>
          <w:sz w:val="22"/>
          <w:szCs w:val="22"/>
        </w:rPr>
        <w:t xml:space="preserve"> treat </w:t>
      </w:r>
      <w:r w:rsidR="0071094C">
        <w:rPr>
          <w:rFonts w:ascii="Franklin Gothic Book" w:eastAsiaTheme="minorHAnsi" w:hAnsi="Franklin Gothic Book" w:cstheme="minorBidi"/>
          <w:snapToGrid/>
          <w:color w:val="000000" w:themeColor="text1"/>
          <w:sz w:val="22"/>
          <w:szCs w:val="22"/>
        </w:rPr>
        <w:t>les</w:t>
      </w:r>
      <w:r w:rsidR="00757A83">
        <w:rPr>
          <w:rFonts w:ascii="Franklin Gothic Book" w:eastAsiaTheme="minorHAnsi" w:hAnsi="Franklin Gothic Book" w:cstheme="minorBidi"/>
          <w:snapToGrid/>
          <w:color w:val="000000" w:themeColor="text1"/>
          <w:sz w:val="22"/>
          <w:szCs w:val="22"/>
        </w:rPr>
        <w:t xml:space="preserve">ions and therefore the likely wastage, the </w:t>
      </w:r>
      <w:r w:rsidR="00A201A9">
        <w:rPr>
          <w:rFonts w:ascii="Franklin Gothic Book" w:eastAsiaTheme="minorHAnsi" w:hAnsi="Franklin Gothic Book" w:cstheme="minorBidi"/>
          <w:snapToGrid/>
          <w:color w:val="000000" w:themeColor="text1"/>
          <w:sz w:val="22"/>
          <w:szCs w:val="22"/>
        </w:rPr>
        <w:t>c</w:t>
      </w:r>
      <w:r w:rsidR="00757A83">
        <w:rPr>
          <w:rFonts w:ascii="Franklin Gothic Book" w:eastAsiaTheme="minorHAnsi" w:hAnsi="Franklin Gothic Book" w:cstheme="minorBidi"/>
          <w:snapToGrid/>
          <w:color w:val="000000" w:themeColor="text1"/>
          <w:sz w:val="22"/>
          <w:szCs w:val="22"/>
        </w:rPr>
        <w:t xml:space="preserve">ommentary </w:t>
      </w:r>
      <w:r w:rsidR="00BA0A4F">
        <w:rPr>
          <w:rFonts w:ascii="Franklin Gothic Book" w:eastAsiaTheme="minorHAnsi" w:hAnsi="Franklin Gothic Book" w:cstheme="minorBidi"/>
          <w:snapToGrid/>
          <w:color w:val="000000" w:themeColor="text1"/>
          <w:sz w:val="22"/>
          <w:szCs w:val="22"/>
        </w:rPr>
        <w:t xml:space="preserve">has </w:t>
      </w:r>
      <w:r w:rsidR="00BB5444">
        <w:rPr>
          <w:rFonts w:ascii="Franklin Gothic Book" w:eastAsiaTheme="minorHAnsi" w:hAnsi="Franklin Gothic Book" w:cstheme="minorBidi"/>
          <w:snapToGrid/>
          <w:color w:val="000000" w:themeColor="text1"/>
          <w:sz w:val="22"/>
          <w:szCs w:val="22"/>
        </w:rPr>
        <w:t>assumed</w:t>
      </w:r>
      <w:r w:rsidR="00BA0A4F">
        <w:rPr>
          <w:rFonts w:ascii="Franklin Gothic Book" w:eastAsiaTheme="minorHAnsi" w:hAnsi="Franklin Gothic Book" w:cstheme="minorBidi"/>
          <w:snapToGrid/>
          <w:color w:val="000000" w:themeColor="text1"/>
          <w:sz w:val="22"/>
          <w:szCs w:val="22"/>
        </w:rPr>
        <w:t xml:space="preserve"> wastage </w:t>
      </w:r>
      <w:r w:rsidR="00BB5444">
        <w:rPr>
          <w:rFonts w:ascii="Franklin Gothic Book" w:eastAsiaTheme="minorHAnsi" w:hAnsi="Franklin Gothic Book" w:cstheme="minorBidi"/>
          <w:snapToGrid/>
          <w:color w:val="000000" w:themeColor="text1"/>
          <w:sz w:val="22"/>
          <w:szCs w:val="22"/>
        </w:rPr>
        <w:t>based on</w:t>
      </w:r>
      <w:r w:rsidR="00BA0A4F">
        <w:rPr>
          <w:rFonts w:ascii="Franklin Gothic Book" w:eastAsiaTheme="minorHAnsi" w:hAnsi="Franklin Gothic Book" w:cstheme="minorBidi"/>
          <w:snapToGrid/>
          <w:color w:val="000000" w:themeColor="text1"/>
          <w:sz w:val="22"/>
          <w:szCs w:val="22"/>
        </w:rPr>
        <w:t xml:space="preserve"> only 1 lesion </w:t>
      </w:r>
      <w:r w:rsidR="00B05409">
        <w:rPr>
          <w:rFonts w:ascii="Franklin Gothic Book" w:eastAsiaTheme="minorHAnsi" w:hAnsi="Franklin Gothic Book" w:cstheme="minorBidi"/>
          <w:snapToGrid/>
          <w:color w:val="000000" w:themeColor="text1"/>
          <w:sz w:val="22"/>
          <w:szCs w:val="22"/>
        </w:rPr>
        <w:t>being</w:t>
      </w:r>
      <w:r w:rsidR="00BA0A4F">
        <w:rPr>
          <w:rFonts w:ascii="Franklin Gothic Book" w:eastAsiaTheme="minorHAnsi" w:hAnsi="Franklin Gothic Book" w:cstheme="minorBidi"/>
          <w:snapToGrid/>
          <w:color w:val="000000" w:themeColor="text1"/>
          <w:sz w:val="22"/>
          <w:szCs w:val="22"/>
        </w:rPr>
        <w:t xml:space="preserve"> treated per carpoule</w:t>
      </w:r>
      <w:r w:rsidR="00FE11C9">
        <w:rPr>
          <w:rFonts w:ascii="Franklin Gothic Book" w:eastAsiaTheme="minorHAnsi" w:hAnsi="Franklin Gothic Book" w:cstheme="minorBidi"/>
          <w:snapToGrid/>
          <w:color w:val="000000" w:themeColor="text1"/>
          <w:sz w:val="22"/>
          <w:szCs w:val="22"/>
        </w:rPr>
        <w:t xml:space="preserve">. The </w:t>
      </w:r>
      <w:r w:rsidR="00A201A9">
        <w:rPr>
          <w:rFonts w:ascii="Franklin Gothic Book" w:eastAsiaTheme="minorHAnsi" w:hAnsi="Franklin Gothic Book" w:cstheme="minorBidi"/>
          <w:snapToGrid/>
          <w:color w:val="000000" w:themeColor="text1"/>
          <w:sz w:val="22"/>
          <w:szCs w:val="22"/>
        </w:rPr>
        <w:t>c</w:t>
      </w:r>
      <w:r w:rsidR="00FE11C9">
        <w:rPr>
          <w:rFonts w:ascii="Franklin Gothic Book" w:eastAsiaTheme="minorHAnsi" w:hAnsi="Franklin Gothic Book" w:cstheme="minorBidi"/>
          <w:snapToGrid/>
          <w:color w:val="000000" w:themeColor="text1"/>
          <w:sz w:val="22"/>
          <w:szCs w:val="22"/>
        </w:rPr>
        <w:t xml:space="preserve">ommentary acknowledges that this is an extreme </w:t>
      </w:r>
      <w:r w:rsidR="003E6183">
        <w:rPr>
          <w:rFonts w:ascii="Franklin Gothic Book" w:eastAsiaTheme="minorHAnsi" w:hAnsi="Franklin Gothic Book" w:cstheme="minorBidi"/>
          <w:snapToGrid/>
          <w:color w:val="000000" w:themeColor="text1"/>
          <w:sz w:val="22"/>
          <w:szCs w:val="22"/>
        </w:rPr>
        <w:t>scenario,</w:t>
      </w:r>
      <w:r w:rsidR="004124AE">
        <w:rPr>
          <w:rFonts w:ascii="Franklin Gothic Book" w:eastAsiaTheme="minorHAnsi" w:hAnsi="Franklin Gothic Book" w:cstheme="minorBidi"/>
          <w:snapToGrid/>
          <w:color w:val="000000" w:themeColor="text1"/>
          <w:sz w:val="22"/>
          <w:szCs w:val="22"/>
        </w:rPr>
        <w:t xml:space="preserve"> but a more plausible estimate is not able to be ascertained at this time due to the </w:t>
      </w:r>
      <w:r w:rsidR="002A6094">
        <w:rPr>
          <w:rFonts w:ascii="Franklin Gothic Book" w:eastAsiaTheme="minorHAnsi" w:hAnsi="Franklin Gothic Book" w:cstheme="minorBidi"/>
          <w:snapToGrid/>
          <w:color w:val="000000" w:themeColor="text1"/>
          <w:sz w:val="22"/>
          <w:szCs w:val="22"/>
        </w:rPr>
        <w:t>lack of information on batching and wastage in the ADAR.</w:t>
      </w:r>
      <w:r w:rsidR="005B78F1">
        <w:rPr>
          <w:rFonts w:ascii="Franklin Gothic Book" w:eastAsiaTheme="minorHAnsi" w:hAnsi="Franklin Gothic Book" w:cstheme="minorBidi"/>
          <w:snapToGrid/>
          <w:color w:val="000000" w:themeColor="text1"/>
          <w:sz w:val="22"/>
          <w:szCs w:val="22"/>
        </w:rPr>
        <w:t xml:space="preserve"> </w:t>
      </w:r>
      <w:r w:rsidR="00EE3929">
        <w:rPr>
          <w:rFonts w:ascii="Franklin Gothic Book" w:eastAsiaTheme="minorHAnsi" w:hAnsi="Franklin Gothic Book" w:cstheme="minorBidi"/>
          <w:snapToGrid/>
          <w:color w:val="000000" w:themeColor="text1"/>
          <w:sz w:val="22"/>
          <w:szCs w:val="22"/>
        </w:rPr>
        <w:t>The se</w:t>
      </w:r>
      <w:r w:rsidR="00597383">
        <w:rPr>
          <w:rFonts w:ascii="Franklin Gothic Book" w:eastAsiaTheme="minorHAnsi" w:hAnsi="Franklin Gothic Book" w:cstheme="minorBidi"/>
          <w:snapToGrid/>
          <w:color w:val="000000" w:themeColor="text1"/>
          <w:sz w:val="22"/>
          <w:szCs w:val="22"/>
        </w:rPr>
        <w:t xml:space="preserve">nsitivity analysis found that under this ‘worst case scenario’ of wastage, </w:t>
      </w:r>
      <w:r w:rsidR="002A2A41">
        <w:rPr>
          <w:rFonts w:ascii="Franklin Gothic Book" w:eastAsiaTheme="minorHAnsi" w:hAnsi="Franklin Gothic Book" w:cstheme="minorBidi"/>
          <w:snapToGrid/>
          <w:color w:val="000000" w:themeColor="text1"/>
          <w:sz w:val="22"/>
          <w:szCs w:val="22"/>
        </w:rPr>
        <w:t xml:space="preserve">there is no longer a cost saving from </w:t>
      </w:r>
      <w:r w:rsidR="004174EC" w:rsidRPr="004174EC">
        <w:rPr>
          <w:rFonts w:ascii="Franklin Gothic Book" w:eastAsiaTheme="minorHAnsi" w:hAnsi="Franklin Gothic Book" w:cstheme="minorBidi"/>
          <w:snapToGrid/>
          <w:color w:val="000000" w:themeColor="text1"/>
          <w:sz w:val="22"/>
          <w:szCs w:val="22"/>
        </w:rPr>
        <w:t xml:space="preserve">Re-188 brachytherapy when compared to EBRT </w:t>
      </w:r>
      <w:r w:rsidR="00E00B34">
        <w:rPr>
          <w:rFonts w:ascii="Franklin Gothic Book" w:eastAsiaTheme="minorHAnsi" w:hAnsi="Franklin Gothic Book" w:cstheme="minorBidi"/>
          <w:snapToGrid/>
          <w:color w:val="000000" w:themeColor="text1"/>
          <w:sz w:val="22"/>
          <w:szCs w:val="22"/>
        </w:rPr>
        <w:t>but instead</w:t>
      </w:r>
      <w:r w:rsidR="004174EC">
        <w:rPr>
          <w:rFonts w:ascii="Franklin Gothic Book" w:eastAsiaTheme="minorHAnsi" w:hAnsi="Franklin Gothic Book" w:cstheme="minorBidi"/>
          <w:snapToGrid/>
          <w:color w:val="000000" w:themeColor="text1"/>
          <w:sz w:val="22"/>
          <w:szCs w:val="22"/>
        </w:rPr>
        <w:t xml:space="preserve"> a cost increase of $8721 </w:t>
      </w:r>
      <w:r w:rsidR="00AC253B">
        <w:rPr>
          <w:rFonts w:ascii="Franklin Gothic Book" w:eastAsiaTheme="minorHAnsi" w:hAnsi="Franklin Gothic Book" w:cstheme="minorBidi"/>
          <w:snapToGrid/>
          <w:color w:val="000000" w:themeColor="text1"/>
          <w:sz w:val="22"/>
          <w:szCs w:val="22"/>
        </w:rPr>
        <w:t>per patient</w:t>
      </w:r>
      <w:r w:rsidR="004174EC">
        <w:rPr>
          <w:rFonts w:ascii="Franklin Gothic Book" w:eastAsiaTheme="minorHAnsi" w:hAnsi="Franklin Gothic Book" w:cstheme="minorBidi"/>
          <w:snapToGrid/>
          <w:color w:val="000000" w:themeColor="text1"/>
          <w:sz w:val="22"/>
          <w:szCs w:val="22"/>
        </w:rPr>
        <w:t xml:space="preserve"> where the </w:t>
      </w:r>
      <w:r w:rsidR="00572D2B">
        <w:rPr>
          <w:rFonts w:ascii="Franklin Gothic Book" w:eastAsiaTheme="minorHAnsi" w:hAnsi="Franklin Gothic Book" w:cstheme="minorBidi"/>
          <w:snapToGrid/>
          <w:color w:val="000000" w:themeColor="text1"/>
          <w:sz w:val="22"/>
          <w:szCs w:val="22"/>
        </w:rPr>
        <w:t xml:space="preserve">comparator </w:t>
      </w:r>
      <w:r w:rsidR="004174EC">
        <w:rPr>
          <w:rFonts w:ascii="Franklin Gothic Book" w:eastAsiaTheme="minorHAnsi" w:hAnsi="Franklin Gothic Book" w:cstheme="minorBidi"/>
          <w:snapToGrid/>
          <w:color w:val="000000" w:themeColor="text1"/>
          <w:sz w:val="22"/>
          <w:szCs w:val="22"/>
        </w:rPr>
        <w:t xml:space="preserve">EBRT modality is the base case </w:t>
      </w:r>
      <w:r w:rsidR="007E7B99">
        <w:rPr>
          <w:rFonts w:ascii="Franklin Gothic Book" w:eastAsiaTheme="minorHAnsi" w:hAnsi="Franklin Gothic Book" w:cstheme="minorBidi"/>
          <w:snapToGrid/>
          <w:color w:val="000000" w:themeColor="text1"/>
          <w:sz w:val="22"/>
          <w:szCs w:val="22"/>
        </w:rPr>
        <w:t xml:space="preserve">comparator </w:t>
      </w:r>
      <w:r w:rsidR="00764B86">
        <w:rPr>
          <w:rFonts w:ascii="Franklin Gothic Book" w:eastAsiaTheme="minorHAnsi" w:hAnsi="Franklin Gothic Book" w:cstheme="minorBidi"/>
          <w:snapToGrid/>
          <w:color w:val="000000" w:themeColor="text1"/>
          <w:sz w:val="22"/>
          <w:szCs w:val="22"/>
        </w:rPr>
        <w:t>(50%</w:t>
      </w:r>
      <w:r w:rsidR="00C60322">
        <w:rPr>
          <w:rFonts w:ascii="Franklin Gothic Book" w:eastAsiaTheme="minorHAnsi" w:hAnsi="Franklin Gothic Book" w:cstheme="minorBidi"/>
          <w:snapToGrid/>
          <w:color w:val="000000" w:themeColor="text1"/>
          <w:sz w:val="22"/>
          <w:szCs w:val="22"/>
        </w:rPr>
        <w:t xml:space="preserve"> </w:t>
      </w:r>
      <w:r w:rsidR="00541A70">
        <w:rPr>
          <w:rFonts w:ascii="Franklin Gothic Book" w:eastAsiaTheme="minorHAnsi" w:hAnsi="Franklin Gothic Book" w:cstheme="minorBidi"/>
          <w:snapToGrid/>
          <w:color w:val="000000" w:themeColor="text1"/>
          <w:sz w:val="22"/>
          <w:szCs w:val="22"/>
        </w:rPr>
        <w:t xml:space="preserve">3D megavoltage </w:t>
      </w:r>
      <w:r w:rsidR="00764B86">
        <w:rPr>
          <w:rFonts w:ascii="Franklin Gothic Book" w:eastAsiaTheme="minorHAnsi" w:hAnsi="Franklin Gothic Book" w:cstheme="minorBidi"/>
          <w:snapToGrid/>
          <w:color w:val="000000" w:themeColor="text1"/>
          <w:sz w:val="22"/>
          <w:szCs w:val="22"/>
        </w:rPr>
        <w:t>+50% IMRT/VMAT)</w:t>
      </w:r>
      <w:r w:rsidR="00B752D1">
        <w:rPr>
          <w:rFonts w:ascii="Franklin Gothic Book" w:eastAsiaTheme="minorHAnsi" w:hAnsi="Franklin Gothic Book" w:cstheme="minorBidi"/>
          <w:snapToGrid/>
          <w:color w:val="000000" w:themeColor="text1"/>
          <w:sz w:val="22"/>
          <w:szCs w:val="22"/>
        </w:rPr>
        <w:t xml:space="preserve">. The cost increase is </w:t>
      </w:r>
      <w:r w:rsidR="00181EF3">
        <w:rPr>
          <w:rFonts w:ascii="Franklin Gothic Book" w:eastAsiaTheme="minorHAnsi" w:hAnsi="Franklin Gothic Book" w:cstheme="minorBidi"/>
          <w:snapToGrid/>
          <w:color w:val="000000" w:themeColor="text1"/>
          <w:sz w:val="22"/>
          <w:szCs w:val="22"/>
        </w:rPr>
        <w:t>$14,111</w:t>
      </w:r>
      <w:r w:rsidR="00572D2B">
        <w:rPr>
          <w:rFonts w:ascii="Franklin Gothic Book" w:eastAsiaTheme="minorHAnsi" w:hAnsi="Franklin Gothic Book" w:cstheme="minorBidi"/>
          <w:snapToGrid/>
          <w:color w:val="000000" w:themeColor="text1"/>
          <w:sz w:val="22"/>
          <w:szCs w:val="22"/>
        </w:rPr>
        <w:t xml:space="preserve"> to </w:t>
      </w:r>
      <w:r w:rsidR="00181EF3">
        <w:rPr>
          <w:rFonts w:ascii="Franklin Gothic Book" w:eastAsiaTheme="minorHAnsi" w:hAnsi="Franklin Gothic Book" w:cstheme="minorBidi"/>
          <w:snapToGrid/>
          <w:color w:val="000000" w:themeColor="text1"/>
          <w:sz w:val="22"/>
          <w:szCs w:val="22"/>
        </w:rPr>
        <w:t>$16,</w:t>
      </w:r>
      <w:r w:rsidR="00E14E4E">
        <w:rPr>
          <w:rFonts w:ascii="Franklin Gothic Book" w:eastAsiaTheme="minorHAnsi" w:hAnsi="Franklin Gothic Book" w:cstheme="minorBidi"/>
          <w:snapToGrid/>
          <w:color w:val="000000" w:themeColor="text1"/>
          <w:sz w:val="22"/>
          <w:szCs w:val="22"/>
        </w:rPr>
        <w:t>482</w:t>
      </w:r>
      <w:r w:rsidR="00597383">
        <w:rPr>
          <w:rFonts w:ascii="Franklin Gothic Book" w:eastAsiaTheme="minorHAnsi" w:hAnsi="Franklin Gothic Book" w:cstheme="minorBidi"/>
          <w:snapToGrid/>
          <w:color w:val="000000" w:themeColor="text1"/>
          <w:sz w:val="22"/>
          <w:szCs w:val="22"/>
        </w:rPr>
        <w:t xml:space="preserve"> </w:t>
      </w:r>
      <w:r w:rsidR="00087D8E">
        <w:rPr>
          <w:rFonts w:ascii="Franklin Gothic Book" w:eastAsiaTheme="minorHAnsi" w:hAnsi="Franklin Gothic Book" w:cstheme="minorBidi"/>
          <w:snapToGrid/>
          <w:color w:val="000000" w:themeColor="text1"/>
          <w:sz w:val="22"/>
          <w:szCs w:val="22"/>
        </w:rPr>
        <w:t xml:space="preserve">(according to different </w:t>
      </w:r>
      <w:r w:rsidR="00832795">
        <w:rPr>
          <w:rFonts w:ascii="Franklin Gothic Book" w:eastAsiaTheme="minorHAnsi" w:hAnsi="Franklin Gothic Book" w:cstheme="minorBidi"/>
          <w:snapToGrid/>
          <w:color w:val="000000" w:themeColor="text1"/>
          <w:sz w:val="22"/>
          <w:szCs w:val="22"/>
        </w:rPr>
        <w:t xml:space="preserve">assumptions of </w:t>
      </w:r>
      <w:r w:rsidR="00A91890">
        <w:rPr>
          <w:rFonts w:ascii="Franklin Gothic Book" w:eastAsiaTheme="minorHAnsi" w:hAnsi="Franklin Gothic Book" w:cstheme="minorBidi"/>
          <w:snapToGrid/>
          <w:color w:val="000000" w:themeColor="text1"/>
          <w:sz w:val="22"/>
          <w:szCs w:val="22"/>
        </w:rPr>
        <w:t xml:space="preserve">Re-188 usage) </w:t>
      </w:r>
      <w:r w:rsidR="00572D2B">
        <w:rPr>
          <w:rFonts w:ascii="Franklin Gothic Book" w:eastAsiaTheme="minorHAnsi" w:hAnsi="Franklin Gothic Book" w:cstheme="minorBidi"/>
          <w:snapToGrid/>
          <w:color w:val="000000" w:themeColor="text1"/>
          <w:sz w:val="22"/>
          <w:szCs w:val="22"/>
        </w:rPr>
        <w:t xml:space="preserve">where the comparator EBRT modality is </w:t>
      </w:r>
      <w:r w:rsidR="00541A70">
        <w:rPr>
          <w:rFonts w:ascii="Franklin Gothic Book" w:hAnsi="Franklin Gothic Book"/>
          <w:color w:val="000000" w:themeColor="text1"/>
          <w:sz w:val="22"/>
        </w:rPr>
        <w:t>o</w:t>
      </w:r>
      <w:r w:rsidR="00572D2B" w:rsidRPr="00847ADB">
        <w:rPr>
          <w:rFonts w:ascii="Franklin Gothic Book" w:hAnsi="Franklin Gothic Book"/>
          <w:color w:val="000000" w:themeColor="text1"/>
          <w:sz w:val="22"/>
        </w:rPr>
        <w:t>rtho</w:t>
      </w:r>
      <w:r w:rsidR="00541A70">
        <w:rPr>
          <w:rFonts w:ascii="Franklin Gothic Book" w:hAnsi="Franklin Gothic Book"/>
          <w:color w:val="000000" w:themeColor="text1"/>
          <w:sz w:val="22"/>
        </w:rPr>
        <w:t>voltage</w:t>
      </w:r>
      <w:r w:rsidR="00572D2B" w:rsidRPr="00847ADB">
        <w:rPr>
          <w:rFonts w:ascii="Franklin Gothic Book" w:hAnsi="Franklin Gothic Book"/>
          <w:color w:val="000000" w:themeColor="text1"/>
          <w:sz w:val="22"/>
        </w:rPr>
        <w:t xml:space="preserve"> 90% + 5%</w:t>
      </w:r>
      <w:r w:rsidR="00541A70">
        <w:rPr>
          <w:rFonts w:ascii="Franklin Gothic Book" w:hAnsi="Franklin Gothic Book"/>
          <w:color w:val="000000" w:themeColor="text1"/>
          <w:sz w:val="22"/>
        </w:rPr>
        <w:t>3D megavoltage</w:t>
      </w:r>
      <w:r w:rsidR="00572D2B" w:rsidRPr="00847ADB">
        <w:rPr>
          <w:rFonts w:ascii="Franklin Gothic Book" w:hAnsi="Franklin Gothic Book"/>
          <w:color w:val="000000" w:themeColor="text1"/>
          <w:sz w:val="22"/>
        </w:rPr>
        <w:t>+5% IMRT</w:t>
      </w:r>
      <w:r w:rsidR="00541A70">
        <w:rPr>
          <w:rFonts w:ascii="Franklin Gothic Book" w:hAnsi="Franklin Gothic Book"/>
          <w:color w:val="000000" w:themeColor="text1"/>
          <w:sz w:val="22"/>
        </w:rPr>
        <w:t>/VMAT</w:t>
      </w:r>
      <w:r w:rsidR="00A91890">
        <w:rPr>
          <w:rFonts w:ascii="Franklin Gothic Book" w:hAnsi="Franklin Gothic Book"/>
          <w:color w:val="000000" w:themeColor="text1"/>
          <w:sz w:val="22"/>
        </w:rPr>
        <w:t>.</w:t>
      </w:r>
      <w:r w:rsidR="008464A1">
        <w:rPr>
          <w:rFonts w:ascii="Franklin Gothic Book" w:hAnsi="Franklin Gothic Book"/>
          <w:color w:val="000000" w:themeColor="text1"/>
          <w:sz w:val="22"/>
        </w:rPr>
        <w:t xml:space="preserve"> Note: this sensitivity analysis was conducted prior to ESC advice regarding EBRT modalities</w:t>
      </w:r>
      <w:r w:rsidR="006C0988">
        <w:rPr>
          <w:rFonts w:ascii="Franklin Gothic Book" w:hAnsi="Franklin Gothic Book"/>
          <w:color w:val="000000" w:themeColor="text1"/>
          <w:sz w:val="22"/>
        </w:rPr>
        <w:t xml:space="preserve"> and weighting, costing for </w:t>
      </w:r>
      <w:r w:rsidR="004E3DC1">
        <w:rPr>
          <w:rFonts w:ascii="Franklin Gothic Book" w:hAnsi="Franklin Gothic Book"/>
          <w:color w:val="000000" w:themeColor="text1"/>
          <w:sz w:val="22"/>
        </w:rPr>
        <w:t>2D electron rather than 3D megavoltage and amendment of the number of EBRT fractions.</w:t>
      </w:r>
    </w:p>
    <w:p w14:paraId="3050EF23" w14:textId="2BF2D9DF" w:rsidR="00C173A3" w:rsidRPr="00C173A3" w:rsidRDefault="00C60322" w:rsidP="00C173A3">
      <w:pPr>
        <w:pStyle w:val="Tablenotes"/>
        <w:spacing w:before="240"/>
        <w:contextualSpacing w:val="0"/>
        <w:rPr>
          <w:rFonts w:ascii="Franklin Gothic Book" w:eastAsiaTheme="minorHAnsi" w:hAnsi="Franklin Gothic Book"/>
          <w:color w:val="000000" w:themeColor="text1"/>
          <w:sz w:val="22"/>
        </w:rPr>
      </w:pPr>
      <w:r>
        <w:rPr>
          <w:rFonts w:ascii="Franklin Gothic Book" w:hAnsi="Franklin Gothic Book"/>
          <w:color w:val="000000" w:themeColor="text1"/>
          <w:sz w:val="22"/>
        </w:rPr>
        <w:t xml:space="preserve">The applicant’s pre-ESC response considered the commentary sensitivity analysis to account for wastage </w:t>
      </w:r>
      <w:r w:rsidRPr="00C60322">
        <w:rPr>
          <w:rFonts w:ascii="Franklin Gothic Book" w:hAnsi="Franklin Gothic Book"/>
          <w:color w:val="000000" w:themeColor="text1"/>
          <w:sz w:val="22"/>
        </w:rPr>
        <w:t>represents an extreme and invalid comparison of highly inefficient delivery of the new intervention with perfectly efficient delivery of the comparator.</w:t>
      </w:r>
      <w:r>
        <w:rPr>
          <w:rFonts w:ascii="Franklin Gothic Book" w:hAnsi="Franklin Gothic Book"/>
          <w:color w:val="000000" w:themeColor="text1"/>
          <w:sz w:val="22"/>
        </w:rPr>
        <w:t xml:space="preserve"> The pre-ESC response stated that i</w:t>
      </w:r>
      <w:r w:rsidRPr="00C60322">
        <w:rPr>
          <w:rFonts w:ascii="Franklin Gothic Book" w:hAnsi="Franklin Gothic Book"/>
          <w:color w:val="000000" w:themeColor="text1"/>
          <w:sz w:val="22"/>
        </w:rPr>
        <w:t>nitial experience from the few Australian clinics currently providing Re-188 brachytherapy for keratinocyte cancer treatment suggests that batching of patients to enable rational and efficient delivery of the service is entirely feasible</w:t>
      </w:r>
      <w:r>
        <w:rPr>
          <w:rFonts w:ascii="Franklin Gothic Book" w:hAnsi="Franklin Gothic Book"/>
          <w:color w:val="000000" w:themeColor="text1"/>
          <w:sz w:val="22"/>
        </w:rPr>
        <w:t>.</w:t>
      </w:r>
      <w:bookmarkStart w:id="48" w:name="_Ref134538657"/>
      <w:r w:rsidR="00C173A3">
        <w:br w:type="page"/>
      </w:r>
    </w:p>
    <w:p w14:paraId="6E3FDB99" w14:textId="0A88772F" w:rsidR="006B0487" w:rsidRDefault="006B0487" w:rsidP="006B0487">
      <w:pPr>
        <w:pStyle w:val="Caption"/>
        <w:ind w:left="851" w:hanging="851"/>
      </w:pPr>
      <w:r>
        <w:lastRenderedPageBreak/>
        <w:t>Table</w:t>
      </w:r>
      <w:r w:rsidR="002D79B2">
        <w:t xml:space="preserve"> </w:t>
      </w:r>
      <w:r>
        <w:fldChar w:fldCharType="begin"/>
      </w:r>
      <w:r>
        <w:instrText>SEQ Table \* ARABIC</w:instrText>
      </w:r>
      <w:r>
        <w:fldChar w:fldCharType="separate"/>
      </w:r>
      <w:r w:rsidR="009228FB">
        <w:rPr>
          <w:noProof/>
        </w:rPr>
        <w:t>15</w:t>
      </w:r>
      <w:r>
        <w:fldChar w:fldCharType="end"/>
      </w:r>
      <w:bookmarkEnd w:id="48"/>
      <w:r>
        <w:t xml:space="preserve"> </w:t>
      </w:r>
      <w:r w:rsidRPr="003E755C">
        <w:t xml:space="preserve">- Scenario analysis: difference in total treatment costs </w:t>
      </w:r>
      <w:r>
        <w:t>including the carpoule wastage cost of the Re-188 compound, per patient</w:t>
      </w:r>
    </w:p>
    <w:tbl>
      <w:tblPr>
        <w:tblStyle w:val="TableGrid"/>
        <w:tblW w:w="8933" w:type="dxa"/>
        <w:tblLayout w:type="fixed"/>
        <w:tblLook w:val="00A0" w:firstRow="1" w:lastRow="0" w:firstColumn="1" w:lastColumn="0" w:noHBand="0" w:noVBand="0"/>
      </w:tblPr>
      <w:tblGrid>
        <w:gridCol w:w="2547"/>
        <w:gridCol w:w="1596"/>
        <w:gridCol w:w="1596"/>
        <w:gridCol w:w="1596"/>
        <w:gridCol w:w="1598"/>
      </w:tblGrid>
      <w:tr w:rsidR="006B0487" w:rsidRPr="00F775CD" w14:paraId="208B404E" w14:textId="77777777" w:rsidTr="009B59FD">
        <w:trPr>
          <w:trHeight w:val="178"/>
        </w:trPr>
        <w:tc>
          <w:tcPr>
            <w:tcW w:w="2547" w:type="dxa"/>
            <w:vAlign w:val="center"/>
          </w:tcPr>
          <w:p w14:paraId="22D871B2" w14:textId="77777777" w:rsidR="006B0487" w:rsidRPr="008E594B" w:rsidRDefault="006B0487" w:rsidP="009B59FD">
            <w:pPr>
              <w:pStyle w:val="TableText"/>
              <w:rPr>
                <w:b/>
              </w:rPr>
            </w:pPr>
            <w:r w:rsidRPr="008E594B">
              <w:rPr>
                <w:b/>
              </w:rPr>
              <w:t>Scenario analysis</w:t>
            </w:r>
          </w:p>
        </w:tc>
        <w:tc>
          <w:tcPr>
            <w:tcW w:w="1596" w:type="dxa"/>
            <w:vAlign w:val="center"/>
          </w:tcPr>
          <w:p w14:paraId="648E8FE8" w14:textId="77777777" w:rsidR="006B0487" w:rsidRPr="008E594B" w:rsidRDefault="006B0487" w:rsidP="009B59FD">
            <w:pPr>
              <w:pStyle w:val="TableText"/>
              <w:jc w:val="center"/>
              <w:rPr>
                <w:b/>
              </w:rPr>
            </w:pPr>
            <w:r w:rsidRPr="008E594B">
              <w:rPr>
                <w:b/>
              </w:rPr>
              <w:t>Total average treatment cost (</w:t>
            </w:r>
            <w:r w:rsidRPr="008E594B">
              <w:rPr>
                <w:b/>
                <w:bCs/>
              </w:rPr>
              <w:t>Re-188 brachytherapy</w:t>
            </w:r>
            <w:r w:rsidRPr="008E594B">
              <w:rPr>
                <w:b/>
              </w:rPr>
              <w:t>)</w:t>
            </w:r>
          </w:p>
        </w:tc>
        <w:tc>
          <w:tcPr>
            <w:tcW w:w="1596" w:type="dxa"/>
            <w:vAlign w:val="center"/>
          </w:tcPr>
          <w:p w14:paraId="4C3393BE" w14:textId="77777777" w:rsidR="006B0487" w:rsidRPr="008E594B" w:rsidRDefault="006B0487" w:rsidP="009B59FD">
            <w:pPr>
              <w:pStyle w:val="TableText"/>
              <w:jc w:val="center"/>
              <w:rPr>
                <w:b/>
              </w:rPr>
            </w:pPr>
            <w:r w:rsidRPr="008E594B">
              <w:rPr>
                <w:b/>
              </w:rPr>
              <w:t>Total average treatment cost (</w:t>
            </w:r>
            <w:r w:rsidRPr="008E594B">
              <w:rPr>
                <w:b/>
                <w:bCs/>
              </w:rPr>
              <w:t>EBRT</w:t>
            </w:r>
            <w:r w:rsidRPr="008E594B">
              <w:rPr>
                <w:b/>
              </w:rPr>
              <w:t>)</w:t>
            </w:r>
          </w:p>
        </w:tc>
        <w:tc>
          <w:tcPr>
            <w:tcW w:w="1596" w:type="dxa"/>
            <w:vAlign w:val="center"/>
          </w:tcPr>
          <w:p w14:paraId="71B7BF68" w14:textId="77777777" w:rsidR="006B0487" w:rsidRPr="008E594B" w:rsidRDefault="006B0487" w:rsidP="009B59FD">
            <w:pPr>
              <w:pStyle w:val="TableText"/>
              <w:jc w:val="center"/>
              <w:rPr>
                <w:b/>
              </w:rPr>
            </w:pPr>
            <w:r w:rsidRPr="008E594B">
              <w:rPr>
                <w:b/>
              </w:rPr>
              <w:t>Difference in treatment costs</w:t>
            </w:r>
          </w:p>
        </w:tc>
        <w:tc>
          <w:tcPr>
            <w:tcW w:w="1596" w:type="dxa"/>
            <w:vAlign w:val="center"/>
          </w:tcPr>
          <w:p w14:paraId="3136DB63" w14:textId="77777777" w:rsidR="006B0487" w:rsidRPr="008E594B" w:rsidRDefault="006B0487" w:rsidP="009B59FD">
            <w:pPr>
              <w:pStyle w:val="TableText"/>
              <w:jc w:val="center"/>
              <w:rPr>
                <w:b/>
              </w:rPr>
            </w:pPr>
            <w:r w:rsidRPr="008E594B">
              <w:rPr>
                <w:b/>
              </w:rPr>
              <w:t>Difference from the base case</w:t>
            </w:r>
          </w:p>
        </w:tc>
      </w:tr>
      <w:tr w:rsidR="006B0487" w:rsidRPr="00F775CD" w14:paraId="2FB9386E" w14:textId="77777777" w:rsidTr="009B59FD">
        <w:trPr>
          <w:trHeight w:val="178"/>
        </w:trPr>
        <w:tc>
          <w:tcPr>
            <w:tcW w:w="8933" w:type="dxa"/>
            <w:gridSpan w:val="5"/>
            <w:vAlign w:val="center"/>
          </w:tcPr>
          <w:p w14:paraId="192EB3ED" w14:textId="31262150" w:rsidR="006B0487" w:rsidRPr="00912896" w:rsidRDefault="006B0487" w:rsidP="009B59FD">
            <w:pPr>
              <w:pStyle w:val="TableText"/>
              <w:rPr>
                <w:b/>
              </w:rPr>
            </w:pPr>
            <w:r w:rsidRPr="00912896">
              <w:rPr>
                <w:b/>
              </w:rPr>
              <w:t xml:space="preserve">Base Case (Re-188, EBRT – </w:t>
            </w:r>
            <w:r w:rsidR="00541A70">
              <w:rPr>
                <w:b/>
              </w:rPr>
              <w:t>3D megavoltage</w:t>
            </w:r>
            <w:r w:rsidR="00CF146C">
              <w:rPr>
                <w:b/>
              </w:rPr>
              <w:t xml:space="preserve"> &amp; </w:t>
            </w:r>
            <w:r w:rsidRPr="00912896">
              <w:rPr>
                <w:b/>
              </w:rPr>
              <w:t>IMRT</w:t>
            </w:r>
            <w:r w:rsidR="00CF146C">
              <w:rPr>
                <w:b/>
              </w:rPr>
              <w:t>/VMAT</w:t>
            </w:r>
            <w:r w:rsidRPr="00912896">
              <w:rPr>
                <w:b/>
              </w:rPr>
              <w:t>)</w:t>
            </w:r>
          </w:p>
        </w:tc>
      </w:tr>
      <w:tr w:rsidR="006B0487" w:rsidRPr="00FA06D2" w14:paraId="14C75824" w14:textId="77777777" w:rsidTr="009B59FD">
        <w:trPr>
          <w:trHeight w:val="263"/>
        </w:trPr>
        <w:tc>
          <w:tcPr>
            <w:tcW w:w="2547" w:type="dxa"/>
            <w:vAlign w:val="center"/>
          </w:tcPr>
          <w:p w14:paraId="6FB6A9AD" w14:textId="77777777" w:rsidR="006B0487" w:rsidRPr="00F775CD" w:rsidRDefault="006B0487" w:rsidP="009B59FD">
            <w:pPr>
              <w:pStyle w:val="TableText"/>
            </w:pPr>
            <w:r>
              <w:t>Base case</w:t>
            </w:r>
          </w:p>
        </w:tc>
        <w:tc>
          <w:tcPr>
            <w:tcW w:w="1596" w:type="dxa"/>
            <w:vAlign w:val="center"/>
          </w:tcPr>
          <w:p w14:paraId="4D984A42"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$5,438</w:t>
            </w:r>
          </w:p>
        </w:tc>
        <w:tc>
          <w:tcPr>
            <w:tcW w:w="1596" w:type="dxa"/>
            <w:vAlign w:val="center"/>
          </w:tcPr>
          <w:p w14:paraId="66659BEB"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$7,086</w:t>
            </w:r>
          </w:p>
        </w:tc>
        <w:tc>
          <w:tcPr>
            <w:tcW w:w="1596" w:type="dxa"/>
            <w:vAlign w:val="center"/>
          </w:tcPr>
          <w:p w14:paraId="631B6D52"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-$1,648</w:t>
            </w:r>
          </w:p>
        </w:tc>
        <w:tc>
          <w:tcPr>
            <w:tcW w:w="1596" w:type="dxa"/>
            <w:vAlign w:val="center"/>
          </w:tcPr>
          <w:p w14:paraId="2E3DD2A9" w14:textId="77777777" w:rsidR="006B0487" w:rsidRPr="00912896"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w:t>
            </w:r>
          </w:p>
        </w:tc>
      </w:tr>
      <w:tr w:rsidR="006B0487" w:rsidRPr="00FA06D2" w14:paraId="4716CE5C" w14:textId="77777777" w:rsidTr="009B59FD">
        <w:trPr>
          <w:trHeight w:val="263"/>
        </w:trPr>
        <w:tc>
          <w:tcPr>
            <w:tcW w:w="8933" w:type="dxa"/>
            <w:gridSpan w:val="5"/>
            <w:vAlign w:val="center"/>
          </w:tcPr>
          <w:p w14:paraId="3E8D2024" w14:textId="77777777" w:rsidR="006B0487" w:rsidRPr="00912896" w:rsidRDefault="006B0487" w:rsidP="009B59FD">
            <w:pPr>
              <w:pStyle w:val="TableText"/>
              <w:rPr>
                <w:b/>
              </w:rPr>
            </w:pPr>
            <w:r w:rsidRPr="00912896">
              <w:rPr>
                <w:b/>
              </w:rPr>
              <w:t>Carpoule wastage costs of the Re-188 compound included in the MBS fee for Re-188 (no batching)</w:t>
            </w:r>
          </w:p>
        </w:tc>
      </w:tr>
      <w:tr w:rsidR="006B0487" w:rsidRPr="00FA06D2" w14:paraId="05609AE1" w14:textId="77777777" w:rsidTr="009B59FD">
        <w:trPr>
          <w:trHeight w:val="263"/>
        </w:trPr>
        <w:tc>
          <w:tcPr>
            <w:tcW w:w="2547" w:type="dxa"/>
            <w:vAlign w:val="center"/>
          </w:tcPr>
          <w:p w14:paraId="50F76BA0" w14:textId="1ED8D7E0" w:rsidR="006B0487" w:rsidRDefault="006B0487" w:rsidP="009B59FD">
            <w:pPr>
              <w:pStyle w:val="TableText"/>
            </w:pPr>
            <w:r>
              <w:t>Re-188</w:t>
            </w:r>
            <w:r w:rsidR="00246E00">
              <w:t xml:space="preserve"> (1 Tx)</w:t>
            </w:r>
            <w:r w:rsidR="002501C9">
              <w:t xml:space="preserve"> + wastage</w:t>
            </w:r>
            <w:r w:rsidR="002910FF">
              <w:t xml:space="preserve"> vs </w:t>
            </w:r>
            <w:r w:rsidR="00871BBB">
              <w:t>EBRT (</w:t>
            </w:r>
            <w:r w:rsidR="00541A70" w:rsidRPr="00541A70">
              <w:t>3D megavoltage</w:t>
            </w:r>
            <w:r w:rsidR="00CF146C">
              <w:t xml:space="preserve"> &amp; </w:t>
            </w:r>
            <w:r w:rsidR="00871BBB">
              <w:t>IMRT</w:t>
            </w:r>
            <w:r w:rsidR="00CF146C">
              <w:t>/VMAT</w:t>
            </w:r>
            <w:r w:rsidR="00871BBB">
              <w:t>)</w:t>
            </w:r>
          </w:p>
        </w:tc>
        <w:tc>
          <w:tcPr>
            <w:tcW w:w="1596" w:type="dxa"/>
            <w:vAlign w:val="center"/>
          </w:tcPr>
          <w:p w14:paraId="3EE8A88D"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$15,807</w:t>
            </w:r>
          </w:p>
        </w:tc>
        <w:tc>
          <w:tcPr>
            <w:tcW w:w="1596" w:type="dxa"/>
            <w:vAlign w:val="center"/>
          </w:tcPr>
          <w:p w14:paraId="7E96F160"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$7,086</w:t>
            </w:r>
          </w:p>
        </w:tc>
        <w:tc>
          <w:tcPr>
            <w:tcW w:w="1596" w:type="dxa"/>
            <w:vAlign w:val="center"/>
          </w:tcPr>
          <w:p w14:paraId="7FB6ED00"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$8,721</w:t>
            </w:r>
          </w:p>
        </w:tc>
        <w:tc>
          <w:tcPr>
            <w:tcW w:w="1596" w:type="dxa"/>
            <w:vAlign w:val="center"/>
          </w:tcPr>
          <w:p w14:paraId="27AF2664" w14:textId="77777777" w:rsidR="006B0487" w:rsidRPr="00912896" w:rsidRDefault="006B0487" w:rsidP="009B59FD">
            <w:pPr>
              <w:tabs>
                <w:tab w:val="left" w:pos="318"/>
              </w:tabs>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$10,369</w:t>
            </w:r>
          </w:p>
        </w:tc>
      </w:tr>
      <w:tr w:rsidR="006B0487" w:rsidRPr="00FA06D2" w14:paraId="27EFED4B" w14:textId="77777777" w:rsidTr="009B59FD">
        <w:trPr>
          <w:trHeight w:val="263"/>
        </w:trPr>
        <w:tc>
          <w:tcPr>
            <w:tcW w:w="2547" w:type="dxa"/>
            <w:vAlign w:val="center"/>
          </w:tcPr>
          <w:p w14:paraId="66226754" w14:textId="7FDE6FBB" w:rsidR="006B0487" w:rsidRDefault="006B0487" w:rsidP="009B59FD">
            <w:pPr>
              <w:pStyle w:val="TableText"/>
            </w:pPr>
            <w:r>
              <w:t xml:space="preserve"> Re-188</w:t>
            </w:r>
            <w:r w:rsidR="00246E00">
              <w:t xml:space="preserve"> (1 Tx) </w:t>
            </w:r>
            <w:r w:rsidR="002501C9">
              <w:t xml:space="preserve">+ wastage </w:t>
            </w:r>
            <w:r w:rsidR="00F706C7">
              <w:t xml:space="preserve">vs </w:t>
            </w:r>
            <w:r w:rsidR="002501C9">
              <w:t>EBRT (orthovoltage 90%</w:t>
            </w:r>
            <w:r w:rsidR="00CF146C">
              <w:t xml:space="preserve"> </w:t>
            </w:r>
            <w:r w:rsidR="00CF1C3F">
              <w:t xml:space="preserve">+ </w:t>
            </w:r>
            <w:r w:rsidR="00541A70" w:rsidRPr="00541A70">
              <w:t>3D megavoltage</w:t>
            </w:r>
            <w:r w:rsidR="00541A70" w:rsidRPr="00FA06D2" w:rsidDel="00541A70">
              <w:t xml:space="preserve"> </w:t>
            </w:r>
            <w:r w:rsidR="00CF1C3F" w:rsidRPr="00FA06D2">
              <w:t>/IMRT</w:t>
            </w:r>
            <w:r w:rsidR="00CF1C3F">
              <w:t xml:space="preserve"> 10%</w:t>
            </w:r>
            <w:r w:rsidR="002501C9">
              <w:t>)</w:t>
            </w:r>
          </w:p>
        </w:tc>
        <w:tc>
          <w:tcPr>
            <w:tcW w:w="1596" w:type="dxa"/>
            <w:vAlign w:val="center"/>
          </w:tcPr>
          <w:p w14:paraId="50E2E731"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$15,807</w:t>
            </w:r>
          </w:p>
        </w:tc>
        <w:tc>
          <w:tcPr>
            <w:tcW w:w="1596" w:type="dxa"/>
            <w:vAlign w:val="center"/>
          </w:tcPr>
          <w:p w14:paraId="2BCC2F4C"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$1,696</w:t>
            </w:r>
          </w:p>
        </w:tc>
        <w:tc>
          <w:tcPr>
            <w:tcW w:w="1596" w:type="dxa"/>
            <w:vAlign w:val="center"/>
          </w:tcPr>
          <w:p w14:paraId="533F510C"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$14,111</w:t>
            </w:r>
          </w:p>
        </w:tc>
        <w:tc>
          <w:tcPr>
            <w:tcW w:w="1596" w:type="dxa"/>
            <w:vAlign w:val="center"/>
          </w:tcPr>
          <w:p w14:paraId="3F151C6A"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$15,759</w:t>
            </w:r>
          </w:p>
        </w:tc>
      </w:tr>
      <w:tr w:rsidR="006B0487" w:rsidRPr="00FA06D2" w14:paraId="5C9F9321" w14:textId="77777777" w:rsidTr="009B59FD">
        <w:trPr>
          <w:trHeight w:val="263"/>
        </w:trPr>
        <w:tc>
          <w:tcPr>
            <w:tcW w:w="2547" w:type="dxa"/>
            <w:vAlign w:val="center"/>
          </w:tcPr>
          <w:p w14:paraId="3A6F2778" w14:textId="13716474" w:rsidR="006B0487" w:rsidRDefault="006B0487" w:rsidP="009B59FD">
            <w:pPr>
              <w:pStyle w:val="TableText"/>
            </w:pPr>
            <w:r>
              <w:t>Re-188</w:t>
            </w:r>
            <w:r w:rsidR="001224A2">
              <w:t xml:space="preserve"> (</w:t>
            </w:r>
            <w:r w:rsidR="00AA5779">
              <w:t xml:space="preserve">85% </w:t>
            </w:r>
            <w:r w:rsidR="002714CB">
              <w:t>1 Tx</w:t>
            </w:r>
            <w:r w:rsidR="00B902F5">
              <w:t xml:space="preserve"> </w:t>
            </w:r>
            <w:r>
              <w:t xml:space="preserve">, 15% </w:t>
            </w:r>
            <w:r w:rsidR="00AA5779">
              <w:t>2 Tx)</w:t>
            </w:r>
            <w:r>
              <w:t xml:space="preserve"> </w:t>
            </w:r>
            <w:r w:rsidR="00AA5779">
              <w:t xml:space="preserve">+ wastage vs </w:t>
            </w:r>
            <w:r w:rsidR="00CF1C3F">
              <w:t xml:space="preserve">EBRT </w:t>
            </w:r>
            <w:r w:rsidR="0049516D">
              <w:t>(orthovoltage 90%</w:t>
            </w:r>
            <w:r w:rsidR="00CF1C3F">
              <w:t xml:space="preserve"> + </w:t>
            </w:r>
            <w:r w:rsidR="00541A70" w:rsidRPr="00541A70">
              <w:t>3D megavoltage</w:t>
            </w:r>
            <w:r w:rsidR="00541A70" w:rsidRPr="00FA06D2" w:rsidDel="00541A70">
              <w:t xml:space="preserve"> </w:t>
            </w:r>
            <w:r w:rsidR="00CF1C3F" w:rsidRPr="00FA06D2">
              <w:t>/IMRT</w:t>
            </w:r>
            <w:r w:rsidR="00CF1C3F">
              <w:t xml:space="preserve"> 10%</w:t>
            </w:r>
            <w:r w:rsidR="0049516D">
              <w:t>)</w:t>
            </w:r>
          </w:p>
        </w:tc>
        <w:tc>
          <w:tcPr>
            <w:tcW w:w="1596" w:type="dxa"/>
            <w:vAlign w:val="center"/>
          </w:tcPr>
          <w:p w14:paraId="5549FC89"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$18,179</w:t>
            </w:r>
          </w:p>
        </w:tc>
        <w:tc>
          <w:tcPr>
            <w:tcW w:w="1596" w:type="dxa"/>
            <w:vAlign w:val="center"/>
          </w:tcPr>
          <w:p w14:paraId="1269FAB9"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$1,696</w:t>
            </w:r>
          </w:p>
        </w:tc>
        <w:tc>
          <w:tcPr>
            <w:tcW w:w="1596" w:type="dxa"/>
            <w:vAlign w:val="center"/>
          </w:tcPr>
          <w:p w14:paraId="06C454B7"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$16,482</w:t>
            </w:r>
          </w:p>
        </w:tc>
        <w:tc>
          <w:tcPr>
            <w:tcW w:w="1596" w:type="dxa"/>
            <w:vAlign w:val="center"/>
          </w:tcPr>
          <w:p w14:paraId="34F2AB3A" w14:textId="77777777" w:rsidR="006B0487" w:rsidRPr="00CB6A8F" w:rsidRDefault="006B0487" w:rsidP="009B59FD">
            <w:pPr>
              <w:spacing w:before="0"/>
              <w:jc w:val="center"/>
              <w:rPr>
                <w:rFonts w:ascii="Arial Narrow" w:eastAsia="Times New Roman" w:hAnsi="Arial Narrow"/>
                <w:sz w:val="20"/>
                <w:szCs w:val="20"/>
                <w:lang w:eastAsia="en-AU"/>
              </w:rPr>
            </w:pPr>
            <w:r w:rsidRPr="00912896">
              <w:rPr>
                <w:rFonts w:ascii="Arial Narrow" w:eastAsia="Times New Roman" w:hAnsi="Arial Narrow"/>
                <w:sz w:val="20"/>
                <w:szCs w:val="20"/>
                <w:lang w:eastAsia="en-AU"/>
              </w:rPr>
              <w:t>$18,130</w:t>
            </w:r>
          </w:p>
        </w:tc>
      </w:tr>
    </w:tbl>
    <w:p w14:paraId="70DC48A1" w14:textId="00277203" w:rsidR="006B0487" w:rsidRDefault="006B0487" w:rsidP="006B0487">
      <w:pPr>
        <w:pStyle w:val="Tablenotes"/>
      </w:pPr>
      <w:r>
        <w:t xml:space="preserve">Source: </w:t>
      </w:r>
      <w:r w:rsidR="00861A4D">
        <w:t xml:space="preserve">Commentary Table 12, pg 149 of MSAC 1657 ADAR+in-line </w:t>
      </w:r>
      <w:r w:rsidR="00A201A9">
        <w:t>c</w:t>
      </w:r>
      <w:r w:rsidR="00861A4D">
        <w:t>ommentary</w:t>
      </w:r>
    </w:p>
    <w:p w14:paraId="4DDB3B0E" w14:textId="27AC12F6" w:rsidR="006B0487" w:rsidRDefault="006B0487" w:rsidP="006B0487">
      <w:pPr>
        <w:pStyle w:val="Tablenotes"/>
      </w:pPr>
      <w:r>
        <w:t xml:space="preserve">Abbreviations: EBRT = External Beam Radiation Therapy; </w:t>
      </w:r>
      <w:r w:rsidRPr="00F42D9F">
        <w:t>IMRT</w:t>
      </w:r>
      <w:r>
        <w:t xml:space="preserve"> </w:t>
      </w:r>
      <w:r w:rsidRPr="00F42D9F">
        <w:t xml:space="preserve">= </w:t>
      </w:r>
      <w:r w:rsidRPr="00F27C36">
        <w:t>Intensity-</w:t>
      </w:r>
      <w:r>
        <w:t>M</w:t>
      </w:r>
      <w:r w:rsidRPr="00F27C36">
        <w:t xml:space="preserve">odulated </w:t>
      </w:r>
      <w:r>
        <w:t>R</w:t>
      </w:r>
      <w:r w:rsidRPr="00F27C36">
        <w:t xml:space="preserve">adiation </w:t>
      </w:r>
      <w:r>
        <w:t>T</w:t>
      </w:r>
      <w:r w:rsidRPr="00F27C36">
        <w:t>herapy</w:t>
      </w:r>
      <w:r>
        <w:t>; Re-188 = Rhenium 188</w:t>
      </w:r>
      <w:r w:rsidR="00246E00">
        <w:t>; Tx = treatment</w:t>
      </w:r>
      <w:r w:rsidR="00B51726">
        <w:t>; VMAT</w:t>
      </w:r>
      <w:r w:rsidR="00E64A1F">
        <w:t xml:space="preserve"> = </w:t>
      </w:r>
      <w:r w:rsidR="00515CE3">
        <w:t>V</w:t>
      </w:r>
      <w:r w:rsidR="00515CE3" w:rsidRPr="00515CE3">
        <w:t xml:space="preserve">olumetric </w:t>
      </w:r>
      <w:r w:rsidR="00861A4D">
        <w:t>M</w:t>
      </w:r>
      <w:r w:rsidR="00515CE3" w:rsidRPr="00515CE3">
        <w:t xml:space="preserve">odulated </w:t>
      </w:r>
      <w:r w:rsidR="00861A4D">
        <w:t>A</w:t>
      </w:r>
      <w:r w:rsidR="00515CE3" w:rsidRPr="00515CE3">
        <w:t xml:space="preserve">rc </w:t>
      </w:r>
      <w:r w:rsidR="00861A4D">
        <w:t>T</w:t>
      </w:r>
      <w:r w:rsidR="00515CE3" w:rsidRPr="00515CE3">
        <w:t>herapy</w:t>
      </w:r>
    </w:p>
    <w:p w14:paraId="25AE2BAC" w14:textId="163D11A0" w:rsidR="00772829" w:rsidRPr="00CE28E3" w:rsidRDefault="00C36633" w:rsidP="00081764">
      <w:pPr>
        <w:pStyle w:val="Heading2"/>
        <w:numPr>
          <w:ilvl w:val="0"/>
          <w:numId w:val="0"/>
        </w:numPr>
      </w:pPr>
      <w:r>
        <w:t>1</w:t>
      </w:r>
      <w:r w:rsidR="00F76D74">
        <w:t>4</w:t>
      </w:r>
      <w:r>
        <w:t>.</w:t>
      </w:r>
      <w:r>
        <w:tab/>
      </w:r>
      <w:r w:rsidR="00772829" w:rsidRPr="00CE28E3">
        <w:t>Financial/budgetary impacts</w:t>
      </w:r>
      <w:bookmarkEnd w:id="45"/>
    </w:p>
    <w:p w14:paraId="0E62E99D" w14:textId="346118F1" w:rsidR="00313BF3" w:rsidRPr="00313BF3" w:rsidRDefault="00313BF3" w:rsidP="00081764">
      <w:pPr>
        <w:pStyle w:val="Heading3"/>
        <w:keepNext/>
        <w:keepLines/>
      </w:pPr>
      <w:r w:rsidRPr="00313BF3">
        <w:t>Overview of methodology</w:t>
      </w:r>
    </w:p>
    <w:p w14:paraId="7A7DE596" w14:textId="599669F4" w:rsidR="00D428B9" w:rsidRDefault="007A0290" w:rsidP="00081764">
      <w:pPr>
        <w:keepNext/>
        <w:keepLines/>
      </w:pPr>
      <w:r>
        <w:t>Th</w:t>
      </w:r>
      <w:r w:rsidR="00E91E8C">
        <w:t>e</w:t>
      </w:r>
      <w:r w:rsidR="00A71380">
        <w:t xml:space="preserve"> </w:t>
      </w:r>
      <w:r w:rsidR="001B51AF">
        <w:t xml:space="preserve">ADAR presented a </w:t>
      </w:r>
      <w:r w:rsidR="00A71380" w:rsidRPr="00A71380">
        <w:t xml:space="preserve">financial impact </w:t>
      </w:r>
      <w:r w:rsidR="0020217A">
        <w:t xml:space="preserve">analysis </w:t>
      </w:r>
      <w:r w:rsidR="00A71380" w:rsidRPr="00A71380">
        <w:t xml:space="preserve">of </w:t>
      </w:r>
      <w:r w:rsidR="001D638B">
        <w:t>listing</w:t>
      </w:r>
      <w:r w:rsidR="00A71380" w:rsidRPr="00A71380">
        <w:t xml:space="preserve"> Re-188 brachytherapy </w:t>
      </w:r>
      <w:r w:rsidR="001D638B">
        <w:t>on</w:t>
      </w:r>
      <w:r w:rsidR="00A71380" w:rsidRPr="00A71380">
        <w:t xml:space="preserve"> the MBS, from the perspective of the </w:t>
      </w:r>
      <w:r w:rsidR="00AF74C5">
        <w:t>MBS</w:t>
      </w:r>
      <w:r w:rsidR="00A71380" w:rsidRPr="00A71380">
        <w:t>, over a six</w:t>
      </w:r>
      <w:r w:rsidR="00AE6D3B">
        <w:t>-</w:t>
      </w:r>
      <w:r w:rsidR="00A71380" w:rsidRPr="00A71380">
        <w:t>year forward estimates period</w:t>
      </w:r>
      <w:r w:rsidR="001B51AF">
        <w:t>.</w:t>
      </w:r>
      <w:r w:rsidR="00F76D74">
        <w:t xml:space="preserve"> </w:t>
      </w:r>
      <w:r w:rsidR="00553192">
        <w:t>The ADAR estimated</w:t>
      </w:r>
      <w:r w:rsidR="00846CAD">
        <w:t xml:space="preserve"> </w:t>
      </w:r>
      <w:r w:rsidR="006804B3">
        <w:t xml:space="preserve">the </w:t>
      </w:r>
      <w:r w:rsidR="00846CAD">
        <w:t xml:space="preserve">size of the </w:t>
      </w:r>
      <w:r w:rsidR="006804B3">
        <w:t xml:space="preserve">uptake </w:t>
      </w:r>
      <w:r w:rsidR="00A936B8">
        <w:t>populatio</w:t>
      </w:r>
      <w:r w:rsidR="00553192">
        <w:t xml:space="preserve">n </w:t>
      </w:r>
      <w:r w:rsidR="00862A1F">
        <w:t>(</w:t>
      </w:r>
      <w:r w:rsidR="006804B3">
        <w:t>i.e.</w:t>
      </w:r>
      <w:r w:rsidR="00447427">
        <w:t>, portion of</w:t>
      </w:r>
      <w:r w:rsidR="006804B3">
        <w:t xml:space="preserve"> eligible</w:t>
      </w:r>
      <w:r w:rsidR="00447427">
        <w:t xml:space="preserve"> patients who</w:t>
      </w:r>
      <w:r w:rsidR="006804B3">
        <w:t xml:space="preserve"> </w:t>
      </w:r>
      <w:r w:rsidR="005B6F9E">
        <w:t>would be treated with</w:t>
      </w:r>
      <w:r w:rsidR="00125C60">
        <w:t xml:space="preserve"> Re-188 brachytherapy</w:t>
      </w:r>
      <w:r w:rsidR="00862A1F">
        <w:t>)</w:t>
      </w:r>
      <w:r w:rsidR="00A936B8">
        <w:t xml:space="preserve"> </w:t>
      </w:r>
      <w:r w:rsidR="004C215A">
        <w:t>using</w:t>
      </w:r>
      <w:r w:rsidR="00D121C4">
        <w:t xml:space="preserve"> </w:t>
      </w:r>
      <w:r w:rsidR="00AF208C">
        <w:t xml:space="preserve">an ‘internal forecast’ which </w:t>
      </w:r>
      <w:r w:rsidR="009748A4">
        <w:t xml:space="preserve">estimated that </w:t>
      </w:r>
      <w:r w:rsidR="0068706E">
        <w:t xml:space="preserve">500 </w:t>
      </w:r>
      <w:r w:rsidR="00F5186E">
        <w:t>eligible</w:t>
      </w:r>
      <w:r w:rsidR="0068706E" w:rsidDel="00A84076">
        <w:t xml:space="preserve"> </w:t>
      </w:r>
      <w:r w:rsidR="0068706E">
        <w:t>patients</w:t>
      </w:r>
      <w:r w:rsidR="009748A4">
        <w:t xml:space="preserve"> </w:t>
      </w:r>
      <w:r w:rsidR="00636455">
        <w:t>would be treated</w:t>
      </w:r>
      <w:r w:rsidR="00A936B8">
        <w:t xml:space="preserve"> with R</w:t>
      </w:r>
      <w:r w:rsidR="001C1678">
        <w:t>e</w:t>
      </w:r>
      <w:r w:rsidR="00A936B8">
        <w:t>-188</w:t>
      </w:r>
      <w:r w:rsidR="00252A1F">
        <w:t xml:space="preserve"> </w:t>
      </w:r>
      <w:r w:rsidR="00252A1F">
        <w:rPr>
          <w:color w:val="000000" w:themeColor="text1"/>
        </w:rPr>
        <w:t>brachytherapy</w:t>
      </w:r>
      <w:r w:rsidR="00636455">
        <w:t xml:space="preserve"> in Year 1 increasing to </w:t>
      </w:r>
      <w:r w:rsidR="00466516">
        <w:t>8</w:t>
      </w:r>
      <w:r w:rsidR="0068706E">
        <w:t>,000</w:t>
      </w:r>
      <w:r w:rsidR="00636455">
        <w:t xml:space="preserve"> patients in Year 6.</w:t>
      </w:r>
      <w:r w:rsidR="00C82C41">
        <w:t xml:space="preserve"> </w:t>
      </w:r>
      <w:r w:rsidR="00E90AB3">
        <w:t xml:space="preserve">The ADAR assumed that all patients who </w:t>
      </w:r>
      <w:r w:rsidR="00136DBB" w:rsidRPr="00136DBB">
        <w:t>are treated with Re-188 brachytherapy would otherwise have received EBRT</w:t>
      </w:r>
      <w:r w:rsidR="00DD554E">
        <w:t>.</w:t>
      </w:r>
    </w:p>
    <w:p w14:paraId="39355A0B" w14:textId="77777777" w:rsidR="002F00D4" w:rsidRPr="00BF5C05" w:rsidRDefault="002F00D4" w:rsidP="002F00D4">
      <w:pPr>
        <w:pStyle w:val="Heading3"/>
      </w:pPr>
      <w:r w:rsidRPr="000E5C65">
        <w:t>Inputs and assumptions</w:t>
      </w:r>
    </w:p>
    <w:p w14:paraId="4CFBBE7E" w14:textId="17EB12A1" w:rsidR="009452CB" w:rsidRDefault="00C07E8A" w:rsidP="004B45B5">
      <w:r>
        <w:t xml:space="preserve">The </w:t>
      </w:r>
      <w:r w:rsidR="00A201A9">
        <w:t>c</w:t>
      </w:r>
      <w:r>
        <w:t xml:space="preserve">ommentary noted that </w:t>
      </w:r>
      <w:r w:rsidR="000A4E6B">
        <w:t xml:space="preserve">the ADAR did not provide </w:t>
      </w:r>
      <w:r w:rsidR="00A71E07">
        <w:t xml:space="preserve">details </w:t>
      </w:r>
      <w:r w:rsidR="005A3C4E">
        <w:t xml:space="preserve">to justify or substantiate </w:t>
      </w:r>
      <w:r w:rsidR="00A71E07">
        <w:t xml:space="preserve">the ‘internal forecast’ used to estimate the </w:t>
      </w:r>
      <w:r w:rsidR="00090EFF" w:rsidRPr="003848F1">
        <w:t xml:space="preserve">uptake of Re-188 </w:t>
      </w:r>
      <w:r w:rsidR="00090EFF">
        <w:t>brachytherapy</w:t>
      </w:r>
      <w:r w:rsidR="00090EFF" w:rsidRPr="000F053C">
        <w:t xml:space="preserve"> </w:t>
      </w:r>
      <w:r w:rsidR="00090EFF" w:rsidRPr="003848F1">
        <w:t xml:space="preserve">of 500 </w:t>
      </w:r>
      <w:r w:rsidR="00090EFF">
        <w:t xml:space="preserve">patients </w:t>
      </w:r>
      <w:r w:rsidR="00090EFF" w:rsidRPr="003848F1">
        <w:t>in the first year, or for the predicted growth of uptake over the following years</w:t>
      </w:r>
      <w:r w:rsidR="005A3C4E">
        <w:t>.</w:t>
      </w:r>
      <w:r w:rsidR="00153AE7">
        <w:t xml:space="preserve"> </w:t>
      </w:r>
      <w:r w:rsidR="001D622D" w:rsidRPr="003848F1">
        <w:t xml:space="preserve">The </w:t>
      </w:r>
      <w:r w:rsidR="00A201A9">
        <w:t>c</w:t>
      </w:r>
      <w:r w:rsidR="001D622D" w:rsidRPr="003848F1">
        <w:t>ommentary anticipate</w:t>
      </w:r>
      <w:r w:rsidR="00090EFF">
        <w:t>d</w:t>
      </w:r>
      <w:r w:rsidR="00D23EBA" w:rsidRPr="003848F1">
        <w:t xml:space="preserve"> </w:t>
      </w:r>
      <w:r w:rsidR="000D437E">
        <w:t>that the ADAR may have underestimated the</w:t>
      </w:r>
      <w:r w:rsidR="00C60322">
        <w:t xml:space="preserve"> </w:t>
      </w:r>
      <w:r w:rsidR="001D622D" w:rsidRPr="003848F1">
        <w:t xml:space="preserve">population </w:t>
      </w:r>
      <w:r w:rsidR="00654A26" w:rsidRPr="003848F1">
        <w:t xml:space="preserve">primarily </w:t>
      </w:r>
      <w:r w:rsidR="001D622D" w:rsidRPr="003848F1">
        <w:t>because</w:t>
      </w:r>
      <w:r w:rsidR="00D54370" w:rsidRPr="003848F1">
        <w:t xml:space="preserve"> </w:t>
      </w:r>
      <w:r w:rsidR="001D622D" w:rsidRPr="003848F1">
        <w:t>keratinocyte cancers are very commo</w:t>
      </w:r>
      <w:r w:rsidR="00654A26" w:rsidRPr="003848F1">
        <w:t>n in Australia</w:t>
      </w:r>
      <w:r w:rsidR="001D622D" w:rsidRPr="003848F1">
        <w:t>.</w:t>
      </w:r>
      <w:r w:rsidR="00F97E8B">
        <w:rPr>
          <w:i/>
          <w:iCs/>
          <w:color w:val="0070C0"/>
        </w:rPr>
        <w:t xml:space="preserve"> </w:t>
      </w:r>
      <w:r w:rsidR="00D932E9">
        <w:t>A recent publication by</w:t>
      </w:r>
      <w:r w:rsidR="0087097D" w:rsidRPr="00EB1069">
        <w:t xml:space="preserve"> </w:t>
      </w:r>
      <w:r w:rsidR="0087097D" w:rsidRPr="00F42D9F">
        <w:t>Olsen et al (2022)</w:t>
      </w:r>
      <w:r w:rsidR="00852741" w:rsidRPr="00F42D9F">
        <w:rPr>
          <w:rStyle w:val="FootnoteReference"/>
        </w:rPr>
        <w:footnoteReference w:id="22"/>
      </w:r>
      <w:r w:rsidR="0087097D" w:rsidRPr="00F42D9F">
        <w:t xml:space="preserve">, </w:t>
      </w:r>
      <w:r w:rsidR="00D932E9">
        <w:t>estimated th</w:t>
      </w:r>
      <w:r w:rsidR="00435792">
        <w:t xml:space="preserve">at </w:t>
      </w:r>
      <w:r w:rsidR="0087097D" w:rsidRPr="00F42D9F">
        <w:t>about 2.5% of</w:t>
      </w:r>
      <w:r w:rsidR="0087097D" w:rsidRPr="00EB1069">
        <w:t xml:space="preserve"> the</w:t>
      </w:r>
      <w:r w:rsidR="0087097D" w:rsidRPr="0087097D">
        <w:t xml:space="preserve"> Australian population will have a keratinocyte cancer (BCC or SCC) such that the estimated lower end of the range for incidence of keratinocyte lesions is 1,565 per 100,000 person years for BCC, and 580 per 100,000 person years for SCC. Further these tumours occur increasingly in patients 60 years and older.</w:t>
      </w:r>
      <w:r w:rsidR="000D437E">
        <w:t xml:space="preserve"> Although the subset of these patients that would meet the eligibility criteria for Re-188 brachy therapy is not clear. The commentary noted that </w:t>
      </w:r>
      <w:r w:rsidR="00072C1E">
        <w:t xml:space="preserve">it was suggested in the </w:t>
      </w:r>
      <w:r w:rsidR="00674DEB">
        <w:t>ratified</w:t>
      </w:r>
      <w:r w:rsidR="00072C1E">
        <w:t xml:space="preserve"> PICO</w:t>
      </w:r>
      <w:r w:rsidR="00674DEB">
        <w:t xml:space="preserve"> confirmation</w:t>
      </w:r>
      <w:r w:rsidR="00072C1E">
        <w:t xml:space="preserve"> that </w:t>
      </w:r>
      <w:r w:rsidR="004B45B5">
        <w:t xml:space="preserve">the population </w:t>
      </w:r>
      <w:r w:rsidR="004B45B5">
        <w:lastRenderedPageBreak/>
        <w:t>size could be estimated using</w:t>
      </w:r>
      <w:r w:rsidR="00072C1E" w:rsidRPr="00072C1E">
        <w:t xml:space="preserve"> an International Registry of patients on Re-188 brachytherapy (</w:t>
      </w:r>
      <w:r w:rsidR="00674DEB">
        <w:t>MSAC 1657 Ratified</w:t>
      </w:r>
      <w:r w:rsidR="00072C1E" w:rsidRPr="00072C1E">
        <w:t xml:space="preserve"> PICO</w:t>
      </w:r>
      <w:r w:rsidR="00674DEB">
        <w:t xml:space="preserve"> Confirmation</w:t>
      </w:r>
      <w:r w:rsidR="00072C1E" w:rsidRPr="00072C1E">
        <w:t xml:space="preserve">). However, this registry was not rolled out in its entirety (as of November 2021), and the utilisation of Re-188 brachytherapy was unknown. </w:t>
      </w:r>
      <w:r w:rsidR="004B45B5">
        <w:t>Overall, t</w:t>
      </w:r>
      <w:r w:rsidR="00537E22" w:rsidRPr="009452CB">
        <w:t>he</w:t>
      </w:r>
      <w:r w:rsidR="00537E22">
        <w:t xml:space="preserve"> </w:t>
      </w:r>
      <w:r w:rsidR="00A201A9">
        <w:t>c</w:t>
      </w:r>
      <w:r w:rsidR="00537E22">
        <w:t xml:space="preserve">ommentary considered that the </w:t>
      </w:r>
      <w:r w:rsidR="00537E22" w:rsidRPr="009452CB">
        <w:t xml:space="preserve">ADAR did not provide a reliable estimate of the size of the </w:t>
      </w:r>
      <w:r w:rsidR="00C27BAE">
        <w:t>target</w:t>
      </w:r>
      <w:r w:rsidR="008C5902">
        <w:t xml:space="preserve"> </w:t>
      </w:r>
      <w:r w:rsidR="00537E22" w:rsidRPr="009452CB">
        <w:t>population</w:t>
      </w:r>
      <w:r w:rsidR="0083402E">
        <w:t xml:space="preserve"> that could be independently verified</w:t>
      </w:r>
      <w:r w:rsidR="00537E22" w:rsidRPr="009452CB">
        <w:t>, and therefore</w:t>
      </w:r>
      <w:r w:rsidR="006610E1">
        <w:t>,</w:t>
      </w:r>
      <w:r w:rsidR="00F22101">
        <w:t xml:space="preserve"> </w:t>
      </w:r>
      <w:r w:rsidR="00B97383">
        <w:t>the</w:t>
      </w:r>
      <w:r w:rsidR="00537E22" w:rsidRPr="009452CB">
        <w:t xml:space="preserve"> </w:t>
      </w:r>
      <w:r w:rsidR="0083402E">
        <w:t xml:space="preserve">estimated </w:t>
      </w:r>
      <w:r w:rsidR="00537E22" w:rsidRPr="009452CB">
        <w:t>number of p</w:t>
      </w:r>
      <w:r w:rsidR="00B97383">
        <w:t>atients</w:t>
      </w:r>
      <w:r w:rsidR="00537E22" w:rsidRPr="009452CB">
        <w:t xml:space="preserve"> who would utilise the Re-188 </w:t>
      </w:r>
      <w:r w:rsidR="0013127F">
        <w:rPr>
          <w:color w:val="000000" w:themeColor="text1"/>
        </w:rPr>
        <w:t>brachytherapy</w:t>
      </w:r>
      <w:r w:rsidR="00B97383">
        <w:t xml:space="preserve"> is highly uncertain</w:t>
      </w:r>
      <w:r w:rsidR="00537E22" w:rsidRPr="009452CB">
        <w:t>.</w:t>
      </w:r>
    </w:p>
    <w:p w14:paraId="2692C6B1" w14:textId="3F6D9265" w:rsidR="007A61A0" w:rsidRDefault="007C3AF2" w:rsidP="00AC298E">
      <w:r>
        <w:t>The applicant’s pre-</w:t>
      </w:r>
      <w:r w:rsidR="009615F9">
        <w:t xml:space="preserve">MSAC </w:t>
      </w:r>
      <w:r>
        <w:t xml:space="preserve">response </w:t>
      </w:r>
      <w:r w:rsidR="007A61A0">
        <w:t>reiterated</w:t>
      </w:r>
      <w:r>
        <w:t xml:space="preserve"> that</w:t>
      </w:r>
      <w:r w:rsidR="00D57A91">
        <w:t xml:space="preserve"> for now the</w:t>
      </w:r>
      <w:r>
        <w:t xml:space="preserve"> </w:t>
      </w:r>
      <w:r w:rsidR="005C4574">
        <w:t xml:space="preserve">utilisation of Re-188 brachytherapy will not be based on the size </w:t>
      </w:r>
      <w:r w:rsidR="00D57A91">
        <w:t xml:space="preserve">of the eligible population </w:t>
      </w:r>
      <w:r w:rsidR="007A5DD4">
        <w:t>bu</w:t>
      </w:r>
      <w:r w:rsidR="007B5FD3">
        <w:t>t</w:t>
      </w:r>
      <w:r w:rsidR="007A5DD4">
        <w:t xml:space="preserve"> rather on the availability</w:t>
      </w:r>
      <w:r w:rsidR="007B5FD3">
        <w:t xml:space="preserve">, awareness, training, </w:t>
      </w:r>
      <w:r w:rsidR="00010577">
        <w:t>acceptance,</w:t>
      </w:r>
      <w:r w:rsidR="007B5FD3">
        <w:t xml:space="preserve"> and adoption of Re-188 brachytherapy among relevant Australian clinicians. </w:t>
      </w:r>
    </w:p>
    <w:p w14:paraId="087A20A8" w14:textId="2C9D38A4" w:rsidR="00C81F5C" w:rsidRPr="000F4845" w:rsidRDefault="00F02090" w:rsidP="00AC298E">
      <w:r>
        <w:t xml:space="preserve">The commentary noted that the method of </w:t>
      </w:r>
      <w:r w:rsidR="00FA7F59">
        <w:t xml:space="preserve">costing the Re-188 </w:t>
      </w:r>
      <w:r w:rsidR="00180D5C">
        <w:t>brachy</w:t>
      </w:r>
      <w:r w:rsidR="00180D5C" w:rsidRPr="00D84B05">
        <w:t>therapy</w:t>
      </w:r>
      <w:r w:rsidR="00FA7F59">
        <w:t xml:space="preserve"> </w:t>
      </w:r>
      <w:r w:rsidR="00105BB1">
        <w:t>introduced uncertainty into the financial/budgetary impact model.</w:t>
      </w:r>
      <w:r w:rsidR="00841841">
        <w:t xml:space="preserve"> The ADAR calculated an</w:t>
      </w:r>
      <w:r w:rsidR="00105BB1" w:rsidRPr="000F4845">
        <w:t xml:space="preserve"> </w:t>
      </w:r>
      <w:r w:rsidR="00C81F5C" w:rsidRPr="000F4845">
        <w:t xml:space="preserve">“average” treatment cost of Re-188 </w:t>
      </w:r>
      <w:r w:rsidR="00DE7C84">
        <w:rPr>
          <w:color w:val="000000" w:themeColor="text1"/>
        </w:rPr>
        <w:t>brachytherapy</w:t>
      </w:r>
      <w:r w:rsidR="00DE7C84" w:rsidRPr="000F4845">
        <w:t xml:space="preserve"> </w:t>
      </w:r>
      <w:r w:rsidR="00C81F5C" w:rsidRPr="000F4845">
        <w:t xml:space="preserve">and EBRT </w:t>
      </w:r>
      <w:r w:rsidR="00C81F5C">
        <w:t xml:space="preserve">using </w:t>
      </w:r>
      <w:r w:rsidR="00C81F5C" w:rsidRPr="000F4845">
        <w:t>an independent (uniform) distributions of lesion sizes and dose fractionation regimens. This distribution assumes that the lesions are equally distributed across population</w:t>
      </w:r>
      <w:r w:rsidR="00593CA3">
        <w:t xml:space="preserve"> (</w:t>
      </w:r>
      <w:r w:rsidR="0069134E">
        <w:t>3</w:t>
      </w:r>
      <w:r w:rsidR="00CB7D47">
        <w:t>4</w:t>
      </w:r>
      <w:r w:rsidR="0069134E">
        <w:t xml:space="preserve">% </w:t>
      </w:r>
      <w:r w:rsidR="003D5170">
        <w:t xml:space="preserve">lesions </w:t>
      </w:r>
      <w:r w:rsidR="003F4F33">
        <w:t>belonging to tier 1, 33% to tier 2, and 3</w:t>
      </w:r>
      <w:r w:rsidR="00CB7D47">
        <w:t>3</w:t>
      </w:r>
      <w:r w:rsidR="003F4F33">
        <w:t>% to tier 3</w:t>
      </w:r>
      <w:r w:rsidR="00592AA1">
        <w:t>)</w:t>
      </w:r>
      <w:r w:rsidR="00C81F5C">
        <w:t>;</w:t>
      </w:r>
      <w:r w:rsidR="00C81F5C" w:rsidRPr="000F4845">
        <w:t xml:space="preserve"> but the assumptions used in the ADAR</w:t>
      </w:r>
      <w:r w:rsidR="00B31601">
        <w:t xml:space="preserve"> for the financial estimates </w:t>
      </w:r>
      <w:r w:rsidR="00B31601" w:rsidRPr="000F4845">
        <w:t>(29%</w:t>
      </w:r>
      <w:r w:rsidR="00B31601">
        <w:t xml:space="preserve"> of all cases belonged to</w:t>
      </w:r>
      <w:r w:rsidR="00B31601" w:rsidRPr="000F4845">
        <w:t xml:space="preserve"> tier 1, 24% </w:t>
      </w:r>
      <w:r w:rsidR="00B31601">
        <w:t xml:space="preserve">to </w:t>
      </w:r>
      <w:r w:rsidR="00B31601" w:rsidRPr="000F4845">
        <w:t xml:space="preserve">tier 2 and 47% </w:t>
      </w:r>
      <w:r w:rsidR="00B31601">
        <w:t xml:space="preserve">to </w:t>
      </w:r>
      <w:r w:rsidR="00B31601" w:rsidRPr="000F4845">
        <w:t>tier 3)</w:t>
      </w:r>
      <w:r w:rsidR="00B31601">
        <w:t xml:space="preserve"> </w:t>
      </w:r>
      <w:r w:rsidR="00C81F5C" w:rsidRPr="000F4845">
        <w:t>did not reflect the</w:t>
      </w:r>
      <w:r w:rsidR="007525BB">
        <w:t xml:space="preserve"> uniform</w:t>
      </w:r>
      <w:r w:rsidR="00C81F5C" w:rsidRPr="000F4845">
        <w:t xml:space="preserve"> distribution</w:t>
      </w:r>
      <w:r w:rsidR="007525BB">
        <w:t xml:space="preserve"> assumed in the economic analysis</w:t>
      </w:r>
      <w:r w:rsidR="00C81F5C" w:rsidRPr="000F4845">
        <w:t>.</w:t>
      </w:r>
      <w:r w:rsidR="00D066A3" w:rsidRPr="000F4845" w:rsidDel="00D066A3">
        <w:t xml:space="preserve"> </w:t>
      </w:r>
    </w:p>
    <w:p w14:paraId="198DB22F" w14:textId="42772419" w:rsidR="00C81F5C" w:rsidRPr="00B24C67" w:rsidRDefault="00C81F5C" w:rsidP="00C81F5C">
      <w:r>
        <w:t xml:space="preserve">The </w:t>
      </w:r>
      <w:r w:rsidR="001272E2">
        <w:t xml:space="preserve">ADAR did not account for the </w:t>
      </w:r>
      <w:r w:rsidR="001215BE">
        <w:t xml:space="preserve">greatest permissible gap </w:t>
      </w:r>
      <w:r w:rsidR="00A57CC4">
        <w:t xml:space="preserve">(GPG) </w:t>
      </w:r>
      <w:r w:rsidR="001215BE">
        <w:t>when calculating the MBS costs. That is, t</w:t>
      </w:r>
      <w:r w:rsidRPr="003E7162">
        <w:t xml:space="preserve">he </w:t>
      </w:r>
      <w:r w:rsidR="006972B8">
        <w:t xml:space="preserve">ADAR used </w:t>
      </w:r>
      <w:r w:rsidR="005259F4">
        <w:t xml:space="preserve">a </w:t>
      </w:r>
      <w:r w:rsidRPr="003E7162">
        <w:t>cost of IMRT/VMAT dosimetry</w:t>
      </w:r>
      <w:r>
        <w:t xml:space="preserve"> </w:t>
      </w:r>
      <w:r w:rsidR="005259F4">
        <w:t>equal to</w:t>
      </w:r>
      <w:r w:rsidRPr="003E7162">
        <w:t xml:space="preserve"> $3</w:t>
      </w:r>
      <w:r w:rsidR="00297D7F">
        <w:t>,</w:t>
      </w:r>
      <w:r w:rsidRPr="003E7162">
        <w:t>401.05</w:t>
      </w:r>
      <w:r>
        <w:t>, as opposed to the actual value of</w:t>
      </w:r>
      <w:r w:rsidRPr="003E7162">
        <w:t xml:space="preserve"> $3</w:t>
      </w:r>
      <w:r w:rsidR="00297D7F">
        <w:t>,</w:t>
      </w:r>
      <w:r w:rsidRPr="003E7162">
        <w:t>410.05 (difference is $9.0)—</w:t>
      </w:r>
      <w:r>
        <w:t>using the deduction of</w:t>
      </w:r>
      <w:r w:rsidRPr="003E7162">
        <w:t xml:space="preserve"> </w:t>
      </w:r>
      <w:r w:rsidRPr="00B24C67">
        <w:t xml:space="preserve">GPG </w:t>
      </w:r>
      <w:r w:rsidRPr="003E7162">
        <w:t>of $93.20 from the cost</w:t>
      </w:r>
      <w:r>
        <w:t xml:space="preserve"> in its</w:t>
      </w:r>
      <w:r w:rsidRPr="003E7162">
        <w:t xml:space="preserve"> MBS listing </w:t>
      </w:r>
      <w:r>
        <w:t>(</w:t>
      </w:r>
      <w:r w:rsidRPr="003E7162">
        <w:t>$3,503.25</w:t>
      </w:r>
      <w:r>
        <w:t>)</w:t>
      </w:r>
      <w:r w:rsidRPr="003E7162">
        <w:t>.</w:t>
      </w:r>
      <w:r>
        <w:t xml:space="preserve"> </w:t>
      </w:r>
      <w:r w:rsidR="00A57CC4">
        <w:t>Similarly,</w:t>
      </w:r>
      <w:r>
        <w:t xml:space="preserve"> t</w:t>
      </w:r>
      <w:r w:rsidRPr="00B24C67">
        <w:t xml:space="preserve">he estimate for </w:t>
      </w:r>
      <w:r>
        <w:t xml:space="preserve">the </w:t>
      </w:r>
      <w:r w:rsidRPr="00B24C67">
        <w:t xml:space="preserve">cost of Re-188 </w:t>
      </w:r>
      <w:r w:rsidR="00DE7C84">
        <w:rPr>
          <w:color w:val="000000" w:themeColor="text1"/>
        </w:rPr>
        <w:t>brachytherapy</w:t>
      </w:r>
      <w:r w:rsidR="00DE7C84" w:rsidRPr="00B24C67">
        <w:t xml:space="preserve"> </w:t>
      </w:r>
      <w:r w:rsidRPr="00B24C67">
        <w:t xml:space="preserve">items did not utilise the </w:t>
      </w:r>
      <w:r w:rsidRPr="003E7162">
        <w:t>GPG</w:t>
      </w:r>
      <w:r>
        <w:t>.</w:t>
      </w:r>
      <w:r w:rsidRPr="00B24C67">
        <w:t xml:space="preserve"> </w:t>
      </w:r>
      <w:r>
        <w:t>T</w:t>
      </w:r>
      <w:r w:rsidRPr="00B24C67">
        <w:t xml:space="preserve">he </w:t>
      </w:r>
      <w:r w:rsidR="00440A20">
        <w:t>costs to the MBS (accounting for GPG) for Re-188 brachytherapy would be</w:t>
      </w:r>
      <w:r w:rsidRPr="00B24C67">
        <w:t xml:space="preserve"> $3</w:t>
      </w:r>
      <w:r w:rsidR="00297D7F">
        <w:t>,</w:t>
      </w:r>
      <w:r w:rsidRPr="00B24C67">
        <w:t>420</w:t>
      </w:r>
      <w:r w:rsidR="008D2F85">
        <w:t xml:space="preserve"> to </w:t>
      </w:r>
      <w:r w:rsidRPr="00B24C67">
        <w:t>$6</w:t>
      </w:r>
      <w:r w:rsidR="00297D7F">
        <w:t>,</w:t>
      </w:r>
      <w:r w:rsidRPr="00B24C67">
        <w:t>726 based on the size of the lesion</w:t>
      </w:r>
      <w:r>
        <w:t>, as opposed to the range used in the ADAR—$2</w:t>
      </w:r>
      <w:r w:rsidR="00297D7F">
        <w:t>,</w:t>
      </w:r>
      <w:r>
        <w:t>907</w:t>
      </w:r>
      <w:r w:rsidR="008D2F85">
        <w:t xml:space="preserve"> to $</w:t>
      </w:r>
      <w:r>
        <w:t>5</w:t>
      </w:r>
      <w:r w:rsidR="00297D7F">
        <w:t>,</w:t>
      </w:r>
      <w:r>
        <w:t>717</w:t>
      </w:r>
      <w:r w:rsidRPr="00B24C67">
        <w:t>. Th</w:t>
      </w:r>
      <w:r w:rsidR="00864095">
        <w:t>e GPG corrected</w:t>
      </w:r>
      <w:r w:rsidRPr="00B24C67">
        <w:t xml:space="preserve"> costs of Re-188 </w:t>
      </w:r>
      <w:r w:rsidR="00DE7C84">
        <w:rPr>
          <w:color w:val="000000" w:themeColor="text1"/>
        </w:rPr>
        <w:t>brachytherapy</w:t>
      </w:r>
      <w:r w:rsidR="00DE7C84">
        <w:t xml:space="preserve"> </w:t>
      </w:r>
      <w:r>
        <w:t>are</w:t>
      </w:r>
      <w:r w:rsidRPr="00B24C67">
        <w:t xml:space="preserve"> presented in the table below</w:t>
      </w:r>
      <w:r w:rsidR="006B61EE">
        <w:t xml:space="preserve"> (</w:t>
      </w:r>
      <w:r w:rsidR="004A3941">
        <w:fldChar w:fldCharType="begin"/>
      </w:r>
      <w:r w:rsidR="004A3941">
        <w:instrText xml:space="preserve"> REF _Ref133918770 \h </w:instrText>
      </w:r>
      <w:r w:rsidR="004A3941">
        <w:fldChar w:fldCharType="separate"/>
      </w:r>
      <w:r w:rsidR="009228FB">
        <w:t xml:space="preserve">Table </w:t>
      </w:r>
      <w:r w:rsidR="009228FB">
        <w:rPr>
          <w:noProof/>
        </w:rPr>
        <w:t>16</w:t>
      </w:r>
      <w:r w:rsidR="004A3941">
        <w:fldChar w:fldCharType="end"/>
      </w:r>
      <w:r w:rsidR="006B61EE">
        <w:t>)</w:t>
      </w:r>
      <w:r w:rsidRPr="00B24C67">
        <w:t>.</w:t>
      </w:r>
    </w:p>
    <w:p w14:paraId="6BF982B3" w14:textId="12083551" w:rsidR="00C81F5C" w:rsidRPr="00B24C67" w:rsidRDefault="00AB366E" w:rsidP="00562EA6">
      <w:pPr>
        <w:pStyle w:val="Caption"/>
        <w:keepNext w:val="0"/>
      </w:pPr>
      <w:bookmarkStart w:id="49" w:name="_Ref133918770"/>
      <w:r>
        <w:t xml:space="preserve">Table </w:t>
      </w:r>
      <w:r>
        <w:fldChar w:fldCharType="begin"/>
      </w:r>
      <w:r>
        <w:instrText>SEQ Table \* ARABIC</w:instrText>
      </w:r>
      <w:r>
        <w:fldChar w:fldCharType="separate"/>
      </w:r>
      <w:r w:rsidR="009228FB">
        <w:rPr>
          <w:noProof/>
        </w:rPr>
        <w:t>16</w:t>
      </w:r>
      <w:r>
        <w:fldChar w:fldCharType="end"/>
      </w:r>
      <w:bookmarkEnd w:id="49"/>
      <w:r>
        <w:t xml:space="preserve"> </w:t>
      </w:r>
      <w:r w:rsidR="00C81F5C">
        <w:t>C</w:t>
      </w:r>
      <w:r w:rsidR="00C81F5C" w:rsidRPr="00B24C67">
        <w:t>ost to MBS for</w:t>
      </w:r>
      <w:r w:rsidR="006E71DF">
        <w:t xml:space="preserve"> Re-188</w:t>
      </w:r>
      <w:r w:rsidR="006B61EE">
        <w:t xml:space="preserve"> </w:t>
      </w:r>
      <w:r w:rsidR="00D128E2">
        <w:t>brachy</w:t>
      </w:r>
      <w:r w:rsidR="00D128E2" w:rsidRPr="00D84B05">
        <w:t>therapy</w:t>
      </w:r>
      <w:r w:rsidR="00D128E2">
        <w:t xml:space="preserve"> </w:t>
      </w:r>
      <w:r w:rsidR="006B61EE">
        <w:t>treatment’s</w:t>
      </w:r>
      <w:r w:rsidR="00C81F5C" w:rsidRPr="00B24C67">
        <w:t xml:space="preserve"> three tier items based on lesion size</w:t>
      </w:r>
    </w:p>
    <w:tbl>
      <w:tblPr>
        <w:tblStyle w:val="TableGrid"/>
        <w:tblW w:w="5000" w:type="pct"/>
        <w:tblLayout w:type="fixed"/>
        <w:tblLook w:val="04A0" w:firstRow="1" w:lastRow="0" w:firstColumn="1" w:lastColumn="0" w:noHBand="0" w:noVBand="1"/>
      </w:tblPr>
      <w:tblGrid>
        <w:gridCol w:w="1480"/>
        <w:gridCol w:w="2202"/>
        <w:gridCol w:w="1843"/>
        <w:gridCol w:w="1984"/>
        <w:gridCol w:w="1507"/>
      </w:tblGrid>
      <w:tr w:rsidR="00B8527D" w:rsidRPr="00B24C67" w14:paraId="5B4C9B4A" w14:textId="77777777" w:rsidTr="003848F1">
        <w:trPr>
          <w:cantSplit/>
          <w:trHeight w:val="277"/>
          <w:tblHeader/>
        </w:trPr>
        <w:tc>
          <w:tcPr>
            <w:tcW w:w="821" w:type="pct"/>
            <w:shd w:val="clear" w:color="auto" w:fill="auto"/>
            <w:noWrap/>
            <w:hideMark/>
          </w:tcPr>
          <w:p w14:paraId="5E17EDC2" w14:textId="77777777" w:rsidR="00C81F5C" w:rsidRPr="00B24C67" w:rsidRDefault="00C81F5C" w:rsidP="00562EA6">
            <w:pPr>
              <w:pStyle w:val="TableHeadingCA"/>
              <w:spacing w:before="40" w:after="40"/>
            </w:pPr>
            <w:r w:rsidRPr="00B24C67">
              <w:t>Lesion size tier</w:t>
            </w:r>
          </w:p>
        </w:tc>
        <w:tc>
          <w:tcPr>
            <w:tcW w:w="1221" w:type="pct"/>
            <w:shd w:val="clear" w:color="auto" w:fill="auto"/>
            <w:noWrap/>
            <w:vAlign w:val="center"/>
            <w:hideMark/>
          </w:tcPr>
          <w:p w14:paraId="5709187F" w14:textId="77777777" w:rsidR="00C81F5C" w:rsidRPr="00B24C67" w:rsidRDefault="00C81F5C" w:rsidP="00562EA6">
            <w:pPr>
              <w:pStyle w:val="TableHeadingCA"/>
              <w:spacing w:before="40" w:after="40"/>
            </w:pPr>
            <w:r w:rsidRPr="00B24C67">
              <w:t>Mid-point of the lesion size range (cm</w:t>
            </w:r>
            <w:r w:rsidRPr="00B24C67">
              <w:rPr>
                <w:vertAlign w:val="superscript"/>
              </w:rPr>
              <w:t>2</w:t>
            </w:r>
            <w:r w:rsidRPr="00B24C67">
              <w:t>)</w:t>
            </w:r>
          </w:p>
        </w:tc>
        <w:tc>
          <w:tcPr>
            <w:tcW w:w="1022" w:type="pct"/>
            <w:shd w:val="clear" w:color="auto" w:fill="auto"/>
            <w:noWrap/>
            <w:vAlign w:val="center"/>
            <w:hideMark/>
          </w:tcPr>
          <w:p w14:paraId="12FDA4FE" w14:textId="77777777" w:rsidR="00C81F5C" w:rsidRPr="00B24C67" w:rsidRDefault="00C81F5C" w:rsidP="00562EA6">
            <w:pPr>
              <w:pStyle w:val="TableHeadingCA"/>
              <w:spacing w:before="40" w:after="40"/>
            </w:pPr>
            <w:r w:rsidRPr="00B24C67">
              <w:t>Cost</w:t>
            </w:r>
          </w:p>
        </w:tc>
        <w:tc>
          <w:tcPr>
            <w:tcW w:w="1100" w:type="pct"/>
            <w:shd w:val="clear" w:color="auto" w:fill="auto"/>
            <w:noWrap/>
            <w:vAlign w:val="center"/>
            <w:hideMark/>
          </w:tcPr>
          <w:p w14:paraId="27AF6A7C" w14:textId="77777777" w:rsidR="00C81F5C" w:rsidRPr="00B24C67" w:rsidRDefault="00C81F5C" w:rsidP="00562EA6">
            <w:pPr>
              <w:pStyle w:val="TableHeadingCA"/>
              <w:spacing w:before="40" w:after="40"/>
            </w:pPr>
            <w:r w:rsidRPr="00B24C67">
              <w:t>85% MBS benefit</w:t>
            </w:r>
          </w:p>
        </w:tc>
        <w:tc>
          <w:tcPr>
            <w:tcW w:w="836" w:type="pct"/>
            <w:shd w:val="clear" w:color="auto" w:fill="auto"/>
            <w:noWrap/>
            <w:vAlign w:val="center"/>
            <w:hideMark/>
          </w:tcPr>
          <w:p w14:paraId="0F94D218" w14:textId="77777777" w:rsidR="00C81F5C" w:rsidRPr="00B24C67" w:rsidRDefault="00C81F5C" w:rsidP="00562EA6">
            <w:pPr>
              <w:pStyle w:val="TableHeadingCA"/>
              <w:spacing w:before="40" w:after="40"/>
            </w:pPr>
            <w:r w:rsidRPr="00B24C67">
              <w:t>Cost- GPG*</w:t>
            </w:r>
          </w:p>
        </w:tc>
      </w:tr>
      <w:tr w:rsidR="00C81F5C" w:rsidRPr="00B24C67" w14:paraId="61D63D80" w14:textId="77777777" w:rsidTr="00387CBC">
        <w:trPr>
          <w:cantSplit/>
          <w:trHeight w:val="282"/>
        </w:trPr>
        <w:tc>
          <w:tcPr>
            <w:tcW w:w="821" w:type="pct"/>
            <w:noWrap/>
            <w:hideMark/>
          </w:tcPr>
          <w:p w14:paraId="24EE450B" w14:textId="77777777" w:rsidR="00C81F5C" w:rsidRPr="00B24C67" w:rsidRDefault="00C81F5C" w:rsidP="00562EA6">
            <w:pPr>
              <w:pStyle w:val="TableText"/>
            </w:pPr>
            <w:r w:rsidRPr="00B24C67">
              <w:t>1</w:t>
            </w:r>
          </w:p>
        </w:tc>
        <w:tc>
          <w:tcPr>
            <w:tcW w:w="1221" w:type="pct"/>
            <w:noWrap/>
            <w:vAlign w:val="center"/>
            <w:hideMark/>
          </w:tcPr>
          <w:p w14:paraId="63DB84B2" w14:textId="77777777" w:rsidR="00C81F5C" w:rsidRPr="00B24C67" w:rsidRDefault="00C81F5C" w:rsidP="00562EA6">
            <w:pPr>
              <w:pStyle w:val="TableText"/>
              <w:jc w:val="center"/>
            </w:pPr>
            <w:r w:rsidRPr="00B24C67">
              <w:t>2.25</w:t>
            </w:r>
          </w:p>
        </w:tc>
        <w:tc>
          <w:tcPr>
            <w:tcW w:w="1022" w:type="pct"/>
            <w:noWrap/>
            <w:vAlign w:val="center"/>
            <w:hideMark/>
          </w:tcPr>
          <w:p w14:paraId="777E885D" w14:textId="77777777" w:rsidR="00C81F5C" w:rsidRPr="00B24C67" w:rsidRDefault="00C81F5C" w:rsidP="00562EA6">
            <w:pPr>
              <w:pStyle w:val="TableText"/>
              <w:jc w:val="center"/>
            </w:pPr>
            <w:r w:rsidRPr="00B24C67">
              <w:t>$3,420.00</w:t>
            </w:r>
          </w:p>
        </w:tc>
        <w:tc>
          <w:tcPr>
            <w:tcW w:w="1100" w:type="pct"/>
            <w:noWrap/>
            <w:vAlign w:val="center"/>
            <w:hideMark/>
          </w:tcPr>
          <w:p w14:paraId="4C42409C" w14:textId="77777777" w:rsidR="00C81F5C" w:rsidRPr="00B24C67" w:rsidRDefault="00C81F5C" w:rsidP="00562EA6">
            <w:pPr>
              <w:pStyle w:val="TableText"/>
              <w:jc w:val="center"/>
            </w:pPr>
            <w:r w:rsidRPr="00B24C67">
              <w:t>$2,907.00</w:t>
            </w:r>
          </w:p>
        </w:tc>
        <w:tc>
          <w:tcPr>
            <w:tcW w:w="836" w:type="pct"/>
            <w:noWrap/>
            <w:vAlign w:val="center"/>
            <w:hideMark/>
          </w:tcPr>
          <w:p w14:paraId="24B57F02" w14:textId="77777777" w:rsidR="00C81F5C" w:rsidRPr="00B24C67" w:rsidRDefault="00C81F5C" w:rsidP="00562EA6">
            <w:pPr>
              <w:pStyle w:val="TableText"/>
              <w:jc w:val="center"/>
            </w:pPr>
            <w:r w:rsidRPr="00B24C67">
              <w:t>$3,326.80</w:t>
            </w:r>
          </w:p>
        </w:tc>
      </w:tr>
      <w:tr w:rsidR="00C81F5C" w:rsidRPr="00B24C67" w14:paraId="31CE2E8A" w14:textId="77777777" w:rsidTr="00387CBC">
        <w:trPr>
          <w:cantSplit/>
          <w:trHeight w:val="282"/>
        </w:trPr>
        <w:tc>
          <w:tcPr>
            <w:tcW w:w="821" w:type="pct"/>
            <w:noWrap/>
            <w:hideMark/>
          </w:tcPr>
          <w:p w14:paraId="7302462B" w14:textId="77777777" w:rsidR="00C81F5C" w:rsidRPr="00B24C67" w:rsidRDefault="00C81F5C" w:rsidP="00562EA6">
            <w:pPr>
              <w:pStyle w:val="TableText"/>
            </w:pPr>
            <w:r w:rsidRPr="00B24C67">
              <w:t>2</w:t>
            </w:r>
          </w:p>
        </w:tc>
        <w:tc>
          <w:tcPr>
            <w:tcW w:w="1221" w:type="pct"/>
            <w:noWrap/>
            <w:vAlign w:val="center"/>
            <w:hideMark/>
          </w:tcPr>
          <w:p w14:paraId="394AC453" w14:textId="77777777" w:rsidR="00C81F5C" w:rsidRPr="00B24C67" w:rsidRDefault="00C81F5C" w:rsidP="00562EA6">
            <w:pPr>
              <w:pStyle w:val="TableText"/>
              <w:jc w:val="center"/>
            </w:pPr>
            <w:r w:rsidRPr="00B24C67">
              <w:t>4</w:t>
            </w:r>
          </w:p>
        </w:tc>
        <w:tc>
          <w:tcPr>
            <w:tcW w:w="1022" w:type="pct"/>
            <w:noWrap/>
            <w:vAlign w:val="center"/>
            <w:hideMark/>
          </w:tcPr>
          <w:p w14:paraId="045A82CA" w14:textId="77777777" w:rsidR="00C81F5C" w:rsidRPr="00B24C67" w:rsidRDefault="00C81F5C" w:rsidP="00562EA6">
            <w:pPr>
              <w:pStyle w:val="TableText"/>
              <w:jc w:val="center"/>
            </w:pPr>
            <w:r w:rsidRPr="00B24C67">
              <w:t>$4,781.00</w:t>
            </w:r>
          </w:p>
        </w:tc>
        <w:tc>
          <w:tcPr>
            <w:tcW w:w="1100" w:type="pct"/>
            <w:noWrap/>
            <w:vAlign w:val="center"/>
            <w:hideMark/>
          </w:tcPr>
          <w:p w14:paraId="1F5842AC" w14:textId="77777777" w:rsidR="00C81F5C" w:rsidRPr="00B24C67" w:rsidRDefault="00C81F5C" w:rsidP="00562EA6">
            <w:pPr>
              <w:pStyle w:val="TableText"/>
              <w:jc w:val="center"/>
            </w:pPr>
            <w:r w:rsidRPr="00B24C67">
              <w:t>$4,063.85</w:t>
            </w:r>
          </w:p>
        </w:tc>
        <w:tc>
          <w:tcPr>
            <w:tcW w:w="836" w:type="pct"/>
            <w:noWrap/>
            <w:vAlign w:val="center"/>
            <w:hideMark/>
          </w:tcPr>
          <w:p w14:paraId="1802784F" w14:textId="77777777" w:rsidR="00C81F5C" w:rsidRPr="00B24C67" w:rsidRDefault="00C81F5C" w:rsidP="00562EA6">
            <w:pPr>
              <w:pStyle w:val="TableText"/>
              <w:jc w:val="center"/>
            </w:pPr>
            <w:r w:rsidRPr="00B24C67">
              <w:t>$4,687.80</w:t>
            </w:r>
          </w:p>
        </w:tc>
      </w:tr>
      <w:tr w:rsidR="00C81F5C" w:rsidRPr="00B24C67" w14:paraId="7679C81F" w14:textId="77777777" w:rsidTr="00387CBC">
        <w:trPr>
          <w:cantSplit/>
          <w:trHeight w:val="282"/>
        </w:trPr>
        <w:tc>
          <w:tcPr>
            <w:tcW w:w="821" w:type="pct"/>
            <w:tcBorders>
              <w:bottom w:val="single" w:sz="4" w:space="0" w:color="auto"/>
            </w:tcBorders>
            <w:noWrap/>
            <w:hideMark/>
          </w:tcPr>
          <w:p w14:paraId="4DDC34AE" w14:textId="77777777" w:rsidR="00C81F5C" w:rsidRPr="00B24C67" w:rsidRDefault="00C81F5C" w:rsidP="00562EA6">
            <w:pPr>
              <w:pStyle w:val="TableText"/>
            </w:pPr>
            <w:r w:rsidRPr="00B24C67">
              <w:t>3</w:t>
            </w:r>
          </w:p>
        </w:tc>
        <w:tc>
          <w:tcPr>
            <w:tcW w:w="1221" w:type="pct"/>
            <w:tcBorders>
              <w:bottom w:val="single" w:sz="4" w:space="0" w:color="auto"/>
            </w:tcBorders>
            <w:noWrap/>
            <w:vAlign w:val="center"/>
            <w:hideMark/>
          </w:tcPr>
          <w:p w14:paraId="13DDDB2B" w14:textId="77777777" w:rsidR="00C81F5C" w:rsidRPr="00B24C67" w:rsidRDefault="00C81F5C" w:rsidP="00562EA6">
            <w:pPr>
              <w:pStyle w:val="TableText"/>
              <w:jc w:val="center"/>
            </w:pPr>
            <w:r w:rsidRPr="00B24C67">
              <w:t>6.5</w:t>
            </w:r>
          </w:p>
        </w:tc>
        <w:tc>
          <w:tcPr>
            <w:tcW w:w="1022" w:type="pct"/>
            <w:tcBorders>
              <w:bottom w:val="single" w:sz="4" w:space="0" w:color="auto"/>
            </w:tcBorders>
            <w:noWrap/>
            <w:vAlign w:val="center"/>
            <w:hideMark/>
          </w:tcPr>
          <w:p w14:paraId="412DBFF0" w14:textId="77777777" w:rsidR="00C81F5C" w:rsidRPr="00B24C67" w:rsidRDefault="00C81F5C" w:rsidP="00562EA6">
            <w:pPr>
              <w:pStyle w:val="TableText"/>
              <w:jc w:val="center"/>
            </w:pPr>
            <w:r w:rsidRPr="00B24C67">
              <w:t>$6,726.00</w:t>
            </w:r>
          </w:p>
        </w:tc>
        <w:tc>
          <w:tcPr>
            <w:tcW w:w="1100" w:type="pct"/>
            <w:tcBorders>
              <w:bottom w:val="single" w:sz="4" w:space="0" w:color="auto"/>
            </w:tcBorders>
            <w:noWrap/>
            <w:vAlign w:val="center"/>
            <w:hideMark/>
          </w:tcPr>
          <w:p w14:paraId="13292053" w14:textId="77777777" w:rsidR="00C81F5C" w:rsidRPr="00B24C67" w:rsidRDefault="00C81F5C" w:rsidP="00562EA6">
            <w:pPr>
              <w:pStyle w:val="TableText"/>
              <w:jc w:val="center"/>
            </w:pPr>
            <w:r w:rsidRPr="00B24C67">
              <w:t>$5,717.10</w:t>
            </w:r>
          </w:p>
        </w:tc>
        <w:tc>
          <w:tcPr>
            <w:tcW w:w="836" w:type="pct"/>
            <w:tcBorders>
              <w:bottom w:val="single" w:sz="4" w:space="0" w:color="auto"/>
            </w:tcBorders>
            <w:noWrap/>
            <w:vAlign w:val="center"/>
            <w:hideMark/>
          </w:tcPr>
          <w:p w14:paraId="2BC9C43B" w14:textId="77777777" w:rsidR="00C81F5C" w:rsidRPr="00B24C67" w:rsidRDefault="00C81F5C" w:rsidP="00562EA6">
            <w:pPr>
              <w:pStyle w:val="TableText"/>
              <w:jc w:val="center"/>
            </w:pPr>
            <w:r w:rsidRPr="00B24C67">
              <w:t>$6,632.80</w:t>
            </w:r>
          </w:p>
        </w:tc>
      </w:tr>
    </w:tbl>
    <w:p w14:paraId="1151A3FF" w14:textId="2E0A08F9" w:rsidR="0057064C" w:rsidRPr="00B24C67" w:rsidRDefault="0057064C" w:rsidP="00562EA6">
      <w:pPr>
        <w:pStyle w:val="Tablenotes"/>
      </w:pPr>
      <w:r w:rsidRPr="00B24C67">
        <w:t xml:space="preserve">Source: </w:t>
      </w:r>
      <w:r w:rsidR="00C60322">
        <w:t>Table 20, pg 33 of MSAC 1657 Commentary Executive Summary</w:t>
      </w:r>
      <w:r w:rsidRPr="00B24C67">
        <w:t xml:space="preserve"> </w:t>
      </w:r>
    </w:p>
    <w:p w14:paraId="38FF5269" w14:textId="45A7ADF6" w:rsidR="00C81F5C" w:rsidRPr="00B24C67" w:rsidRDefault="0057064C" w:rsidP="00562EA6">
      <w:pPr>
        <w:pStyle w:val="Tablenotes"/>
      </w:pPr>
      <w:r>
        <w:t xml:space="preserve">Abbreviations: </w:t>
      </w:r>
      <w:r w:rsidR="00C81F5C" w:rsidRPr="00B24C67">
        <w:t>GPG</w:t>
      </w:r>
      <w:r w:rsidR="00592D07">
        <w:t>=</w:t>
      </w:r>
      <w:r w:rsidR="00C81F5C" w:rsidRPr="00B24C67">
        <w:t xml:space="preserve"> Greatest permissible gap considered as $93.20 November 2022 onwards</w:t>
      </w:r>
    </w:p>
    <w:p w14:paraId="36095771" w14:textId="2E303939" w:rsidR="00C81F5C" w:rsidRPr="00B24C67" w:rsidRDefault="00C81F5C" w:rsidP="00562EA6">
      <w:pPr>
        <w:pStyle w:val="Tablenotes"/>
      </w:pPr>
      <w:r w:rsidRPr="00B24C67">
        <w:t xml:space="preserve">*Applicable to the </w:t>
      </w:r>
      <w:r w:rsidR="00FF6342">
        <w:t xml:space="preserve">MSAC 1657 </w:t>
      </w:r>
      <w:r w:rsidRPr="00B24C67">
        <w:t>ADAR</w:t>
      </w:r>
    </w:p>
    <w:p w14:paraId="2FC903DA" w14:textId="6FB0B8AF" w:rsidR="00E6583B" w:rsidRDefault="00E26946" w:rsidP="00C173A3">
      <w:pPr>
        <w:spacing w:before="240"/>
      </w:pPr>
      <w:r>
        <w:t xml:space="preserve">As noted in the section 10 – Economic Evaluation, the ADAR has not addressed batching </w:t>
      </w:r>
      <w:r w:rsidR="00E95A51">
        <w:t>lesion treatment</w:t>
      </w:r>
      <w:r w:rsidR="00F32B64">
        <w:t>,</w:t>
      </w:r>
      <w:r w:rsidR="00E95A51">
        <w:t xml:space="preserve"> </w:t>
      </w:r>
      <w:r>
        <w:t>wastage of the Re-188 comp</w:t>
      </w:r>
      <w:r w:rsidR="00E95A51">
        <w:t>ound</w:t>
      </w:r>
      <w:r w:rsidR="00F32B64">
        <w:t xml:space="preserve"> or the discrepancy in the total area that one carpoule of Re-188 can treat (i.e., 18 cm</w:t>
      </w:r>
      <w:r w:rsidR="00F32B64">
        <w:rPr>
          <w:vertAlign w:val="superscript"/>
        </w:rPr>
        <w:t>2</w:t>
      </w:r>
      <w:r w:rsidR="00F32B64">
        <w:t xml:space="preserve"> or 25 cm</w:t>
      </w:r>
      <w:r w:rsidR="00F32B64">
        <w:rPr>
          <w:vertAlign w:val="superscript"/>
        </w:rPr>
        <w:t>2</w:t>
      </w:r>
      <w:r w:rsidR="00F32B64">
        <w:t>)</w:t>
      </w:r>
      <w:r w:rsidR="00E95A51">
        <w:t xml:space="preserve">. It is </w:t>
      </w:r>
      <w:r w:rsidR="008C22C6">
        <w:t>un</w:t>
      </w:r>
      <w:r w:rsidR="00E95A51">
        <w:t>clear what implications this has for the financial analysis</w:t>
      </w:r>
      <w:r w:rsidR="00804B62">
        <w:t xml:space="preserve">. </w:t>
      </w:r>
      <w:r w:rsidR="00FF5175">
        <w:t xml:space="preserve">The </w:t>
      </w:r>
      <w:r w:rsidR="00A201A9">
        <w:t>c</w:t>
      </w:r>
      <w:r w:rsidR="00FF5175">
        <w:t xml:space="preserve">ommentary notes it is </w:t>
      </w:r>
      <w:r w:rsidR="00381CA8">
        <w:t>unclear if</w:t>
      </w:r>
      <w:r w:rsidR="00FF5175">
        <w:t xml:space="preserve"> any costs associated with wastage </w:t>
      </w:r>
      <w:r w:rsidR="00381CA8">
        <w:t xml:space="preserve">may </w:t>
      </w:r>
      <w:r w:rsidR="00FF5175">
        <w:t xml:space="preserve">be passed on as out-of-pocket expenses to the patient. </w:t>
      </w:r>
      <w:r w:rsidR="00381CA8" w:rsidRPr="00381CA8">
        <w:t>These costs could be significant (potentially $777 per cm</w:t>
      </w:r>
      <w:r w:rsidR="00381CA8" w:rsidRPr="00A40F10">
        <w:rPr>
          <w:vertAlign w:val="superscript"/>
        </w:rPr>
        <w:t>2</w:t>
      </w:r>
      <w:r w:rsidR="00381CA8" w:rsidRPr="00381CA8">
        <w:t xml:space="preserve"> wastage).</w:t>
      </w:r>
    </w:p>
    <w:p w14:paraId="6443DDBB" w14:textId="736CE9C1" w:rsidR="00FF1E84" w:rsidRPr="00F4070B" w:rsidRDefault="00F4070B" w:rsidP="003848F1">
      <w:pPr>
        <w:pStyle w:val="Heading3"/>
      </w:pPr>
      <w:r w:rsidRPr="00F4070B">
        <w:t>Net financial implications to the MBS</w:t>
      </w:r>
      <w:r w:rsidR="00171EF3">
        <w:t xml:space="preserve"> using EBRT (</w:t>
      </w:r>
      <w:r w:rsidR="00541A70" w:rsidRPr="00541A70">
        <w:t>3D megavoltage</w:t>
      </w:r>
      <w:r w:rsidR="00E64A1F">
        <w:t xml:space="preserve"> &amp; </w:t>
      </w:r>
      <w:r w:rsidR="00B7042D">
        <w:t>IMRT</w:t>
      </w:r>
      <w:r w:rsidR="00E64A1F">
        <w:t>/VMAT</w:t>
      </w:r>
      <w:r w:rsidR="00B7042D">
        <w:t>) as compa</w:t>
      </w:r>
      <w:r w:rsidR="0099028C">
        <w:t>r</w:t>
      </w:r>
      <w:r w:rsidR="00B7042D">
        <w:t>ator</w:t>
      </w:r>
    </w:p>
    <w:p w14:paraId="011AE615" w14:textId="6712ADDB" w:rsidR="0031799A" w:rsidRDefault="00D428B9" w:rsidP="00081764">
      <w:r w:rsidRPr="00CE28E3">
        <w:t xml:space="preserve">The financial implications to the </w:t>
      </w:r>
      <w:r w:rsidR="00A13313">
        <w:t>MBS</w:t>
      </w:r>
      <w:r w:rsidRPr="00CE28E3">
        <w:t xml:space="preserve"> resulting from the proposed listing of </w:t>
      </w:r>
      <w:r w:rsidR="00AC1BC9">
        <w:t xml:space="preserve">Rhenium </w:t>
      </w:r>
      <w:r w:rsidR="00FD692B">
        <w:t>188</w:t>
      </w:r>
      <w:r w:rsidRPr="00CE28E3">
        <w:t xml:space="preserve"> </w:t>
      </w:r>
      <w:r w:rsidR="00891AEB">
        <w:t>brachytherapy</w:t>
      </w:r>
      <w:r w:rsidR="00E2652C">
        <w:t xml:space="preserve"> for treatment of </w:t>
      </w:r>
      <w:r w:rsidR="0030196C">
        <w:t>non-melanoma skin cancer</w:t>
      </w:r>
      <w:r w:rsidR="00891AEB" w:rsidRPr="00CE28E3">
        <w:t xml:space="preserve"> </w:t>
      </w:r>
      <w:r w:rsidRPr="00CE28E3">
        <w:t>are summarised in</w:t>
      </w:r>
      <w:r w:rsidR="008E3DEE">
        <w:t xml:space="preserve"> </w:t>
      </w:r>
      <w:r w:rsidR="0026437C">
        <w:fldChar w:fldCharType="begin"/>
      </w:r>
      <w:r w:rsidR="0026437C">
        <w:instrText xml:space="preserve"> REF _Ref134649196 \h </w:instrText>
      </w:r>
      <w:r w:rsidR="0026437C">
        <w:fldChar w:fldCharType="separate"/>
      </w:r>
      <w:r w:rsidR="009228FB">
        <w:t xml:space="preserve">Table </w:t>
      </w:r>
      <w:r w:rsidR="009228FB">
        <w:rPr>
          <w:noProof/>
        </w:rPr>
        <w:t>17</w:t>
      </w:r>
      <w:r w:rsidR="0026437C">
        <w:fldChar w:fldCharType="end"/>
      </w:r>
      <w:r w:rsidRPr="00CE28E3">
        <w:t xml:space="preserve">. </w:t>
      </w:r>
      <w:r w:rsidR="006D0EC2" w:rsidRPr="0030196C">
        <w:rPr>
          <w:rStyle w:val="InstructionaltextChar"/>
          <w:color w:val="auto"/>
        </w:rPr>
        <w:t>The financial implications are presented over 6 years</w:t>
      </w:r>
      <w:r w:rsidR="00B435AB">
        <w:rPr>
          <w:rStyle w:val="InstructionaltextChar"/>
          <w:color w:val="auto"/>
        </w:rPr>
        <w:t>.</w:t>
      </w:r>
      <w:r w:rsidR="00EE647D">
        <w:rPr>
          <w:rStyle w:val="InstructionaltextChar"/>
          <w:color w:val="auto"/>
        </w:rPr>
        <w:t xml:space="preserve"> </w:t>
      </w:r>
      <w:r w:rsidR="00264525" w:rsidRPr="008E3DEE">
        <w:t xml:space="preserve">As </w:t>
      </w:r>
      <w:r w:rsidR="00AD1BB1">
        <w:t>noted earlier</w:t>
      </w:r>
      <w:r w:rsidR="00264525" w:rsidRPr="008E3DEE">
        <w:t xml:space="preserve">, the </w:t>
      </w:r>
      <w:r w:rsidR="00A1680F" w:rsidRPr="008E3DEE">
        <w:t>ADAR</w:t>
      </w:r>
      <w:r w:rsidR="00F6721F">
        <w:t xml:space="preserve"> did not account for GPG and consequently</w:t>
      </w:r>
      <w:r w:rsidR="00A1680F" w:rsidRPr="008E3DEE">
        <w:t xml:space="preserve"> incorrectly </w:t>
      </w:r>
      <w:r w:rsidR="000D1824" w:rsidRPr="008E3DEE">
        <w:t xml:space="preserve">calculated the </w:t>
      </w:r>
      <w:r w:rsidR="00264525" w:rsidRPr="008E3DEE">
        <w:t>costs of Re-</w:t>
      </w:r>
      <w:r w:rsidR="00A1680F" w:rsidRPr="008E3DEE">
        <w:t xml:space="preserve">188 </w:t>
      </w:r>
      <w:r w:rsidR="00D128E2">
        <w:t>brachy</w:t>
      </w:r>
      <w:r w:rsidR="00D128E2" w:rsidRPr="00D84B05">
        <w:t>therapy</w:t>
      </w:r>
      <w:r w:rsidR="00D128E2" w:rsidRPr="008E3DEE">
        <w:t xml:space="preserve"> </w:t>
      </w:r>
      <w:r w:rsidR="00A1680F" w:rsidRPr="008E3DEE">
        <w:t>and IMRT/VMAT</w:t>
      </w:r>
      <w:r w:rsidR="000D1824" w:rsidRPr="008E3DEE">
        <w:t xml:space="preserve">. </w:t>
      </w:r>
      <w:r w:rsidR="008E3DEE">
        <w:lastRenderedPageBreak/>
        <w:t>T</w:t>
      </w:r>
      <w:r w:rsidR="00272F4F">
        <w:t>he estimated total cost to the MBS for Re-188 brachytherapy, calculated using corrected costs</w:t>
      </w:r>
      <w:r w:rsidR="00D77BD1">
        <w:t xml:space="preserve"> (</w:t>
      </w:r>
      <w:r w:rsidR="000D1824">
        <w:t xml:space="preserve">by </w:t>
      </w:r>
      <w:r w:rsidR="00D77BD1">
        <w:t>apply</w:t>
      </w:r>
      <w:r w:rsidR="000D1824">
        <w:t>ing</w:t>
      </w:r>
      <w:r w:rsidR="00D77BD1">
        <w:t xml:space="preserve"> the GPG)</w:t>
      </w:r>
      <w:r w:rsidR="00A6189A">
        <w:t xml:space="preserve"> </w:t>
      </w:r>
      <w:r w:rsidR="008E3DEE">
        <w:t>w</w:t>
      </w:r>
      <w:r w:rsidR="00A6189A">
        <w:t>as</w:t>
      </w:r>
      <w:r w:rsidR="00D77BD1">
        <w:t xml:space="preserve"> </w:t>
      </w:r>
      <w:r w:rsidR="00702B0B" w:rsidRPr="00F20598">
        <w:t>$2,662,280 in the first year, increasing to $42,596,480 in Year 6, with a total cost of $114,478,040 over the six-year period</w:t>
      </w:r>
      <w:r w:rsidR="00702B0B">
        <w:t xml:space="preserve">— underestimated in the ADAR by approximately </w:t>
      </w:r>
      <w:r w:rsidR="00087D95">
        <w:t>$</w:t>
      </w:r>
      <w:r w:rsidR="00702B0B">
        <w:t>15 million</w:t>
      </w:r>
      <w:r w:rsidR="00291515">
        <w:t>.</w:t>
      </w:r>
      <w:r w:rsidR="00702B0B">
        <w:t xml:space="preserve"> </w:t>
      </w:r>
      <w:r w:rsidR="00F20598" w:rsidRPr="00F20598">
        <w:t>With the corrected cost of IMRT/VMAT dosimetry</w:t>
      </w:r>
      <w:r w:rsidR="00A6189A">
        <w:t xml:space="preserve"> (</w:t>
      </w:r>
      <w:r w:rsidR="00963048">
        <w:t>using the GPG</w:t>
      </w:r>
      <w:r w:rsidR="007B2288">
        <w:t xml:space="preserve"> to calculate MBS benefit)</w:t>
      </w:r>
      <w:r w:rsidR="00F20598" w:rsidRPr="00F20598">
        <w:t>, the total cost of EBRT over the six years will be $135,300,038 (</w:t>
      </w:r>
      <w:r w:rsidR="00A242EC">
        <w:t xml:space="preserve">underestimated in the ADAR by </w:t>
      </w:r>
      <w:r w:rsidR="00B02D7E">
        <w:t>$97,000)</w:t>
      </w:r>
      <w:r w:rsidR="00F20598" w:rsidRPr="00F20598">
        <w:t xml:space="preserve">. </w:t>
      </w:r>
      <w:r w:rsidR="001B6D3B">
        <w:t xml:space="preserve">Overall, correcting the </w:t>
      </w:r>
      <w:r w:rsidR="001B6D3B" w:rsidRPr="00052AA1">
        <w:t>costs for Re-188</w:t>
      </w:r>
      <w:r w:rsidR="001B6D3B">
        <w:t xml:space="preserve"> </w:t>
      </w:r>
      <w:r w:rsidR="00BC07EF">
        <w:t>brachytherapy</w:t>
      </w:r>
      <w:r w:rsidR="001B6D3B">
        <w:t xml:space="preserve"> and</w:t>
      </w:r>
      <w:r w:rsidR="001B6D3B" w:rsidRPr="00052AA1">
        <w:t xml:space="preserve"> IMRT</w:t>
      </w:r>
      <w:r w:rsidR="001B6D3B">
        <w:t>/VMAT</w:t>
      </w:r>
      <w:r w:rsidR="001B6D3B" w:rsidRPr="00052AA1">
        <w:t xml:space="preserve"> dosimetry</w:t>
      </w:r>
      <w:r w:rsidR="001B6D3B">
        <w:t xml:space="preserve"> to account for the GPG</w:t>
      </w:r>
      <w:r w:rsidR="001B6D3B" w:rsidRPr="00052AA1">
        <w:t xml:space="preserve">, the </w:t>
      </w:r>
      <w:r w:rsidR="001B6D3B">
        <w:t xml:space="preserve">estimated cost-saving </w:t>
      </w:r>
      <w:r w:rsidR="001B6D3B" w:rsidRPr="00052AA1">
        <w:t>to the MBS was lower than that estimated in the ADAR (</w:t>
      </w:r>
      <w:r w:rsidR="001B6D3B">
        <w:t>$</w:t>
      </w:r>
      <w:r w:rsidR="001B6D3B" w:rsidRPr="00052AA1">
        <w:t xml:space="preserve">20.8 million vs </w:t>
      </w:r>
      <w:r w:rsidR="001B6D3B">
        <w:t>$</w:t>
      </w:r>
      <w:r w:rsidR="001B6D3B" w:rsidRPr="00052AA1">
        <w:t>35.8 million</w:t>
      </w:r>
      <w:r w:rsidR="001B6D3B">
        <w:t>)</w:t>
      </w:r>
      <w:r w:rsidR="001B6D3B" w:rsidRPr="00052AA1">
        <w:t>.</w:t>
      </w:r>
      <w:bookmarkStart w:id="50" w:name="_Ref131606375"/>
    </w:p>
    <w:p w14:paraId="4A6ACB39" w14:textId="7D3472A8" w:rsidR="00F374C2" w:rsidRPr="00F20598" w:rsidRDefault="00E30F16" w:rsidP="00E30F16">
      <w:pPr>
        <w:pStyle w:val="Caption"/>
      </w:pPr>
      <w:bookmarkStart w:id="51" w:name="_Ref134649196"/>
      <w:r>
        <w:t xml:space="preserve">Table </w:t>
      </w:r>
      <w:r>
        <w:fldChar w:fldCharType="begin"/>
      </w:r>
      <w:r>
        <w:instrText>SEQ Table \* ARABIC</w:instrText>
      </w:r>
      <w:r>
        <w:fldChar w:fldCharType="separate"/>
      </w:r>
      <w:r w:rsidR="009228FB">
        <w:rPr>
          <w:noProof/>
        </w:rPr>
        <w:t>17</w:t>
      </w:r>
      <w:r>
        <w:fldChar w:fldCharType="end"/>
      </w:r>
      <w:bookmarkEnd w:id="50"/>
      <w:bookmarkEnd w:id="51"/>
      <w:r w:rsidR="00F76D74">
        <w:tab/>
      </w:r>
      <w:r w:rsidR="00F374C2">
        <w:t>N</w:t>
      </w:r>
      <w:r w:rsidR="00F374C2" w:rsidRPr="00104D9A">
        <w:t>et financial implications of the proposed listing to the MBS</w:t>
      </w:r>
      <w:r w:rsidR="00371469">
        <w:t xml:space="preserve"> - </w:t>
      </w:r>
      <w:r w:rsidR="00371469">
        <w:rPr>
          <w:rFonts w:eastAsiaTheme="majorEastAsia"/>
        </w:rPr>
        <w:t>using GPG corrected MBS</w:t>
      </w:r>
      <w:r w:rsidR="00371469" w:rsidRPr="004F1227">
        <w:rPr>
          <w:rFonts w:eastAsiaTheme="majorEastAsia"/>
        </w:rPr>
        <w:t xml:space="preserve"> cost</w:t>
      </w:r>
      <w:r w:rsidR="00371469">
        <w:rPr>
          <w:rFonts w:eastAsiaTheme="majorEastAsia"/>
        </w:rPr>
        <w:t>s</w:t>
      </w:r>
      <w:r w:rsidR="00371469" w:rsidRPr="004F1227">
        <w:rPr>
          <w:rFonts w:eastAsiaTheme="majorEastAsia"/>
        </w:rPr>
        <w:t xml:space="preserve"> </w:t>
      </w:r>
      <w:r w:rsidR="00371469">
        <w:rPr>
          <w:rFonts w:eastAsiaTheme="majorEastAsia"/>
        </w:rPr>
        <w:t xml:space="preserve">for </w:t>
      </w:r>
      <w:r w:rsidR="00371469" w:rsidRPr="004F1227">
        <w:rPr>
          <w:rFonts w:eastAsiaTheme="majorEastAsia"/>
        </w:rPr>
        <w:t>Re-188</w:t>
      </w:r>
      <w:r w:rsidR="00371469">
        <w:rPr>
          <w:rFonts w:eastAsiaTheme="majorEastAsia"/>
        </w:rPr>
        <w:t xml:space="preserve"> </w:t>
      </w:r>
      <w:r w:rsidR="00371469">
        <w:rPr>
          <w:color w:val="000000" w:themeColor="text1"/>
        </w:rPr>
        <w:t>brachytherapy</w:t>
      </w:r>
      <w:r w:rsidR="00371469" w:rsidRPr="004F1227">
        <w:rPr>
          <w:rFonts w:eastAsiaTheme="majorEastAsia"/>
        </w:rPr>
        <w:t xml:space="preserve"> </w:t>
      </w:r>
      <w:r w:rsidR="00371469">
        <w:rPr>
          <w:rFonts w:eastAsiaTheme="majorEastAsia"/>
        </w:rPr>
        <w:t>and</w:t>
      </w:r>
      <w:r w:rsidR="00371469" w:rsidRPr="004F1227">
        <w:rPr>
          <w:rFonts w:eastAsiaTheme="majorEastAsia"/>
        </w:rPr>
        <w:t xml:space="preserve"> IMRT/VMAT</w:t>
      </w:r>
      <w:r w:rsidR="00F374C2" w:rsidRPr="00104D9A">
        <w:t xml:space="preserve"> </w:t>
      </w:r>
    </w:p>
    <w:tbl>
      <w:tblPr>
        <w:tblStyle w:val="TableGrid1"/>
        <w:tblW w:w="5000" w:type="pct"/>
        <w:tblCellMar>
          <w:left w:w="57" w:type="dxa"/>
          <w:right w:w="57" w:type="dxa"/>
        </w:tblCellMar>
        <w:tblLook w:val="04A0" w:firstRow="1" w:lastRow="0" w:firstColumn="1" w:lastColumn="0" w:noHBand="0" w:noVBand="1"/>
      </w:tblPr>
      <w:tblGrid>
        <w:gridCol w:w="1503"/>
        <w:gridCol w:w="1010"/>
        <w:gridCol w:w="1078"/>
        <w:gridCol w:w="1104"/>
        <w:gridCol w:w="1028"/>
        <w:gridCol w:w="1127"/>
        <w:gridCol w:w="1037"/>
        <w:gridCol w:w="1129"/>
      </w:tblGrid>
      <w:tr w:rsidR="00F374C2" w:rsidRPr="00F20598" w14:paraId="70FC5543" w14:textId="77777777" w:rsidTr="00F8597B">
        <w:trPr>
          <w:cnfStyle w:val="100000000000" w:firstRow="1" w:lastRow="0" w:firstColumn="0" w:lastColumn="0" w:oddVBand="0" w:evenVBand="0" w:oddHBand="0" w:evenHBand="0" w:firstRowFirstColumn="0" w:firstRowLastColumn="0" w:lastRowFirstColumn="0" w:lastRowLastColumn="0"/>
          <w:cantSplit/>
          <w:trHeight w:val="70"/>
          <w:tblHeader/>
        </w:trPr>
        <w:tc>
          <w:tcPr>
            <w:tcW w:w="834" w:type="pct"/>
            <w:tcBorders>
              <w:bottom w:val="single" w:sz="4" w:space="0" w:color="auto"/>
            </w:tcBorders>
            <w:shd w:val="clear" w:color="auto" w:fill="auto"/>
            <w:hideMark/>
          </w:tcPr>
          <w:p w14:paraId="7E032DA8" w14:textId="77777777" w:rsidR="00F374C2" w:rsidRPr="00C220BC" w:rsidRDefault="00F374C2" w:rsidP="00F374C2">
            <w:pPr>
              <w:pStyle w:val="TableText"/>
              <w:rPr>
                <w:b/>
              </w:rPr>
            </w:pPr>
          </w:p>
        </w:tc>
        <w:tc>
          <w:tcPr>
            <w:tcW w:w="560" w:type="pct"/>
            <w:tcBorders>
              <w:bottom w:val="single" w:sz="4" w:space="0" w:color="auto"/>
            </w:tcBorders>
            <w:shd w:val="clear" w:color="auto" w:fill="auto"/>
            <w:vAlign w:val="center"/>
            <w:hideMark/>
          </w:tcPr>
          <w:p w14:paraId="5AFB9212" w14:textId="77777777" w:rsidR="00F374C2" w:rsidRPr="00C220BC" w:rsidRDefault="00F374C2" w:rsidP="00F374C2">
            <w:pPr>
              <w:pStyle w:val="TableText"/>
              <w:jc w:val="center"/>
              <w:rPr>
                <w:b/>
              </w:rPr>
            </w:pPr>
            <w:r w:rsidRPr="00C220BC">
              <w:rPr>
                <w:b/>
              </w:rPr>
              <w:t>Year 1</w:t>
            </w:r>
          </w:p>
        </w:tc>
        <w:tc>
          <w:tcPr>
            <w:tcW w:w="598" w:type="pct"/>
            <w:tcBorders>
              <w:bottom w:val="single" w:sz="4" w:space="0" w:color="auto"/>
            </w:tcBorders>
            <w:shd w:val="clear" w:color="auto" w:fill="auto"/>
            <w:vAlign w:val="center"/>
            <w:hideMark/>
          </w:tcPr>
          <w:p w14:paraId="001FA91D" w14:textId="77777777" w:rsidR="00F374C2" w:rsidRPr="00C220BC" w:rsidRDefault="00F374C2" w:rsidP="00F374C2">
            <w:pPr>
              <w:pStyle w:val="TableText"/>
              <w:jc w:val="center"/>
              <w:rPr>
                <w:b/>
              </w:rPr>
            </w:pPr>
            <w:r w:rsidRPr="00C220BC">
              <w:rPr>
                <w:b/>
              </w:rPr>
              <w:t>Year 2</w:t>
            </w:r>
          </w:p>
        </w:tc>
        <w:tc>
          <w:tcPr>
            <w:tcW w:w="612" w:type="pct"/>
            <w:tcBorders>
              <w:bottom w:val="single" w:sz="4" w:space="0" w:color="auto"/>
            </w:tcBorders>
            <w:shd w:val="clear" w:color="auto" w:fill="auto"/>
            <w:vAlign w:val="center"/>
            <w:hideMark/>
          </w:tcPr>
          <w:p w14:paraId="59A77894" w14:textId="77777777" w:rsidR="00F374C2" w:rsidRPr="00C220BC" w:rsidRDefault="00F374C2" w:rsidP="00F374C2">
            <w:pPr>
              <w:pStyle w:val="TableText"/>
              <w:jc w:val="center"/>
              <w:rPr>
                <w:b/>
              </w:rPr>
            </w:pPr>
            <w:r w:rsidRPr="00C220BC">
              <w:rPr>
                <w:b/>
              </w:rPr>
              <w:t>Year 3</w:t>
            </w:r>
          </w:p>
        </w:tc>
        <w:tc>
          <w:tcPr>
            <w:tcW w:w="570" w:type="pct"/>
            <w:tcBorders>
              <w:bottom w:val="single" w:sz="4" w:space="0" w:color="auto"/>
            </w:tcBorders>
            <w:shd w:val="clear" w:color="auto" w:fill="auto"/>
            <w:vAlign w:val="center"/>
            <w:hideMark/>
          </w:tcPr>
          <w:p w14:paraId="08C9A4B4" w14:textId="77777777" w:rsidR="00F374C2" w:rsidRPr="00C220BC" w:rsidRDefault="00F374C2" w:rsidP="00F374C2">
            <w:pPr>
              <w:pStyle w:val="TableText"/>
              <w:jc w:val="center"/>
              <w:rPr>
                <w:b/>
              </w:rPr>
            </w:pPr>
            <w:r w:rsidRPr="00C220BC">
              <w:rPr>
                <w:b/>
              </w:rPr>
              <w:t>Year 4</w:t>
            </w:r>
          </w:p>
        </w:tc>
        <w:tc>
          <w:tcPr>
            <w:tcW w:w="625" w:type="pct"/>
            <w:tcBorders>
              <w:bottom w:val="single" w:sz="4" w:space="0" w:color="auto"/>
            </w:tcBorders>
            <w:shd w:val="clear" w:color="auto" w:fill="auto"/>
            <w:vAlign w:val="center"/>
            <w:hideMark/>
          </w:tcPr>
          <w:p w14:paraId="3AC05493" w14:textId="77777777" w:rsidR="00F374C2" w:rsidRPr="00C220BC" w:rsidRDefault="00F374C2" w:rsidP="00F374C2">
            <w:pPr>
              <w:pStyle w:val="TableText"/>
              <w:jc w:val="center"/>
              <w:rPr>
                <w:b/>
              </w:rPr>
            </w:pPr>
            <w:r w:rsidRPr="00C220BC">
              <w:rPr>
                <w:b/>
              </w:rPr>
              <w:t>Year 5</w:t>
            </w:r>
          </w:p>
        </w:tc>
        <w:tc>
          <w:tcPr>
            <w:tcW w:w="575" w:type="pct"/>
            <w:tcBorders>
              <w:bottom w:val="single" w:sz="4" w:space="0" w:color="auto"/>
            </w:tcBorders>
            <w:shd w:val="clear" w:color="auto" w:fill="auto"/>
            <w:vAlign w:val="center"/>
            <w:hideMark/>
          </w:tcPr>
          <w:p w14:paraId="7F79544E" w14:textId="77777777" w:rsidR="00F374C2" w:rsidRPr="00C220BC" w:rsidRDefault="00F374C2" w:rsidP="00F374C2">
            <w:pPr>
              <w:pStyle w:val="TableText"/>
              <w:jc w:val="center"/>
              <w:rPr>
                <w:b/>
              </w:rPr>
            </w:pPr>
            <w:r w:rsidRPr="00C220BC">
              <w:rPr>
                <w:b/>
              </w:rPr>
              <w:t>Year 6</w:t>
            </w:r>
          </w:p>
        </w:tc>
        <w:tc>
          <w:tcPr>
            <w:tcW w:w="627" w:type="pct"/>
            <w:tcBorders>
              <w:bottom w:val="single" w:sz="4" w:space="0" w:color="auto"/>
            </w:tcBorders>
            <w:shd w:val="clear" w:color="auto" w:fill="auto"/>
            <w:vAlign w:val="center"/>
            <w:hideMark/>
          </w:tcPr>
          <w:p w14:paraId="6CA42A6C" w14:textId="77777777" w:rsidR="00F374C2" w:rsidRPr="00C220BC" w:rsidRDefault="00F374C2" w:rsidP="00F374C2">
            <w:pPr>
              <w:pStyle w:val="TableText"/>
              <w:jc w:val="center"/>
              <w:rPr>
                <w:b/>
              </w:rPr>
            </w:pPr>
            <w:r w:rsidRPr="00C220BC">
              <w:rPr>
                <w:b/>
              </w:rPr>
              <w:t>Total</w:t>
            </w:r>
          </w:p>
        </w:tc>
      </w:tr>
      <w:tr w:rsidR="00F374C2" w:rsidRPr="00F20598" w14:paraId="59247854" w14:textId="77777777" w:rsidTr="00F8597B">
        <w:trPr>
          <w:cnfStyle w:val="100000000000" w:firstRow="1" w:lastRow="0" w:firstColumn="0" w:lastColumn="0" w:oddVBand="0" w:evenVBand="0" w:oddHBand="0" w:evenHBand="0" w:firstRowFirstColumn="0" w:firstRowLastColumn="0" w:lastRowFirstColumn="0" w:lastRowLastColumn="0"/>
          <w:cantSplit/>
          <w:trHeight w:val="70"/>
          <w:tblHeader/>
        </w:trPr>
        <w:tc>
          <w:tcPr>
            <w:tcW w:w="834" w:type="pct"/>
            <w:tcBorders>
              <w:right w:val="nil"/>
            </w:tcBorders>
            <w:shd w:val="clear" w:color="auto" w:fill="auto"/>
          </w:tcPr>
          <w:p w14:paraId="1B5FD810" w14:textId="77777777" w:rsidR="00F374C2" w:rsidRPr="00C220BC" w:rsidRDefault="00F374C2" w:rsidP="00F374C2">
            <w:pPr>
              <w:pStyle w:val="TableText"/>
              <w:rPr>
                <w:b/>
              </w:rPr>
            </w:pPr>
            <w:r w:rsidRPr="00C220BC">
              <w:rPr>
                <w:b/>
              </w:rPr>
              <w:t>Re-188 Brachytherapy</w:t>
            </w:r>
          </w:p>
        </w:tc>
        <w:tc>
          <w:tcPr>
            <w:tcW w:w="560" w:type="pct"/>
            <w:tcBorders>
              <w:left w:val="nil"/>
              <w:right w:val="nil"/>
            </w:tcBorders>
            <w:shd w:val="clear" w:color="auto" w:fill="auto"/>
            <w:vAlign w:val="center"/>
          </w:tcPr>
          <w:p w14:paraId="46F0A6DE" w14:textId="77777777" w:rsidR="00F374C2" w:rsidRPr="00C220BC" w:rsidRDefault="00F374C2" w:rsidP="00F374C2">
            <w:pPr>
              <w:pStyle w:val="TableText"/>
              <w:jc w:val="center"/>
              <w:rPr>
                <w:b/>
              </w:rPr>
            </w:pPr>
          </w:p>
        </w:tc>
        <w:tc>
          <w:tcPr>
            <w:tcW w:w="598" w:type="pct"/>
            <w:tcBorders>
              <w:left w:val="nil"/>
              <w:right w:val="nil"/>
            </w:tcBorders>
            <w:shd w:val="clear" w:color="auto" w:fill="auto"/>
            <w:vAlign w:val="center"/>
          </w:tcPr>
          <w:p w14:paraId="193E7050" w14:textId="77777777" w:rsidR="00F374C2" w:rsidRPr="00C220BC" w:rsidRDefault="00F374C2" w:rsidP="00F374C2">
            <w:pPr>
              <w:pStyle w:val="TableText"/>
              <w:jc w:val="center"/>
              <w:rPr>
                <w:b/>
              </w:rPr>
            </w:pPr>
          </w:p>
        </w:tc>
        <w:tc>
          <w:tcPr>
            <w:tcW w:w="612" w:type="pct"/>
            <w:tcBorders>
              <w:left w:val="nil"/>
              <w:right w:val="nil"/>
            </w:tcBorders>
            <w:shd w:val="clear" w:color="auto" w:fill="auto"/>
            <w:vAlign w:val="center"/>
          </w:tcPr>
          <w:p w14:paraId="0B67627D" w14:textId="77777777" w:rsidR="00F374C2" w:rsidRPr="00C220BC" w:rsidRDefault="00F374C2" w:rsidP="00F374C2">
            <w:pPr>
              <w:pStyle w:val="TableText"/>
              <w:jc w:val="center"/>
              <w:rPr>
                <w:b/>
              </w:rPr>
            </w:pPr>
          </w:p>
        </w:tc>
        <w:tc>
          <w:tcPr>
            <w:tcW w:w="570" w:type="pct"/>
            <w:tcBorders>
              <w:left w:val="nil"/>
              <w:right w:val="nil"/>
            </w:tcBorders>
            <w:shd w:val="clear" w:color="auto" w:fill="auto"/>
            <w:vAlign w:val="center"/>
          </w:tcPr>
          <w:p w14:paraId="183A1C72" w14:textId="77777777" w:rsidR="00F374C2" w:rsidRPr="00C220BC" w:rsidRDefault="00F374C2" w:rsidP="00F374C2">
            <w:pPr>
              <w:pStyle w:val="TableText"/>
              <w:jc w:val="center"/>
              <w:rPr>
                <w:b/>
              </w:rPr>
            </w:pPr>
          </w:p>
        </w:tc>
        <w:tc>
          <w:tcPr>
            <w:tcW w:w="625" w:type="pct"/>
            <w:tcBorders>
              <w:left w:val="nil"/>
              <w:right w:val="nil"/>
            </w:tcBorders>
            <w:shd w:val="clear" w:color="auto" w:fill="auto"/>
            <w:vAlign w:val="center"/>
          </w:tcPr>
          <w:p w14:paraId="0861FC63" w14:textId="77777777" w:rsidR="00F374C2" w:rsidRPr="00C220BC" w:rsidRDefault="00F374C2" w:rsidP="00F374C2">
            <w:pPr>
              <w:pStyle w:val="TableText"/>
              <w:jc w:val="center"/>
              <w:rPr>
                <w:b/>
              </w:rPr>
            </w:pPr>
          </w:p>
        </w:tc>
        <w:tc>
          <w:tcPr>
            <w:tcW w:w="575" w:type="pct"/>
            <w:tcBorders>
              <w:left w:val="nil"/>
              <w:right w:val="nil"/>
            </w:tcBorders>
            <w:shd w:val="clear" w:color="auto" w:fill="auto"/>
            <w:vAlign w:val="center"/>
          </w:tcPr>
          <w:p w14:paraId="321C1392" w14:textId="77777777" w:rsidR="00F374C2" w:rsidRPr="00C220BC" w:rsidRDefault="00F374C2" w:rsidP="00F374C2">
            <w:pPr>
              <w:pStyle w:val="TableText"/>
              <w:jc w:val="center"/>
              <w:rPr>
                <w:b/>
              </w:rPr>
            </w:pPr>
          </w:p>
        </w:tc>
        <w:tc>
          <w:tcPr>
            <w:tcW w:w="627" w:type="pct"/>
            <w:tcBorders>
              <w:left w:val="nil"/>
            </w:tcBorders>
            <w:shd w:val="clear" w:color="auto" w:fill="auto"/>
            <w:vAlign w:val="center"/>
          </w:tcPr>
          <w:p w14:paraId="7A2784F4" w14:textId="77777777" w:rsidR="00F374C2" w:rsidRPr="00C220BC" w:rsidRDefault="00F374C2" w:rsidP="00F374C2">
            <w:pPr>
              <w:pStyle w:val="TableText"/>
              <w:jc w:val="center"/>
              <w:rPr>
                <w:b/>
              </w:rPr>
            </w:pPr>
          </w:p>
        </w:tc>
      </w:tr>
      <w:tr w:rsidR="00F374C2" w:rsidRPr="00F20598" w14:paraId="6EB90EC0" w14:textId="77777777" w:rsidTr="00F8597B">
        <w:trPr>
          <w:cantSplit/>
          <w:trHeight w:val="198"/>
        </w:trPr>
        <w:tc>
          <w:tcPr>
            <w:tcW w:w="834" w:type="pct"/>
            <w:hideMark/>
          </w:tcPr>
          <w:p w14:paraId="672919BC" w14:textId="77777777" w:rsidR="00F374C2" w:rsidRPr="00F20598" w:rsidRDefault="00F374C2" w:rsidP="00F374C2">
            <w:pPr>
              <w:pStyle w:val="TableText"/>
            </w:pPr>
            <w:r w:rsidRPr="00F20598">
              <w:t>Tier 1 items</w:t>
            </w:r>
          </w:p>
        </w:tc>
        <w:tc>
          <w:tcPr>
            <w:tcW w:w="560" w:type="pct"/>
            <w:vAlign w:val="center"/>
            <w:hideMark/>
          </w:tcPr>
          <w:p w14:paraId="2ECD3EBA" w14:textId="77777777" w:rsidR="00F374C2" w:rsidRPr="00F20598" w:rsidRDefault="00F374C2" w:rsidP="00F374C2">
            <w:pPr>
              <w:pStyle w:val="TableText"/>
              <w:jc w:val="center"/>
            </w:pPr>
            <w:r w:rsidRPr="00F20598">
              <w:t>145</w:t>
            </w:r>
          </w:p>
        </w:tc>
        <w:tc>
          <w:tcPr>
            <w:tcW w:w="598" w:type="pct"/>
            <w:vAlign w:val="center"/>
            <w:hideMark/>
          </w:tcPr>
          <w:p w14:paraId="12EC41F6" w14:textId="77777777" w:rsidR="00F374C2" w:rsidRPr="00F20598" w:rsidRDefault="00F374C2" w:rsidP="00F374C2">
            <w:pPr>
              <w:pStyle w:val="TableText"/>
              <w:jc w:val="center"/>
            </w:pPr>
            <w:r w:rsidRPr="00F20598">
              <w:t>290</w:t>
            </w:r>
          </w:p>
        </w:tc>
        <w:tc>
          <w:tcPr>
            <w:tcW w:w="612" w:type="pct"/>
            <w:vAlign w:val="center"/>
            <w:hideMark/>
          </w:tcPr>
          <w:p w14:paraId="0CAB2C6C" w14:textId="77777777" w:rsidR="00F374C2" w:rsidRPr="00F20598" w:rsidRDefault="00F374C2" w:rsidP="00F374C2">
            <w:pPr>
              <w:pStyle w:val="TableText"/>
              <w:jc w:val="center"/>
            </w:pPr>
            <w:r w:rsidRPr="00F20598">
              <w:t>580</w:t>
            </w:r>
          </w:p>
        </w:tc>
        <w:tc>
          <w:tcPr>
            <w:tcW w:w="570" w:type="pct"/>
            <w:vAlign w:val="center"/>
            <w:hideMark/>
          </w:tcPr>
          <w:p w14:paraId="1DD3EB9A" w14:textId="77777777" w:rsidR="00F374C2" w:rsidRPr="00F20598" w:rsidRDefault="00F374C2" w:rsidP="00F374C2">
            <w:pPr>
              <w:pStyle w:val="TableText"/>
              <w:jc w:val="center"/>
            </w:pPr>
            <w:r w:rsidRPr="00F20598">
              <w:t>1,160</w:t>
            </w:r>
          </w:p>
        </w:tc>
        <w:tc>
          <w:tcPr>
            <w:tcW w:w="625" w:type="pct"/>
            <w:vAlign w:val="center"/>
            <w:hideMark/>
          </w:tcPr>
          <w:p w14:paraId="6602278B" w14:textId="77777777" w:rsidR="00F374C2" w:rsidRPr="00F20598" w:rsidRDefault="00F374C2" w:rsidP="00F374C2">
            <w:pPr>
              <w:pStyle w:val="TableText"/>
              <w:jc w:val="center"/>
            </w:pPr>
            <w:r w:rsidRPr="00F20598">
              <w:t>1,740</w:t>
            </w:r>
          </w:p>
        </w:tc>
        <w:tc>
          <w:tcPr>
            <w:tcW w:w="575" w:type="pct"/>
            <w:vAlign w:val="center"/>
            <w:hideMark/>
          </w:tcPr>
          <w:p w14:paraId="7BB3ECF7" w14:textId="77777777" w:rsidR="00F374C2" w:rsidRPr="00F20598" w:rsidRDefault="00F374C2" w:rsidP="00F374C2">
            <w:pPr>
              <w:pStyle w:val="TableText"/>
              <w:jc w:val="center"/>
            </w:pPr>
            <w:r w:rsidRPr="00F20598">
              <w:t>2,320</w:t>
            </w:r>
          </w:p>
        </w:tc>
        <w:tc>
          <w:tcPr>
            <w:tcW w:w="627" w:type="pct"/>
            <w:vAlign w:val="center"/>
            <w:hideMark/>
          </w:tcPr>
          <w:p w14:paraId="4096A808" w14:textId="77777777" w:rsidR="00F374C2" w:rsidRPr="00F20598" w:rsidRDefault="00F374C2" w:rsidP="00F374C2">
            <w:pPr>
              <w:pStyle w:val="TableText"/>
              <w:jc w:val="center"/>
            </w:pPr>
            <w:r w:rsidRPr="00F20598">
              <w:t>6,235</w:t>
            </w:r>
          </w:p>
        </w:tc>
      </w:tr>
      <w:tr w:rsidR="00F374C2" w:rsidRPr="00F20598" w14:paraId="7EB9117D" w14:textId="77777777" w:rsidTr="00F8597B">
        <w:trPr>
          <w:cantSplit/>
          <w:trHeight w:val="198"/>
        </w:trPr>
        <w:tc>
          <w:tcPr>
            <w:tcW w:w="834" w:type="pct"/>
            <w:hideMark/>
          </w:tcPr>
          <w:p w14:paraId="4C77BF67" w14:textId="77777777" w:rsidR="00F374C2" w:rsidRPr="00F20598" w:rsidRDefault="00F374C2" w:rsidP="00F374C2">
            <w:pPr>
              <w:pStyle w:val="TableText"/>
            </w:pPr>
            <w:r w:rsidRPr="00F20598">
              <w:t>Tier 2 items</w:t>
            </w:r>
          </w:p>
        </w:tc>
        <w:tc>
          <w:tcPr>
            <w:tcW w:w="560" w:type="pct"/>
            <w:vAlign w:val="center"/>
            <w:hideMark/>
          </w:tcPr>
          <w:p w14:paraId="28F6C2BD" w14:textId="77777777" w:rsidR="00F374C2" w:rsidRPr="00F20598" w:rsidRDefault="00F374C2" w:rsidP="00F374C2">
            <w:pPr>
              <w:pStyle w:val="TableText"/>
              <w:jc w:val="center"/>
            </w:pPr>
            <w:r w:rsidRPr="00F20598">
              <w:t>120</w:t>
            </w:r>
          </w:p>
        </w:tc>
        <w:tc>
          <w:tcPr>
            <w:tcW w:w="598" w:type="pct"/>
            <w:vAlign w:val="center"/>
            <w:hideMark/>
          </w:tcPr>
          <w:p w14:paraId="1D998ADA" w14:textId="77777777" w:rsidR="00F374C2" w:rsidRPr="00F20598" w:rsidRDefault="00F374C2" w:rsidP="00F374C2">
            <w:pPr>
              <w:pStyle w:val="TableText"/>
              <w:jc w:val="center"/>
            </w:pPr>
            <w:r w:rsidRPr="00F20598">
              <w:t>240</w:t>
            </w:r>
          </w:p>
        </w:tc>
        <w:tc>
          <w:tcPr>
            <w:tcW w:w="612" w:type="pct"/>
            <w:vAlign w:val="center"/>
            <w:hideMark/>
          </w:tcPr>
          <w:p w14:paraId="26709DE5" w14:textId="77777777" w:rsidR="00F374C2" w:rsidRPr="00F20598" w:rsidRDefault="00F374C2" w:rsidP="00F374C2">
            <w:pPr>
              <w:pStyle w:val="TableText"/>
              <w:jc w:val="center"/>
            </w:pPr>
            <w:r w:rsidRPr="00F20598">
              <w:t>480</w:t>
            </w:r>
          </w:p>
        </w:tc>
        <w:tc>
          <w:tcPr>
            <w:tcW w:w="570" w:type="pct"/>
            <w:vAlign w:val="center"/>
            <w:hideMark/>
          </w:tcPr>
          <w:p w14:paraId="496625B8" w14:textId="77777777" w:rsidR="00F374C2" w:rsidRPr="00F20598" w:rsidRDefault="00F374C2" w:rsidP="00F374C2">
            <w:pPr>
              <w:pStyle w:val="TableText"/>
              <w:jc w:val="center"/>
            </w:pPr>
            <w:r w:rsidRPr="00F20598">
              <w:t>960</w:t>
            </w:r>
          </w:p>
        </w:tc>
        <w:tc>
          <w:tcPr>
            <w:tcW w:w="625" w:type="pct"/>
            <w:vAlign w:val="center"/>
            <w:hideMark/>
          </w:tcPr>
          <w:p w14:paraId="6EC1E147" w14:textId="77777777" w:rsidR="00F374C2" w:rsidRPr="00F20598" w:rsidRDefault="00F374C2" w:rsidP="00F374C2">
            <w:pPr>
              <w:pStyle w:val="TableText"/>
              <w:jc w:val="center"/>
            </w:pPr>
            <w:r w:rsidRPr="00F20598">
              <w:t>1,440</w:t>
            </w:r>
          </w:p>
        </w:tc>
        <w:tc>
          <w:tcPr>
            <w:tcW w:w="575" w:type="pct"/>
            <w:vAlign w:val="center"/>
            <w:hideMark/>
          </w:tcPr>
          <w:p w14:paraId="1EEC4E0A" w14:textId="77777777" w:rsidR="00F374C2" w:rsidRPr="00F20598" w:rsidRDefault="00F374C2" w:rsidP="00F374C2">
            <w:pPr>
              <w:pStyle w:val="TableText"/>
              <w:jc w:val="center"/>
            </w:pPr>
            <w:r w:rsidRPr="00F20598">
              <w:t>1,920</w:t>
            </w:r>
          </w:p>
        </w:tc>
        <w:tc>
          <w:tcPr>
            <w:tcW w:w="627" w:type="pct"/>
            <w:vAlign w:val="center"/>
            <w:hideMark/>
          </w:tcPr>
          <w:p w14:paraId="6A7AA92D" w14:textId="77777777" w:rsidR="00F374C2" w:rsidRPr="00F20598" w:rsidRDefault="00F374C2" w:rsidP="00F374C2">
            <w:pPr>
              <w:pStyle w:val="TableText"/>
              <w:jc w:val="center"/>
            </w:pPr>
            <w:r w:rsidRPr="00F20598">
              <w:t>5,160</w:t>
            </w:r>
          </w:p>
        </w:tc>
      </w:tr>
      <w:tr w:rsidR="00F374C2" w:rsidRPr="00F20598" w14:paraId="08DCE0A3" w14:textId="77777777" w:rsidTr="00F8597B">
        <w:trPr>
          <w:cantSplit/>
          <w:trHeight w:val="198"/>
        </w:trPr>
        <w:tc>
          <w:tcPr>
            <w:tcW w:w="834" w:type="pct"/>
            <w:hideMark/>
          </w:tcPr>
          <w:p w14:paraId="1CE0E911" w14:textId="77777777" w:rsidR="00F374C2" w:rsidRPr="00F20598" w:rsidRDefault="00F374C2" w:rsidP="00F374C2">
            <w:pPr>
              <w:pStyle w:val="TableText"/>
            </w:pPr>
            <w:r w:rsidRPr="00F20598">
              <w:t>Tier 3 items</w:t>
            </w:r>
          </w:p>
        </w:tc>
        <w:tc>
          <w:tcPr>
            <w:tcW w:w="560" w:type="pct"/>
            <w:vAlign w:val="center"/>
            <w:hideMark/>
          </w:tcPr>
          <w:p w14:paraId="7B59E001" w14:textId="77777777" w:rsidR="00F374C2" w:rsidRPr="00F20598" w:rsidRDefault="00F374C2" w:rsidP="00F374C2">
            <w:pPr>
              <w:pStyle w:val="TableText"/>
              <w:jc w:val="center"/>
            </w:pPr>
            <w:r w:rsidRPr="00F20598">
              <w:t>235</w:t>
            </w:r>
          </w:p>
        </w:tc>
        <w:tc>
          <w:tcPr>
            <w:tcW w:w="598" w:type="pct"/>
            <w:vAlign w:val="center"/>
            <w:hideMark/>
          </w:tcPr>
          <w:p w14:paraId="41F3745C" w14:textId="77777777" w:rsidR="00F374C2" w:rsidRPr="00F20598" w:rsidRDefault="00F374C2" w:rsidP="00F374C2">
            <w:pPr>
              <w:pStyle w:val="TableText"/>
              <w:jc w:val="center"/>
            </w:pPr>
            <w:r w:rsidRPr="00F20598">
              <w:t>470</w:t>
            </w:r>
          </w:p>
        </w:tc>
        <w:tc>
          <w:tcPr>
            <w:tcW w:w="612" w:type="pct"/>
            <w:vAlign w:val="center"/>
            <w:hideMark/>
          </w:tcPr>
          <w:p w14:paraId="33C3B9C6" w14:textId="77777777" w:rsidR="00F374C2" w:rsidRPr="00F20598" w:rsidRDefault="00F374C2" w:rsidP="00F374C2">
            <w:pPr>
              <w:pStyle w:val="TableText"/>
              <w:jc w:val="center"/>
            </w:pPr>
            <w:r w:rsidRPr="00F20598">
              <w:t>940</w:t>
            </w:r>
          </w:p>
        </w:tc>
        <w:tc>
          <w:tcPr>
            <w:tcW w:w="570" w:type="pct"/>
            <w:vAlign w:val="center"/>
            <w:hideMark/>
          </w:tcPr>
          <w:p w14:paraId="76BABE4A" w14:textId="77777777" w:rsidR="00F374C2" w:rsidRPr="00F20598" w:rsidRDefault="00F374C2" w:rsidP="00F374C2">
            <w:pPr>
              <w:pStyle w:val="TableText"/>
              <w:jc w:val="center"/>
            </w:pPr>
            <w:r w:rsidRPr="00F20598">
              <w:t>1,880</w:t>
            </w:r>
          </w:p>
        </w:tc>
        <w:tc>
          <w:tcPr>
            <w:tcW w:w="625" w:type="pct"/>
            <w:vAlign w:val="center"/>
            <w:hideMark/>
          </w:tcPr>
          <w:p w14:paraId="75230328" w14:textId="77777777" w:rsidR="00F374C2" w:rsidRPr="00F20598" w:rsidRDefault="00F374C2" w:rsidP="00F374C2">
            <w:pPr>
              <w:pStyle w:val="TableText"/>
              <w:jc w:val="center"/>
            </w:pPr>
            <w:r w:rsidRPr="00F20598">
              <w:t>2,820</w:t>
            </w:r>
          </w:p>
        </w:tc>
        <w:tc>
          <w:tcPr>
            <w:tcW w:w="575" w:type="pct"/>
            <w:vAlign w:val="center"/>
            <w:hideMark/>
          </w:tcPr>
          <w:p w14:paraId="5B3D137C" w14:textId="77777777" w:rsidR="00F374C2" w:rsidRPr="00F20598" w:rsidRDefault="00F374C2" w:rsidP="00F374C2">
            <w:pPr>
              <w:pStyle w:val="TableText"/>
              <w:jc w:val="center"/>
            </w:pPr>
            <w:r w:rsidRPr="00F20598">
              <w:t>3,760</w:t>
            </w:r>
          </w:p>
        </w:tc>
        <w:tc>
          <w:tcPr>
            <w:tcW w:w="627" w:type="pct"/>
            <w:vAlign w:val="center"/>
            <w:hideMark/>
          </w:tcPr>
          <w:p w14:paraId="512162EC" w14:textId="77777777" w:rsidR="00F374C2" w:rsidRPr="00F20598" w:rsidRDefault="00F374C2" w:rsidP="00F374C2">
            <w:pPr>
              <w:pStyle w:val="TableText"/>
              <w:jc w:val="center"/>
            </w:pPr>
            <w:r w:rsidRPr="00F20598">
              <w:t>10,105</w:t>
            </w:r>
          </w:p>
        </w:tc>
      </w:tr>
      <w:tr w:rsidR="00F374C2" w:rsidRPr="00F20598" w14:paraId="30847D03" w14:textId="77777777" w:rsidTr="00F8597B">
        <w:trPr>
          <w:cantSplit/>
          <w:trHeight w:val="70"/>
        </w:trPr>
        <w:tc>
          <w:tcPr>
            <w:tcW w:w="834" w:type="pct"/>
            <w:hideMark/>
          </w:tcPr>
          <w:p w14:paraId="1CA28C15" w14:textId="77777777" w:rsidR="00F374C2" w:rsidRPr="00F20598" w:rsidRDefault="00F374C2" w:rsidP="00F374C2">
            <w:pPr>
              <w:pStyle w:val="TableText"/>
            </w:pPr>
            <w:r w:rsidRPr="00F20598">
              <w:t>Total items</w:t>
            </w:r>
          </w:p>
        </w:tc>
        <w:tc>
          <w:tcPr>
            <w:tcW w:w="560" w:type="pct"/>
            <w:vAlign w:val="center"/>
            <w:hideMark/>
          </w:tcPr>
          <w:p w14:paraId="22E4C451" w14:textId="77777777" w:rsidR="00F374C2" w:rsidRPr="00F20598" w:rsidRDefault="00F374C2" w:rsidP="00F374C2">
            <w:pPr>
              <w:pStyle w:val="TableText"/>
              <w:jc w:val="center"/>
            </w:pPr>
            <w:r w:rsidRPr="00F20598">
              <w:t>500</w:t>
            </w:r>
          </w:p>
        </w:tc>
        <w:tc>
          <w:tcPr>
            <w:tcW w:w="598" w:type="pct"/>
            <w:vAlign w:val="center"/>
            <w:hideMark/>
          </w:tcPr>
          <w:p w14:paraId="3D4C243A" w14:textId="77777777" w:rsidR="00F374C2" w:rsidRPr="00F20598" w:rsidRDefault="00F374C2" w:rsidP="00F374C2">
            <w:pPr>
              <w:pStyle w:val="TableText"/>
              <w:jc w:val="center"/>
            </w:pPr>
            <w:r w:rsidRPr="00F20598">
              <w:t>1,000</w:t>
            </w:r>
          </w:p>
        </w:tc>
        <w:tc>
          <w:tcPr>
            <w:tcW w:w="612" w:type="pct"/>
            <w:vAlign w:val="center"/>
            <w:hideMark/>
          </w:tcPr>
          <w:p w14:paraId="2D16A5E1" w14:textId="77777777" w:rsidR="00F374C2" w:rsidRPr="00F20598" w:rsidRDefault="00F374C2" w:rsidP="00F374C2">
            <w:pPr>
              <w:pStyle w:val="TableText"/>
              <w:jc w:val="center"/>
            </w:pPr>
            <w:r w:rsidRPr="00F20598">
              <w:t>2,000</w:t>
            </w:r>
          </w:p>
        </w:tc>
        <w:tc>
          <w:tcPr>
            <w:tcW w:w="570" w:type="pct"/>
            <w:vAlign w:val="center"/>
            <w:hideMark/>
          </w:tcPr>
          <w:p w14:paraId="58E6764A" w14:textId="77777777" w:rsidR="00F374C2" w:rsidRPr="00F20598" w:rsidRDefault="00F374C2" w:rsidP="00F374C2">
            <w:pPr>
              <w:pStyle w:val="TableText"/>
              <w:jc w:val="center"/>
            </w:pPr>
            <w:r w:rsidRPr="00F20598">
              <w:t>4,000</w:t>
            </w:r>
          </w:p>
        </w:tc>
        <w:tc>
          <w:tcPr>
            <w:tcW w:w="625" w:type="pct"/>
            <w:vAlign w:val="center"/>
            <w:hideMark/>
          </w:tcPr>
          <w:p w14:paraId="1C54CEA6" w14:textId="77777777" w:rsidR="00F374C2" w:rsidRPr="00F20598" w:rsidRDefault="00F374C2" w:rsidP="00F374C2">
            <w:pPr>
              <w:pStyle w:val="TableText"/>
              <w:jc w:val="center"/>
            </w:pPr>
            <w:r w:rsidRPr="00F20598">
              <w:t>6,000</w:t>
            </w:r>
          </w:p>
        </w:tc>
        <w:tc>
          <w:tcPr>
            <w:tcW w:w="575" w:type="pct"/>
            <w:vAlign w:val="center"/>
            <w:hideMark/>
          </w:tcPr>
          <w:p w14:paraId="7C888101" w14:textId="77777777" w:rsidR="00F374C2" w:rsidRPr="00F20598" w:rsidRDefault="00F374C2" w:rsidP="00F374C2">
            <w:pPr>
              <w:pStyle w:val="TableText"/>
              <w:jc w:val="center"/>
            </w:pPr>
            <w:r w:rsidRPr="00F20598">
              <w:t>8,000</w:t>
            </w:r>
          </w:p>
        </w:tc>
        <w:tc>
          <w:tcPr>
            <w:tcW w:w="627" w:type="pct"/>
            <w:vAlign w:val="center"/>
            <w:hideMark/>
          </w:tcPr>
          <w:p w14:paraId="1BCA073D" w14:textId="77777777" w:rsidR="00F374C2" w:rsidRPr="00F20598" w:rsidRDefault="00F374C2" w:rsidP="00F374C2">
            <w:pPr>
              <w:pStyle w:val="TableText"/>
              <w:jc w:val="center"/>
            </w:pPr>
            <w:r w:rsidRPr="00F20598">
              <w:t>21,500</w:t>
            </w:r>
          </w:p>
        </w:tc>
      </w:tr>
      <w:tr w:rsidR="00F374C2" w:rsidRPr="00F20598" w14:paraId="3813D780" w14:textId="77777777" w:rsidTr="00F8597B">
        <w:trPr>
          <w:cantSplit/>
          <w:trHeight w:val="198"/>
        </w:trPr>
        <w:tc>
          <w:tcPr>
            <w:tcW w:w="834" w:type="pct"/>
            <w:hideMark/>
          </w:tcPr>
          <w:p w14:paraId="65BCAB5D" w14:textId="77777777" w:rsidR="00F374C2" w:rsidRPr="00F20598" w:rsidRDefault="00F374C2" w:rsidP="00F374C2">
            <w:pPr>
              <w:pStyle w:val="TableText"/>
            </w:pPr>
            <w:r w:rsidRPr="00F20598">
              <w:t>Service cost*</w:t>
            </w:r>
          </w:p>
        </w:tc>
        <w:tc>
          <w:tcPr>
            <w:tcW w:w="560" w:type="pct"/>
            <w:vAlign w:val="center"/>
            <w:hideMark/>
          </w:tcPr>
          <w:p w14:paraId="1206EF5F" w14:textId="77777777" w:rsidR="00F374C2" w:rsidRPr="00F20598" w:rsidRDefault="00F374C2" w:rsidP="00F374C2">
            <w:pPr>
              <w:pStyle w:val="TableText"/>
              <w:jc w:val="center"/>
            </w:pPr>
            <w:r w:rsidRPr="00F20598">
              <w:t>$2,603,630</w:t>
            </w:r>
          </w:p>
        </w:tc>
        <w:tc>
          <w:tcPr>
            <w:tcW w:w="598" w:type="pct"/>
            <w:vAlign w:val="center"/>
            <w:hideMark/>
          </w:tcPr>
          <w:p w14:paraId="2F19C829" w14:textId="77777777" w:rsidR="00F374C2" w:rsidRPr="00F20598" w:rsidRDefault="00F374C2" w:rsidP="00F374C2">
            <w:pPr>
              <w:pStyle w:val="TableText"/>
              <w:jc w:val="center"/>
            </w:pPr>
            <w:r w:rsidRPr="00F20598">
              <w:t>$5,207,260</w:t>
            </w:r>
          </w:p>
        </w:tc>
        <w:tc>
          <w:tcPr>
            <w:tcW w:w="612" w:type="pct"/>
            <w:vAlign w:val="center"/>
            <w:hideMark/>
          </w:tcPr>
          <w:p w14:paraId="0B208CA9" w14:textId="77777777" w:rsidR="00F374C2" w:rsidRPr="00F20598" w:rsidRDefault="00F374C2" w:rsidP="00F374C2">
            <w:pPr>
              <w:pStyle w:val="TableText"/>
              <w:jc w:val="center"/>
            </w:pPr>
            <w:r w:rsidRPr="00F20598">
              <w:t>$10,414,520</w:t>
            </w:r>
          </w:p>
        </w:tc>
        <w:tc>
          <w:tcPr>
            <w:tcW w:w="570" w:type="pct"/>
            <w:vAlign w:val="center"/>
            <w:hideMark/>
          </w:tcPr>
          <w:p w14:paraId="7AC0F8F9" w14:textId="77777777" w:rsidR="00F374C2" w:rsidRPr="00F20598" w:rsidRDefault="00F374C2" w:rsidP="00F374C2">
            <w:pPr>
              <w:pStyle w:val="TableText"/>
              <w:jc w:val="center"/>
            </w:pPr>
            <w:r w:rsidRPr="00F20598">
              <w:t>$20,829,040</w:t>
            </w:r>
          </w:p>
        </w:tc>
        <w:tc>
          <w:tcPr>
            <w:tcW w:w="625" w:type="pct"/>
            <w:vAlign w:val="center"/>
            <w:hideMark/>
          </w:tcPr>
          <w:p w14:paraId="581C5088" w14:textId="77777777" w:rsidR="00F374C2" w:rsidRPr="00F20598" w:rsidRDefault="00F374C2" w:rsidP="00F374C2">
            <w:pPr>
              <w:pStyle w:val="TableText"/>
              <w:jc w:val="center"/>
            </w:pPr>
            <w:r w:rsidRPr="00F20598">
              <w:t>$31,243,560</w:t>
            </w:r>
          </w:p>
        </w:tc>
        <w:tc>
          <w:tcPr>
            <w:tcW w:w="575" w:type="pct"/>
            <w:vAlign w:val="center"/>
            <w:hideMark/>
          </w:tcPr>
          <w:p w14:paraId="514A56C9" w14:textId="77777777" w:rsidR="00F374C2" w:rsidRPr="00F20598" w:rsidRDefault="00F374C2" w:rsidP="00F374C2">
            <w:pPr>
              <w:pStyle w:val="TableText"/>
              <w:jc w:val="center"/>
            </w:pPr>
            <w:r w:rsidRPr="00F20598">
              <w:t>$41,658,080</w:t>
            </w:r>
          </w:p>
        </w:tc>
        <w:tc>
          <w:tcPr>
            <w:tcW w:w="627" w:type="pct"/>
            <w:vAlign w:val="center"/>
            <w:hideMark/>
          </w:tcPr>
          <w:p w14:paraId="2BF02DA5" w14:textId="77777777" w:rsidR="00F374C2" w:rsidRPr="00F20598" w:rsidRDefault="00F374C2" w:rsidP="00F374C2">
            <w:pPr>
              <w:pStyle w:val="TableText"/>
              <w:jc w:val="center"/>
            </w:pPr>
            <w:r w:rsidRPr="00F20598">
              <w:t>$111,956,090</w:t>
            </w:r>
          </w:p>
        </w:tc>
      </w:tr>
      <w:tr w:rsidR="00F374C2" w:rsidRPr="00F20598" w14:paraId="62459B78" w14:textId="77777777" w:rsidTr="00F8597B">
        <w:trPr>
          <w:cantSplit/>
          <w:trHeight w:val="198"/>
        </w:trPr>
        <w:tc>
          <w:tcPr>
            <w:tcW w:w="834" w:type="pct"/>
            <w:hideMark/>
          </w:tcPr>
          <w:p w14:paraId="6C3F2B0E" w14:textId="77777777" w:rsidR="00F374C2" w:rsidRPr="00F20598" w:rsidRDefault="00F374C2" w:rsidP="00F374C2">
            <w:pPr>
              <w:pStyle w:val="TableText"/>
            </w:pPr>
            <w:r w:rsidRPr="00F20598">
              <w:t>Adjunctive cost**</w:t>
            </w:r>
          </w:p>
        </w:tc>
        <w:tc>
          <w:tcPr>
            <w:tcW w:w="560" w:type="pct"/>
            <w:vAlign w:val="center"/>
            <w:hideMark/>
          </w:tcPr>
          <w:p w14:paraId="4E63A4F5" w14:textId="77777777" w:rsidR="00F374C2" w:rsidRPr="00F20598" w:rsidRDefault="00F374C2" w:rsidP="00F374C2">
            <w:pPr>
              <w:pStyle w:val="TableText"/>
              <w:jc w:val="center"/>
            </w:pPr>
            <w:r w:rsidRPr="00F20598">
              <w:t>$58,650</w:t>
            </w:r>
          </w:p>
        </w:tc>
        <w:tc>
          <w:tcPr>
            <w:tcW w:w="598" w:type="pct"/>
            <w:vAlign w:val="center"/>
            <w:hideMark/>
          </w:tcPr>
          <w:p w14:paraId="5FBC21FE" w14:textId="77777777" w:rsidR="00F374C2" w:rsidRPr="00F20598" w:rsidRDefault="00F374C2" w:rsidP="00F374C2">
            <w:pPr>
              <w:pStyle w:val="TableText"/>
              <w:jc w:val="center"/>
            </w:pPr>
            <w:r w:rsidRPr="00F20598">
              <w:t>$117,300</w:t>
            </w:r>
          </w:p>
        </w:tc>
        <w:tc>
          <w:tcPr>
            <w:tcW w:w="612" w:type="pct"/>
            <w:vAlign w:val="center"/>
            <w:hideMark/>
          </w:tcPr>
          <w:p w14:paraId="4F71090E" w14:textId="77777777" w:rsidR="00F374C2" w:rsidRPr="00F20598" w:rsidRDefault="00F374C2" w:rsidP="00F374C2">
            <w:pPr>
              <w:pStyle w:val="TableText"/>
              <w:jc w:val="center"/>
            </w:pPr>
            <w:r w:rsidRPr="00F20598">
              <w:t>$234,600</w:t>
            </w:r>
          </w:p>
        </w:tc>
        <w:tc>
          <w:tcPr>
            <w:tcW w:w="570" w:type="pct"/>
            <w:vAlign w:val="center"/>
            <w:hideMark/>
          </w:tcPr>
          <w:p w14:paraId="3E753A9F" w14:textId="77777777" w:rsidR="00F374C2" w:rsidRPr="00F20598" w:rsidRDefault="00F374C2" w:rsidP="00F374C2">
            <w:pPr>
              <w:pStyle w:val="TableText"/>
              <w:jc w:val="center"/>
            </w:pPr>
            <w:r w:rsidRPr="00F20598">
              <w:t>$469,200</w:t>
            </w:r>
          </w:p>
        </w:tc>
        <w:tc>
          <w:tcPr>
            <w:tcW w:w="625" w:type="pct"/>
            <w:vAlign w:val="center"/>
            <w:hideMark/>
          </w:tcPr>
          <w:p w14:paraId="3256CC1D" w14:textId="77777777" w:rsidR="00F374C2" w:rsidRPr="00F20598" w:rsidRDefault="00F374C2" w:rsidP="00F374C2">
            <w:pPr>
              <w:pStyle w:val="TableText"/>
              <w:jc w:val="center"/>
            </w:pPr>
            <w:r w:rsidRPr="00F20598">
              <w:t>$703,800</w:t>
            </w:r>
          </w:p>
        </w:tc>
        <w:tc>
          <w:tcPr>
            <w:tcW w:w="575" w:type="pct"/>
            <w:vAlign w:val="center"/>
            <w:hideMark/>
          </w:tcPr>
          <w:p w14:paraId="46E15305" w14:textId="77777777" w:rsidR="00F374C2" w:rsidRPr="00F20598" w:rsidRDefault="00F374C2" w:rsidP="00F374C2">
            <w:pPr>
              <w:pStyle w:val="TableText"/>
              <w:jc w:val="center"/>
            </w:pPr>
            <w:r w:rsidRPr="00F20598">
              <w:t>$938,400</w:t>
            </w:r>
          </w:p>
        </w:tc>
        <w:tc>
          <w:tcPr>
            <w:tcW w:w="627" w:type="pct"/>
            <w:vAlign w:val="center"/>
            <w:hideMark/>
          </w:tcPr>
          <w:p w14:paraId="4D3AC287" w14:textId="77777777" w:rsidR="00F374C2" w:rsidRPr="00F20598" w:rsidRDefault="00F374C2" w:rsidP="00F374C2">
            <w:pPr>
              <w:pStyle w:val="TableText"/>
              <w:jc w:val="center"/>
            </w:pPr>
            <w:r w:rsidRPr="00F20598">
              <w:t>$2,521,950</w:t>
            </w:r>
          </w:p>
        </w:tc>
      </w:tr>
      <w:tr w:rsidR="00F374C2" w:rsidRPr="00F20598" w14:paraId="0CA5E2CA" w14:textId="77777777" w:rsidTr="00F8597B">
        <w:trPr>
          <w:cantSplit/>
          <w:trHeight w:val="198"/>
        </w:trPr>
        <w:tc>
          <w:tcPr>
            <w:tcW w:w="834" w:type="pct"/>
            <w:tcBorders>
              <w:bottom w:val="single" w:sz="4" w:space="0" w:color="auto"/>
            </w:tcBorders>
            <w:hideMark/>
          </w:tcPr>
          <w:p w14:paraId="236A300C" w14:textId="77777777" w:rsidR="00F374C2" w:rsidRPr="00F20598" w:rsidRDefault="00F374C2" w:rsidP="00F374C2">
            <w:pPr>
              <w:pStyle w:val="TableText"/>
            </w:pPr>
            <w:r w:rsidRPr="00F20598">
              <w:t>Total cost</w:t>
            </w:r>
          </w:p>
        </w:tc>
        <w:tc>
          <w:tcPr>
            <w:tcW w:w="560" w:type="pct"/>
            <w:tcBorders>
              <w:bottom w:val="single" w:sz="4" w:space="0" w:color="auto"/>
            </w:tcBorders>
            <w:vAlign w:val="center"/>
            <w:hideMark/>
          </w:tcPr>
          <w:p w14:paraId="3BC213F3" w14:textId="77777777" w:rsidR="00F374C2" w:rsidRPr="00F20598" w:rsidRDefault="00F374C2" w:rsidP="00F374C2">
            <w:pPr>
              <w:pStyle w:val="TableText"/>
              <w:jc w:val="center"/>
            </w:pPr>
            <w:r w:rsidRPr="00F20598">
              <w:t>$2,662,280</w:t>
            </w:r>
          </w:p>
        </w:tc>
        <w:tc>
          <w:tcPr>
            <w:tcW w:w="598" w:type="pct"/>
            <w:tcBorders>
              <w:bottom w:val="single" w:sz="4" w:space="0" w:color="auto"/>
            </w:tcBorders>
            <w:vAlign w:val="center"/>
            <w:hideMark/>
          </w:tcPr>
          <w:p w14:paraId="1F843815" w14:textId="77777777" w:rsidR="00F374C2" w:rsidRPr="00F20598" w:rsidRDefault="00F374C2" w:rsidP="00F374C2">
            <w:pPr>
              <w:pStyle w:val="TableText"/>
              <w:jc w:val="center"/>
            </w:pPr>
            <w:r w:rsidRPr="00F20598">
              <w:t>$5,324,560</w:t>
            </w:r>
          </w:p>
        </w:tc>
        <w:tc>
          <w:tcPr>
            <w:tcW w:w="612" w:type="pct"/>
            <w:tcBorders>
              <w:bottom w:val="single" w:sz="4" w:space="0" w:color="auto"/>
            </w:tcBorders>
            <w:vAlign w:val="center"/>
            <w:hideMark/>
          </w:tcPr>
          <w:p w14:paraId="2E683933" w14:textId="77777777" w:rsidR="00F374C2" w:rsidRPr="00F20598" w:rsidRDefault="00F374C2" w:rsidP="00F374C2">
            <w:pPr>
              <w:pStyle w:val="TableText"/>
              <w:jc w:val="center"/>
            </w:pPr>
            <w:r w:rsidRPr="00F20598">
              <w:t>$10,649,120</w:t>
            </w:r>
          </w:p>
        </w:tc>
        <w:tc>
          <w:tcPr>
            <w:tcW w:w="570" w:type="pct"/>
            <w:tcBorders>
              <w:bottom w:val="single" w:sz="4" w:space="0" w:color="auto"/>
            </w:tcBorders>
            <w:vAlign w:val="center"/>
            <w:hideMark/>
          </w:tcPr>
          <w:p w14:paraId="6F671C83" w14:textId="77777777" w:rsidR="00F374C2" w:rsidRPr="00F20598" w:rsidRDefault="00F374C2" w:rsidP="00F374C2">
            <w:pPr>
              <w:pStyle w:val="TableText"/>
              <w:jc w:val="center"/>
            </w:pPr>
            <w:r w:rsidRPr="00F20598">
              <w:t>$21,298,240</w:t>
            </w:r>
          </w:p>
        </w:tc>
        <w:tc>
          <w:tcPr>
            <w:tcW w:w="625" w:type="pct"/>
            <w:tcBorders>
              <w:bottom w:val="single" w:sz="4" w:space="0" w:color="auto"/>
            </w:tcBorders>
            <w:vAlign w:val="center"/>
            <w:hideMark/>
          </w:tcPr>
          <w:p w14:paraId="61BDB643" w14:textId="77777777" w:rsidR="00F374C2" w:rsidRPr="00F20598" w:rsidRDefault="00F374C2" w:rsidP="00F374C2">
            <w:pPr>
              <w:pStyle w:val="TableText"/>
              <w:jc w:val="center"/>
            </w:pPr>
            <w:r w:rsidRPr="00F20598">
              <w:t>$31,947,360</w:t>
            </w:r>
          </w:p>
        </w:tc>
        <w:tc>
          <w:tcPr>
            <w:tcW w:w="575" w:type="pct"/>
            <w:tcBorders>
              <w:bottom w:val="single" w:sz="4" w:space="0" w:color="auto"/>
            </w:tcBorders>
            <w:vAlign w:val="center"/>
            <w:hideMark/>
          </w:tcPr>
          <w:p w14:paraId="46061F1A" w14:textId="77777777" w:rsidR="00F374C2" w:rsidRPr="00F20598" w:rsidRDefault="00F374C2" w:rsidP="00F374C2">
            <w:pPr>
              <w:pStyle w:val="TableText"/>
              <w:jc w:val="center"/>
            </w:pPr>
            <w:r w:rsidRPr="00F20598">
              <w:t>$42,596,480</w:t>
            </w:r>
          </w:p>
        </w:tc>
        <w:tc>
          <w:tcPr>
            <w:tcW w:w="627" w:type="pct"/>
            <w:tcBorders>
              <w:bottom w:val="single" w:sz="4" w:space="0" w:color="auto"/>
            </w:tcBorders>
            <w:vAlign w:val="center"/>
            <w:hideMark/>
          </w:tcPr>
          <w:p w14:paraId="73E3FE76" w14:textId="77777777" w:rsidR="00F374C2" w:rsidRPr="00F20598" w:rsidRDefault="00F374C2" w:rsidP="00F374C2">
            <w:pPr>
              <w:pStyle w:val="TableText"/>
              <w:jc w:val="center"/>
            </w:pPr>
            <w:r w:rsidRPr="00F20598">
              <w:t>$114,478,040</w:t>
            </w:r>
          </w:p>
        </w:tc>
      </w:tr>
      <w:tr w:rsidR="00B22964" w:rsidRPr="00F823F5" w14:paraId="44670280" w14:textId="77777777" w:rsidTr="00F8597B">
        <w:trPr>
          <w:cantSplit/>
          <w:trHeight w:val="198"/>
        </w:trPr>
        <w:tc>
          <w:tcPr>
            <w:tcW w:w="834" w:type="pct"/>
            <w:tcBorders>
              <w:top w:val="single" w:sz="4" w:space="0" w:color="auto"/>
              <w:left w:val="single" w:sz="4" w:space="0" w:color="auto"/>
              <w:bottom w:val="single" w:sz="4" w:space="0" w:color="auto"/>
              <w:right w:val="nil"/>
            </w:tcBorders>
            <w:shd w:val="clear" w:color="auto" w:fill="auto"/>
          </w:tcPr>
          <w:p w14:paraId="52FA24D7" w14:textId="77777777" w:rsidR="00F374C2" w:rsidRPr="00807F80" w:rsidRDefault="00F374C2" w:rsidP="00F374C2">
            <w:pPr>
              <w:pStyle w:val="TableText"/>
              <w:rPr>
                <w:b/>
                <w:bCs/>
              </w:rPr>
            </w:pPr>
            <w:r w:rsidRPr="00807F80">
              <w:rPr>
                <w:b/>
                <w:bCs/>
              </w:rPr>
              <w:t>Total EBRT</w:t>
            </w:r>
          </w:p>
        </w:tc>
        <w:tc>
          <w:tcPr>
            <w:tcW w:w="560" w:type="pct"/>
            <w:tcBorders>
              <w:top w:val="single" w:sz="4" w:space="0" w:color="auto"/>
              <w:left w:val="nil"/>
              <w:bottom w:val="single" w:sz="4" w:space="0" w:color="auto"/>
              <w:right w:val="nil"/>
            </w:tcBorders>
            <w:shd w:val="clear" w:color="auto" w:fill="auto"/>
            <w:vAlign w:val="center"/>
          </w:tcPr>
          <w:p w14:paraId="6164348E" w14:textId="77777777" w:rsidR="00F374C2" w:rsidRPr="00807F80" w:rsidRDefault="00F374C2" w:rsidP="00F374C2">
            <w:pPr>
              <w:pStyle w:val="TableText"/>
            </w:pPr>
          </w:p>
        </w:tc>
        <w:tc>
          <w:tcPr>
            <w:tcW w:w="598" w:type="pct"/>
            <w:tcBorders>
              <w:top w:val="single" w:sz="4" w:space="0" w:color="auto"/>
              <w:left w:val="nil"/>
              <w:bottom w:val="single" w:sz="4" w:space="0" w:color="auto"/>
              <w:right w:val="nil"/>
            </w:tcBorders>
            <w:shd w:val="clear" w:color="auto" w:fill="auto"/>
            <w:vAlign w:val="center"/>
          </w:tcPr>
          <w:p w14:paraId="5C410D5E" w14:textId="77777777" w:rsidR="00F374C2" w:rsidRPr="00807F80" w:rsidRDefault="00F374C2" w:rsidP="00F374C2">
            <w:pPr>
              <w:pStyle w:val="TableText"/>
            </w:pPr>
          </w:p>
        </w:tc>
        <w:tc>
          <w:tcPr>
            <w:tcW w:w="612" w:type="pct"/>
            <w:tcBorders>
              <w:top w:val="single" w:sz="4" w:space="0" w:color="auto"/>
              <w:left w:val="nil"/>
              <w:bottom w:val="single" w:sz="4" w:space="0" w:color="auto"/>
              <w:right w:val="nil"/>
            </w:tcBorders>
            <w:shd w:val="clear" w:color="auto" w:fill="auto"/>
            <w:vAlign w:val="center"/>
          </w:tcPr>
          <w:p w14:paraId="46AAAA90" w14:textId="77777777" w:rsidR="00F374C2" w:rsidRPr="00807F80" w:rsidRDefault="00F374C2" w:rsidP="00F374C2">
            <w:pPr>
              <w:pStyle w:val="TableText"/>
            </w:pPr>
          </w:p>
        </w:tc>
        <w:tc>
          <w:tcPr>
            <w:tcW w:w="570" w:type="pct"/>
            <w:tcBorders>
              <w:top w:val="single" w:sz="4" w:space="0" w:color="auto"/>
              <w:left w:val="nil"/>
              <w:bottom w:val="single" w:sz="4" w:space="0" w:color="auto"/>
              <w:right w:val="nil"/>
            </w:tcBorders>
            <w:shd w:val="clear" w:color="auto" w:fill="auto"/>
            <w:vAlign w:val="center"/>
          </w:tcPr>
          <w:p w14:paraId="1C5E20DE" w14:textId="77777777" w:rsidR="00F374C2" w:rsidRPr="00807F80" w:rsidRDefault="00F374C2" w:rsidP="00F374C2">
            <w:pPr>
              <w:pStyle w:val="TableText"/>
            </w:pPr>
          </w:p>
        </w:tc>
        <w:tc>
          <w:tcPr>
            <w:tcW w:w="625" w:type="pct"/>
            <w:tcBorders>
              <w:top w:val="single" w:sz="4" w:space="0" w:color="auto"/>
              <w:left w:val="nil"/>
              <w:bottom w:val="single" w:sz="4" w:space="0" w:color="auto"/>
              <w:right w:val="nil"/>
            </w:tcBorders>
            <w:shd w:val="clear" w:color="auto" w:fill="auto"/>
            <w:vAlign w:val="center"/>
          </w:tcPr>
          <w:p w14:paraId="621FB438" w14:textId="77777777" w:rsidR="00F374C2" w:rsidRPr="00807F80" w:rsidRDefault="00F374C2" w:rsidP="00F374C2">
            <w:pPr>
              <w:pStyle w:val="TableText"/>
            </w:pPr>
          </w:p>
        </w:tc>
        <w:tc>
          <w:tcPr>
            <w:tcW w:w="575" w:type="pct"/>
            <w:tcBorders>
              <w:top w:val="single" w:sz="4" w:space="0" w:color="auto"/>
              <w:left w:val="nil"/>
              <w:bottom w:val="single" w:sz="4" w:space="0" w:color="auto"/>
              <w:right w:val="nil"/>
            </w:tcBorders>
            <w:shd w:val="clear" w:color="auto" w:fill="auto"/>
            <w:vAlign w:val="center"/>
          </w:tcPr>
          <w:p w14:paraId="7551C4CC" w14:textId="77777777" w:rsidR="00F374C2" w:rsidRPr="00807F80" w:rsidRDefault="00F374C2" w:rsidP="00F374C2">
            <w:pPr>
              <w:pStyle w:val="TableText"/>
            </w:pPr>
          </w:p>
        </w:tc>
        <w:tc>
          <w:tcPr>
            <w:tcW w:w="627" w:type="pct"/>
            <w:tcBorders>
              <w:top w:val="single" w:sz="4" w:space="0" w:color="auto"/>
              <w:left w:val="nil"/>
              <w:bottom w:val="single" w:sz="4" w:space="0" w:color="auto"/>
              <w:right w:val="single" w:sz="4" w:space="0" w:color="auto"/>
            </w:tcBorders>
            <w:shd w:val="clear" w:color="auto" w:fill="auto"/>
            <w:vAlign w:val="center"/>
          </w:tcPr>
          <w:p w14:paraId="5CF7BAFF" w14:textId="77777777" w:rsidR="00F374C2" w:rsidRPr="00807F80" w:rsidRDefault="00F374C2" w:rsidP="00F374C2">
            <w:pPr>
              <w:pStyle w:val="TableText"/>
            </w:pPr>
          </w:p>
        </w:tc>
      </w:tr>
      <w:tr w:rsidR="00F374C2" w:rsidRPr="00F823F5" w14:paraId="7FB811B8" w14:textId="77777777" w:rsidTr="00F8597B">
        <w:trPr>
          <w:cantSplit/>
          <w:trHeight w:val="198"/>
        </w:trPr>
        <w:tc>
          <w:tcPr>
            <w:tcW w:w="834" w:type="pct"/>
            <w:tcBorders>
              <w:top w:val="single" w:sz="4" w:space="0" w:color="auto"/>
              <w:left w:val="single" w:sz="4" w:space="0" w:color="auto"/>
              <w:bottom w:val="single" w:sz="4" w:space="0" w:color="auto"/>
              <w:right w:val="single" w:sz="4" w:space="0" w:color="auto"/>
            </w:tcBorders>
          </w:tcPr>
          <w:p w14:paraId="3BEFDC32" w14:textId="77777777" w:rsidR="00F374C2" w:rsidRPr="00F823F5" w:rsidRDefault="00F374C2" w:rsidP="00F374C2">
            <w:pPr>
              <w:pStyle w:val="TableText"/>
            </w:pPr>
            <w:r w:rsidRPr="00F823F5">
              <w:t>Treatments</w:t>
            </w:r>
          </w:p>
        </w:tc>
        <w:tc>
          <w:tcPr>
            <w:tcW w:w="560" w:type="pct"/>
            <w:tcBorders>
              <w:top w:val="single" w:sz="4" w:space="0" w:color="auto"/>
              <w:left w:val="single" w:sz="4" w:space="0" w:color="auto"/>
              <w:bottom w:val="single" w:sz="4" w:space="0" w:color="auto"/>
              <w:right w:val="single" w:sz="4" w:space="0" w:color="auto"/>
            </w:tcBorders>
            <w:vAlign w:val="center"/>
          </w:tcPr>
          <w:p w14:paraId="7BDF4C8B" w14:textId="77777777" w:rsidR="00F374C2" w:rsidRPr="00F823F5" w:rsidRDefault="00F374C2" w:rsidP="00F374C2">
            <w:pPr>
              <w:pStyle w:val="TableText"/>
            </w:pPr>
            <w:r w:rsidRPr="00F823F5">
              <w:t>500</w:t>
            </w:r>
          </w:p>
        </w:tc>
        <w:tc>
          <w:tcPr>
            <w:tcW w:w="598" w:type="pct"/>
            <w:tcBorders>
              <w:top w:val="single" w:sz="4" w:space="0" w:color="auto"/>
              <w:left w:val="single" w:sz="4" w:space="0" w:color="auto"/>
              <w:bottom w:val="single" w:sz="4" w:space="0" w:color="auto"/>
              <w:right w:val="single" w:sz="4" w:space="0" w:color="auto"/>
            </w:tcBorders>
            <w:vAlign w:val="center"/>
          </w:tcPr>
          <w:p w14:paraId="40885D4B" w14:textId="77777777" w:rsidR="00F374C2" w:rsidRPr="00F823F5" w:rsidRDefault="00F374C2" w:rsidP="00F374C2">
            <w:pPr>
              <w:pStyle w:val="TableText"/>
            </w:pPr>
            <w:r w:rsidRPr="00F823F5">
              <w:t>1,000</w:t>
            </w:r>
          </w:p>
        </w:tc>
        <w:tc>
          <w:tcPr>
            <w:tcW w:w="612" w:type="pct"/>
            <w:tcBorders>
              <w:top w:val="single" w:sz="4" w:space="0" w:color="auto"/>
              <w:left w:val="single" w:sz="4" w:space="0" w:color="auto"/>
              <w:bottom w:val="single" w:sz="4" w:space="0" w:color="auto"/>
              <w:right w:val="single" w:sz="4" w:space="0" w:color="auto"/>
            </w:tcBorders>
            <w:vAlign w:val="center"/>
          </w:tcPr>
          <w:p w14:paraId="4A6FD632" w14:textId="77777777" w:rsidR="00F374C2" w:rsidRPr="00F823F5" w:rsidRDefault="00F374C2" w:rsidP="00F374C2">
            <w:pPr>
              <w:pStyle w:val="TableText"/>
            </w:pPr>
            <w:r w:rsidRPr="00F823F5">
              <w:t>2,000</w:t>
            </w:r>
          </w:p>
        </w:tc>
        <w:tc>
          <w:tcPr>
            <w:tcW w:w="570" w:type="pct"/>
            <w:tcBorders>
              <w:top w:val="single" w:sz="4" w:space="0" w:color="auto"/>
              <w:left w:val="single" w:sz="4" w:space="0" w:color="auto"/>
              <w:bottom w:val="single" w:sz="4" w:space="0" w:color="auto"/>
              <w:right w:val="single" w:sz="4" w:space="0" w:color="auto"/>
            </w:tcBorders>
            <w:vAlign w:val="center"/>
          </w:tcPr>
          <w:p w14:paraId="3F790EBC" w14:textId="77777777" w:rsidR="00F374C2" w:rsidRPr="00F823F5" w:rsidRDefault="00F374C2" w:rsidP="00F374C2">
            <w:pPr>
              <w:pStyle w:val="TableText"/>
            </w:pPr>
            <w:r w:rsidRPr="00F823F5">
              <w:t>4,000</w:t>
            </w:r>
          </w:p>
        </w:tc>
        <w:tc>
          <w:tcPr>
            <w:tcW w:w="625" w:type="pct"/>
            <w:tcBorders>
              <w:top w:val="single" w:sz="4" w:space="0" w:color="auto"/>
              <w:left w:val="single" w:sz="4" w:space="0" w:color="auto"/>
              <w:bottom w:val="single" w:sz="4" w:space="0" w:color="auto"/>
              <w:right w:val="single" w:sz="4" w:space="0" w:color="auto"/>
            </w:tcBorders>
            <w:vAlign w:val="center"/>
          </w:tcPr>
          <w:p w14:paraId="22372295" w14:textId="77777777" w:rsidR="00F374C2" w:rsidRPr="00F823F5" w:rsidRDefault="00F374C2" w:rsidP="00F374C2">
            <w:pPr>
              <w:pStyle w:val="TableText"/>
            </w:pPr>
            <w:r w:rsidRPr="00F823F5">
              <w:t>6,000</w:t>
            </w:r>
          </w:p>
        </w:tc>
        <w:tc>
          <w:tcPr>
            <w:tcW w:w="575" w:type="pct"/>
            <w:tcBorders>
              <w:top w:val="single" w:sz="4" w:space="0" w:color="auto"/>
              <w:left w:val="single" w:sz="4" w:space="0" w:color="auto"/>
              <w:bottom w:val="single" w:sz="4" w:space="0" w:color="auto"/>
              <w:right w:val="single" w:sz="4" w:space="0" w:color="auto"/>
            </w:tcBorders>
            <w:vAlign w:val="center"/>
          </w:tcPr>
          <w:p w14:paraId="38367144" w14:textId="77777777" w:rsidR="00F374C2" w:rsidRPr="00F823F5" w:rsidRDefault="00F374C2" w:rsidP="00F374C2">
            <w:pPr>
              <w:pStyle w:val="TableText"/>
            </w:pPr>
            <w:r w:rsidRPr="00F823F5">
              <w:t>8,000</w:t>
            </w:r>
          </w:p>
        </w:tc>
        <w:tc>
          <w:tcPr>
            <w:tcW w:w="627" w:type="pct"/>
            <w:tcBorders>
              <w:top w:val="single" w:sz="4" w:space="0" w:color="auto"/>
              <w:left w:val="single" w:sz="4" w:space="0" w:color="auto"/>
              <w:bottom w:val="single" w:sz="4" w:space="0" w:color="auto"/>
              <w:right w:val="single" w:sz="4" w:space="0" w:color="auto"/>
            </w:tcBorders>
            <w:vAlign w:val="center"/>
          </w:tcPr>
          <w:p w14:paraId="1BA40DF4" w14:textId="77777777" w:rsidR="00F374C2" w:rsidRPr="00F823F5" w:rsidRDefault="00F374C2" w:rsidP="00F374C2">
            <w:pPr>
              <w:pStyle w:val="TableText"/>
            </w:pPr>
            <w:r w:rsidRPr="00F823F5">
              <w:t>21,500</w:t>
            </w:r>
          </w:p>
        </w:tc>
      </w:tr>
      <w:tr w:rsidR="00F374C2" w:rsidRPr="00F823F5" w14:paraId="04CDB065" w14:textId="77777777" w:rsidTr="00F8597B">
        <w:trPr>
          <w:cantSplit/>
          <w:trHeight w:val="198"/>
        </w:trPr>
        <w:tc>
          <w:tcPr>
            <w:tcW w:w="834" w:type="pct"/>
            <w:tcBorders>
              <w:top w:val="single" w:sz="4" w:space="0" w:color="auto"/>
              <w:left w:val="single" w:sz="4" w:space="0" w:color="auto"/>
              <w:bottom w:val="single" w:sz="4" w:space="0" w:color="auto"/>
              <w:right w:val="single" w:sz="4" w:space="0" w:color="auto"/>
            </w:tcBorders>
          </w:tcPr>
          <w:p w14:paraId="538CB601" w14:textId="77777777" w:rsidR="00F374C2" w:rsidRPr="00F823F5" w:rsidRDefault="00F374C2" w:rsidP="00F374C2">
            <w:pPr>
              <w:pStyle w:val="TableText"/>
            </w:pPr>
            <w:r w:rsidRPr="00F823F5">
              <w:t>Service cost</w:t>
            </w:r>
          </w:p>
        </w:tc>
        <w:tc>
          <w:tcPr>
            <w:tcW w:w="560" w:type="pct"/>
            <w:tcBorders>
              <w:top w:val="single" w:sz="4" w:space="0" w:color="auto"/>
              <w:left w:val="single" w:sz="4" w:space="0" w:color="auto"/>
              <w:bottom w:val="single" w:sz="4" w:space="0" w:color="auto"/>
              <w:right w:val="single" w:sz="4" w:space="0" w:color="auto"/>
            </w:tcBorders>
            <w:vAlign w:val="center"/>
          </w:tcPr>
          <w:p w14:paraId="582F2F6F" w14:textId="77777777" w:rsidR="00F374C2" w:rsidRPr="00F823F5" w:rsidRDefault="00F374C2" w:rsidP="00F374C2">
            <w:pPr>
              <w:pStyle w:val="TableText"/>
            </w:pPr>
            <w:r w:rsidRPr="00F823F5">
              <w:t>$2,999,638</w:t>
            </w:r>
          </w:p>
        </w:tc>
        <w:tc>
          <w:tcPr>
            <w:tcW w:w="598" w:type="pct"/>
            <w:tcBorders>
              <w:top w:val="single" w:sz="4" w:space="0" w:color="auto"/>
              <w:left w:val="single" w:sz="4" w:space="0" w:color="auto"/>
              <w:bottom w:val="single" w:sz="4" w:space="0" w:color="auto"/>
              <w:right w:val="single" w:sz="4" w:space="0" w:color="auto"/>
            </w:tcBorders>
            <w:vAlign w:val="center"/>
          </w:tcPr>
          <w:p w14:paraId="253BA4D2" w14:textId="77777777" w:rsidR="00F374C2" w:rsidRPr="00F823F5" w:rsidRDefault="00F374C2" w:rsidP="00F374C2">
            <w:pPr>
              <w:pStyle w:val="TableText"/>
            </w:pPr>
            <w:r w:rsidRPr="00F823F5">
              <w:t>$5,999,275</w:t>
            </w:r>
          </w:p>
        </w:tc>
        <w:tc>
          <w:tcPr>
            <w:tcW w:w="612" w:type="pct"/>
            <w:tcBorders>
              <w:top w:val="single" w:sz="4" w:space="0" w:color="auto"/>
              <w:left w:val="single" w:sz="4" w:space="0" w:color="auto"/>
              <w:bottom w:val="single" w:sz="4" w:space="0" w:color="auto"/>
              <w:right w:val="single" w:sz="4" w:space="0" w:color="auto"/>
            </w:tcBorders>
            <w:vAlign w:val="center"/>
          </w:tcPr>
          <w:p w14:paraId="7C2ECA8D" w14:textId="77777777" w:rsidR="00F374C2" w:rsidRPr="00F823F5" w:rsidRDefault="00F374C2" w:rsidP="00F374C2">
            <w:pPr>
              <w:pStyle w:val="TableText"/>
            </w:pPr>
            <w:r w:rsidRPr="00F823F5">
              <w:t>$11,998,550</w:t>
            </w:r>
          </w:p>
        </w:tc>
        <w:tc>
          <w:tcPr>
            <w:tcW w:w="570" w:type="pct"/>
            <w:tcBorders>
              <w:top w:val="single" w:sz="4" w:space="0" w:color="auto"/>
              <w:left w:val="single" w:sz="4" w:space="0" w:color="auto"/>
              <w:bottom w:val="single" w:sz="4" w:space="0" w:color="auto"/>
              <w:right w:val="single" w:sz="4" w:space="0" w:color="auto"/>
            </w:tcBorders>
            <w:vAlign w:val="center"/>
          </w:tcPr>
          <w:p w14:paraId="2A1D8141" w14:textId="77777777" w:rsidR="00F374C2" w:rsidRPr="00F823F5" w:rsidRDefault="00F374C2" w:rsidP="00F374C2">
            <w:pPr>
              <w:pStyle w:val="TableText"/>
            </w:pPr>
            <w:r w:rsidRPr="00F823F5">
              <w:t>$23,997,100</w:t>
            </w:r>
          </w:p>
        </w:tc>
        <w:tc>
          <w:tcPr>
            <w:tcW w:w="625" w:type="pct"/>
            <w:tcBorders>
              <w:top w:val="single" w:sz="4" w:space="0" w:color="auto"/>
              <w:left w:val="single" w:sz="4" w:space="0" w:color="auto"/>
              <w:bottom w:val="single" w:sz="4" w:space="0" w:color="auto"/>
              <w:right w:val="single" w:sz="4" w:space="0" w:color="auto"/>
            </w:tcBorders>
            <w:vAlign w:val="center"/>
          </w:tcPr>
          <w:p w14:paraId="48F4622B" w14:textId="77777777" w:rsidR="00F374C2" w:rsidRPr="00F823F5" w:rsidRDefault="00F374C2" w:rsidP="00F374C2">
            <w:pPr>
              <w:pStyle w:val="TableText"/>
            </w:pPr>
            <w:r w:rsidRPr="00F823F5">
              <w:t>$35,995,650</w:t>
            </w:r>
          </w:p>
        </w:tc>
        <w:tc>
          <w:tcPr>
            <w:tcW w:w="575" w:type="pct"/>
            <w:tcBorders>
              <w:top w:val="single" w:sz="4" w:space="0" w:color="auto"/>
              <w:left w:val="single" w:sz="4" w:space="0" w:color="auto"/>
              <w:bottom w:val="single" w:sz="4" w:space="0" w:color="auto"/>
              <w:right w:val="single" w:sz="4" w:space="0" w:color="auto"/>
            </w:tcBorders>
            <w:vAlign w:val="center"/>
          </w:tcPr>
          <w:p w14:paraId="6266F75E" w14:textId="77777777" w:rsidR="00F374C2" w:rsidRPr="00F823F5" w:rsidRDefault="00F374C2" w:rsidP="00F374C2">
            <w:pPr>
              <w:pStyle w:val="TableText"/>
            </w:pPr>
            <w:r w:rsidRPr="00F823F5">
              <w:t>$47,994,200</w:t>
            </w:r>
          </w:p>
        </w:tc>
        <w:tc>
          <w:tcPr>
            <w:tcW w:w="627" w:type="pct"/>
            <w:tcBorders>
              <w:top w:val="single" w:sz="4" w:space="0" w:color="auto"/>
              <w:left w:val="single" w:sz="4" w:space="0" w:color="auto"/>
              <w:bottom w:val="single" w:sz="4" w:space="0" w:color="auto"/>
              <w:right w:val="single" w:sz="4" w:space="0" w:color="auto"/>
            </w:tcBorders>
            <w:vAlign w:val="center"/>
          </w:tcPr>
          <w:p w14:paraId="232CB2A2" w14:textId="77777777" w:rsidR="00F374C2" w:rsidRPr="00F823F5" w:rsidRDefault="00F374C2" w:rsidP="00F374C2">
            <w:pPr>
              <w:pStyle w:val="TableText"/>
            </w:pPr>
            <w:r w:rsidRPr="00F823F5">
              <w:t>$128,984,413</w:t>
            </w:r>
          </w:p>
        </w:tc>
      </w:tr>
      <w:tr w:rsidR="00F374C2" w:rsidRPr="00F823F5" w14:paraId="2FF3EA1B" w14:textId="77777777" w:rsidTr="00F8597B">
        <w:trPr>
          <w:cantSplit/>
          <w:trHeight w:val="198"/>
        </w:trPr>
        <w:tc>
          <w:tcPr>
            <w:tcW w:w="834" w:type="pct"/>
            <w:tcBorders>
              <w:top w:val="single" w:sz="4" w:space="0" w:color="auto"/>
              <w:left w:val="single" w:sz="4" w:space="0" w:color="auto"/>
              <w:bottom w:val="single" w:sz="4" w:space="0" w:color="auto"/>
              <w:right w:val="single" w:sz="4" w:space="0" w:color="auto"/>
            </w:tcBorders>
          </w:tcPr>
          <w:p w14:paraId="61F4C75D" w14:textId="77777777" w:rsidR="00F374C2" w:rsidRPr="00F823F5" w:rsidRDefault="00F374C2" w:rsidP="00F374C2">
            <w:pPr>
              <w:pStyle w:val="TableText"/>
            </w:pPr>
            <w:r w:rsidRPr="00F823F5">
              <w:t>Adjunctive cost</w:t>
            </w:r>
          </w:p>
        </w:tc>
        <w:tc>
          <w:tcPr>
            <w:tcW w:w="560" w:type="pct"/>
            <w:tcBorders>
              <w:top w:val="single" w:sz="4" w:space="0" w:color="auto"/>
              <w:left w:val="single" w:sz="4" w:space="0" w:color="auto"/>
              <w:bottom w:val="single" w:sz="4" w:space="0" w:color="auto"/>
              <w:right w:val="single" w:sz="4" w:space="0" w:color="auto"/>
            </w:tcBorders>
            <w:vAlign w:val="center"/>
          </w:tcPr>
          <w:p w14:paraId="06912F3A" w14:textId="77777777" w:rsidR="00F374C2" w:rsidRPr="00F823F5" w:rsidRDefault="00F374C2" w:rsidP="00F374C2">
            <w:pPr>
              <w:pStyle w:val="TableText"/>
            </w:pPr>
            <w:r w:rsidRPr="00F823F5">
              <w:t>$146,875</w:t>
            </w:r>
          </w:p>
        </w:tc>
        <w:tc>
          <w:tcPr>
            <w:tcW w:w="598" w:type="pct"/>
            <w:tcBorders>
              <w:top w:val="single" w:sz="4" w:space="0" w:color="auto"/>
              <w:left w:val="single" w:sz="4" w:space="0" w:color="auto"/>
              <w:bottom w:val="single" w:sz="4" w:space="0" w:color="auto"/>
              <w:right w:val="single" w:sz="4" w:space="0" w:color="auto"/>
            </w:tcBorders>
            <w:vAlign w:val="center"/>
          </w:tcPr>
          <w:p w14:paraId="0ACD81E4" w14:textId="77777777" w:rsidR="00F374C2" w:rsidRPr="00F823F5" w:rsidRDefault="00F374C2" w:rsidP="00F374C2">
            <w:pPr>
              <w:pStyle w:val="TableText"/>
            </w:pPr>
            <w:r w:rsidRPr="00F823F5">
              <w:t>$293,750</w:t>
            </w:r>
          </w:p>
        </w:tc>
        <w:tc>
          <w:tcPr>
            <w:tcW w:w="612" w:type="pct"/>
            <w:tcBorders>
              <w:top w:val="single" w:sz="4" w:space="0" w:color="auto"/>
              <w:left w:val="single" w:sz="4" w:space="0" w:color="auto"/>
              <w:bottom w:val="single" w:sz="4" w:space="0" w:color="auto"/>
              <w:right w:val="single" w:sz="4" w:space="0" w:color="auto"/>
            </w:tcBorders>
            <w:vAlign w:val="center"/>
          </w:tcPr>
          <w:p w14:paraId="08FCB5B0" w14:textId="77777777" w:rsidR="00F374C2" w:rsidRPr="00F823F5" w:rsidRDefault="00F374C2" w:rsidP="00F374C2">
            <w:pPr>
              <w:pStyle w:val="TableText"/>
            </w:pPr>
            <w:r w:rsidRPr="00F823F5">
              <w:t>$587,500</w:t>
            </w:r>
          </w:p>
        </w:tc>
        <w:tc>
          <w:tcPr>
            <w:tcW w:w="570" w:type="pct"/>
            <w:tcBorders>
              <w:top w:val="single" w:sz="4" w:space="0" w:color="auto"/>
              <w:left w:val="single" w:sz="4" w:space="0" w:color="auto"/>
              <w:bottom w:val="single" w:sz="4" w:space="0" w:color="auto"/>
              <w:right w:val="single" w:sz="4" w:space="0" w:color="auto"/>
            </w:tcBorders>
            <w:vAlign w:val="center"/>
          </w:tcPr>
          <w:p w14:paraId="61D2DAB5" w14:textId="77777777" w:rsidR="00F374C2" w:rsidRPr="00F823F5" w:rsidRDefault="00F374C2" w:rsidP="00F374C2">
            <w:pPr>
              <w:pStyle w:val="TableText"/>
            </w:pPr>
            <w:r w:rsidRPr="00F823F5">
              <w:t>$1,175,000</w:t>
            </w:r>
          </w:p>
        </w:tc>
        <w:tc>
          <w:tcPr>
            <w:tcW w:w="625" w:type="pct"/>
            <w:tcBorders>
              <w:top w:val="single" w:sz="4" w:space="0" w:color="auto"/>
              <w:left w:val="single" w:sz="4" w:space="0" w:color="auto"/>
              <w:bottom w:val="single" w:sz="4" w:space="0" w:color="auto"/>
              <w:right w:val="single" w:sz="4" w:space="0" w:color="auto"/>
            </w:tcBorders>
            <w:vAlign w:val="center"/>
          </w:tcPr>
          <w:p w14:paraId="711D2D50" w14:textId="77777777" w:rsidR="00F374C2" w:rsidRPr="00F823F5" w:rsidRDefault="00F374C2" w:rsidP="00F374C2">
            <w:pPr>
              <w:pStyle w:val="TableText"/>
            </w:pPr>
            <w:r w:rsidRPr="00F823F5">
              <w:t>$1,762,500</w:t>
            </w:r>
          </w:p>
        </w:tc>
        <w:tc>
          <w:tcPr>
            <w:tcW w:w="575" w:type="pct"/>
            <w:tcBorders>
              <w:top w:val="single" w:sz="4" w:space="0" w:color="auto"/>
              <w:left w:val="single" w:sz="4" w:space="0" w:color="auto"/>
              <w:bottom w:val="single" w:sz="4" w:space="0" w:color="auto"/>
              <w:right w:val="single" w:sz="4" w:space="0" w:color="auto"/>
            </w:tcBorders>
            <w:vAlign w:val="center"/>
          </w:tcPr>
          <w:p w14:paraId="076054EB" w14:textId="77777777" w:rsidR="00F374C2" w:rsidRPr="00F823F5" w:rsidRDefault="00F374C2" w:rsidP="00F374C2">
            <w:pPr>
              <w:pStyle w:val="TableText"/>
            </w:pPr>
            <w:r w:rsidRPr="00F823F5">
              <w:t>$2,350,000</w:t>
            </w:r>
          </w:p>
        </w:tc>
        <w:tc>
          <w:tcPr>
            <w:tcW w:w="627" w:type="pct"/>
            <w:tcBorders>
              <w:top w:val="single" w:sz="4" w:space="0" w:color="auto"/>
              <w:left w:val="single" w:sz="4" w:space="0" w:color="auto"/>
              <w:bottom w:val="single" w:sz="4" w:space="0" w:color="auto"/>
              <w:right w:val="single" w:sz="4" w:space="0" w:color="auto"/>
            </w:tcBorders>
            <w:vAlign w:val="center"/>
          </w:tcPr>
          <w:p w14:paraId="15A682C8" w14:textId="77777777" w:rsidR="00F374C2" w:rsidRPr="00F823F5" w:rsidRDefault="00F374C2" w:rsidP="00F374C2">
            <w:pPr>
              <w:pStyle w:val="TableText"/>
            </w:pPr>
            <w:r w:rsidRPr="00F823F5">
              <w:t>$6,315,625</w:t>
            </w:r>
          </w:p>
        </w:tc>
      </w:tr>
      <w:tr w:rsidR="00F374C2" w:rsidRPr="00F823F5" w14:paraId="64513879" w14:textId="77777777" w:rsidTr="00F8597B">
        <w:trPr>
          <w:cantSplit/>
          <w:trHeight w:val="198"/>
        </w:trPr>
        <w:tc>
          <w:tcPr>
            <w:tcW w:w="834" w:type="pct"/>
            <w:tcBorders>
              <w:top w:val="single" w:sz="4" w:space="0" w:color="auto"/>
              <w:left w:val="single" w:sz="4" w:space="0" w:color="auto"/>
              <w:bottom w:val="single" w:sz="4" w:space="0" w:color="auto"/>
              <w:right w:val="single" w:sz="4" w:space="0" w:color="auto"/>
            </w:tcBorders>
          </w:tcPr>
          <w:p w14:paraId="3B68D12B" w14:textId="77777777" w:rsidR="00F374C2" w:rsidRPr="00F823F5" w:rsidRDefault="00F374C2" w:rsidP="00F374C2">
            <w:pPr>
              <w:pStyle w:val="TableText"/>
            </w:pPr>
            <w:r w:rsidRPr="00F823F5">
              <w:t>Total offsets</w:t>
            </w:r>
          </w:p>
        </w:tc>
        <w:tc>
          <w:tcPr>
            <w:tcW w:w="560" w:type="pct"/>
            <w:tcBorders>
              <w:top w:val="single" w:sz="4" w:space="0" w:color="auto"/>
              <w:left w:val="single" w:sz="4" w:space="0" w:color="auto"/>
              <w:bottom w:val="single" w:sz="4" w:space="0" w:color="auto"/>
              <w:right w:val="single" w:sz="4" w:space="0" w:color="auto"/>
            </w:tcBorders>
            <w:vAlign w:val="center"/>
          </w:tcPr>
          <w:p w14:paraId="3F2D43C6" w14:textId="77777777" w:rsidR="00F374C2" w:rsidRPr="00F823F5" w:rsidRDefault="00F374C2" w:rsidP="00F374C2">
            <w:pPr>
              <w:pStyle w:val="TableText"/>
            </w:pPr>
            <w:r w:rsidRPr="00F823F5">
              <w:t>$3,146,513</w:t>
            </w:r>
          </w:p>
        </w:tc>
        <w:tc>
          <w:tcPr>
            <w:tcW w:w="598" w:type="pct"/>
            <w:tcBorders>
              <w:top w:val="single" w:sz="4" w:space="0" w:color="auto"/>
              <w:left w:val="single" w:sz="4" w:space="0" w:color="auto"/>
              <w:bottom w:val="single" w:sz="4" w:space="0" w:color="auto"/>
              <w:right w:val="single" w:sz="4" w:space="0" w:color="auto"/>
            </w:tcBorders>
            <w:vAlign w:val="center"/>
          </w:tcPr>
          <w:p w14:paraId="468DE503" w14:textId="77777777" w:rsidR="00F374C2" w:rsidRPr="00F823F5" w:rsidRDefault="00F374C2" w:rsidP="00F374C2">
            <w:pPr>
              <w:pStyle w:val="TableText"/>
            </w:pPr>
            <w:r w:rsidRPr="00F823F5">
              <w:t>$6,293,025</w:t>
            </w:r>
          </w:p>
        </w:tc>
        <w:tc>
          <w:tcPr>
            <w:tcW w:w="612" w:type="pct"/>
            <w:tcBorders>
              <w:top w:val="single" w:sz="4" w:space="0" w:color="auto"/>
              <w:left w:val="single" w:sz="4" w:space="0" w:color="auto"/>
              <w:bottom w:val="single" w:sz="4" w:space="0" w:color="auto"/>
              <w:right w:val="single" w:sz="4" w:space="0" w:color="auto"/>
            </w:tcBorders>
            <w:vAlign w:val="center"/>
          </w:tcPr>
          <w:p w14:paraId="4C977503" w14:textId="77777777" w:rsidR="00F374C2" w:rsidRPr="00F823F5" w:rsidRDefault="00F374C2" w:rsidP="00F374C2">
            <w:pPr>
              <w:pStyle w:val="TableText"/>
            </w:pPr>
            <w:r w:rsidRPr="00F823F5">
              <w:t>$12,586,050</w:t>
            </w:r>
          </w:p>
        </w:tc>
        <w:tc>
          <w:tcPr>
            <w:tcW w:w="570" w:type="pct"/>
            <w:tcBorders>
              <w:top w:val="single" w:sz="4" w:space="0" w:color="auto"/>
              <w:left w:val="single" w:sz="4" w:space="0" w:color="auto"/>
              <w:bottom w:val="single" w:sz="4" w:space="0" w:color="auto"/>
              <w:right w:val="single" w:sz="4" w:space="0" w:color="auto"/>
            </w:tcBorders>
            <w:vAlign w:val="center"/>
          </w:tcPr>
          <w:p w14:paraId="6970D485" w14:textId="77777777" w:rsidR="00F374C2" w:rsidRPr="00F823F5" w:rsidRDefault="00F374C2" w:rsidP="00F374C2">
            <w:pPr>
              <w:pStyle w:val="TableText"/>
            </w:pPr>
            <w:r w:rsidRPr="00F823F5">
              <w:t>$25,172,100</w:t>
            </w:r>
          </w:p>
        </w:tc>
        <w:tc>
          <w:tcPr>
            <w:tcW w:w="625" w:type="pct"/>
            <w:tcBorders>
              <w:top w:val="single" w:sz="4" w:space="0" w:color="auto"/>
              <w:left w:val="single" w:sz="4" w:space="0" w:color="auto"/>
              <w:bottom w:val="single" w:sz="4" w:space="0" w:color="auto"/>
              <w:right w:val="single" w:sz="4" w:space="0" w:color="auto"/>
            </w:tcBorders>
            <w:vAlign w:val="center"/>
          </w:tcPr>
          <w:p w14:paraId="2895E9C1" w14:textId="77777777" w:rsidR="00F374C2" w:rsidRPr="00F823F5" w:rsidRDefault="00F374C2" w:rsidP="00F374C2">
            <w:pPr>
              <w:pStyle w:val="TableText"/>
            </w:pPr>
            <w:r w:rsidRPr="00F823F5">
              <w:t>$37,758,150</w:t>
            </w:r>
          </w:p>
        </w:tc>
        <w:tc>
          <w:tcPr>
            <w:tcW w:w="575" w:type="pct"/>
            <w:tcBorders>
              <w:top w:val="single" w:sz="4" w:space="0" w:color="auto"/>
              <w:left w:val="single" w:sz="4" w:space="0" w:color="auto"/>
              <w:bottom w:val="single" w:sz="4" w:space="0" w:color="auto"/>
              <w:right w:val="single" w:sz="4" w:space="0" w:color="auto"/>
            </w:tcBorders>
            <w:vAlign w:val="center"/>
          </w:tcPr>
          <w:p w14:paraId="1A35591F" w14:textId="77777777" w:rsidR="00F374C2" w:rsidRPr="00F823F5" w:rsidRDefault="00F374C2" w:rsidP="00F374C2">
            <w:pPr>
              <w:pStyle w:val="TableText"/>
            </w:pPr>
            <w:r w:rsidRPr="00F823F5">
              <w:t>$50,344,200</w:t>
            </w:r>
          </w:p>
        </w:tc>
        <w:tc>
          <w:tcPr>
            <w:tcW w:w="627" w:type="pct"/>
            <w:tcBorders>
              <w:top w:val="single" w:sz="4" w:space="0" w:color="auto"/>
              <w:left w:val="single" w:sz="4" w:space="0" w:color="auto"/>
              <w:bottom w:val="single" w:sz="4" w:space="0" w:color="auto"/>
              <w:right w:val="single" w:sz="4" w:space="0" w:color="auto"/>
            </w:tcBorders>
            <w:vAlign w:val="center"/>
          </w:tcPr>
          <w:p w14:paraId="0BA8C318" w14:textId="77777777" w:rsidR="00F374C2" w:rsidRPr="00F823F5" w:rsidRDefault="00F374C2" w:rsidP="00F374C2">
            <w:pPr>
              <w:pStyle w:val="TableText"/>
            </w:pPr>
            <w:r w:rsidRPr="00F823F5">
              <w:t>$135,300,038</w:t>
            </w:r>
          </w:p>
        </w:tc>
      </w:tr>
      <w:tr w:rsidR="00F374C2" w:rsidRPr="00807F80" w14:paraId="291F0B2F" w14:textId="77777777" w:rsidTr="00F8597B">
        <w:trPr>
          <w:cantSplit/>
          <w:trHeight w:val="198"/>
        </w:trPr>
        <w:tc>
          <w:tcPr>
            <w:tcW w:w="834" w:type="pct"/>
            <w:tcBorders>
              <w:top w:val="single" w:sz="4" w:space="0" w:color="auto"/>
              <w:left w:val="single" w:sz="4" w:space="0" w:color="auto"/>
              <w:bottom w:val="single" w:sz="4" w:space="0" w:color="auto"/>
              <w:right w:val="nil"/>
            </w:tcBorders>
          </w:tcPr>
          <w:p w14:paraId="1AF0621C" w14:textId="77777777" w:rsidR="00F374C2" w:rsidRPr="00807F80" w:rsidRDefault="00F374C2" w:rsidP="00F374C2">
            <w:pPr>
              <w:pStyle w:val="TableText"/>
              <w:rPr>
                <w:b/>
                <w:bCs/>
              </w:rPr>
            </w:pPr>
            <w:r w:rsidRPr="00807F80">
              <w:rPr>
                <w:b/>
                <w:bCs/>
              </w:rPr>
              <w:t>Cost difference</w:t>
            </w:r>
          </w:p>
        </w:tc>
        <w:tc>
          <w:tcPr>
            <w:tcW w:w="560" w:type="pct"/>
            <w:tcBorders>
              <w:top w:val="single" w:sz="4" w:space="0" w:color="auto"/>
              <w:left w:val="nil"/>
              <w:bottom w:val="single" w:sz="4" w:space="0" w:color="auto"/>
              <w:right w:val="nil"/>
            </w:tcBorders>
            <w:vAlign w:val="center"/>
          </w:tcPr>
          <w:p w14:paraId="12F09215" w14:textId="77777777" w:rsidR="00F374C2" w:rsidRPr="00807F80" w:rsidRDefault="00F374C2" w:rsidP="00F374C2">
            <w:pPr>
              <w:pStyle w:val="TableText"/>
              <w:rPr>
                <w:b/>
                <w:bCs/>
              </w:rPr>
            </w:pPr>
          </w:p>
        </w:tc>
        <w:tc>
          <w:tcPr>
            <w:tcW w:w="598" w:type="pct"/>
            <w:tcBorders>
              <w:top w:val="single" w:sz="4" w:space="0" w:color="auto"/>
              <w:left w:val="nil"/>
              <w:bottom w:val="single" w:sz="4" w:space="0" w:color="auto"/>
              <w:right w:val="nil"/>
            </w:tcBorders>
            <w:vAlign w:val="center"/>
          </w:tcPr>
          <w:p w14:paraId="3220F52A" w14:textId="77777777" w:rsidR="00F374C2" w:rsidRPr="00807F80" w:rsidRDefault="00F374C2" w:rsidP="00F374C2">
            <w:pPr>
              <w:pStyle w:val="TableText"/>
              <w:rPr>
                <w:b/>
                <w:bCs/>
              </w:rPr>
            </w:pPr>
          </w:p>
        </w:tc>
        <w:tc>
          <w:tcPr>
            <w:tcW w:w="612" w:type="pct"/>
            <w:tcBorders>
              <w:top w:val="single" w:sz="4" w:space="0" w:color="auto"/>
              <w:left w:val="nil"/>
              <w:bottom w:val="single" w:sz="4" w:space="0" w:color="auto"/>
              <w:right w:val="nil"/>
            </w:tcBorders>
            <w:vAlign w:val="center"/>
          </w:tcPr>
          <w:p w14:paraId="356A1550" w14:textId="77777777" w:rsidR="00F374C2" w:rsidRPr="00807F80" w:rsidRDefault="00F374C2" w:rsidP="00F374C2">
            <w:pPr>
              <w:pStyle w:val="TableText"/>
              <w:rPr>
                <w:b/>
                <w:bCs/>
              </w:rPr>
            </w:pPr>
          </w:p>
        </w:tc>
        <w:tc>
          <w:tcPr>
            <w:tcW w:w="570" w:type="pct"/>
            <w:tcBorders>
              <w:top w:val="single" w:sz="4" w:space="0" w:color="auto"/>
              <w:left w:val="nil"/>
              <w:bottom w:val="single" w:sz="4" w:space="0" w:color="auto"/>
              <w:right w:val="nil"/>
            </w:tcBorders>
            <w:vAlign w:val="center"/>
          </w:tcPr>
          <w:p w14:paraId="41C07BB9" w14:textId="77777777" w:rsidR="00F374C2" w:rsidRPr="00807F80" w:rsidRDefault="00F374C2" w:rsidP="00F374C2">
            <w:pPr>
              <w:pStyle w:val="TableText"/>
              <w:rPr>
                <w:b/>
                <w:bCs/>
              </w:rPr>
            </w:pPr>
          </w:p>
        </w:tc>
        <w:tc>
          <w:tcPr>
            <w:tcW w:w="625" w:type="pct"/>
            <w:tcBorders>
              <w:top w:val="single" w:sz="4" w:space="0" w:color="auto"/>
              <w:left w:val="nil"/>
              <w:bottom w:val="single" w:sz="4" w:space="0" w:color="auto"/>
              <w:right w:val="nil"/>
            </w:tcBorders>
            <w:vAlign w:val="center"/>
          </w:tcPr>
          <w:p w14:paraId="105743FF" w14:textId="77777777" w:rsidR="00F374C2" w:rsidRPr="00807F80" w:rsidRDefault="00F374C2" w:rsidP="00F374C2">
            <w:pPr>
              <w:pStyle w:val="TableText"/>
              <w:rPr>
                <w:b/>
                <w:bCs/>
              </w:rPr>
            </w:pPr>
          </w:p>
        </w:tc>
        <w:tc>
          <w:tcPr>
            <w:tcW w:w="575" w:type="pct"/>
            <w:tcBorders>
              <w:top w:val="single" w:sz="4" w:space="0" w:color="auto"/>
              <w:left w:val="nil"/>
              <w:bottom w:val="single" w:sz="4" w:space="0" w:color="auto"/>
              <w:right w:val="nil"/>
            </w:tcBorders>
            <w:vAlign w:val="center"/>
          </w:tcPr>
          <w:p w14:paraId="7ED854AA" w14:textId="77777777" w:rsidR="00F374C2" w:rsidRPr="00807F80" w:rsidRDefault="00F374C2" w:rsidP="00F374C2">
            <w:pPr>
              <w:pStyle w:val="TableText"/>
              <w:rPr>
                <w:b/>
                <w:bCs/>
              </w:rPr>
            </w:pPr>
          </w:p>
        </w:tc>
        <w:tc>
          <w:tcPr>
            <w:tcW w:w="627" w:type="pct"/>
            <w:tcBorders>
              <w:top w:val="single" w:sz="4" w:space="0" w:color="auto"/>
              <w:left w:val="nil"/>
              <w:bottom w:val="single" w:sz="4" w:space="0" w:color="auto"/>
              <w:right w:val="single" w:sz="4" w:space="0" w:color="auto"/>
            </w:tcBorders>
            <w:vAlign w:val="center"/>
          </w:tcPr>
          <w:p w14:paraId="4C350574" w14:textId="77777777" w:rsidR="00F374C2" w:rsidRPr="00807F80" w:rsidRDefault="00F374C2" w:rsidP="00F374C2">
            <w:pPr>
              <w:pStyle w:val="TableText"/>
              <w:rPr>
                <w:b/>
                <w:bCs/>
              </w:rPr>
            </w:pPr>
          </w:p>
        </w:tc>
      </w:tr>
      <w:tr w:rsidR="00F374C2" w:rsidRPr="00104D9A" w14:paraId="0523C417" w14:textId="77777777" w:rsidTr="00F8597B">
        <w:trPr>
          <w:trHeight w:val="198"/>
        </w:trPr>
        <w:tc>
          <w:tcPr>
            <w:tcW w:w="834" w:type="pct"/>
            <w:tcBorders>
              <w:top w:val="single" w:sz="4" w:space="0" w:color="auto"/>
              <w:left w:val="single" w:sz="4" w:space="0" w:color="auto"/>
              <w:bottom w:val="single" w:sz="4" w:space="0" w:color="auto"/>
              <w:right w:val="single" w:sz="4" w:space="0" w:color="auto"/>
            </w:tcBorders>
          </w:tcPr>
          <w:p w14:paraId="26FCCDF6" w14:textId="77777777" w:rsidR="00F374C2" w:rsidRPr="00104D9A" w:rsidRDefault="00F374C2" w:rsidP="00F374C2">
            <w:pPr>
              <w:pStyle w:val="TableText"/>
            </w:pPr>
            <w:r>
              <w:t>EBRT Treatments substituted with Re-188</w:t>
            </w:r>
          </w:p>
        </w:tc>
        <w:tc>
          <w:tcPr>
            <w:tcW w:w="560" w:type="pct"/>
            <w:tcBorders>
              <w:top w:val="single" w:sz="4" w:space="0" w:color="auto"/>
              <w:left w:val="single" w:sz="4" w:space="0" w:color="auto"/>
              <w:bottom w:val="single" w:sz="4" w:space="0" w:color="auto"/>
              <w:right w:val="single" w:sz="4" w:space="0" w:color="auto"/>
            </w:tcBorders>
            <w:vAlign w:val="center"/>
          </w:tcPr>
          <w:p w14:paraId="4B761F92" w14:textId="77777777" w:rsidR="00F374C2" w:rsidRPr="00104D9A" w:rsidRDefault="00F374C2" w:rsidP="00F374C2">
            <w:pPr>
              <w:pStyle w:val="TableText"/>
            </w:pPr>
            <w:r w:rsidRPr="00F823F5">
              <w:t>500</w:t>
            </w:r>
          </w:p>
        </w:tc>
        <w:tc>
          <w:tcPr>
            <w:tcW w:w="598" w:type="pct"/>
            <w:tcBorders>
              <w:top w:val="single" w:sz="4" w:space="0" w:color="auto"/>
              <w:left w:val="single" w:sz="4" w:space="0" w:color="auto"/>
              <w:bottom w:val="single" w:sz="4" w:space="0" w:color="auto"/>
              <w:right w:val="single" w:sz="4" w:space="0" w:color="auto"/>
            </w:tcBorders>
            <w:vAlign w:val="center"/>
          </w:tcPr>
          <w:p w14:paraId="0DA60FA4" w14:textId="77777777" w:rsidR="00F374C2" w:rsidRPr="00104D9A" w:rsidRDefault="00F374C2" w:rsidP="00F374C2">
            <w:pPr>
              <w:pStyle w:val="TableText"/>
            </w:pPr>
            <w:r w:rsidRPr="00F823F5">
              <w:t>1,000</w:t>
            </w:r>
          </w:p>
        </w:tc>
        <w:tc>
          <w:tcPr>
            <w:tcW w:w="612" w:type="pct"/>
            <w:tcBorders>
              <w:top w:val="single" w:sz="4" w:space="0" w:color="auto"/>
              <w:left w:val="single" w:sz="4" w:space="0" w:color="auto"/>
              <w:bottom w:val="single" w:sz="4" w:space="0" w:color="auto"/>
              <w:right w:val="single" w:sz="4" w:space="0" w:color="auto"/>
            </w:tcBorders>
            <w:vAlign w:val="center"/>
          </w:tcPr>
          <w:p w14:paraId="36B2B3C3" w14:textId="77777777" w:rsidR="00F374C2" w:rsidRPr="00104D9A" w:rsidRDefault="00F374C2" w:rsidP="00F374C2">
            <w:pPr>
              <w:pStyle w:val="TableText"/>
            </w:pPr>
            <w:r w:rsidRPr="00F823F5">
              <w:t>2,000</w:t>
            </w:r>
          </w:p>
        </w:tc>
        <w:tc>
          <w:tcPr>
            <w:tcW w:w="570" w:type="pct"/>
            <w:tcBorders>
              <w:top w:val="single" w:sz="4" w:space="0" w:color="auto"/>
              <w:left w:val="single" w:sz="4" w:space="0" w:color="auto"/>
              <w:bottom w:val="single" w:sz="4" w:space="0" w:color="auto"/>
              <w:right w:val="single" w:sz="4" w:space="0" w:color="auto"/>
            </w:tcBorders>
            <w:vAlign w:val="center"/>
          </w:tcPr>
          <w:p w14:paraId="00A707A0" w14:textId="77777777" w:rsidR="00F374C2" w:rsidRPr="00104D9A" w:rsidRDefault="00F374C2" w:rsidP="00F374C2">
            <w:pPr>
              <w:pStyle w:val="TableText"/>
            </w:pPr>
            <w:r w:rsidRPr="00F823F5">
              <w:t>4,000</w:t>
            </w:r>
          </w:p>
        </w:tc>
        <w:tc>
          <w:tcPr>
            <w:tcW w:w="625" w:type="pct"/>
            <w:tcBorders>
              <w:top w:val="single" w:sz="4" w:space="0" w:color="auto"/>
              <w:left w:val="single" w:sz="4" w:space="0" w:color="auto"/>
              <w:bottom w:val="single" w:sz="4" w:space="0" w:color="auto"/>
              <w:right w:val="single" w:sz="4" w:space="0" w:color="auto"/>
            </w:tcBorders>
            <w:vAlign w:val="center"/>
          </w:tcPr>
          <w:p w14:paraId="22DC390D" w14:textId="77777777" w:rsidR="00F374C2" w:rsidRPr="00104D9A" w:rsidRDefault="00F374C2" w:rsidP="00F374C2">
            <w:pPr>
              <w:pStyle w:val="TableText"/>
            </w:pPr>
            <w:r w:rsidRPr="00F823F5">
              <w:t>6,000</w:t>
            </w:r>
          </w:p>
        </w:tc>
        <w:tc>
          <w:tcPr>
            <w:tcW w:w="575" w:type="pct"/>
            <w:tcBorders>
              <w:top w:val="single" w:sz="4" w:space="0" w:color="auto"/>
              <w:left w:val="single" w:sz="4" w:space="0" w:color="auto"/>
              <w:bottom w:val="single" w:sz="4" w:space="0" w:color="auto"/>
              <w:right w:val="single" w:sz="4" w:space="0" w:color="auto"/>
            </w:tcBorders>
            <w:vAlign w:val="center"/>
          </w:tcPr>
          <w:p w14:paraId="75857CD7" w14:textId="77777777" w:rsidR="00F374C2" w:rsidRPr="00104D9A" w:rsidRDefault="00F374C2" w:rsidP="00F374C2">
            <w:pPr>
              <w:pStyle w:val="TableText"/>
            </w:pPr>
            <w:r w:rsidRPr="00F823F5">
              <w:t>8,000</w:t>
            </w:r>
          </w:p>
        </w:tc>
        <w:tc>
          <w:tcPr>
            <w:tcW w:w="627" w:type="pct"/>
            <w:tcBorders>
              <w:top w:val="single" w:sz="4" w:space="0" w:color="auto"/>
              <w:left w:val="single" w:sz="4" w:space="0" w:color="auto"/>
              <w:bottom w:val="single" w:sz="4" w:space="0" w:color="auto"/>
              <w:right w:val="single" w:sz="4" w:space="0" w:color="auto"/>
            </w:tcBorders>
            <w:vAlign w:val="center"/>
          </w:tcPr>
          <w:p w14:paraId="1D1336A3" w14:textId="77777777" w:rsidR="00F374C2" w:rsidRPr="00104D9A" w:rsidRDefault="00F374C2" w:rsidP="00F374C2">
            <w:pPr>
              <w:pStyle w:val="TableText"/>
            </w:pPr>
            <w:r w:rsidRPr="00F823F5">
              <w:t>21,500</w:t>
            </w:r>
          </w:p>
        </w:tc>
      </w:tr>
      <w:tr w:rsidR="00F374C2" w:rsidRPr="00104D9A" w14:paraId="151BA2A9" w14:textId="77777777" w:rsidTr="00F8597B">
        <w:trPr>
          <w:trHeight w:val="198"/>
        </w:trPr>
        <w:tc>
          <w:tcPr>
            <w:tcW w:w="834" w:type="pct"/>
            <w:tcBorders>
              <w:top w:val="single" w:sz="4" w:space="0" w:color="auto"/>
              <w:left w:val="single" w:sz="4" w:space="0" w:color="auto"/>
              <w:bottom w:val="single" w:sz="4" w:space="0" w:color="auto"/>
              <w:right w:val="single" w:sz="4" w:space="0" w:color="auto"/>
            </w:tcBorders>
          </w:tcPr>
          <w:p w14:paraId="482654A9" w14:textId="77777777" w:rsidR="00F374C2" w:rsidRPr="00104D9A" w:rsidRDefault="00F374C2" w:rsidP="00F374C2">
            <w:pPr>
              <w:pStyle w:val="TableText"/>
            </w:pPr>
            <w:r w:rsidRPr="00104D9A">
              <w:t>Difference in service cost</w:t>
            </w:r>
          </w:p>
        </w:tc>
        <w:tc>
          <w:tcPr>
            <w:tcW w:w="560" w:type="pct"/>
            <w:tcBorders>
              <w:top w:val="single" w:sz="4" w:space="0" w:color="auto"/>
              <w:left w:val="single" w:sz="4" w:space="0" w:color="auto"/>
              <w:bottom w:val="single" w:sz="4" w:space="0" w:color="auto"/>
              <w:right w:val="single" w:sz="4" w:space="0" w:color="auto"/>
            </w:tcBorders>
          </w:tcPr>
          <w:p w14:paraId="018ABAFA" w14:textId="77777777" w:rsidR="00F374C2" w:rsidRPr="00104D9A" w:rsidRDefault="00F374C2" w:rsidP="00F374C2">
            <w:pPr>
              <w:pStyle w:val="TableText"/>
            </w:pPr>
            <w:r w:rsidRPr="00104D9A">
              <w:t>-$396,008</w:t>
            </w:r>
          </w:p>
        </w:tc>
        <w:tc>
          <w:tcPr>
            <w:tcW w:w="598" w:type="pct"/>
            <w:tcBorders>
              <w:top w:val="single" w:sz="4" w:space="0" w:color="auto"/>
              <w:left w:val="single" w:sz="4" w:space="0" w:color="auto"/>
              <w:bottom w:val="single" w:sz="4" w:space="0" w:color="auto"/>
              <w:right w:val="single" w:sz="4" w:space="0" w:color="auto"/>
            </w:tcBorders>
          </w:tcPr>
          <w:p w14:paraId="4233CBA8" w14:textId="77777777" w:rsidR="00F374C2" w:rsidRPr="00104D9A" w:rsidRDefault="00F374C2" w:rsidP="00F374C2">
            <w:pPr>
              <w:pStyle w:val="TableText"/>
            </w:pPr>
            <w:r w:rsidRPr="00104D9A">
              <w:t>-$792,015</w:t>
            </w:r>
          </w:p>
        </w:tc>
        <w:tc>
          <w:tcPr>
            <w:tcW w:w="612" w:type="pct"/>
            <w:tcBorders>
              <w:top w:val="single" w:sz="4" w:space="0" w:color="auto"/>
              <w:left w:val="single" w:sz="4" w:space="0" w:color="auto"/>
              <w:bottom w:val="single" w:sz="4" w:space="0" w:color="auto"/>
              <w:right w:val="single" w:sz="4" w:space="0" w:color="auto"/>
            </w:tcBorders>
          </w:tcPr>
          <w:p w14:paraId="5818C6C5" w14:textId="77777777" w:rsidR="00F374C2" w:rsidRPr="00104D9A" w:rsidRDefault="00F374C2" w:rsidP="00F374C2">
            <w:pPr>
              <w:pStyle w:val="TableText"/>
            </w:pPr>
            <w:r w:rsidRPr="00104D9A">
              <w:t>-$1,584,030</w:t>
            </w:r>
          </w:p>
        </w:tc>
        <w:tc>
          <w:tcPr>
            <w:tcW w:w="570" w:type="pct"/>
            <w:tcBorders>
              <w:top w:val="single" w:sz="4" w:space="0" w:color="auto"/>
              <w:left w:val="single" w:sz="4" w:space="0" w:color="auto"/>
              <w:bottom w:val="single" w:sz="4" w:space="0" w:color="auto"/>
              <w:right w:val="single" w:sz="4" w:space="0" w:color="auto"/>
            </w:tcBorders>
          </w:tcPr>
          <w:p w14:paraId="498E5798" w14:textId="77777777" w:rsidR="00F374C2" w:rsidRPr="00104D9A" w:rsidRDefault="00F374C2" w:rsidP="00F374C2">
            <w:pPr>
              <w:pStyle w:val="TableText"/>
            </w:pPr>
            <w:r w:rsidRPr="00104D9A">
              <w:t>-$3,168,060</w:t>
            </w:r>
          </w:p>
        </w:tc>
        <w:tc>
          <w:tcPr>
            <w:tcW w:w="625" w:type="pct"/>
            <w:tcBorders>
              <w:top w:val="single" w:sz="4" w:space="0" w:color="auto"/>
              <w:left w:val="single" w:sz="4" w:space="0" w:color="auto"/>
              <w:bottom w:val="single" w:sz="4" w:space="0" w:color="auto"/>
              <w:right w:val="single" w:sz="4" w:space="0" w:color="auto"/>
            </w:tcBorders>
          </w:tcPr>
          <w:p w14:paraId="74C34EDD" w14:textId="77777777" w:rsidR="00F374C2" w:rsidRPr="00104D9A" w:rsidRDefault="00F374C2" w:rsidP="00F374C2">
            <w:pPr>
              <w:pStyle w:val="TableText"/>
            </w:pPr>
            <w:r w:rsidRPr="00104D9A">
              <w:t>-$4,752,090</w:t>
            </w:r>
          </w:p>
        </w:tc>
        <w:tc>
          <w:tcPr>
            <w:tcW w:w="575" w:type="pct"/>
            <w:tcBorders>
              <w:top w:val="single" w:sz="4" w:space="0" w:color="auto"/>
              <w:left w:val="single" w:sz="4" w:space="0" w:color="auto"/>
              <w:bottom w:val="single" w:sz="4" w:space="0" w:color="auto"/>
              <w:right w:val="single" w:sz="4" w:space="0" w:color="auto"/>
            </w:tcBorders>
          </w:tcPr>
          <w:p w14:paraId="03B55CAA" w14:textId="77777777" w:rsidR="00F374C2" w:rsidRPr="00104D9A" w:rsidRDefault="00F374C2" w:rsidP="00F374C2">
            <w:pPr>
              <w:pStyle w:val="TableText"/>
            </w:pPr>
            <w:r w:rsidRPr="00104D9A">
              <w:t>-$6,336,120</w:t>
            </w:r>
          </w:p>
        </w:tc>
        <w:tc>
          <w:tcPr>
            <w:tcW w:w="627" w:type="pct"/>
            <w:tcBorders>
              <w:top w:val="single" w:sz="4" w:space="0" w:color="auto"/>
              <w:left w:val="single" w:sz="4" w:space="0" w:color="auto"/>
              <w:bottom w:val="single" w:sz="4" w:space="0" w:color="auto"/>
              <w:right w:val="single" w:sz="4" w:space="0" w:color="auto"/>
            </w:tcBorders>
          </w:tcPr>
          <w:p w14:paraId="5FB09A48" w14:textId="77777777" w:rsidR="00F374C2" w:rsidRPr="00104D9A" w:rsidRDefault="00F374C2" w:rsidP="00F374C2">
            <w:pPr>
              <w:pStyle w:val="TableText"/>
            </w:pPr>
            <w:r w:rsidRPr="00104D9A">
              <w:t>-$17,028,323</w:t>
            </w:r>
          </w:p>
        </w:tc>
      </w:tr>
      <w:tr w:rsidR="00F374C2" w:rsidRPr="00104D9A" w14:paraId="0A60F942" w14:textId="77777777" w:rsidTr="00F8597B">
        <w:trPr>
          <w:trHeight w:val="198"/>
        </w:trPr>
        <w:tc>
          <w:tcPr>
            <w:tcW w:w="834" w:type="pct"/>
            <w:tcBorders>
              <w:top w:val="single" w:sz="4" w:space="0" w:color="auto"/>
              <w:left w:val="single" w:sz="4" w:space="0" w:color="auto"/>
              <w:bottom w:val="single" w:sz="4" w:space="0" w:color="auto"/>
              <w:right w:val="single" w:sz="4" w:space="0" w:color="auto"/>
            </w:tcBorders>
          </w:tcPr>
          <w:p w14:paraId="603BF373" w14:textId="77777777" w:rsidR="00F374C2" w:rsidRPr="00104D9A" w:rsidRDefault="00F374C2" w:rsidP="00F374C2">
            <w:pPr>
              <w:pStyle w:val="TableText"/>
            </w:pPr>
            <w:r w:rsidRPr="00104D9A">
              <w:t>Difference in adjunctive cost</w:t>
            </w:r>
          </w:p>
        </w:tc>
        <w:tc>
          <w:tcPr>
            <w:tcW w:w="560" w:type="pct"/>
            <w:tcBorders>
              <w:top w:val="single" w:sz="4" w:space="0" w:color="auto"/>
              <w:left w:val="single" w:sz="4" w:space="0" w:color="auto"/>
              <w:bottom w:val="single" w:sz="4" w:space="0" w:color="auto"/>
              <w:right w:val="single" w:sz="4" w:space="0" w:color="auto"/>
            </w:tcBorders>
          </w:tcPr>
          <w:p w14:paraId="76F77C9C" w14:textId="77777777" w:rsidR="00F374C2" w:rsidRPr="00104D9A" w:rsidRDefault="00F374C2" w:rsidP="00F374C2">
            <w:pPr>
              <w:pStyle w:val="TableText"/>
            </w:pPr>
            <w:r w:rsidRPr="00104D9A">
              <w:t>-$88,225</w:t>
            </w:r>
          </w:p>
        </w:tc>
        <w:tc>
          <w:tcPr>
            <w:tcW w:w="598" w:type="pct"/>
            <w:tcBorders>
              <w:top w:val="single" w:sz="4" w:space="0" w:color="auto"/>
              <w:left w:val="single" w:sz="4" w:space="0" w:color="auto"/>
              <w:bottom w:val="single" w:sz="4" w:space="0" w:color="auto"/>
              <w:right w:val="single" w:sz="4" w:space="0" w:color="auto"/>
            </w:tcBorders>
          </w:tcPr>
          <w:p w14:paraId="0F7453DA" w14:textId="77777777" w:rsidR="00F374C2" w:rsidRPr="00104D9A" w:rsidRDefault="00F374C2" w:rsidP="00F374C2">
            <w:pPr>
              <w:pStyle w:val="TableText"/>
            </w:pPr>
            <w:r w:rsidRPr="00104D9A">
              <w:t>-$176,450</w:t>
            </w:r>
          </w:p>
        </w:tc>
        <w:tc>
          <w:tcPr>
            <w:tcW w:w="612" w:type="pct"/>
            <w:tcBorders>
              <w:top w:val="single" w:sz="4" w:space="0" w:color="auto"/>
              <w:left w:val="single" w:sz="4" w:space="0" w:color="auto"/>
              <w:bottom w:val="single" w:sz="4" w:space="0" w:color="auto"/>
              <w:right w:val="single" w:sz="4" w:space="0" w:color="auto"/>
            </w:tcBorders>
          </w:tcPr>
          <w:p w14:paraId="7CC18A50" w14:textId="77777777" w:rsidR="00F374C2" w:rsidRPr="00104D9A" w:rsidRDefault="00F374C2" w:rsidP="00F374C2">
            <w:pPr>
              <w:pStyle w:val="TableText"/>
            </w:pPr>
            <w:r w:rsidRPr="00104D9A">
              <w:t>-$352,900</w:t>
            </w:r>
          </w:p>
        </w:tc>
        <w:tc>
          <w:tcPr>
            <w:tcW w:w="570" w:type="pct"/>
            <w:tcBorders>
              <w:top w:val="single" w:sz="4" w:space="0" w:color="auto"/>
              <w:left w:val="single" w:sz="4" w:space="0" w:color="auto"/>
              <w:bottom w:val="single" w:sz="4" w:space="0" w:color="auto"/>
              <w:right w:val="single" w:sz="4" w:space="0" w:color="auto"/>
            </w:tcBorders>
          </w:tcPr>
          <w:p w14:paraId="27E42124" w14:textId="77777777" w:rsidR="00F374C2" w:rsidRPr="00104D9A" w:rsidRDefault="00F374C2" w:rsidP="00F374C2">
            <w:pPr>
              <w:pStyle w:val="TableText"/>
            </w:pPr>
            <w:r w:rsidRPr="00104D9A">
              <w:t>-$705,800</w:t>
            </w:r>
          </w:p>
        </w:tc>
        <w:tc>
          <w:tcPr>
            <w:tcW w:w="625" w:type="pct"/>
            <w:tcBorders>
              <w:top w:val="single" w:sz="4" w:space="0" w:color="auto"/>
              <w:left w:val="single" w:sz="4" w:space="0" w:color="auto"/>
              <w:bottom w:val="single" w:sz="4" w:space="0" w:color="auto"/>
              <w:right w:val="single" w:sz="4" w:space="0" w:color="auto"/>
            </w:tcBorders>
          </w:tcPr>
          <w:p w14:paraId="75D82224" w14:textId="77777777" w:rsidR="00F374C2" w:rsidRPr="00104D9A" w:rsidRDefault="00F374C2" w:rsidP="00F374C2">
            <w:pPr>
              <w:pStyle w:val="TableText"/>
            </w:pPr>
            <w:r w:rsidRPr="00104D9A">
              <w:t>-$1,058,700</w:t>
            </w:r>
          </w:p>
        </w:tc>
        <w:tc>
          <w:tcPr>
            <w:tcW w:w="575" w:type="pct"/>
            <w:tcBorders>
              <w:top w:val="single" w:sz="4" w:space="0" w:color="auto"/>
              <w:left w:val="single" w:sz="4" w:space="0" w:color="auto"/>
              <w:bottom w:val="single" w:sz="4" w:space="0" w:color="auto"/>
              <w:right w:val="single" w:sz="4" w:space="0" w:color="auto"/>
            </w:tcBorders>
          </w:tcPr>
          <w:p w14:paraId="7FA2A487" w14:textId="77777777" w:rsidR="00F374C2" w:rsidRPr="00104D9A" w:rsidRDefault="00F374C2" w:rsidP="00F374C2">
            <w:pPr>
              <w:pStyle w:val="TableText"/>
            </w:pPr>
            <w:r w:rsidRPr="00104D9A">
              <w:t>-$1,411,600</w:t>
            </w:r>
          </w:p>
        </w:tc>
        <w:tc>
          <w:tcPr>
            <w:tcW w:w="627" w:type="pct"/>
            <w:tcBorders>
              <w:top w:val="single" w:sz="4" w:space="0" w:color="auto"/>
              <w:left w:val="single" w:sz="4" w:space="0" w:color="auto"/>
              <w:bottom w:val="single" w:sz="4" w:space="0" w:color="auto"/>
              <w:right w:val="single" w:sz="4" w:space="0" w:color="auto"/>
            </w:tcBorders>
          </w:tcPr>
          <w:p w14:paraId="1D8ECD26" w14:textId="77777777" w:rsidR="00F374C2" w:rsidRPr="00104D9A" w:rsidRDefault="00F374C2" w:rsidP="00F374C2">
            <w:pPr>
              <w:pStyle w:val="TableText"/>
            </w:pPr>
            <w:r w:rsidRPr="00104D9A">
              <w:t>-$3,793,675</w:t>
            </w:r>
          </w:p>
        </w:tc>
      </w:tr>
      <w:tr w:rsidR="00F374C2" w:rsidRPr="00104D9A" w14:paraId="0236005A" w14:textId="77777777" w:rsidTr="00F8597B">
        <w:trPr>
          <w:trHeight w:val="198"/>
        </w:trPr>
        <w:tc>
          <w:tcPr>
            <w:tcW w:w="834" w:type="pct"/>
            <w:tcBorders>
              <w:top w:val="single" w:sz="4" w:space="0" w:color="auto"/>
              <w:left w:val="single" w:sz="4" w:space="0" w:color="auto"/>
              <w:bottom w:val="single" w:sz="4" w:space="0" w:color="auto"/>
              <w:right w:val="single" w:sz="4" w:space="0" w:color="auto"/>
            </w:tcBorders>
          </w:tcPr>
          <w:p w14:paraId="45471345" w14:textId="77777777" w:rsidR="00F374C2" w:rsidRPr="00104D9A" w:rsidRDefault="00F374C2" w:rsidP="00F374C2">
            <w:pPr>
              <w:pStyle w:val="TableText"/>
            </w:pPr>
            <w:r w:rsidRPr="00104D9A">
              <w:t>Difference in total cost</w:t>
            </w:r>
          </w:p>
        </w:tc>
        <w:tc>
          <w:tcPr>
            <w:tcW w:w="560" w:type="pct"/>
            <w:tcBorders>
              <w:top w:val="single" w:sz="4" w:space="0" w:color="auto"/>
              <w:left w:val="single" w:sz="4" w:space="0" w:color="auto"/>
              <w:bottom w:val="single" w:sz="4" w:space="0" w:color="auto"/>
              <w:right w:val="single" w:sz="4" w:space="0" w:color="auto"/>
            </w:tcBorders>
          </w:tcPr>
          <w:p w14:paraId="52BB240B" w14:textId="77777777" w:rsidR="00F374C2" w:rsidRPr="00104D9A" w:rsidRDefault="00F374C2" w:rsidP="00F374C2">
            <w:pPr>
              <w:pStyle w:val="TableText"/>
            </w:pPr>
            <w:r w:rsidRPr="00104D9A">
              <w:t>-$484,233</w:t>
            </w:r>
          </w:p>
        </w:tc>
        <w:tc>
          <w:tcPr>
            <w:tcW w:w="598" w:type="pct"/>
            <w:tcBorders>
              <w:top w:val="single" w:sz="4" w:space="0" w:color="auto"/>
              <w:left w:val="single" w:sz="4" w:space="0" w:color="auto"/>
              <w:bottom w:val="single" w:sz="4" w:space="0" w:color="auto"/>
              <w:right w:val="single" w:sz="4" w:space="0" w:color="auto"/>
            </w:tcBorders>
          </w:tcPr>
          <w:p w14:paraId="70629C00" w14:textId="77777777" w:rsidR="00F374C2" w:rsidRPr="00104D9A" w:rsidRDefault="00F374C2" w:rsidP="00F374C2">
            <w:pPr>
              <w:pStyle w:val="TableText"/>
            </w:pPr>
            <w:r w:rsidRPr="00104D9A">
              <w:t>-$968,465</w:t>
            </w:r>
          </w:p>
        </w:tc>
        <w:tc>
          <w:tcPr>
            <w:tcW w:w="612" w:type="pct"/>
            <w:tcBorders>
              <w:top w:val="single" w:sz="4" w:space="0" w:color="auto"/>
              <w:left w:val="single" w:sz="4" w:space="0" w:color="auto"/>
              <w:bottom w:val="single" w:sz="4" w:space="0" w:color="auto"/>
              <w:right w:val="single" w:sz="4" w:space="0" w:color="auto"/>
            </w:tcBorders>
          </w:tcPr>
          <w:p w14:paraId="12079C52" w14:textId="77777777" w:rsidR="00F374C2" w:rsidRPr="00104D9A" w:rsidRDefault="00F374C2" w:rsidP="00F374C2">
            <w:pPr>
              <w:pStyle w:val="TableText"/>
            </w:pPr>
            <w:r w:rsidRPr="00104D9A">
              <w:t>-$1,936,930</w:t>
            </w:r>
          </w:p>
        </w:tc>
        <w:tc>
          <w:tcPr>
            <w:tcW w:w="570" w:type="pct"/>
            <w:tcBorders>
              <w:top w:val="single" w:sz="4" w:space="0" w:color="auto"/>
              <w:left w:val="single" w:sz="4" w:space="0" w:color="auto"/>
              <w:bottom w:val="single" w:sz="4" w:space="0" w:color="auto"/>
              <w:right w:val="single" w:sz="4" w:space="0" w:color="auto"/>
            </w:tcBorders>
          </w:tcPr>
          <w:p w14:paraId="4904B40E" w14:textId="77777777" w:rsidR="00F374C2" w:rsidRPr="00104D9A" w:rsidRDefault="00F374C2" w:rsidP="00F374C2">
            <w:pPr>
              <w:pStyle w:val="TableText"/>
            </w:pPr>
            <w:r w:rsidRPr="00104D9A">
              <w:t>-$3,873,860</w:t>
            </w:r>
          </w:p>
        </w:tc>
        <w:tc>
          <w:tcPr>
            <w:tcW w:w="625" w:type="pct"/>
            <w:tcBorders>
              <w:top w:val="single" w:sz="4" w:space="0" w:color="auto"/>
              <w:left w:val="single" w:sz="4" w:space="0" w:color="auto"/>
              <w:bottom w:val="single" w:sz="4" w:space="0" w:color="auto"/>
              <w:right w:val="single" w:sz="4" w:space="0" w:color="auto"/>
            </w:tcBorders>
          </w:tcPr>
          <w:p w14:paraId="547C54C0" w14:textId="77777777" w:rsidR="00F374C2" w:rsidRPr="00104D9A" w:rsidRDefault="00F374C2" w:rsidP="00F374C2">
            <w:pPr>
              <w:pStyle w:val="TableText"/>
            </w:pPr>
            <w:r w:rsidRPr="00104D9A">
              <w:t>-$5,810,790</w:t>
            </w:r>
          </w:p>
        </w:tc>
        <w:tc>
          <w:tcPr>
            <w:tcW w:w="575" w:type="pct"/>
            <w:tcBorders>
              <w:top w:val="single" w:sz="4" w:space="0" w:color="auto"/>
              <w:left w:val="single" w:sz="4" w:space="0" w:color="auto"/>
              <w:bottom w:val="single" w:sz="4" w:space="0" w:color="auto"/>
              <w:right w:val="single" w:sz="4" w:space="0" w:color="auto"/>
            </w:tcBorders>
          </w:tcPr>
          <w:p w14:paraId="40CC3785" w14:textId="77777777" w:rsidR="00F374C2" w:rsidRPr="00104D9A" w:rsidRDefault="00F374C2" w:rsidP="00F374C2">
            <w:pPr>
              <w:pStyle w:val="TableText"/>
            </w:pPr>
            <w:r w:rsidRPr="00104D9A">
              <w:t>-$7,747,720</w:t>
            </w:r>
          </w:p>
        </w:tc>
        <w:tc>
          <w:tcPr>
            <w:tcW w:w="627" w:type="pct"/>
            <w:tcBorders>
              <w:top w:val="single" w:sz="4" w:space="0" w:color="auto"/>
              <w:left w:val="single" w:sz="4" w:space="0" w:color="auto"/>
              <w:bottom w:val="single" w:sz="4" w:space="0" w:color="auto"/>
              <w:right w:val="single" w:sz="4" w:space="0" w:color="auto"/>
            </w:tcBorders>
          </w:tcPr>
          <w:p w14:paraId="757AC720" w14:textId="77777777" w:rsidR="00F374C2" w:rsidRPr="00104D9A" w:rsidRDefault="00F374C2" w:rsidP="00F374C2">
            <w:pPr>
              <w:pStyle w:val="TableText"/>
            </w:pPr>
            <w:r w:rsidRPr="00104D9A">
              <w:t>-$20,821,998</w:t>
            </w:r>
          </w:p>
        </w:tc>
      </w:tr>
    </w:tbl>
    <w:p w14:paraId="3CD94085" w14:textId="0E254C66" w:rsidR="00F8597B" w:rsidRPr="00104D9A" w:rsidRDefault="00F8597B" w:rsidP="00F8597B">
      <w:pPr>
        <w:pStyle w:val="Tablenotes"/>
      </w:pPr>
      <w:r w:rsidRPr="00F20598">
        <w:t xml:space="preserve">Source: </w:t>
      </w:r>
      <w:r w:rsidR="00C60322">
        <w:t>Table 21, pg 34 of MSAC 1657 Commentary Executive Summary</w:t>
      </w:r>
    </w:p>
    <w:p w14:paraId="6CB83B8F" w14:textId="0E211F20" w:rsidR="00F374C2" w:rsidRPr="00F823F5" w:rsidRDefault="00F8597B" w:rsidP="00F374C2">
      <w:pPr>
        <w:pStyle w:val="Tablenotes"/>
      </w:pPr>
      <w:r>
        <w:t xml:space="preserve">Abbreviations: </w:t>
      </w:r>
      <w:r w:rsidR="00F374C2">
        <w:t>EBRT= External Beam Radiation Therapy; IMRT=</w:t>
      </w:r>
      <w:r w:rsidR="00F374C2" w:rsidRPr="00F27C36">
        <w:t>Intensity-modulated radiation therapy</w:t>
      </w:r>
      <w:r w:rsidR="00F374C2">
        <w:t>; MBS=Medicare Benefits Scheme; VMAT=</w:t>
      </w:r>
      <w:r w:rsidR="00F374C2" w:rsidRPr="00FD7246">
        <w:t>Volumetric modulated arc therapy</w:t>
      </w:r>
      <w:r w:rsidR="00F374C2">
        <w:br/>
      </w:r>
      <w:r w:rsidR="00F374C2" w:rsidRPr="00F823F5">
        <w:t>Combined service cost= No. of treatments X [(No. of simulation services per course x simulation cost)+ (No. of dosimetry services per course x cost of dosimetry)+ (No. of treatment services per course x No. of treatment</w:t>
      </w:r>
      <w:r w:rsidR="00F374C2">
        <w:t>s</w:t>
      </w:r>
      <w:r w:rsidR="00F374C2" w:rsidRPr="00F823F5">
        <w:t xml:space="preserve">)+ (No. of verification services per course x Cost of verification)] </w:t>
      </w:r>
      <w:r w:rsidR="00F374C2" w:rsidRPr="00F823F5">
        <w:tab/>
      </w:r>
    </w:p>
    <w:p w14:paraId="72D1C600" w14:textId="77777777" w:rsidR="00F374C2" w:rsidRPr="00F823F5" w:rsidRDefault="00F374C2" w:rsidP="00F374C2">
      <w:pPr>
        <w:pStyle w:val="Tablenotes"/>
      </w:pPr>
      <w:r w:rsidRPr="00F823F5">
        <w:t>Note: each treatment incurs one simulation service, one dosimetry service, 19 treatment service and 19 verification services.</w:t>
      </w:r>
    </w:p>
    <w:p w14:paraId="74A5D1E0" w14:textId="77777777" w:rsidR="00F374C2" w:rsidRPr="00F823F5" w:rsidRDefault="00F374C2" w:rsidP="00F374C2">
      <w:pPr>
        <w:pStyle w:val="Tablenotes"/>
      </w:pPr>
      <w:r w:rsidRPr="00F823F5">
        <w:t>Adjunctive care cost= Total treatments x [(No. of initial specialist consultations per service X Cost of initial specialist consultation)+ (No. of subsequent specialist consultations per service x cost of subsequent specialist consultation)+ (No. of wound care episodes per service x cost of wound care)]</w:t>
      </w:r>
    </w:p>
    <w:p w14:paraId="18718386" w14:textId="77777777" w:rsidR="00F374C2" w:rsidRPr="00F20598" w:rsidRDefault="00F374C2" w:rsidP="00F374C2">
      <w:pPr>
        <w:pStyle w:val="Tablenotes"/>
      </w:pPr>
      <w:r w:rsidRPr="00F20598">
        <w:t>*Service cost included total item costs for lesions 1.5-8.0 cm</w:t>
      </w:r>
      <w:r w:rsidRPr="00C220BC">
        <w:t xml:space="preserve">2- </w:t>
      </w:r>
      <w:r w:rsidRPr="00F20598">
        <w:t xml:space="preserve">Refer to Table 1.1 on page 18 of </w:t>
      </w:r>
      <w:r>
        <w:t xml:space="preserve">MSAC 1657 </w:t>
      </w:r>
      <w:r w:rsidRPr="00F20598">
        <w:t>ADAR. Item costs include cost of the Re-188 compound, general consumables, specialist, nursing, technician, capital depreciation, a</w:t>
      </w:r>
      <w:r>
        <w:t>n</w:t>
      </w:r>
      <w:r w:rsidRPr="00F20598">
        <w:t>d overheads. Of these the cost of Re-188 compound were calculated based on the size of the lesion (</w:t>
      </w:r>
      <w:r>
        <w:t>Attachment MSAC 657 ADAR -</w:t>
      </w:r>
      <w:r w:rsidRPr="00F20598">
        <w:t>Section 1 Workbook)</w:t>
      </w:r>
    </w:p>
    <w:p w14:paraId="55CF7CFA" w14:textId="0BD04952" w:rsidR="00F374C2" w:rsidRPr="00F20598" w:rsidRDefault="00F374C2" w:rsidP="00F374C2">
      <w:pPr>
        <w:pStyle w:val="Tablenotes"/>
      </w:pPr>
      <w:r w:rsidRPr="00F20598">
        <w:t>**Adjunctive costs include one initial and one subsequent specialist consultation</w:t>
      </w:r>
      <w:r w:rsidR="00B47F17">
        <w:t xml:space="preserve"> and wound care episodes</w:t>
      </w:r>
    </w:p>
    <w:p w14:paraId="5E3BAC72" w14:textId="66510A03" w:rsidR="00D71139" w:rsidRPr="00C163F6" w:rsidRDefault="007F4DFD" w:rsidP="00DE7C84">
      <w:pPr>
        <w:pStyle w:val="Heading3"/>
        <w:keepNext/>
      </w:pPr>
      <w:r>
        <w:lastRenderedPageBreak/>
        <w:t>ADAR s</w:t>
      </w:r>
      <w:r w:rsidR="00D71139" w:rsidRPr="00C163F6">
        <w:t>ensitivity analyses</w:t>
      </w:r>
    </w:p>
    <w:p w14:paraId="4FD76589" w14:textId="25FB9D9B" w:rsidR="00D71139" w:rsidRDefault="00D71139" w:rsidP="00081764">
      <w:pPr>
        <w:rPr>
          <w:bCs/>
          <w:snapToGrid w:val="0"/>
        </w:rPr>
      </w:pPr>
      <w:r w:rsidRPr="00A560FD">
        <w:rPr>
          <w:bCs/>
          <w:snapToGrid w:val="0"/>
        </w:rPr>
        <w:t xml:space="preserve">In all the one-way </w:t>
      </w:r>
      <w:r w:rsidR="007C79DF" w:rsidRPr="00ED6A60">
        <w:rPr>
          <w:snapToGrid w:val="0"/>
        </w:rPr>
        <w:t xml:space="preserve">sensitivity </w:t>
      </w:r>
      <w:r w:rsidRPr="00A560FD">
        <w:rPr>
          <w:bCs/>
          <w:snapToGrid w:val="0"/>
        </w:rPr>
        <w:t>analyses</w:t>
      </w:r>
      <w:r w:rsidR="00FD726A">
        <w:rPr>
          <w:bCs/>
          <w:snapToGrid w:val="0"/>
        </w:rPr>
        <w:t xml:space="preserve"> included in the ADAR</w:t>
      </w:r>
      <w:r w:rsidRPr="00A560FD">
        <w:rPr>
          <w:bCs/>
          <w:snapToGrid w:val="0"/>
        </w:rPr>
        <w:t xml:space="preserve">, treatment with Re-188 </w:t>
      </w:r>
      <w:r w:rsidR="00D61EA7">
        <w:rPr>
          <w:snapToGrid w:val="0"/>
        </w:rPr>
        <w:t xml:space="preserve">brachytherapy </w:t>
      </w:r>
      <w:r w:rsidRPr="00A560FD">
        <w:rPr>
          <w:bCs/>
          <w:snapToGrid w:val="0"/>
        </w:rPr>
        <w:t>remained cost saving to the MBS over the first six years of listing, with the magnitude of this saving varying within a range of approximately $10 million to $60 million (</w:t>
      </w:r>
      <w:r w:rsidR="00381B20">
        <w:rPr>
          <w:snapToGrid w:val="0"/>
        </w:rPr>
        <w:t>Table 22</w:t>
      </w:r>
      <w:r w:rsidRPr="00A560FD">
        <w:rPr>
          <w:bCs/>
          <w:snapToGrid w:val="0"/>
        </w:rPr>
        <w:t>).</w:t>
      </w:r>
      <w:r w:rsidR="00D56DFE">
        <w:rPr>
          <w:bCs/>
          <w:snapToGrid w:val="0"/>
        </w:rPr>
        <w:t xml:space="preserve"> The commentary also </w:t>
      </w:r>
      <w:r w:rsidR="00422297">
        <w:rPr>
          <w:bCs/>
          <w:snapToGrid w:val="0"/>
        </w:rPr>
        <w:t xml:space="preserve">tested </w:t>
      </w:r>
      <w:r w:rsidR="00BF797E">
        <w:rPr>
          <w:bCs/>
          <w:snapToGrid w:val="0"/>
        </w:rPr>
        <w:t>additional uptake and case distribution scenarios:</w:t>
      </w:r>
    </w:p>
    <w:p w14:paraId="70153EF9" w14:textId="77777777" w:rsidR="00BF797E" w:rsidRDefault="00BF797E" w:rsidP="002252F8">
      <w:pPr>
        <w:pStyle w:val="ListParagraph"/>
        <w:numPr>
          <w:ilvl w:val="0"/>
          <w:numId w:val="12"/>
        </w:numPr>
      </w:pPr>
      <w:r w:rsidRPr="00C26FD2">
        <w:t>slower uptake of Re-188</w:t>
      </w:r>
      <w:r>
        <w:t xml:space="preserve"> brachy</w:t>
      </w:r>
      <w:r w:rsidRPr="00D84B05">
        <w:t>therapy</w:t>
      </w:r>
      <w:r w:rsidRPr="00C26FD2">
        <w:t xml:space="preserve"> over the next six years so that in the first year only 1% of estimated population uses Re-188</w:t>
      </w:r>
      <w:r>
        <w:t xml:space="preserve"> brachytherapy</w:t>
      </w:r>
      <w:r w:rsidRPr="00C26FD2">
        <w:t>, increasing to 10%, 25%, 50%, 75% and finally 100% over the six year period</w:t>
      </w:r>
      <w:r>
        <w:t>: t</w:t>
      </w:r>
      <w:r w:rsidRPr="00C26FD2">
        <w:t xml:space="preserve">he assumption is based on the fact that Rhenium-SCT® brachytherapy is </w:t>
      </w:r>
      <w:r>
        <w:t>currently</w:t>
      </w:r>
      <w:r w:rsidRPr="00C26FD2">
        <w:t xml:space="preserve"> available at one site in Australia only, and may only be available to 1% of the to</w:t>
      </w:r>
      <w:r>
        <w:t>t</w:t>
      </w:r>
      <w:r w:rsidRPr="00C26FD2">
        <w:t>al population in the first year of its listing on the MBS.</w:t>
      </w:r>
      <w:r>
        <w:t xml:space="preserve"> </w:t>
      </w:r>
    </w:p>
    <w:p w14:paraId="7A1DC965" w14:textId="77777777" w:rsidR="00BF797E" w:rsidRDefault="00BF797E" w:rsidP="002252F8">
      <w:pPr>
        <w:pStyle w:val="ListParagraph"/>
        <w:numPr>
          <w:ilvl w:val="0"/>
          <w:numId w:val="12"/>
        </w:numPr>
      </w:pPr>
      <w:r w:rsidRPr="00C26FD2">
        <w:t>a uniform distribution of three types of lesions, i.e., 34% lesions belonged to tier 1, 33% lesions to tier 2, and 33% to tier 3</w:t>
      </w:r>
      <w:r>
        <w:t xml:space="preserve">: this </w:t>
      </w:r>
      <w:r w:rsidRPr="00C26FD2">
        <w:t xml:space="preserve">assumption is based on the </w:t>
      </w:r>
      <w:r>
        <w:t>assumption</w:t>
      </w:r>
      <w:r w:rsidRPr="00C26FD2">
        <w:t xml:space="preserve"> </w:t>
      </w:r>
      <w:r>
        <w:t>of</w:t>
      </w:r>
      <w:r w:rsidRPr="00C26FD2">
        <w:t xml:space="preserve"> a “uniform distribution” of cases across the three </w:t>
      </w:r>
      <w:r>
        <w:t>lesion sizes as assumed in the economic analysis</w:t>
      </w:r>
      <w:r w:rsidRPr="00C26FD2">
        <w:t xml:space="preserve">. </w:t>
      </w:r>
      <w:r>
        <w:t xml:space="preserve">The ADAR had used a distribution that assumed 29% cases presenting with Tier 1 lesions, 24% cases with tier 3 lesions and 47% cases with Tier 3 lesions in the financial analysis. </w:t>
      </w:r>
      <w:r w:rsidRPr="00D066A3">
        <w:t xml:space="preserve">The approach of using this distribution causes significant uncertainty around the overall cost of Re-188 </w:t>
      </w:r>
      <w:r>
        <w:t>brachytherapy</w:t>
      </w:r>
      <w:r w:rsidRPr="00D066A3">
        <w:t xml:space="preserve"> and consequentially, the net financial impact. </w:t>
      </w:r>
    </w:p>
    <w:p w14:paraId="7FFFB424" w14:textId="7A59BC21" w:rsidR="00675966" w:rsidRPr="004F1227" w:rsidRDefault="00675966" w:rsidP="00F227EA">
      <w:pPr>
        <w:pStyle w:val="Caption"/>
        <w:rPr>
          <w:rFonts w:eastAsiaTheme="majorEastAsia"/>
        </w:rPr>
      </w:pPr>
      <w:r>
        <w:t xml:space="preserve">Table </w:t>
      </w:r>
      <w:r>
        <w:fldChar w:fldCharType="begin"/>
      </w:r>
      <w:r>
        <w:instrText>SEQ Table \* ARABIC</w:instrText>
      </w:r>
      <w:r>
        <w:fldChar w:fldCharType="separate"/>
      </w:r>
      <w:r w:rsidR="009228FB">
        <w:rPr>
          <w:noProof/>
        </w:rPr>
        <w:t>18</w:t>
      </w:r>
      <w:r>
        <w:fldChar w:fldCharType="end"/>
      </w:r>
      <w:r w:rsidR="00F76D74">
        <w:tab/>
      </w:r>
      <w:r>
        <w:t xml:space="preserve">ADAR </w:t>
      </w:r>
      <w:r w:rsidR="00803820">
        <w:t>s</w:t>
      </w:r>
      <w:r w:rsidRPr="004F1227">
        <w:rPr>
          <w:rFonts w:eastAsiaTheme="majorEastAsia"/>
        </w:rPr>
        <w:t xml:space="preserve">ensitivity analyses results </w:t>
      </w:r>
      <w:r w:rsidR="00371469">
        <w:rPr>
          <w:rFonts w:eastAsiaTheme="majorEastAsia"/>
        </w:rPr>
        <w:t>–</w:t>
      </w:r>
      <w:r>
        <w:rPr>
          <w:rFonts w:eastAsiaTheme="majorEastAsia"/>
        </w:rPr>
        <w:t xml:space="preserve"> </w:t>
      </w:r>
      <w:r w:rsidR="00371469">
        <w:rPr>
          <w:rFonts w:eastAsiaTheme="majorEastAsia"/>
        </w:rPr>
        <w:t>using GPG corrected MBS</w:t>
      </w:r>
      <w:r w:rsidRPr="004F1227">
        <w:rPr>
          <w:rFonts w:eastAsiaTheme="majorEastAsia"/>
        </w:rPr>
        <w:t xml:space="preserve"> cost</w:t>
      </w:r>
      <w:r w:rsidR="00371469">
        <w:rPr>
          <w:rFonts w:eastAsiaTheme="majorEastAsia"/>
        </w:rPr>
        <w:t>s</w:t>
      </w:r>
      <w:r w:rsidRPr="004F1227">
        <w:rPr>
          <w:rFonts w:eastAsiaTheme="majorEastAsia"/>
        </w:rPr>
        <w:t xml:space="preserve"> </w:t>
      </w:r>
      <w:r w:rsidR="00371469">
        <w:rPr>
          <w:rFonts w:eastAsiaTheme="majorEastAsia"/>
        </w:rPr>
        <w:t xml:space="preserve">for </w:t>
      </w:r>
      <w:r w:rsidRPr="004F1227">
        <w:rPr>
          <w:rFonts w:eastAsiaTheme="majorEastAsia"/>
        </w:rPr>
        <w:t>Re-188</w:t>
      </w:r>
      <w:r>
        <w:rPr>
          <w:rFonts w:eastAsiaTheme="majorEastAsia"/>
        </w:rPr>
        <w:t xml:space="preserve"> </w:t>
      </w:r>
      <w:r>
        <w:rPr>
          <w:color w:val="000000" w:themeColor="text1"/>
        </w:rPr>
        <w:t>brachytherapy</w:t>
      </w:r>
      <w:r w:rsidRPr="004F1227">
        <w:rPr>
          <w:rFonts w:eastAsiaTheme="majorEastAsia"/>
        </w:rPr>
        <w:t xml:space="preserve"> </w:t>
      </w:r>
      <w:r w:rsidR="00371469">
        <w:rPr>
          <w:rFonts w:eastAsiaTheme="majorEastAsia"/>
        </w:rPr>
        <w:t>and</w:t>
      </w:r>
      <w:r w:rsidRPr="004F1227">
        <w:rPr>
          <w:rFonts w:eastAsiaTheme="majorEastAsia"/>
        </w:rPr>
        <w:t xml:space="preserve"> IMRT/VMAT*</w:t>
      </w:r>
    </w:p>
    <w:tbl>
      <w:tblPr>
        <w:tblStyle w:val="TableGrid1"/>
        <w:tblW w:w="5000" w:type="pct"/>
        <w:tblLook w:val="00A0" w:firstRow="1" w:lastRow="0" w:firstColumn="1" w:lastColumn="0" w:noHBand="0" w:noVBand="0"/>
      </w:tblPr>
      <w:tblGrid>
        <w:gridCol w:w="2521"/>
        <w:gridCol w:w="1311"/>
        <w:gridCol w:w="1306"/>
        <w:gridCol w:w="1278"/>
        <w:gridCol w:w="1100"/>
        <w:gridCol w:w="1500"/>
      </w:tblGrid>
      <w:tr w:rsidR="00C60322" w:rsidRPr="004F1227" w14:paraId="504BF86D" w14:textId="77777777" w:rsidTr="00DD4393">
        <w:trPr>
          <w:cnfStyle w:val="100000000000" w:firstRow="1" w:lastRow="0" w:firstColumn="0" w:lastColumn="0" w:oddVBand="0" w:evenVBand="0" w:oddHBand="0" w:evenHBand="0" w:firstRowFirstColumn="0" w:firstRowLastColumn="0" w:lastRowFirstColumn="0" w:lastRowLastColumn="0"/>
          <w:trHeight w:val="227"/>
          <w:tblHeader/>
        </w:trPr>
        <w:tc>
          <w:tcPr>
            <w:tcW w:w="1398" w:type="pct"/>
            <w:vMerge w:val="restart"/>
            <w:shd w:val="clear" w:color="auto" w:fill="auto"/>
          </w:tcPr>
          <w:p w14:paraId="0FAECBFB" w14:textId="77777777" w:rsidR="00675966" w:rsidRPr="00596D31" w:rsidRDefault="00675966" w:rsidP="00DD4393">
            <w:pPr>
              <w:pStyle w:val="TableText"/>
              <w:rPr>
                <w:b/>
                <w:bCs/>
              </w:rPr>
            </w:pPr>
            <w:r w:rsidRPr="00596D31">
              <w:rPr>
                <w:b/>
                <w:bCs/>
              </w:rPr>
              <w:t>Sensitivity analysis</w:t>
            </w:r>
          </w:p>
        </w:tc>
        <w:tc>
          <w:tcPr>
            <w:tcW w:w="727" w:type="pct"/>
            <w:shd w:val="clear" w:color="auto" w:fill="auto"/>
          </w:tcPr>
          <w:p w14:paraId="3FD41C3F" w14:textId="77777777" w:rsidR="00675966" w:rsidRPr="00596D31" w:rsidRDefault="00675966" w:rsidP="00DD4393">
            <w:pPr>
              <w:pStyle w:val="TableText"/>
              <w:jc w:val="center"/>
              <w:rPr>
                <w:b/>
                <w:bCs/>
              </w:rPr>
            </w:pPr>
            <w:r w:rsidRPr="00596D31">
              <w:rPr>
                <w:b/>
                <w:bCs/>
              </w:rPr>
              <w:t>Base Case</w:t>
            </w:r>
          </w:p>
        </w:tc>
        <w:tc>
          <w:tcPr>
            <w:tcW w:w="1433" w:type="pct"/>
            <w:gridSpan w:val="2"/>
            <w:shd w:val="clear" w:color="auto" w:fill="auto"/>
          </w:tcPr>
          <w:p w14:paraId="474C8257" w14:textId="77777777" w:rsidR="00675966" w:rsidRPr="00596D31" w:rsidRDefault="00675966" w:rsidP="00DD4393">
            <w:pPr>
              <w:pStyle w:val="TableText"/>
              <w:jc w:val="center"/>
              <w:rPr>
                <w:b/>
                <w:bCs/>
              </w:rPr>
            </w:pPr>
            <w:r w:rsidRPr="00596D31">
              <w:rPr>
                <w:b/>
                <w:bCs/>
              </w:rPr>
              <w:t>Worst case</w:t>
            </w:r>
          </w:p>
        </w:tc>
        <w:tc>
          <w:tcPr>
            <w:tcW w:w="1442" w:type="pct"/>
            <w:gridSpan w:val="2"/>
            <w:shd w:val="clear" w:color="auto" w:fill="auto"/>
          </w:tcPr>
          <w:p w14:paraId="5D311B32" w14:textId="77777777" w:rsidR="00675966" w:rsidRPr="00596D31" w:rsidRDefault="00675966" w:rsidP="00DD4393">
            <w:pPr>
              <w:pStyle w:val="TableText"/>
              <w:jc w:val="center"/>
              <w:rPr>
                <w:b/>
                <w:bCs/>
              </w:rPr>
            </w:pPr>
            <w:r w:rsidRPr="00596D31">
              <w:rPr>
                <w:b/>
                <w:bCs/>
              </w:rPr>
              <w:t>Best case</w:t>
            </w:r>
          </w:p>
        </w:tc>
      </w:tr>
      <w:tr w:rsidR="005A5C8A" w:rsidRPr="004F1227" w14:paraId="27F1A293" w14:textId="77777777" w:rsidTr="00516466">
        <w:trPr>
          <w:cnfStyle w:val="100000000000" w:firstRow="1" w:lastRow="0" w:firstColumn="0" w:lastColumn="0" w:oddVBand="0" w:evenVBand="0" w:oddHBand="0" w:evenHBand="0" w:firstRowFirstColumn="0" w:firstRowLastColumn="0" w:lastRowFirstColumn="0" w:lastRowLastColumn="0"/>
          <w:trHeight w:val="227"/>
          <w:tblHeader/>
        </w:trPr>
        <w:tc>
          <w:tcPr>
            <w:tcW w:w="1398" w:type="pct"/>
            <w:vMerge/>
            <w:shd w:val="clear" w:color="auto" w:fill="auto"/>
          </w:tcPr>
          <w:p w14:paraId="09EF6CAA" w14:textId="77777777" w:rsidR="00675966" w:rsidRPr="004F1227" w:rsidRDefault="00675966" w:rsidP="00516466">
            <w:pPr>
              <w:pStyle w:val="TableText"/>
            </w:pPr>
          </w:p>
        </w:tc>
        <w:tc>
          <w:tcPr>
            <w:tcW w:w="727" w:type="pct"/>
            <w:shd w:val="clear" w:color="auto" w:fill="auto"/>
          </w:tcPr>
          <w:p w14:paraId="412878BE" w14:textId="77777777" w:rsidR="00675966" w:rsidRPr="00596D31" w:rsidRDefault="00675966" w:rsidP="00516466">
            <w:pPr>
              <w:pStyle w:val="TableText"/>
              <w:jc w:val="center"/>
              <w:rPr>
                <w:b/>
                <w:bCs/>
              </w:rPr>
            </w:pPr>
            <w:r w:rsidRPr="00596D31">
              <w:rPr>
                <w:b/>
                <w:bCs/>
              </w:rPr>
              <w:t>Value</w:t>
            </w:r>
          </w:p>
        </w:tc>
        <w:tc>
          <w:tcPr>
            <w:tcW w:w="724" w:type="pct"/>
            <w:shd w:val="clear" w:color="auto" w:fill="auto"/>
          </w:tcPr>
          <w:p w14:paraId="48ACF9B3" w14:textId="77777777" w:rsidR="00675966" w:rsidRPr="00596D31" w:rsidRDefault="00675966" w:rsidP="00516466">
            <w:pPr>
              <w:pStyle w:val="TableText"/>
              <w:jc w:val="center"/>
              <w:rPr>
                <w:b/>
                <w:bCs/>
              </w:rPr>
            </w:pPr>
            <w:r w:rsidRPr="00596D31">
              <w:rPr>
                <w:b/>
                <w:bCs/>
              </w:rPr>
              <w:t>Value</w:t>
            </w:r>
          </w:p>
        </w:tc>
        <w:tc>
          <w:tcPr>
            <w:tcW w:w="709" w:type="pct"/>
            <w:shd w:val="clear" w:color="auto" w:fill="auto"/>
          </w:tcPr>
          <w:p w14:paraId="2EF4185A" w14:textId="77777777" w:rsidR="00675966" w:rsidRPr="00596D31" w:rsidRDefault="00675966" w:rsidP="00516466">
            <w:pPr>
              <w:pStyle w:val="TableText"/>
              <w:jc w:val="center"/>
              <w:rPr>
                <w:b/>
                <w:bCs/>
              </w:rPr>
            </w:pPr>
            <w:r w:rsidRPr="00596D31">
              <w:rPr>
                <w:b/>
                <w:bCs/>
              </w:rPr>
              <w:t>Total cost</w:t>
            </w:r>
          </w:p>
        </w:tc>
        <w:tc>
          <w:tcPr>
            <w:tcW w:w="610" w:type="pct"/>
            <w:shd w:val="clear" w:color="auto" w:fill="auto"/>
          </w:tcPr>
          <w:p w14:paraId="655703BE" w14:textId="77777777" w:rsidR="00675966" w:rsidRPr="00596D31" w:rsidRDefault="00675966" w:rsidP="00516466">
            <w:pPr>
              <w:pStyle w:val="TableText"/>
              <w:jc w:val="center"/>
              <w:rPr>
                <w:b/>
                <w:bCs/>
              </w:rPr>
            </w:pPr>
            <w:r w:rsidRPr="00596D31">
              <w:rPr>
                <w:b/>
                <w:bCs/>
              </w:rPr>
              <w:t>Value</w:t>
            </w:r>
          </w:p>
        </w:tc>
        <w:tc>
          <w:tcPr>
            <w:tcW w:w="832" w:type="pct"/>
            <w:shd w:val="clear" w:color="auto" w:fill="auto"/>
          </w:tcPr>
          <w:p w14:paraId="56378210" w14:textId="77777777" w:rsidR="00675966" w:rsidRPr="00596D31" w:rsidRDefault="00675966" w:rsidP="00516466">
            <w:pPr>
              <w:pStyle w:val="TableText"/>
              <w:jc w:val="center"/>
              <w:rPr>
                <w:b/>
                <w:bCs/>
              </w:rPr>
            </w:pPr>
            <w:r w:rsidRPr="00596D31">
              <w:rPr>
                <w:b/>
                <w:bCs/>
              </w:rPr>
              <w:t>Total cost</w:t>
            </w:r>
          </w:p>
        </w:tc>
      </w:tr>
      <w:tr w:rsidR="00675966" w:rsidRPr="004F1227" w14:paraId="52D93D02" w14:textId="77777777" w:rsidTr="00516466">
        <w:tc>
          <w:tcPr>
            <w:tcW w:w="5000" w:type="pct"/>
            <w:gridSpan w:val="6"/>
            <w:shd w:val="clear" w:color="auto" w:fill="auto"/>
          </w:tcPr>
          <w:p w14:paraId="60396F13" w14:textId="77777777" w:rsidR="00675966" w:rsidRPr="004F1227" w:rsidRDefault="00675966" w:rsidP="00516466">
            <w:pPr>
              <w:pStyle w:val="TableText"/>
            </w:pPr>
            <w:r w:rsidRPr="004F1227">
              <w:t>Base case</w:t>
            </w:r>
            <w:r>
              <w:t xml:space="preserve"> total cost over 6 years</w:t>
            </w:r>
            <w:r w:rsidRPr="004F1227">
              <w:t>:  -$20,821,998</w:t>
            </w:r>
          </w:p>
        </w:tc>
      </w:tr>
      <w:tr w:rsidR="005A5C8A" w:rsidRPr="004F1227" w14:paraId="639BDB7A" w14:textId="77777777" w:rsidTr="00516466">
        <w:trPr>
          <w:trHeight w:val="154"/>
        </w:trPr>
        <w:tc>
          <w:tcPr>
            <w:tcW w:w="1398" w:type="pct"/>
          </w:tcPr>
          <w:p w14:paraId="0E396350" w14:textId="77777777" w:rsidR="00675966" w:rsidRPr="004F1227" w:rsidRDefault="00675966" w:rsidP="00516466">
            <w:pPr>
              <w:pStyle w:val="TableText"/>
            </w:pPr>
            <w:r w:rsidRPr="004F1227">
              <w:t>Uptake (Re-188)</w:t>
            </w:r>
            <w:r>
              <w:t xml:space="preserve"> (uptake rate%)</w:t>
            </w:r>
          </w:p>
          <w:p w14:paraId="4AA3AD62" w14:textId="77777777" w:rsidR="00675966" w:rsidRPr="004F1227" w:rsidRDefault="00675966" w:rsidP="00516466">
            <w:pPr>
              <w:pStyle w:val="TableText"/>
              <w:rPr>
                <w:i/>
                <w:iCs/>
              </w:rPr>
            </w:pPr>
          </w:p>
        </w:tc>
        <w:tc>
          <w:tcPr>
            <w:tcW w:w="727" w:type="pct"/>
            <w:vAlign w:val="center"/>
          </w:tcPr>
          <w:p w14:paraId="043F60B9" w14:textId="77777777" w:rsidR="00675966" w:rsidRPr="004F1227" w:rsidRDefault="00675966" w:rsidP="00516466">
            <w:pPr>
              <w:pStyle w:val="TableText"/>
              <w:jc w:val="center"/>
            </w:pPr>
            <w:r w:rsidRPr="004F1227">
              <w:t>500</w:t>
            </w:r>
            <w:r>
              <w:t xml:space="preserve"> to </w:t>
            </w:r>
            <w:r w:rsidRPr="004F1227">
              <w:t>8,000</w:t>
            </w:r>
          </w:p>
        </w:tc>
        <w:tc>
          <w:tcPr>
            <w:tcW w:w="724" w:type="pct"/>
            <w:vAlign w:val="center"/>
          </w:tcPr>
          <w:p w14:paraId="0E6E3DB3" w14:textId="77777777" w:rsidR="00675966" w:rsidRPr="004F1227" w:rsidRDefault="00675966" w:rsidP="00516466">
            <w:pPr>
              <w:pStyle w:val="TableText"/>
              <w:jc w:val="center"/>
            </w:pPr>
            <w:r w:rsidRPr="004F1227">
              <w:t>375</w:t>
            </w:r>
            <w:r>
              <w:t xml:space="preserve"> to </w:t>
            </w:r>
            <w:r w:rsidRPr="004F1227">
              <w:t>6,000</w:t>
            </w:r>
            <w:r>
              <w:t xml:space="preserve"> (100%)</w:t>
            </w:r>
          </w:p>
        </w:tc>
        <w:tc>
          <w:tcPr>
            <w:tcW w:w="709" w:type="pct"/>
            <w:vAlign w:val="center"/>
          </w:tcPr>
          <w:p w14:paraId="3641C11D" w14:textId="77777777" w:rsidR="00675966" w:rsidRPr="00326697" w:rsidRDefault="00675966" w:rsidP="00516466">
            <w:pPr>
              <w:pStyle w:val="TableText"/>
              <w:jc w:val="center"/>
            </w:pPr>
            <w:r w:rsidRPr="00604409">
              <w:t>-$15,616,498</w:t>
            </w:r>
          </w:p>
        </w:tc>
        <w:tc>
          <w:tcPr>
            <w:tcW w:w="610" w:type="pct"/>
            <w:vAlign w:val="center"/>
          </w:tcPr>
          <w:p w14:paraId="139A3B26" w14:textId="77777777" w:rsidR="00675966" w:rsidRPr="004F1227" w:rsidRDefault="00675966" w:rsidP="00516466">
            <w:pPr>
              <w:pStyle w:val="TableText"/>
              <w:jc w:val="center"/>
            </w:pPr>
            <w:r w:rsidRPr="004F1227">
              <w:t>625</w:t>
            </w:r>
            <w:r>
              <w:t xml:space="preserve"> to </w:t>
            </w:r>
            <w:r w:rsidRPr="004F1227">
              <w:t>10,000</w:t>
            </w:r>
            <w:r>
              <w:t xml:space="preserve"> (100%)</w:t>
            </w:r>
          </w:p>
        </w:tc>
        <w:tc>
          <w:tcPr>
            <w:tcW w:w="832" w:type="pct"/>
            <w:vAlign w:val="center"/>
          </w:tcPr>
          <w:p w14:paraId="1EDBCA78" w14:textId="77777777" w:rsidR="00675966" w:rsidRPr="004F1227" w:rsidRDefault="00675966" w:rsidP="00516466">
            <w:pPr>
              <w:pStyle w:val="TableText"/>
              <w:jc w:val="center"/>
            </w:pPr>
            <w:r w:rsidRPr="004F1227">
              <w:t>-$26,027,497</w:t>
            </w:r>
          </w:p>
        </w:tc>
      </w:tr>
      <w:tr w:rsidR="005A5C8A" w:rsidRPr="004F1227" w14:paraId="3E396109" w14:textId="77777777" w:rsidTr="00516466">
        <w:trPr>
          <w:trHeight w:val="154"/>
        </w:trPr>
        <w:tc>
          <w:tcPr>
            <w:tcW w:w="1398" w:type="pct"/>
          </w:tcPr>
          <w:p w14:paraId="37D731BB" w14:textId="28189218" w:rsidR="00675966" w:rsidRPr="004F1227" w:rsidRDefault="00675966" w:rsidP="00516466">
            <w:pPr>
              <w:pStyle w:val="TableText"/>
            </w:pPr>
            <w:r w:rsidRPr="004F1227">
              <w:t>Comparator mix (</w:t>
            </w:r>
            <w:r w:rsidR="00541A70" w:rsidRPr="00541A70">
              <w:t>3D megavoltage</w:t>
            </w:r>
            <w:r w:rsidRPr="004F1227">
              <w:t>:IMRT)</w:t>
            </w:r>
          </w:p>
        </w:tc>
        <w:tc>
          <w:tcPr>
            <w:tcW w:w="727" w:type="pct"/>
            <w:vAlign w:val="center"/>
          </w:tcPr>
          <w:p w14:paraId="559B9698" w14:textId="77777777" w:rsidR="00675966" w:rsidRPr="004F1227" w:rsidRDefault="00675966" w:rsidP="00516466">
            <w:pPr>
              <w:pStyle w:val="TableText"/>
              <w:jc w:val="center"/>
            </w:pPr>
            <w:r w:rsidRPr="004F1227">
              <w:t>50:50</w:t>
            </w:r>
          </w:p>
        </w:tc>
        <w:tc>
          <w:tcPr>
            <w:tcW w:w="724" w:type="pct"/>
            <w:vAlign w:val="center"/>
          </w:tcPr>
          <w:p w14:paraId="4CED1FE2" w14:textId="77777777" w:rsidR="00675966" w:rsidRPr="004F1227" w:rsidRDefault="00675966" w:rsidP="00516466">
            <w:pPr>
              <w:pStyle w:val="TableText"/>
              <w:jc w:val="center"/>
            </w:pPr>
            <w:r w:rsidRPr="004F1227">
              <w:t>75:25</w:t>
            </w:r>
          </w:p>
        </w:tc>
        <w:tc>
          <w:tcPr>
            <w:tcW w:w="709" w:type="pct"/>
            <w:vAlign w:val="center"/>
          </w:tcPr>
          <w:p w14:paraId="3FECF2B3" w14:textId="77777777" w:rsidR="00675966" w:rsidRPr="004F1227" w:rsidRDefault="00675966" w:rsidP="00516466">
            <w:pPr>
              <w:pStyle w:val="TableText"/>
              <w:jc w:val="center"/>
            </w:pPr>
            <w:r w:rsidRPr="004F1227">
              <w:t>$6,058,646</w:t>
            </w:r>
          </w:p>
        </w:tc>
        <w:tc>
          <w:tcPr>
            <w:tcW w:w="610" w:type="pct"/>
            <w:vAlign w:val="center"/>
          </w:tcPr>
          <w:p w14:paraId="00278F74" w14:textId="77777777" w:rsidR="00675966" w:rsidRPr="004F1227" w:rsidRDefault="00675966" w:rsidP="00516466">
            <w:pPr>
              <w:pStyle w:val="TableText"/>
              <w:jc w:val="center"/>
            </w:pPr>
            <w:r w:rsidRPr="004F1227">
              <w:t>25:75</w:t>
            </w:r>
          </w:p>
        </w:tc>
        <w:tc>
          <w:tcPr>
            <w:tcW w:w="832" w:type="pct"/>
            <w:vAlign w:val="center"/>
          </w:tcPr>
          <w:p w14:paraId="08B70121" w14:textId="77777777" w:rsidR="00675966" w:rsidRPr="004F1227" w:rsidRDefault="00675966" w:rsidP="00516466">
            <w:pPr>
              <w:pStyle w:val="TableText"/>
              <w:jc w:val="center"/>
            </w:pPr>
            <w:r w:rsidRPr="004F1227">
              <w:t>-$47,702,6410</w:t>
            </w:r>
          </w:p>
        </w:tc>
      </w:tr>
      <w:tr w:rsidR="005A5C8A" w:rsidRPr="004F1227" w14:paraId="70054349" w14:textId="77777777" w:rsidTr="00516466">
        <w:trPr>
          <w:trHeight w:val="154"/>
        </w:trPr>
        <w:tc>
          <w:tcPr>
            <w:tcW w:w="1398" w:type="pct"/>
          </w:tcPr>
          <w:p w14:paraId="3F47A83D" w14:textId="77777777" w:rsidR="00675966" w:rsidRDefault="00675966" w:rsidP="00516466">
            <w:pPr>
              <w:pStyle w:val="TableText"/>
            </w:pPr>
            <w:r w:rsidRPr="004F1227">
              <w:t>Case distribution (Re-188)</w:t>
            </w:r>
          </w:p>
          <w:p w14:paraId="3B0E0DA4" w14:textId="77777777" w:rsidR="00675966" w:rsidRPr="003848F1" w:rsidRDefault="00675966" w:rsidP="00516466">
            <w:pPr>
              <w:pStyle w:val="TableText"/>
              <w:rPr>
                <w:vertAlign w:val="superscript"/>
              </w:rPr>
            </w:pPr>
            <w:r>
              <w:t>Tier 1</w:t>
            </w:r>
            <w:r w:rsidRPr="004F1227">
              <w:t>|2|</w:t>
            </w:r>
            <w:r>
              <w:t>3 (%)</w:t>
            </w:r>
            <w:r>
              <w:rPr>
                <w:vertAlign w:val="superscript"/>
              </w:rPr>
              <w:t>**</w:t>
            </w:r>
          </w:p>
        </w:tc>
        <w:tc>
          <w:tcPr>
            <w:tcW w:w="727" w:type="pct"/>
            <w:vAlign w:val="center"/>
          </w:tcPr>
          <w:p w14:paraId="252E327C" w14:textId="77777777" w:rsidR="00675966" w:rsidRPr="004F1227" w:rsidRDefault="00675966" w:rsidP="00516466">
            <w:pPr>
              <w:pStyle w:val="TableText"/>
              <w:jc w:val="center"/>
            </w:pPr>
            <w:r w:rsidRPr="004F1227">
              <w:t>29|24|47</w:t>
            </w:r>
          </w:p>
        </w:tc>
        <w:tc>
          <w:tcPr>
            <w:tcW w:w="724" w:type="pct"/>
            <w:vAlign w:val="center"/>
          </w:tcPr>
          <w:p w14:paraId="785373B8" w14:textId="77777777" w:rsidR="00675966" w:rsidRPr="004F1227" w:rsidRDefault="00675966" w:rsidP="00516466">
            <w:pPr>
              <w:pStyle w:val="TableText"/>
              <w:jc w:val="center"/>
            </w:pPr>
            <w:r w:rsidRPr="004F1227">
              <w:t>2|18|80</w:t>
            </w:r>
          </w:p>
        </w:tc>
        <w:tc>
          <w:tcPr>
            <w:tcW w:w="709" w:type="pct"/>
            <w:vAlign w:val="center"/>
          </w:tcPr>
          <w:p w14:paraId="348B4E49" w14:textId="77777777" w:rsidR="00675966" w:rsidRPr="004F1227" w:rsidRDefault="00675966" w:rsidP="00516466">
            <w:pPr>
              <w:pStyle w:val="TableText"/>
              <w:jc w:val="center"/>
            </w:pPr>
            <w:r w:rsidRPr="004F1227">
              <w:t>$878,383</w:t>
            </w:r>
          </w:p>
        </w:tc>
        <w:tc>
          <w:tcPr>
            <w:tcW w:w="610" w:type="pct"/>
            <w:vAlign w:val="center"/>
          </w:tcPr>
          <w:p w14:paraId="5F47047C" w14:textId="77777777" w:rsidR="00675966" w:rsidRPr="004F1227" w:rsidRDefault="00675966" w:rsidP="00516466">
            <w:pPr>
              <w:pStyle w:val="TableText"/>
              <w:jc w:val="center"/>
            </w:pPr>
            <w:r w:rsidRPr="004F1227">
              <w:t>60|34|6</w:t>
            </w:r>
          </w:p>
        </w:tc>
        <w:tc>
          <w:tcPr>
            <w:tcW w:w="832" w:type="pct"/>
            <w:vAlign w:val="center"/>
          </w:tcPr>
          <w:p w14:paraId="4283EB34" w14:textId="77777777" w:rsidR="00675966" w:rsidRPr="004F1227" w:rsidRDefault="00675966" w:rsidP="00516466">
            <w:pPr>
              <w:pStyle w:val="TableText"/>
              <w:jc w:val="center"/>
            </w:pPr>
            <w:r w:rsidRPr="004F1227">
              <w:t>-$47,038,238</w:t>
            </w:r>
          </w:p>
        </w:tc>
      </w:tr>
      <w:tr w:rsidR="005A5C8A" w:rsidRPr="004F1227" w14:paraId="4EE3046E" w14:textId="77777777" w:rsidTr="00516466">
        <w:trPr>
          <w:trHeight w:val="227"/>
        </w:trPr>
        <w:tc>
          <w:tcPr>
            <w:tcW w:w="1398" w:type="pct"/>
            <w:vAlign w:val="bottom"/>
          </w:tcPr>
          <w:p w14:paraId="74C831F7" w14:textId="77777777" w:rsidR="00675966" w:rsidRPr="004F1227" w:rsidRDefault="00675966" w:rsidP="00516466">
            <w:pPr>
              <w:pStyle w:val="TableText"/>
            </w:pPr>
            <w:r w:rsidRPr="004F1227">
              <w:t>Mean fractions (EBRT)</w:t>
            </w:r>
          </w:p>
        </w:tc>
        <w:tc>
          <w:tcPr>
            <w:tcW w:w="727" w:type="pct"/>
            <w:vAlign w:val="center"/>
          </w:tcPr>
          <w:p w14:paraId="3F31C88B" w14:textId="77777777" w:rsidR="00675966" w:rsidRPr="004F1227" w:rsidRDefault="00675966" w:rsidP="00516466">
            <w:pPr>
              <w:pStyle w:val="TableText"/>
              <w:jc w:val="center"/>
            </w:pPr>
            <w:r w:rsidRPr="004F1227">
              <w:t>19</w:t>
            </w:r>
          </w:p>
        </w:tc>
        <w:tc>
          <w:tcPr>
            <w:tcW w:w="724" w:type="pct"/>
            <w:vAlign w:val="center"/>
          </w:tcPr>
          <w:p w14:paraId="73E7410D" w14:textId="77777777" w:rsidR="00675966" w:rsidRPr="004F1227" w:rsidRDefault="00675966" w:rsidP="00516466">
            <w:pPr>
              <w:pStyle w:val="TableText"/>
              <w:jc w:val="center"/>
            </w:pPr>
            <w:r w:rsidRPr="004F1227">
              <w:t>14</w:t>
            </w:r>
          </w:p>
        </w:tc>
        <w:tc>
          <w:tcPr>
            <w:tcW w:w="709" w:type="pct"/>
            <w:vAlign w:val="center"/>
          </w:tcPr>
          <w:p w14:paraId="09B797A5" w14:textId="77777777" w:rsidR="00675966" w:rsidRPr="004F1227" w:rsidRDefault="00675966" w:rsidP="00516466">
            <w:pPr>
              <w:pStyle w:val="TableText"/>
              <w:jc w:val="center"/>
            </w:pPr>
            <w:r w:rsidRPr="004F1227">
              <w:t>-$3,181,248</w:t>
            </w:r>
          </w:p>
        </w:tc>
        <w:tc>
          <w:tcPr>
            <w:tcW w:w="610" w:type="pct"/>
            <w:vAlign w:val="center"/>
          </w:tcPr>
          <w:p w14:paraId="63415B99" w14:textId="77777777" w:rsidR="00675966" w:rsidRPr="004F1227" w:rsidRDefault="00675966" w:rsidP="00516466">
            <w:pPr>
              <w:pStyle w:val="TableText"/>
              <w:jc w:val="center"/>
            </w:pPr>
            <w:r w:rsidRPr="004F1227">
              <w:t>24</w:t>
            </w:r>
          </w:p>
        </w:tc>
        <w:tc>
          <w:tcPr>
            <w:tcW w:w="832" w:type="pct"/>
            <w:vAlign w:val="center"/>
          </w:tcPr>
          <w:p w14:paraId="5D63E16F" w14:textId="77777777" w:rsidR="00675966" w:rsidRPr="004F1227" w:rsidRDefault="00675966" w:rsidP="00516466">
            <w:pPr>
              <w:pStyle w:val="TableText"/>
              <w:jc w:val="center"/>
            </w:pPr>
            <w:r w:rsidRPr="004F1227">
              <w:t>-$38,462,748</w:t>
            </w:r>
          </w:p>
        </w:tc>
      </w:tr>
      <w:tr w:rsidR="005A5C8A" w:rsidRPr="004F1227" w14:paraId="3035FEBE" w14:textId="77777777" w:rsidTr="00516466">
        <w:trPr>
          <w:trHeight w:val="227"/>
        </w:trPr>
        <w:tc>
          <w:tcPr>
            <w:tcW w:w="1398" w:type="pct"/>
            <w:vAlign w:val="bottom"/>
          </w:tcPr>
          <w:p w14:paraId="47887199" w14:textId="77777777" w:rsidR="00675966" w:rsidRPr="004F1227" w:rsidRDefault="00675966" w:rsidP="00516466">
            <w:pPr>
              <w:pStyle w:val="TableText"/>
            </w:pPr>
            <w:r w:rsidRPr="004F1227">
              <w:t>MBS item fees (Re-188)</w:t>
            </w:r>
          </w:p>
        </w:tc>
        <w:tc>
          <w:tcPr>
            <w:tcW w:w="727" w:type="pct"/>
            <w:vAlign w:val="center"/>
          </w:tcPr>
          <w:p w14:paraId="587AD984" w14:textId="77777777" w:rsidR="00675966" w:rsidRPr="004F1227" w:rsidRDefault="00675966" w:rsidP="00516466">
            <w:pPr>
              <w:pStyle w:val="TableText"/>
              <w:jc w:val="center"/>
            </w:pPr>
            <w:r w:rsidRPr="004F1227">
              <w:t>$2,907</w:t>
            </w:r>
            <w:r>
              <w:t xml:space="preserve"> to </w:t>
            </w:r>
            <w:r w:rsidRPr="004F1227">
              <w:t>$5,717</w:t>
            </w:r>
          </w:p>
        </w:tc>
        <w:tc>
          <w:tcPr>
            <w:tcW w:w="724" w:type="pct"/>
            <w:vAlign w:val="center"/>
          </w:tcPr>
          <w:p w14:paraId="7BF77C1C" w14:textId="77777777" w:rsidR="00675966" w:rsidRPr="004F1227" w:rsidRDefault="00675966" w:rsidP="00516466">
            <w:pPr>
              <w:pStyle w:val="TableText"/>
              <w:jc w:val="center"/>
            </w:pPr>
            <w:r w:rsidRPr="004F1227">
              <w:t>$3,634</w:t>
            </w:r>
            <w:r>
              <w:t xml:space="preserve"> to </w:t>
            </w:r>
            <w:r w:rsidRPr="004F1227">
              <w:t>$7,146</w:t>
            </w:r>
          </w:p>
        </w:tc>
        <w:tc>
          <w:tcPr>
            <w:tcW w:w="709" w:type="pct"/>
            <w:vAlign w:val="center"/>
          </w:tcPr>
          <w:p w14:paraId="6061323C" w14:textId="77777777" w:rsidR="00675966" w:rsidRPr="004F1227" w:rsidRDefault="00675966" w:rsidP="00516466">
            <w:pPr>
              <w:pStyle w:val="TableText"/>
              <w:jc w:val="center"/>
            </w:pPr>
            <w:r w:rsidRPr="004F1227">
              <w:t>$7,167,025</w:t>
            </w:r>
          </w:p>
        </w:tc>
        <w:tc>
          <w:tcPr>
            <w:tcW w:w="610" w:type="pct"/>
            <w:vAlign w:val="center"/>
          </w:tcPr>
          <w:p w14:paraId="0BD10F93" w14:textId="77777777" w:rsidR="00675966" w:rsidRPr="004F1227" w:rsidRDefault="00675966" w:rsidP="00516466">
            <w:pPr>
              <w:pStyle w:val="TableText"/>
              <w:jc w:val="center"/>
            </w:pPr>
            <w:r w:rsidRPr="004F1227">
              <w:t>$2,180</w:t>
            </w:r>
            <w:r>
              <w:t xml:space="preserve"> to </w:t>
            </w:r>
            <w:r w:rsidRPr="004F1227">
              <w:t>$4,288</w:t>
            </w:r>
          </w:p>
        </w:tc>
        <w:tc>
          <w:tcPr>
            <w:tcW w:w="832" w:type="pct"/>
            <w:vAlign w:val="center"/>
          </w:tcPr>
          <w:p w14:paraId="6E4F43D4" w14:textId="77777777" w:rsidR="00675966" w:rsidRPr="004F1227" w:rsidRDefault="00675966" w:rsidP="00516466">
            <w:pPr>
              <w:pStyle w:val="TableText"/>
              <w:jc w:val="center"/>
            </w:pPr>
            <w:r w:rsidRPr="004F1227">
              <w:t>-$48,811,020</w:t>
            </w:r>
          </w:p>
        </w:tc>
      </w:tr>
      <w:tr w:rsidR="00675966" w:rsidRPr="004F1227" w14:paraId="4941B16B" w14:textId="77777777" w:rsidTr="00516466">
        <w:trPr>
          <w:trHeight w:val="227"/>
        </w:trPr>
        <w:tc>
          <w:tcPr>
            <w:tcW w:w="5000" w:type="pct"/>
            <w:gridSpan w:val="6"/>
            <w:vAlign w:val="center"/>
          </w:tcPr>
          <w:p w14:paraId="3D54E193" w14:textId="77777777" w:rsidR="00675966" w:rsidRPr="004F1227" w:rsidRDefault="00675966" w:rsidP="00516466">
            <w:pPr>
              <w:pStyle w:val="TableText"/>
            </w:pPr>
            <w:r w:rsidRPr="003848F1">
              <w:rPr>
                <w:b/>
                <w:bCs/>
              </w:rPr>
              <w:t xml:space="preserve">Additional sensitivity analyses conducted by the </w:t>
            </w:r>
            <w:r>
              <w:rPr>
                <w:b/>
                <w:bCs/>
              </w:rPr>
              <w:t>c</w:t>
            </w:r>
            <w:r w:rsidRPr="003848F1">
              <w:rPr>
                <w:b/>
                <w:bCs/>
              </w:rPr>
              <w:t>ommentary</w:t>
            </w:r>
          </w:p>
        </w:tc>
      </w:tr>
      <w:tr w:rsidR="00541A70" w:rsidRPr="004F1227" w14:paraId="54E3D95A" w14:textId="77777777" w:rsidTr="00646703">
        <w:trPr>
          <w:trHeight w:val="227"/>
        </w:trPr>
        <w:tc>
          <w:tcPr>
            <w:tcW w:w="1398" w:type="pct"/>
          </w:tcPr>
          <w:p w14:paraId="536E1344" w14:textId="77777777" w:rsidR="00675966" w:rsidRPr="004F1227" w:rsidRDefault="00675966" w:rsidP="00646703">
            <w:pPr>
              <w:pStyle w:val="TableText"/>
            </w:pPr>
            <w:r w:rsidRPr="00C26FD2">
              <w:t>Uptake (Re-188): 1% in first year increasing to 100% in 6</w:t>
            </w:r>
            <w:r w:rsidRPr="00C26FD2">
              <w:rPr>
                <w:vertAlign w:val="superscript"/>
              </w:rPr>
              <w:t>th</w:t>
            </w:r>
            <w:r w:rsidRPr="00C26FD2">
              <w:t xml:space="preserve"> </w:t>
            </w:r>
            <w:r>
              <w:t>year</w:t>
            </w:r>
          </w:p>
        </w:tc>
        <w:tc>
          <w:tcPr>
            <w:tcW w:w="727" w:type="pct"/>
            <w:vAlign w:val="center"/>
          </w:tcPr>
          <w:p w14:paraId="40E5F823" w14:textId="77777777" w:rsidR="00675966" w:rsidRPr="004F1227" w:rsidRDefault="00675966" w:rsidP="00646703">
            <w:pPr>
              <w:pStyle w:val="TableText"/>
              <w:jc w:val="center"/>
            </w:pPr>
            <w:r w:rsidRPr="00C26FD2">
              <w:t>500</w:t>
            </w:r>
            <w:r>
              <w:t xml:space="preserve"> to </w:t>
            </w:r>
            <w:r w:rsidRPr="00C26FD2">
              <w:t>8,000</w:t>
            </w:r>
          </w:p>
        </w:tc>
        <w:tc>
          <w:tcPr>
            <w:tcW w:w="724" w:type="pct"/>
            <w:vAlign w:val="center"/>
          </w:tcPr>
          <w:p w14:paraId="516D27C9" w14:textId="77777777" w:rsidR="00675966" w:rsidRPr="004F1227" w:rsidRDefault="00675966" w:rsidP="00646703">
            <w:pPr>
              <w:pStyle w:val="TableText"/>
              <w:jc w:val="center"/>
            </w:pPr>
            <w:r w:rsidRPr="00C26FD2">
              <w:t>5</w:t>
            </w:r>
            <w:r>
              <w:t xml:space="preserve"> to </w:t>
            </w:r>
            <w:r w:rsidRPr="00C26FD2">
              <w:t>8,000</w:t>
            </w:r>
          </w:p>
        </w:tc>
        <w:tc>
          <w:tcPr>
            <w:tcW w:w="709" w:type="pct"/>
            <w:vAlign w:val="center"/>
          </w:tcPr>
          <w:p w14:paraId="639C3863" w14:textId="77777777" w:rsidR="00675966" w:rsidRPr="004F1227" w:rsidRDefault="00675966" w:rsidP="00646703">
            <w:pPr>
              <w:pStyle w:val="TableText"/>
              <w:jc w:val="center"/>
            </w:pPr>
            <w:r w:rsidRPr="00C26FD2">
              <w:t>-$14,628,664</w:t>
            </w:r>
          </w:p>
        </w:tc>
        <w:tc>
          <w:tcPr>
            <w:tcW w:w="1442" w:type="pct"/>
            <w:gridSpan w:val="2"/>
          </w:tcPr>
          <w:p w14:paraId="7B2C1D28" w14:textId="77777777" w:rsidR="00675966" w:rsidRPr="004F1227" w:rsidRDefault="00675966" w:rsidP="00646703">
            <w:pPr>
              <w:pStyle w:val="TableText"/>
              <w:jc w:val="center"/>
            </w:pPr>
            <w:r>
              <w:t>N/A</w:t>
            </w:r>
          </w:p>
        </w:tc>
      </w:tr>
      <w:tr w:rsidR="00541A70" w:rsidRPr="004F1227" w14:paraId="14A4CFAB" w14:textId="77777777" w:rsidTr="00646703">
        <w:trPr>
          <w:trHeight w:val="227"/>
        </w:trPr>
        <w:tc>
          <w:tcPr>
            <w:tcW w:w="1398" w:type="pct"/>
          </w:tcPr>
          <w:p w14:paraId="2A3FA688" w14:textId="77777777" w:rsidR="00675966" w:rsidRPr="004F1227" w:rsidRDefault="00675966" w:rsidP="00646703">
            <w:pPr>
              <w:pStyle w:val="TableText"/>
            </w:pPr>
            <w:r w:rsidRPr="00C26FD2">
              <w:t>UNIFORM Case distribution (Re-188)</w:t>
            </w:r>
            <w:r>
              <w:t xml:space="preserve"> (%)</w:t>
            </w:r>
          </w:p>
        </w:tc>
        <w:tc>
          <w:tcPr>
            <w:tcW w:w="727" w:type="pct"/>
            <w:vAlign w:val="center"/>
          </w:tcPr>
          <w:p w14:paraId="66E47C48" w14:textId="77777777" w:rsidR="00675966" w:rsidRPr="004F1227" w:rsidRDefault="00675966" w:rsidP="00646703">
            <w:pPr>
              <w:pStyle w:val="TableText"/>
              <w:jc w:val="center"/>
            </w:pPr>
            <w:r w:rsidRPr="00C26FD2">
              <w:t>29|24|47</w:t>
            </w:r>
          </w:p>
        </w:tc>
        <w:tc>
          <w:tcPr>
            <w:tcW w:w="724" w:type="pct"/>
            <w:vAlign w:val="center"/>
          </w:tcPr>
          <w:p w14:paraId="6680BDEE" w14:textId="77777777" w:rsidR="00675966" w:rsidRPr="004F1227" w:rsidRDefault="00675966" w:rsidP="00646703">
            <w:pPr>
              <w:pStyle w:val="TableText"/>
              <w:jc w:val="center"/>
            </w:pPr>
            <w:r w:rsidRPr="00C26FD2">
              <w:t>34|33|33</w:t>
            </w:r>
          </w:p>
        </w:tc>
        <w:tc>
          <w:tcPr>
            <w:tcW w:w="709" w:type="pct"/>
            <w:vAlign w:val="center"/>
          </w:tcPr>
          <w:p w14:paraId="74034340" w14:textId="77777777" w:rsidR="00675966" w:rsidRPr="004F1227" w:rsidRDefault="00675966" w:rsidP="00646703">
            <w:pPr>
              <w:pStyle w:val="TableText"/>
              <w:jc w:val="center"/>
            </w:pPr>
            <w:r w:rsidRPr="00C26FD2">
              <w:t>-$28,139,523</w:t>
            </w:r>
          </w:p>
        </w:tc>
        <w:tc>
          <w:tcPr>
            <w:tcW w:w="1442" w:type="pct"/>
            <w:gridSpan w:val="2"/>
          </w:tcPr>
          <w:p w14:paraId="3C37EEC1" w14:textId="77777777" w:rsidR="00675966" w:rsidRPr="004F1227" w:rsidRDefault="00675966" w:rsidP="00646703">
            <w:pPr>
              <w:pStyle w:val="TableText"/>
              <w:jc w:val="center"/>
            </w:pPr>
            <w:r>
              <w:t>N/A</w:t>
            </w:r>
          </w:p>
        </w:tc>
      </w:tr>
    </w:tbl>
    <w:p w14:paraId="4E72F162" w14:textId="77777777" w:rsidR="00675966" w:rsidRDefault="00675966" w:rsidP="00675966">
      <w:pPr>
        <w:pStyle w:val="Tablenotes"/>
      </w:pPr>
      <w:r w:rsidRPr="00001CCB">
        <w:t xml:space="preserve">Source: </w:t>
      </w:r>
      <w:r>
        <w:t>Commentary Table 17 and 19</w:t>
      </w:r>
      <w:r w:rsidRPr="00001CCB">
        <w:t xml:space="preserve">, </w:t>
      </w:r>
      <w:r>
        <w:t>p</w:t>
      </w:r>
      <w:r w:rsidRPr="00001CCB">
        <w:t>g 1</w:t>
      </w:r>
      <w:r>
        <w:t>62-164</w:t>
      </w:r>
      <w:r w:rsidRPr="00001CCB">
        <w:t xml:space="preserve"> of MSAC 1657 </w:t>
      </w:r>
      <w:r>
        <w:t>ADAR+in-line commentary</w:t>
      </w:r>
    </w:p>
    <w:p w14:paraId="2AA32E92" w14:textId="7E108687" w:rsidR="00675966" w:rsidRDefault="00675966" w:rsidP="00675966">
      <w:pPr>
        <w:pStyle w:val="Tablenotes"/>
      </w:pPr>
      <w:r>
        <w:t>Abbreviations: EBRT= External Beam Radiation Therapy; GPG= Greatest Permissible Gap; IMRT=</w:t>
      </w:r>
      <w:r w:rsidRPr="00F27C36">
        <w:t>Intensity-</w:t>
      </w:r>
      <w:r>
        <w:t>M</w:t>
      </w:r>
      <w:r w:rsidRPr="00F27C36">
        <w:t xml:space="preserve">odulated </w:t>
      </w:r>
      <w:r>
        <w:t>R</w:t>
      </w:r>
      <w:r w:rsidRPr="00F27C36">
        <w:t xml:space="preserve">adiation </w:t>
      </w:r>
      <w:r>
        <w:t>T</w:t>
      </w:r>
      <w:r w:rsidRPr="00F27C36">
        <w:t>herapy</w:t>
      </w:r>
      <w:r>
        <w:t>; MBS=Medicare Benefits Scheme; Re-188=Rhenium 188; VMAT=</w:t>
      </w:r>
      <w:r w:rsidRPr="00FD7246">
        <w:t xml:space="preserve">Volumetric </w:t>
      </w:r>
      <w:r>
        <w:t>M</w:t>
      </w:r>
      <w:r w:rsidRPr="00FD7246">
        <w:t xml:space="preserve">odulated </w:t>
      </w:r>
      <w:r>
        <w:t>A</w:t>
      </w:r>
      <w:r w:rsidRPr="00FD7246">
        <w:t xml:space="preserve">rc </w:t>
      </w:r>
      <w:r>
        <w:t>T</w:t>
      </w:r>
      <w:r w:rsidRPr="00FD7246">
        <w:t>herapy</w:t>
      </w:r>
    </w:p>
    <w:p w14:paraId="513E5514" w14:textId="77777777" w:rsidR="00675966" w:rsidRDefault="00675966" w:rsidP="00675966">
      <w:pPr>
        <w:pStyle w:val="Tablenotes"/>
      </w:pPr>
      <w:r w:rsidRPr="004F1227">
        <w:t xml:space="preserve">*As described in the preceding sections, the cost of Re-188 </w:t>
      </w:r>
      <w:r>
        <w:t>brachytherapy</w:t>
      </w:r>
      <w:r w:rsidRPr="004F1227">
        <w:t xml:space="preserve"> was not calculated using the GPG, rather used the 85% MBS value; Further, the cost of </w:t>
      </w:r>
      <w:r>
        <w:t>IMRT/VMAT</w:t>
      </w:r>
      <w:r w:rsidRPr="004F1227">
        <w:t xml:space="preserve"> dosimetry was miscalculated in </w:t>
      </w:r>
      <w:r>
        <w:t xml:space="preserve">MSAC 1657 </w:t>
      </w:r>
      <w:r w:rsidRPr="004F1227">
        <w:t>ADAR</w:t>
      </w:r>
      <w:r>
        <w:t>, which have been corrected in this table</w:t>
      </w:r>
      <w:r w:rsidRPr="004F1227">
        <w:t>.</w:t>
      </w:r>
    </w:p>
    <w:p w14:paraId="76EA0763" w14:textId="0B2A5ED9" w:rsidR="00C173A3" w:rsidRPr="00C173A3" w:rsidRDefault="00675966" w:rsidP="00C173A3">
      <w:pPr>
        <w:pStyle w:val="Tablenotes"/>
      </w:pPr>
      <w:r>
        <w:rPr>
          <w:vertAlign w:val="superscript"/>
        </w:rPr>
        <w:t>**</w:t>
      </w:r>
      <w:r>
        <w:t>Tier 1 = lesion size 1.5 to 3cm</w:t>
      </w:r>
      <w:r>
        <w:rPr>
          <w:vertAlign w:val="superscript"/>
        </w:rPr>
        <w:t>2</w:t>
      </w:r>
      <w:r>
        <w:t>, Tier 2 = lesion size 3.1 to 5cm</w:t>
      </w:r>
      <w:r>
        <w:rPr>
          <w:vertAlign w:val="superscript"/>
        </w:rPr>
        <w:t>2</w:t>
      </w:r>
      <w:r>
        <w:t xml:space="preserve"> and Tier 3 = lesion size 5.1 to 8cm</w:t>
      </w:r>
      <w:r>
        <w:rPr>
          <w:vertAlign w:val="superscript"/>
        </w:rPr>
        <w:t>2</w:t>
      </w:r>
      <w:r w:rsidR="00C173A3">
        <w:br w:type="page"/>
      </w:r>
    </w:p>
    <w:p w14:paraId="274392FB" w14:textId="51B3B9C1" w:rsidR="006F2479" w:rsidRDefault="006F2479" w:rsidP="006F2479">
      <w:pPr>
        <w:pStyle w:val="Heading3"/>
      </w:pPr>
      <w:r>
        <w:lastRenderedPageBreak/>
        <w:t>Additional sensitivity analyses on ADAR base case</w:t>
      </w:r>
    </w:p>
    <w:p w14:paraId="666A7542" w14:textId="1ADF2E14" w:rsidR="006F2479" w:rsidRPr="005B03B0" w:rsidRDefault="00BF797E" w:rsidP="00B6439B">
      <w:pPr>
        <w:pStyle w:val="Instructionaltext-afterfiguretable"/>
        <w:spacing w:before="0" w:after="0"/>
        <w:rPr>
          <w:color w:val="auto"/>
        </w:rPr>
      </w:pPr>
      <w:r>
        <w:rPr>
          <w:color w:val="000000" w:themeColor="text1"/>
        </w:rPr>
        <w:t>Further a</w:t>
      </w:r>
      <w:r w:rsidR="006F2479">
        <w:rPr>
          <w:color w:val="000000" w:themeColor="text1"/>
        </w:rPr>
        <w:t xml:space="preserve">dditional sensitivity </w:t>
      </w:r>
      <w:r w:rsidR="006F2479" w:rsidRPr="005B03B0">
        <w:rPr>
          <w:color w:val="auto"/>
        </w:rPr>
        <w:t xml:space="preserve">analyses, undertaken by the commentary and the department at the request of ESC, are presented in </w:t>
      </w:r>
      <w:r w:rsidR="006E2DC2" w:rsidRPr="005B03B0">
        <w:rPr>
          <w:color w:val="auto"/>
        </w:rPr>
        <w:fldChar w:fldCharType="begin"/>
      </w:r>
      <w:r w:rsidR="006E2DC2" w:rsidRPr="005B03B0">
        <w:rPr>
          <w:color w:val="auto"/>
        </w:rPr>
        <w:instrText xml:space="preserve"> REF _Ref138151826 \h </w:instrText>
      </w:r>
      <w:r w:rsidR="006E2DC2" w:rsidRPr="005B03B0">
        <w:rPr>
          <w:color w:val="auto"/>
        </w:rPr>
      </w:r>
      <w:r w:rsidR="006E2DC2" w:rsidRPr="005B03B0">
        <w:rPr>
          <w:color w:val="auto"/>
        </w:rPr>
        <w:fldChar w:fldCharType="separate"/>
      </w:r>
      <w:r w:rsidR="009228FB" w:rsidRPr="005B03B0">
        <w:rPr>
          <w:color w:val="auto"/>
        </w:rPr>
        <w:t xml:space="preserve">Table </w:t>
      </w:r>
      <w:r w:rsidR="009228FB" w:rsidRPr="005B03B0">
        <w:rPr>
          <w:noProof/>
          <w:color w:val="auto"/>
        </w:rPr>
        <w:t>19</w:t>
      </w:r>
      <w:r w:rsidR="006E2DC2" w:rsidRPr="005B03B0">
        <w:rPr>
          <w:color w:val="auto"/>
        </w:rPr>
        <w:fldChar w:fldCharType="end"/>
      </w:r>
      <w:r w:rsidR="006F2479" w:rsidRPr="005B03B0">
        <w:rPr>
          <w:color w:val="auto"/>
        </w:rPr>
        <w:t>. These sensitivity analyses explore the impact of:</w:t>
      </w:r>
    </w:p>
    <w:p w14:paraId="2356AC52" w14:textId="77777777" w:rsidR="00532398" w:rsidRPr="005B03B0" w:rsidRDefault="00532398" w:rsidP="002252F8">
      <w:pPr>
        <w:pStyle w:val="Instructionaltext-afterfiguretable"/>
        <w:numPr>
          <w:ilvl w:val="0"/>
          <w:numId w:val="16"/>
        </w:numPr>
        <w:spacing w:before="0" w:after="0"/>
        <w:rPr>
          <w:color w:val="auto"/>
        </w:rPr>
      </w:pPr>
      <w:r w:rsidRPr="005B03B0">
        <w:rPr>
          <w:color w:val="auto"/>
        </w:rPr>
        <w:t>inclusion of orthovoltage as one of the EBRT modalities</w:t>
      </w:r>
    </w:p>
    <w:p w14:paraId="4F1D93B7" w14:textId="390C7CE2" w:rsidR="00532398" w:rsidRDefault="00532398" w:rsidP="002252F8">
      <w:pPr>
        <w:pStyle w:val="Instructionaltext-afterfiguretable"/>
        <w:numPr>
          <w:ilvl w:val="0"/>
          <w:numId w:val="16"/>
        </w:numPr>
        <w:spacing w:before="0" w:after="0"/>
        <w:rPr>
          <w:color w:val="000000" w:themeColor="text1"/>
        </w:rPr>
      </w:pPr>
      <w:r w:rsidRPr="005B03B0">
        <w:rPr>
          <w:color w:val="auto"/>
        </w:rPr>
        <w:t xml:space="preserve">amendment of the ADAR </w:t>
      </w:r>
      <w:r w:rsidR="00541A70" w:rsidRPr="005B03B0">
        <w:rPr>
          <w:color w:val="auto"/>
        </w:rPr>
        <w:t>3D megavoltage</w:t>
      </w:r>
      <w:r w:rsidRPr="005B03B0">
        <w:rPr>
          <w:color w:val="auto"/>
        </w:rPr>
        <w:t xml:space="preserve"> costs </w:t>
      </w:r>
      <w:r>
        <w:rPr>
          <w:color w:val="000000" w:themeColor="text1"/>
        </w:rPr>
        <w:t>to 2D electron beam costs</w:t>
      </w:r>
    </w:p>
    <w:p w14:paraId="467AE7E8" w14:textId="3CB8A9B9" w:rsidR="00532398" w:rsidRDefault="00532398" w:rsidP="002252F8">
      <w:pPr>
        <w:pStyle w:val="Instructionaltext-afterfiguretable"/>
        <w:numPr>
          <w:ilvl w:val="0"/>
          <w:numId w:val="16"/>
        </w:numPr>
        <w:spacing w:before="0" w:after="0"/>
        <w:rPr>
          <w:color w:val="000000" w:themeColor="text1"/>
        </w:rPr>
      </w:pPr>
      <w:r>
        <w:rPr>
          <w:color w:val="000000" w:themeColor="text1"/>
        </w:rPr>
        <w:t>adjustment of the EBRT fractionation number.</w:t>
      </w:r>
    </w:p>
    <w:p w14:paraId="707C1774" w14:textId="663D8230" w:rsidR="00F72305" w:rsidRDefault="007801A9" w:rsidP="00517E0A">
      <w:pPr>
        <w:pStyle w:val="Caption"/>
        <w:rPr>
          <w:rFonts w:cs="Arial"/>
          <w:b w:val="0"/>
          <w:color w:val="000000"/>
          <w:lang w:eastAsia="en-AU"/>
        </w:rPr>
      </w:pPr>
      <w:bookmarkStart w:id="52" w:name="_Ref138151826"/>
      <w:r>
        <w:t xml:space="preserve">Table </w:t>
      </w:r>
      <w:r>
        <w:fldChar w:fldCharType="begin"/>
      </w:r>
      <w:r>
        <w:instrText>SEQ Table \* ARABIC</w:instrText>
      </w:r>
      <w:r>
        <w:fldChar w:fldCharType="separate"/>
      </w:r>
      <w:r w:rsidR="009228FB">
        <w:rPr>
          <w:noProof/>
        </w:rPr>
        <w:t>19</w:t>
      </w:r>
      <w:r>
        <w:fldChar w:fldCharType="end"/>
      </w:r>
      <w:bookmarkEnd w:id="52"/>
      <w:r w:rsidR="00F76D74">
        <w:tab/>
      </w:r>
      <w:r w:rsidR="006E2DC2">
        <w:t>Additional s</w:t>
      </w:r>
      <w:r w:rsidRPr="004F1227">
        <w:rPr>
          <w:rFonts w:eastAsiaTheme="majorEastAsia"/>
        </w:rPr>
        <w:t xml:space="preserve">ensitivity analyses results </w:t>
      </w:r>
      <w:r>
        <w:rPr>
          <w:rFonts w:eastAsiaTheme="majorEastAsia"/>
        </w:rPr>
        <w:t>– using GPG corrected MBS</w:t>
      </w:r>
      <w:r w:rsidRPr="004F1227">
        <w:rPr>
          <w:rFonts w:eastAsiaTheme="majorEastAsia"/>
        </w:rPr>
        <w:t xml:space="preserve"> cost</w:t>
      </w:r>
      <w:r>
        <w:rPr>
          <w:rFonts w:eastAsiaTheme="majorEastAsia"/>
        </w:rPr>
        <w:t>s</w:t>
      </w:r>
      <w:r w:rsidRPr="004F1227">
        <w:rPr>
          <w:rFonts w:eastAsiaTheme="majorEastAsia"/>
        </w:rPr>
        <w:t xml:space="preserve"> </w:t>
      </w:r>
      <w:r>
        <w:rPr>
          <w:rFonts w:eastAsiaTheme="majorEastAsia"/>
        </w:rPr>
        <w:t xml:space="preserve">for </w:t>
      </w:r>
      <w:r w:rsidRPr="004F1227">
        <w:rPr>
          <w:rFonts w:eastAsiaTheme="majorEastAsia"/>
        </w:rPr>
        <w:t>Re-188</w:t>
      </w:r>
      <w:r>
        <w:rPr>
          <w:rFonts w:eastAsiaTheme="majorEastAsia"/>
        </w:rPr>
        <w:t xml:space="preserve"> </w:t>
      </w:r>
      <w:r>
        <w:rPr>
          <w:color w:val="000000" w:themeColor="text1"/>
        </w:rPr>
        <w:t>brachytherapy</w:t>
      </w:r>
      <w:r w:rsidRPr="004F1227">
        <w:rPr>
          <w:rFonts w:eastAsiaTheme="majorEastAsia"/>
        </w:rPr>
        <w:t xml:space="preserve"> </w:t>
      </w:r>
      <w:r>
        <w:rPr>
          <w:rFonts w:eastAsiaTheme="majorEastAsia"/>
        </w:rPr>
        <w:t>and</w:t>
      </w:r>
      <w:r w:rsidRPr="004F1227">
        <w:rPr>
          <w:rFonts w:eastAsiaTheme="majorEastAsia"/>
        </w:rPr>
        <w:t xml:space="preserve"> IMRT/VMAT*</w:t>
      </w:r>
    </w:p>
    <w:tbl>
      <w:tblPr>
        <w:tblStyle w:val="TableGrid1"/>
        <w:tblW w:w="9649" w:type="dxa"/>
        <w:tblLook w:val="04A0" w:firstRow="1" w:lastRow="0" w:firstColumn="1" w:lastColumn="0" w:noHBand="0" w:noVBand="1"/>
      </w:tblPr>
      <w:tblGrid>
        <w:gridCol w:w="6263"/>
        <w:gridCol w:w="1037"/>
        <w:gridCol w:w="1129"/>
        <w:gridCol w:w="1220"/>
      </w:tblGrid>
      <w:tr w:rsidR="009228FB" w:rsidRPr="00C84830" w14:paraId="2969E3D0" w14:textId="77777777" w:rsidTr="00FF6852">
        <w:trPr>
          <w:cnfStyle w:val="100000000000" w:firstRow="1" w:lastRow="0" w:firstColumn="0" w:lastColumn="0" w:oddVBand="0" w:evenVBand="0" w:oddHBand="0" w:evenHBand="0" w:firstRowFirstColumn="0" w:firstRowLastColumn="0" w:lastRowFirstColumn="0" w:lastRowLastColumn="0"/>
          <w:trHeight w:val="280"/>
        </w:trPr>
        <w:tc>
          <w:tcPr>
            <w:tcW w:w="6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2C8E1"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42912366" w14:textId="77777777" w:rsidR="00C84830" w:rsidRPr="00C84830" w:rsidRDefault="00C84830" w:rsidP="00C84830">
            <w:pPr>
              <w:spacing w:before="0" w:after="0"/>
              <w:jc w:val="center"/>
              <w:rPr>
                <w:rFonts w:ascii="Arial Narrow" w:hAnsi="Arial Narrow" w:cs="Arial"/>
                <w:b/>
                <w:bCs/>
                <w:color w:val="000000"/>
              </w:rPr>
            </w:pPr>
            <w:r w:rsidRPr="00C84830">
              <w:rPr>
                <w:rFonts w:ascii="Arial Narrow" w:hAnsi="Arial Narrow" w:cs="Arial"/>
                <w:b/>
                <w:bCs/>
                <w:color w:val="000000"/>
              </w:rPr>
              <w:t>Year 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507DAB8" w14:textId="77777777" w:rsidR="00C84830" w:rsidRPr="00C84830" w:rsidRDefault="00C84830" w:rsidP="00C84830">
            <w:pPr>
              <w:spacing w:before="0" w:after="0"/>
              <w:jc w:val="center"/>
              <w:rPr>
                <w:rFonts w:ascii="Arial Narrow" w:hAnsi="Arial Narrow" w:cs="Arial"/>
                <w:b/>
                <w:bCs/>
                <w:color w:val="000000"/>
              </w:rPr>
            </w:pPr>
            <w:r w:rsidRPr="00C84830">
              <w:rPr>
                <w:rFonts w:ascii="Arial Narrow" w:hAnsi="Arial Narrow" w:cs="Arial"/>
                <w:b/>
                <w:bCs/>
                <w:color w:val="000000"/>
              </w:rPr>
              <w:t>Year 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95E9671" w14:textId="77777777" w:rsidR="00C84830" w:rsidRPr="00C84830" w:rsidRDefault="00C84830" w:rsidP="00C84830">
            <w:pPr>
              <w:spacing w:before="0" w:after="0"/>
              <w:jc w:val="center"/>
              <w:rPr>
                <w:rFonts w:ascii="Arial Narrow" w:hAnsi="Arial Narrow" w:cs="Arial"/>
                <w:b/>
                <w:bCs/>
                <w:color w:val="000000"/>
              </w:rPr>
            </w:pPr>
            <w:r w:rsidRPr="00C84830">
              <w:rPr>
                <w:rFonts w:ascii="Arial Narrow" w:hAnsi="Arial Narrow" w:cs="Arial"/>
                <w:b/>
                <w:bCs/>
                <w:color w:val="000000"/>
              </w:rPr>
              <w:t>Total</w:t>
            </w:r>
          </w:p>
        </w:tc>
      </w:tr>
      <w:tr w:rsidR="00674DEB" w:rsidRPr="00C84830" w14:paraId="6820E7FB" w14:textId="77777777" w:rsidTr="00FF6852">
        <w:trPr>
          <w:trHeight w:val="280"/>
        </w:trPr>
        <w:tc>
          <w:tcPr>
            <w:tcW w:w="6263" w:type="dxa"/>
            <w:tcBorders>
              <w:top w:val="nil"/>
              <w:left w:val="single" w:sz="4" w:space="0" w:color="auto"/>
              <w:bottom w:val="single" w:sz="4" w:space="0" w:color="auto"/>
              <w:right w:val="nil"/>
            </w:tcBorders>
            <w:shd w:val="clear" w:color="000000" w:fill="FFFFFF"/>
            <w:noWrap/>
            <w:vAlign w:val="bottom"/>
            <w:hideMark/>
          </w:tcPr>
          <w:p w14:paraId="1995D74E"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ADAR base case (corrected for CPG)</w:t>
            </w:r>
          </w:p>
        </w:tc>
        <w:tc>
          <w:tcPr>
            <w:tcW w:w="1037" w:type="dxa"/>
            <w:tcBorders>
              <w:top w:val="nil"/>
              <w:left w:val="nil"/>
              <w:bottom w:val="single" w:sz="4" w:space="0" w:color="auto"/>
              <w:right w:val="nil"/>
            </w:tcBorders>
            <w:shd w:val="clear" w:color="000000" w:fill="FFFFFF"/>
            <w:noWrap/>
            <w:vAlign w:val="bottom"/>
            <w:hideMark/>
          </w:tcPr>
          <w:p w14:paraId="247196B7"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c>
          <w:tcPr>
            <w:tcW w:w="1129" w:type="dxa"/>
            <w:tcBorders>
              <w:top w:val="nil"/>
              <w:left w:val="nil"/>
              <w:bottom w:val="single" w:sz="4" w:space="0" w:color="auto"/>
              <w:right w:val="nil"/>
            </w:tcBorders>
            <w:shd w:val="clear" w:color="000000" w:fill="FFFFFF"/>
            <w:noWrap/>
            <w:vAlign w:val="bottom"/>
            <w:hideMark/>
          </w:tcPr>
          <w:p w14:paraId="34AFB9FB"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547EA14F"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r>
      <w:tr w:rsidR="00674DEB" w:rsidRPr="00C84830" w14:paraId="368BFA3C" w14:textId="77777777" w:rsidTr="00FF6852">
        <w:trPr>
          <w:trHeight w:val="280"/>
        </w:trPr>
        <w:tc>
          <w:tcPr>
            <w:tcW w:w="6263" w:type="dxa"/>
            <w:tcBorders>
              <w:top w:val="nil"/>
              <w:left w:val="single" w:sz="4" w:space="0" w:color="auto"/>
              <w:bottom w:val="single" w:sz="4" w:space="0" w:color="auto"/>
              <w:right w:val="nil"/>
            </w:tcBorders>
            <w:shd w:val="clear" w:color="000000" w:fill="FFFFFF"/>
            <w:noWrap/>
            <w:vAlign w:val="bottom"/>
            <w:hideMark/>
          </w:tcPr>
          <w:p w14:paraId="0F6EE539"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Re-188 Brachytherapy</w:t>
            </w:r>
          </w:p>
        </w:tc>
        <w:tc>
          <w:tcPr>
            <w:tcW w:w="1037" w:type="dxa"/>
            <w:tcBorders>
              <w:top w:val="nil"/>
              <w:left w:val="nil"/>
              <w:bottom w:val="single" w:sz="4" w:space="0" w:color="auto"/>
              <w:right w:val="nil"/>
            </w:tcBorders>
            <w:shd w:val="clear" w:color="000000" w:fill="FFFFFF"/>
            <w:noWrap/>
            <w:vAlign w:val="bottom"/>
            <w:hideMark/>
          </w:tcPr>
          <w:p w14:paraId="2C5C7AB9"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c>
          <w:tcPr>
            <w:tcW w:w="1129" w:type="dxa"/>
            <w:tcBorders>
              <w:top w:val="nil"/>
              <w:left w:val="nil"/>
              <w:bottom w:val="single" w:sz="4" w:space="0" w:color="auto"/>
              <w:right w:val="nil"/>
            </w:tcBorders>
            <w:shd w:val="clear" w:color="000000" w:fill="FFFFFF"/>
            <w:noWrap/>
            <w:vAlign w:val="bottom"/>
            <w:hideMark/>
          </w:tcPr>
          <w:p w14:paraId="72DCDBD4"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1DEA3EF1"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r>
      <w:tr w:rsidR="00674DEB" w:rsidRPr="00C84830" w14:paraId="54F81383"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6AAB6BC3" w14:textId="77777777" w:rsidR="00C84830" w:rsidRPr="00C84830" w:rsidRDefault="00C84830" w:rsidP="00C84830">
            <w:pPr>
              <w:spacing w:before="0" w:after="0"/>
              <w:ind w:firstLineChars="200" w:firstLine="400"/>
              <w:rPr>
                <w:rFonts w:ascii="Arial Narrow" w:hAnsi="Arial Narrow" w:cs="Arial"/>
                <w:color w:val="000000"/>
              </w:rPr>
            </w:pPr>
            <w:r w:rsidRPr="00C84830">
              <w:rPr>
                <w:rFonts w:ascii="Arial Narrow" w:hAnsi="Arial Narrow" w:cs="Arial"/>
                <w:color w:val="000000"/>
              </w:rPr>
              <w:t># services</w:t>
            </w:r>
          </w:p>
        </w:tc>
        <w:tc>
          <w:tcPr>
            <w:tcW w:w="1037" w:type="dxa"/>
            <w:tcBorders>
              <w:top w:val="nil"/>
              <w:left w:val="nil"/>
              <w:bottom w:val="single" w:sz="4" w:space="0" w:color="auto"/>
              <w:right w:val="single" w:sz="4" w:space="0" w:color="auto"/>
            </w:tcBorders>
            <w:shd w:val="clear" w:color="000000" w:fill="FFFFFF"/>
            <w:noWrap/>
            <w:vAlign w:val="bottom"/>
            <w:hideMark/>
          </w:tcPr>
          <w:p w14:paraId="4D521100"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500</w:t>
            </w:r>
          </w:p>
        </w:tc>
        <w:tc>
          <w:tcPr>
            <w:tcW w:w="1129" w:type="dxa"/>
            <w:tcBorders>
              <w:top w:val="nil"/>
              <w:left w:val="nil"/>
              <w:bottom w:val="single" w:sz="4" w:space="0" w:color="auto"/>
              <w:right w:val="single" w:sz="4" w:space="0" w:color="auto"/>
            </w:tcBorders>
            <w:shd w:val="clear" w:color="000000" w:fill="FFFFFF"/>
            <w:noWrap/>
            <w:vAlign w:val="bottom"/>
            <w:hideMark/>
          </w:tcPr>
          <w:p w14:paraId="6062FBD3"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8,000</w:t>
            </w:r>
          </w:p>
        </w:tc>
        <w:tc>
          <w:tcPr>
            <w:tcW w:w="1220" w:type="dxa"/>
            <w:tcBorders>
              <w:top w:val="nil"/>
              <w:left w:val="nil"/>
              <w:bottom w:val="single" w:sz="4" w:space="0" w:color="auto"/>
              <w:right w:val="single" w:sz="4" w:space="0" w:color="auto"/>
            </w:tcBorders>
            <w:shd w:val="clear" w:color="000000" w:fill="FFFFFF"/>
            <w:noWrap/>
            <w:vAlign w:val="bottom"/>
            <w:hideMark/>
          </w:tcPr>
          <w:p w14:paraId="5063AACA"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21,500</w:t>
            </w:r>
          </w:p>
        </w:tc>
      </w:tr>
      <w:tr w:rsidR="00674DEB" w:rsidRPr="00C84830" w14:paraId="3615C41F"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67D747FE" w14:textId="77777777" w:rsidR="00C84830" w:rsidRPr="00C84830" w:rsidRDefault="00C84830" w:rsidP="00C84830">
            <w:pPr>
              <w:spacing w:before="0" w:after="0"/>
              <w:ind w:firstLineChars="200" w:firstLine="400"/>
              <w:rPr>
                <w:rFonts w:ascii="Arial Narrow" w:hAnsi="Arial Narrow" w:cs="Arial"/>
                <w:color w:val="000000"/>
              </w:rPr>
            </w:pPr>
            <w:r w:rsidRPr="00C84830">
              <w:rPr>
                <w:rFonts w:ascii="Arial Narrow" w:hAnsi="Arial Narrow" w:cs="Arial"/>
                <w:color w:val="000000"/>
              </w:rPr>
              <w:t>Total cost</w:t>
            </w:r>
          </w:p>
        </w:tc>
        <w:tc>
          <w:tcPr>
            <w:tcW w:w="1037" w:type="dxa"/>
            <w:tcBorders>
              <w:top w:val="nil"/>
              <w:left w:val="nil"/>
              <w:bottom w:val="single" w:sz="4" w:space="0" w:color="auto"/>
              <w:right w:val="single" w:sz="4" w:space="0" w:color="auto"/>
            </w:tcBorders>
            <w:shd w:val="clear" w:color="000000" w:fill="FFFFFF"/>
            <w:noWrap/>
            <w:vAlign w:val="bottom"/>
            <w:hideMark/>
          </w:tcPr>
          <w:p w14:paraId="48F1B9FC"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$2,662,280</w:t>
            </w:r>
          </w:p>
        </w:tc>
        <w:tc>
          <w:tcPr>
            <w:tcW w:w="1129" w:type="dxa"/>
            <w:tcBorders>
              <w:top w:val="nil"/>
              <w:left w:val="nil"/>
              <w:bottom w:val="single" w:sz="4" w:space="0" w:color="auto"/>
              <w:right w:val="single" w:sz="4" w:space="0" w:color="auto"/>
            </w:tcBorders>
            <w:shd w:val="clear" w:color="000000" w:fill="FFFFFF"/>
            <w:noWrap/>
            <w:vAlign w:val="bottom"/>
            <w:hideMark/>
          </w:tcPr>
          <w:p w14:paraId="7C78C2CC"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$42,596,480</w:t>
            </w:r>
          </w:p>
        </w:tc>
        <w:tc>
          <w:tcPr>
            <w:tcW w:w="1220" w:type="dxa"/>
            <w:tcBorders>
              <w:top w:val="nil"/>
              <w:left w:val="nil"/>
              <w:bottom w:val="single" w:sz="4" w:space="0" w:color="auto"/>
              <w:right w:val="single" w:sz="4" w:space="0" w:color="auto"/>
            </w:tcBorders>
            <w:shd w:val="clear" w:color="000000" w:fill="FFFFFF"/>
            <w:noWrap/>
            <w:vAlign w:val="bottom"/>
            <w:hideMark/>
          </w:tcPr>
          <w:p w14:paraId="3FD60C89"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$114,478,040</w:t>
            </w:r>
          </w:p>
        </w:tc>
      </w:tr>
      <w:tr w:rsidR="00674DEB" w:rsidRPr="00C84830" w14:paraId="1BBE0111" w14:textId="77777777" w:rsidTr="00FF6852">
        <w:trPr>
          <w:trHeight w:val="280"/>
        </w:trPr>
        <w:tc>
          <w:tcPr>
            <w:tcW w:w="6263" w:type="dxa"/>
            <w:tcBorders>
              <w:top w:val="nil"/>
              <w:left w:val="single" w:sz="4" w:space="0" w:color="auto"/>
              <w:bottom w:val="single" w:sz="4" w:space="0" w:color="auto"/>
              <w:right w:val="nil"/>
            </w:tcBorders>
            <w:shd w:val="clear" w:color="000000" w:fill="FFFFFF"/>
            <w:noWrap/>
            <w:vAlign w:val="bottom"/>
            <w:hideMark/>
          </w:tcPr>
          <w:p w14:paraId="0684451A" w14:textId="63138568"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Total EBRT (</w:t>
            </w:r>
            <w:r w:rsidR="00541A70" w:rsidRPr="00541A70">
              <w:rPr>
                <w:rFonts w:ascii="Arial Narrow" w:hAnsi="Arial Narrow" w:cs="Arial"/>
                <w:color w:val="000000"/>
              </w:rPr>
              <w:t>3D megavoltage</w:t>
            </w:r>
            <w:r w:rsidRPr="00C84830">
              <w:rPr>
                <w:rFonts w:ascii="Arial Narrow" w:hAnsi="Arial Narrow" w:cs="Arial"/>
                <w:color w:val="000000"/>
              </w:rPr>
              <w:t xml:space="preserve"> 50%, IMRT/VMAT 50%)</w:t>
            </w:r>
          </w:p>
        </w:tc>
        <w:tc>
          <w:tcPr>
            <w:tcW w:w="1037" w:type="dxa"/>
            <w:tcBorders>
              <w:top w:val="nil"/>
              <w:left w:val="nil"/>
              <w:bottom w:val="single" w:sz="4" w:space="0" w:color="auto"/>
              <w:right w:val="nil"/>
            </w:tcBorders>
            <w:shd w:val="clear" w:color="000000" w:fill="FFFFFF"/>
            <w:noWrap/>
            <w:vAlign w:val="bottom"/>
            <w:hideMark/>
          </w:tcPr>
          <w:p w14:paraId="1B5BBD8E"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c>
          <w:tcPr>
            <w:tcW w:w="1129" w:type="dxa"/>
            <w:tcBorders>
              <w:top w:val="nil"/>
              <w:left w:val="nil"/>
              <w:bottom w:val="single" w:sz="4" w:space="0" w:color="auto"/>
              <w:right w:val="nil"/>
            </w:tcBorders>
            <w:shd w:val="clear" w:color="000000" w:fill="FFFFFF"/>
            <w:noWrap/>
            <w:vAlign w:val="bottom"/>
            <w:hideMark/>
          </w:tcPr>
          <w:p w14:paraId="2983B286"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3C649286" w14:textId="7777777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 </w:t>
            </w:r>
          </w:p>
        </w:tc>
      </w:tr>
      <w:tr w:rsidR="00674DEB" w:rsidRPr="00C84830" w14:paraId="7D6FB889"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73A4670B" w14:textId="77777777" w:rsidR="00C84830" w:rsidRPr="00C84830" w:rsidRDefault="00C84830" w:rsidP="00C84830">
            <w:pPr>
              <w:spacing w:before="0" w:after="0"/>
              <w:ind w:firstLineChars="200" w:firstLine="400"/>
              <w:rPr>
                <w:rFonts w:ascii="Arial Narrow" w:hAnsi="Arial Narrow" w:cs="Arial"/>
                <w:color w:val="000000"/>
              </w:rPr>
            </w:pPr>
            <w:r w:rsidRPr="00C84830">
              <w:rPr>
                <w:rFonts w:ascii="Arial Narrow" w:hAnsi="Arial Narrow" w:cs="Arial"/>
                <w:color w:val="000000"/>
              </w:rPr>
              <w:t># of EBRT services substituted</w:t>
            </w:r>
          </w:p>
        </w:tc>
        <w:tc>
          <w:tcPr>
            <w:tcW w:w="1037" w:type="dxa"/>
            <w:tcBorders>
              <w:top w:val="nil"/>
              <w:left w:val="nil"/>
              <w:bottom w:val="single" w:sz="4" w:space="0" w:color="auto"/>
              <w:right w:val="single" w:sz="4" w:space="0" w:color="auto"/>
            </w:tcBorders>
            <w:shd w:val="clear" w:color="000000" w:fill="FFFFFF"/>
            <w:noWrap/>
            <w:vAlign w:val="bottom"/>
            <w:hideMark/>
          </w:tcPr>
          <w:p w14:paraId="05120E0E"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500</w:t>
            </w:r>
          </w:p>
        </w:tc>
        <w:tc>
          <w:tcPr>
            <w:tcW w:w="1129" w:type="dxa"/>
            <w:tcBorders>
              <w:top w:val="nil"/>
              <w:left w:val="nil"/>
              <w:bottom w:val="single" w:sz="4" w:space="0" w:color="auto"/>
              <w:right w:val="single" w:sz="4" w:space="0" w:color="auto"/>
            </w:tcBorders>
            <w:shd w:val="clear" w:color="000000" w:fill="FFFFFF"/>
            <w:noWrap/>
            <w:vAlign w:val="bottom"/>
            <w:hideMark/>
          </w:tcPr>
          <w:p w14:paraId="20B1E8B5"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8,000</w:t>
            </w:r>
          </w:p>
        </w:tc>
        <w:tc>
          <w:tcPr>
            <w:tcW w:w="1220" w:type="dxa"/>
            <w:tcBorders>
              <w:top w:val="nil"/>
              <w:left w:val="nil"/>
              <w:bottom w:val="single" w:sz="4" w:space="0" w:color="auto"/>
              <w:right w:val="single" w:sz="4" w:space="0" w:color="auto"/>
            </w:tcBorders>
            <w:shd w:val="clear" w:color="000000" w:fill="FFFFFF"/>
            <w:noWrap/>
            <w:vAlign w:val="bottom"/>
            <w:hideMark/>
          </w:tcPr>
          <w:p w14:paraId="64393561"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21,500</w:t>
            </w:r>
          </w:p>
        </w:tc>
      </w:tr>
      <w:tr w:rsidR="00674DEB" w:rsidRPr="00C84830" w14:paraId="75868DB6"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7DC8D909" w14:textId="77777777" w:rsidR="00C84830" w:rsidRPr="00C84830" w:rsidRDefault="00C84830" w:rsidP="00C84830">
            <w:pPr>
              <w:spacing w:before="0" w:after="0"/>
              <w:ind w:firstLineChars="200" w:firstLine="400"/>
              <w:rPr>
                <w:rFonts w:ascii="Arial Narrow" w:hAnsi="Arial Narrow" w:cs="Arial"/>
                <w:color w:val="000000"/>
              </w:rPr>
            </w:pPr>
            <w:r w:rsidRPr="00C84830">
              <w:rPr>
                <w:rFonts w:ascii="Arial Narrow" w:hAnsi="Arial Narrow" w:cs="Arial"/>
                <w:color w:val="000000"/>
              </w:rPr>
              <w:t>EBRT cost off-set</w:t>
            </w:r>
          </w:p>
        </w:tc>
        <w:tc>
          <w:tcPr>
            <w:tcW w:w="1037" w:type="dxa"/>
            <w:tcBorders>
              <w:top w:val="nil"/>
              <w:left w:val="nil"/>
              <w:bottom w:val="single" w:sz="4" w:space="0" w:color="auto"/>
              <w:right w:val="single" w:sz="4" w:space="0" w:color="auto"/>
            </w:tcBorders>
            <w:shd w:val="clear" w:color="000000" w:fill="FFFFFF"/>
            <w:noWrap/>
            <w:vAlign w:val="bottom"/>
            <w:hideMark/>
          </w:tcPr>
          <w:p w14:paraId="1D3B3286"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$3,146,513</w:t>
            </w:r>
          </w:p>
        </w:tc>
        <w:tc>
          <w:tcPr>
            <w:tcW w:w="1129" w:type="dxa"/>
            <w:tcBorders>
              <w:top w:val="nil"/>
              <w:left w:val="nil"/>
              <w:bottom w:val="single" w:sz="4" w:space="0" w:color="auto"/>
              <w:right w:val="single" w:sz="4" w:space="0" w:color="auto"/>
            </w:tcBorders>
            <w:shd w:val="clear" w:color="000000" w:fill="FFFFFF"/>
            <w:noWrap/>
            <w:vAlign w:val="bottom"/>
            <w:hideMark/>
          </w:tcPr>
          <w:p w14:paraId="030DF9A7"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$50,344,200</w:t>
            </w:r>
          </w:p>
        </w:tc>
        <w:tc>
          <w:tcPr>
            <w:tcW w:w="1220" w:type="dxa"/>
            <w:tcBorders>
              <w:top w:val="nil"/>
              <w:left w:val="nil"/>
              <w:bottom w:val="single" w:sz="4" w:space="0" w:color="auto"/>
              <w:right w:val="single" w:sz="4" w:space="0" w:color="auto"/>
            </w:tcBorders>
            <w:shd w:val="clear" w:color="000000" w:fill="FFFFFF"/>
            <w:noWrap/>
            <w:vAlign w:val="bottom"/>
            <w:hideMark/>
          </w:tcPr>
          <w:p w14:paraId="4A2F2D45"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$135,300,038</w:t>
            </w:r>
          </w:p>
        </w:tc>
      </w:tr>
      <w:tr w:rsidR="00674DEB" w:rsidRPr="00C84830" w14:paraId="7C51AA46"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0B69A1AA" w14:textId="77777777" w:rsidR="00C84830" w:rsidRPr="00C84830" w:rsidRDefault="00C84830" w:rsidP="00C84830">
            <w:pPr>
              <w:spacing w:before="0" w:after="0"/>
              <w:ind w:firstLineChars="100" w:firstLine="201"/>
              <w:rPr>
                <w:rFonts w:ascii="Arial Narrow" w:hAnsi="Arial Narrow" w:cs="Arial"/>
                <w:b/>
                <w:bCs/>
                <w:color w:val="000000"/>
              </w:rPr>
            </w:pPr>
            <w:r w:rsidRPr="00C84830">
              <w:rPr>
                <w:rFonts w:ascii="Arial Narrow" w:hAnsi="Arial Narrow" w:cs="Arial"/>
                <w:b/>
                <w:bCs/>
                <w:color w:val="000000"/>
              </w:rPr>
              <w:t>ADAR Base case - Net cost to MBS</w:t>
            </w:r>
          </w:p>
        </w:tc>
        <w:tc>
          <w:tcPr>
            <w:tcW w:w="1037" w:type="dxa"/>
            <w:tcBorders>
              <w:top w:val="nil"/>
              <w:left w:val="nil"/>
              <w:bottom w:val="single" w:sz="4" w:space="0" w:color="auto"/>
              <w:right w:val="single" w:sz="4" w:space="0" w:color="auto"/>
            </w:tcBorders>
            <w:shd w:val="clear" w:color="000000" w:fill="FFFFFF"/>
            <w:noWrap/>
            <w:vAlign w:val="bottom"/>
            <w:hideMark/>
          </w:tcPr>
          <w:p w14:paraId="6E6BB28C" w14:textId="77777777" w:rsidR="00C84830" w:rsidRPr="00C84830" w:rsidRDefault="00C84830" w:rsidP="00C84830">
            <w:pPr>
              <w:spacing w:before="0" w:after="0"/>
              <w:jc w:val="right"/>
              <w:rPr>
                <w:rFonts w:ascii="Arial Narrow" w:hAnsi="Arial Narrow" w:cs="Arial"/>
                <w:b/>
                <w:bCs/>
                <w:color w:val="000000"/>
              </w:rPr>
            </w:pPr>
            <w:r w:rsidRPr="00C84830">
              <w:rPr>
                <w:rFonts w:ascii="Arial Narrow" w:hAnsi="Arial Narrow" w:cs="Arial"/>
                <w:b/>
                <w:bCs/>
                <w:color w:val="000000"/>
              </w:rPr>
              <w:t>-$484,233</w:t>
            </w:r>
          </w:p>
        </w:tc>
        <w:tc>
          <w:tcPr>
            <w:tcW w:w="1129" w:type="dxa"/>
            <w:tcBorders>
              <w:top w:val="nil"/>
              <w:left w:val="nil"/>
              <w:bottom w:val="single" w:sz="4" w:space="0" w:color="auto"/>
              <w:right w:val="single" w:sz="4" w:space="0" w:color="auto"/>
            </w:tcBorders>
            <w:shd w:val="clear" w:color="000000" w:fill="FFFFFF"/>
            <w:noWrap/>
            <w:vAlign w:val="bottom"/>
            <w:hideMark/>
          </w:tcPr>
          <w:p w14:paraId="34ADA31D" w14:textId="77777777" w:rsidR="00C84830" w:rsidRPr="00C84830" w:rsidRDefault="00C84830" w:rsidP="00C84830">
            <w:pPr>
              <w:spacing w:before="0" w:after="0"/>
              <w:jc w:val="right"/>
              <w:rPr>
                <w:rFonts w:ascii="Arial Narrow" w:hAnsi="Arial Narrow" w:cs="Arial"/>
                <w:b/>
                <w:bCs/>
                <w:color w:val="000000"/>
              </w:rPr>
            </w:pPr>
            <w:r w:rsidRPr="00C84830">
              <w:rPr>
                <w:rFonts w:ascii="Arial Narrow" w:hAnsi="Arial Narrow" w:cs="Arial"/>
                <w:b/>
                <w:bCs/>
                <w:color w:val="000000"/>
              </w:rPr>
              <w:t>-$7,747,720</w:t>
            </w:r>
          </w:p>
        </w:tc>
        <w:tc>
          <w:tcPr>
            <w:tcW w:w="1220" w:type="dxa"/>
            <w:tcBorders>
              <w:top w:val="nil"/>
              <w:left w:val="nil"/>
              <w:bottom w:val="single" w:sz="4" w:space="0" w:color="auto"/>
              <w:right w:val="single" w:sz="4" w:space="0" w:color="auto"/>
            </w:tcBorders>
            <w:shd w:val="clear" w:color="000000" w:fill="FFFFFF"/>
            <w:noWrap/>
            <w:vAlign w:val="bottom"/>
            <w:hideMark/>
          </w:tcPr>
          <w:p w14:paraId="04576BED" w14:textId="77777777" w:rsidR="00C84830" w:rsidRPr="00C84830" w:rsidRDefault="00C84830" w:rsidP="00C84830">
            <w:pPr>
              <w:spacing w:before="0" w:after="0"/>
              <w:jc w:val="right"/>
              <w:rPr>
                <w:rFonts w:ascii="Arial Narrow" w:hAnsi="Arial Narrow" w:cs="Arial"/>
                <w:b/>
                <w:bCs/>
                <w:color w:val="000000"/>
              </w:rPr>
            </w:pPr>
            <w:r w:rsidRPr="00C84830">
              <w:rPr>
                <w:rFonts w:ascii="Arial Narrow" w:hAnsi="Arial Narrow" w:cs="Arial"/>
                <w:b/>
                <w:bCs/>
                <w:color w:val="000000"/>
              </w:rPr>
              <w:t>-$20,821,998</w:t>
            </w:r>
          </w:p>
        </w:tc>
      </w:tr>
      <w:tr w:rsidR="00C84830" w:rsidRPr="00C84830" w14:paraId="1228B728" w14:textId="77777777" w:rsidTr="00FF6852">
        <w:trPr>
          <w:trHeight w:val="280"/>
        </w:trPr>
        <w:tc>
          <w:tcPr>
            <w:tcW w:w="964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3085A571" w14:textId="048D480B" w:rsidR="00C84830" w:rsidRPr="00C84830" w:rsidRDefault="00FF6852" w:rsidP="00066415">
            <w:pPr>
              <w:spacing w:before="0" w:after="0"/>
              <w:rPr>
                <w:rFonts w:ascii="Arial Narrow" w:hAnsi="Arial Narrow" w:cs="Arial"/>
                <w:b/>
                <w:bCs/>
                <w:color w:val="000000"/>
              </w:rPr>
            </w:pPr>
            <w:r w:rsidRPr="00C84830">
              <w:rPr>
                <w:rFonts w:ascii="Arial Narrow" w:hAnsi="Arial Narrow" w:cs="Arial"/>
                <w:b/>
                <w:bCs/>
                <w:color w:val="000000"/>
              </w:rPr>
              <w:t xml:space="preserve">Commentary </w:t>
            </w:r>
            <w:r>
              <w:rPr>
                <w:rFonts w:ascii="Arial Narrow" w:hAnsi="Arial Narrow" w:cs="Arial"/>
                <w:b/>
                <w:bCs/>
                <w:color w:val="000000"/>
              </w:rPr>
              <w:t>SA –</w:t>
            </w:r>
            <w:r w:rsidRPr="00C84830">
              <w:rPr>
                <w:rFonts w:ascii="Arial Narrow" w:hAnsi="Arial Narrow" w:cs="Arial"/>
                <w:b/>
                <w:bCs/>
                <w:color w:val="000000"/>
              </w:rPr>
              <w:t xml:space="preserve"> </w:t>
            </w:r>
            <w:r>
              <w:rPr>
                <w:rFonts w:ascii="Arial Narrow" w:hAnsi="Arial Narrow" w:cs="Arial"/>
                <w:b/>
                <w:bCs/>
                <w:color w:val="000000"/>
              </w:rPr>
              <w:t>include orthovoltage as an EBRT modality</w:t>
            </w:r>
            <w:r w:rsidR="00BA061D">
              <w:rPr>
                <w:rFonts w:ascii="Arial Narrow" w:hAnsi="Arial Narrow" w:cs="Arial"/>
                <w:b/>
                <w:bCs/>
                <w:color w:val="000000"/>
              </w:rPr>
              <w:t xml:space="preserve"> (base case</w:t>
            </w:r>
            <w:r w:rsidRPr="00C84830">
              <w:rPr>
                <w:rFonts w:ascii="Arial Narrow" w:hAnsi="Arial Narrow" w:cs="Arial"/>
                <w:b/>
                <w:bCs/>
                <w:color w:val="000000"/>
              </w:rPr>
              <w:t xml:space="preserve"> </w:t>
            </w:r>
            <w:r w:rsidR="00541A70" w:rsidRPr="00541A70">
              <w:rPr>
                <w:rFonts w:ascii="Arial Narrow" w:hAnsi="Arial Narrow" w:cs="Arial"/>
                <w:b/>
                <w:bCs/>
                <w:color w:val="000000"/>
              </w:rPr>
              <w:t>3D megavoltage</w:t>
            </w:r>
            <w:r w:rsidRPr="00C84830">
              <w:rPr>
                <w:rFonts w:ascii="Arial Narrow" w:hAnsi="Arial Narrow" w:cs="Arial"/>
                <w:b/>
                <w:bCs/>
                <w:color w:val="000000"/>
              </w:rPr>
              <w:t xml:space="preserve"> 5</w:t>
            </w:r>
            <w:r w:rsidR="00DB5634">
              <w:rPr>
                <w:rFonts w:ascii="Arial Narrow" w:hAnsi="Arial Narrow" w:cs="Arial"/>
                <w:b/>
                <w:bCs/>
                <w:color w:val="000000"/>
              </w:rPr>
              <w:t>0</w:t>
            </w:r>
            <w:r w:rsidRPr="00C84830">
              <w:rPr>
                <w:rFonts w:ascii="Arial Narrow" w:hAnsi="Arial Narrow" w:cs="Arial"/>
                <w:b/>
                <w:bCs/>
                <w:color w:val="000000"/>
              </w:rPr>
              <w:t>%, IMRT/VMAT 5</w:t>
            </w:r>
            <w:r w:rsidR="00DB5634">
              <w:rPr>
                <w:rFonts w:ascii="Arial Narrow" w:hAnsi="Arial Narrow" w:cs="Arial"/>
                <w:b/>
                <w:bCs/>
                <w:color w:val="000000"/>
              </w:rPr>
              <w:t>0</w:t>
            </w:r>
            <w:r w:rsidRPr="00C84830">
              <w:rPr>
                <w:rFonts w:ascii="Arial Narrow" w:hAnsi="Arial Narrow" w:cs="Arial"/>
                <w:b/>
                <w:bCs/>
                <w:color w:val="000000"/>
              </w:rPr>
              <w:t>%) </w:t>
            </w:r>
          </w:p>
        </w:tc>
      </w:tr>
      <w:tr w:rsidR="00674DEB" w:rsidRPr="00C84830" w14:paraId="2788D802" w14:textId="77777777" w:rsidTr="00FF6852">
        <w:trPr>
          <w:trHeight w:val="280"/>
        </w:trPr>
        <w:tc>
          <w:tcPr>
            <w:tcW w:w="6263" w:type="dxa"/>
            <w:tcBorders>
              <w:top w:val="nil"/>
              <w:left w:val="single" w:sz="4" w:space="0" w:color="auto"/>
              <w:bottom w:val="single" w:sz="4" w:space="0" w:color="auto"/>
              <w:right w:val="single" w:sz="4" w:space="0" w:color="auto"/>
            </w:tcBorders>
            <w:shd w:val="clear" w:color="000000" w:fill="FFFFFF"/>
            <w:noWrap/>
            <w:vAlign w:val="bottom"/>
            <w:hideMark/>
          </w:tcPr>
          <w:p w14:paraId="17B46AD5" w14:textId="649CA2BD" w:rsidR="00B710BD" w:rsidRDefault="00BA061D" w:rsidP="00C84830">
            <w:pPr>
              <w:spacing w:before="0" w:after="0"/>
              <w:ind w:firstLineChars="100" w:firstLine="200"/>
              <w:rPr>
                <w:rFonts w:ascii="Arial Narrow" w:hAnsi="Arial Narrow" w:cs="Arial"/>
                <w:color w:val="000000"/>
              </w:rPr>
            </w:pPr>
            <w:r>
              <w:rPr>
                <w:rFonts w:ascii="Arial Narrow" w:hAnsi="Arial Narrow" w:cs="Arial"/>
                <w:color w:val="000000"/>
              </w:rPr>
              <w:t>EBRT modality</w:t>
            </w:r>
            <w:r w:rsidR="007C54F7">
              <w:rPr>
                <w:rFonts w:ascii="Arial Narrow" w:hAnsi="Arial Narrow" w:cs="Arial"/>
                <w:color w:val="000000"/>
              </w:rPr>
              <w:t>: orth</w:t>
            </w:r>
            <w:r w:rsidR="00DB5634">
              <w:rPr>
                <w:rFonts w:ascii="Arial Narrow" w:hAnsi="Arial Narrow" w:cs="Arial"/>
                <w:color w:val="000000"/>
              </w:rPr>
              <w:t xml:space="preserve">ovoltage 90%, </w:t>
            </w:r>
            <w:r w:rsidR="00541A70" w:rsidRPr="00541A70">
              <w:rPr>
                <w:rFonts w:ascii="Arial Narrow" w:hAnsi="Arial Narrow" w:cs="Arial"/>
                <w:color w:val="000000"/>
              </w:rPr>
              <w:t>3D megavoltage</w:t>
            </w:r>
            <w:r w:rsidR="00DA6E6D">
              <w:rPr>
                <w:rFonts w:ascii="Arial Narrow" w:hAnsi="Arial Narrow" w:cs="Arial"/>
                <w:color w:val="000000"/>
              </w:rPr>
              <w:t xml:space="preserve"> 5%, IMRT/VMAT 5%</w:t>
            </w:r>
          </w:p>
          <w:p w14:paraId="3F074639" w14:textId="00BA2C79"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Net cost to MBS</w:t>
            </w:r>
          </w:p>
        </w:tc>
        <w:tc>
          <w:tcPr>
            <w:tcW w:w="1037" w:type="dxa"/>
            <w:tcBorders>
              <w:top w:val="nil"/>
              <w:left w:val="nil"/>
              <w:bottom w:val="single" w:sz="4" w:space="0" w:color="auto"/>
              <w:right w:val="single" w:sz="4" w:space="0" w:color="auto"/>
            </w:tcBorders>
            <w:shd w:val="clear" w:color="000000" w:fill="FFFFFF"/>
            <w:noWrap/>
            <w:vAlign w:val="bottom"/>
            <w:hideMark/>
          </w:tcPr>
          <w:p w14:paraId="151DBBE2"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$1,928,049</w:t>
            </w:r>
          </w:p>
        </w:tc>
        <w:tc>
          <w:tcPr>
            <w:tcW w:w="1129" w:type="dxa"/>
            <w:tcBorders>
              <w:top w:val="nil"/>
              <w:left w:val="nil"/>
              <w:bottom w:val="single" w:sz="4" w:space="0" w:color="auto"/>
              <w:right w:val="single" w:sz="4" w:space="0" w:color="auto"/>
            </w:tcBorders>
            <w:shd w:val="clear" w:color="000000" w:fill="FFFFFF"/>
            <w:noWrap/>
            <w:vAlign w:val="bottom"/>
            <w:hideMark/>
          </w:tcPr>
          <w:p w14:paraId="30BD8DB1"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$30,848,780</w:t>
            </w:r>
          </w:p>
        </w:tc>
        <w:tc>
          <w:tcPr>
            <w:tcW w:w="1220" w:type="dxa"/>
            <w:tcBorders>
              <w:top w:val="nil"/>
              <w:left w:val="nil"/>
              <w:bottom w:val="single" w:sz="4" w:space="0" w:color="auto"/>
              <w:right w:val="single" w:sz="4" w:space="0" w:color="auto"/>
            </w:tcBorders>
            <w:shd w:val="clear" w:color="000000" w:fill="FFFFFF"/>
            <w:noWrap/>
            <w:vAlign w:val="bottom"/>
            <w:hideMark/>
          </w:tcPr>
          <w:p w14:paraId="72F188CD"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$82,906,096</w:t>
            </w:r>
          </w:p>
        </w:tc>
      </w:tr>
      <w:tr w:rsidR="00674DEB" w:rsidRPr="00C84830" w14:paraId="27E5322A" w14:textId="77777777" w:rsidTr="00FF6852">
        <w:trPr>
          <w:trHeight w:val="280"/>
        </w:trPr>
        <w:tc>
          <w:tcPr>
            <w:tcW w:w="6263" w:type="dxa"/>
            <w:tcBorders>
              <w:top w:val="nil"/>
              <w:left w:val="single" w:sz="4" w:space="0" w:color="auto"/>
              <w:bottom w:val="single" w:sz="4" w:space="0" w:color="auto"/>
              <w:right w:val="nil"/>
            </w:tcBorders>
            <w:shd w:val="clear" w:color="000000" w:fill="FFFFFF"/>
            <w:noWrap/>
            <w:vAlign w:val="bottom"/>
            <w:hideMark/>
          </w:tcPr>
          <w:p w14:paraId="017B31FB" w14:textId="62FD1C19" w:rsidR="00C84830" w:rsidRPr="00C84830" w:rsidRDefault="00B006FD" w:rsidP="00C84830">
            <w:pPr>
              <w:spacing w:before="0" w:after="0"/>
              <w:rPr>
                <w:rFonts w:ascii="Arial Narrow" w:hAnsi="Arial Narrow" w:cs="Arial"/>
                <w:b/>
                <w:bCs/>
                <w:color w:val="000000"/>
              </w:rPr>
            </w:pPr>
            <w:r>
              <w:rPr>
                <w:rFonts w:ascii="Arial Narrow" w:hAnsi="Arial Narrow" w:cs="Arial"/>
                <w:b/>
                <w:bCs/>
                <w:color w:val="000000"/>
              </w:rPr>
              <w:t>ESC requested SA – amend</w:t>
            </w:r>
            <w:r w:rsidR="00C84830" w:rsidRPr="00C84830">
              <w:rPr>
                <w:rFonts w:ascii="Arial Narrow" w:hAnsi="Arial Narrow" w:cs="Arial"/>
                <w:b/>
                <w:bCs/>
                <w:color w:val="000000"/>
              </w:rPr>
              <w:t xml:space="preserve"> electron beam (</w:t>
            </w:r>
            <w:r w:rsidR="00541A70" w:rsidRPr="00541A70">
              <w:rPr>
                <w:rFonts w:ascii="Arial Narrow" w:hAnsi="Arial Narrow" w:cs="Arial"/>
                <w:b/>
                <w:bCs/>
                <w:color w:val="000000"/>
              </w:rPr>
              <w:t>3D megavoltage</w:t>
            </w:r>
            <w:r w:rsidR="00C84830" w:rsidRPr="00C84830">
              <w:rPr>
                <w:rFonts w:ascii="Arial Narrow" w:hAnsi="Arial Narrow" w:cs="Arial"/>
                <w:b/>
                <w:bCs/>
                <w:color w:val="000000"/>
              </w:rPr>
              <w:t xml:space="preserve">) costing </w:t>
            </w:r>
          </w:p>
        </w:tc>
        <w:tc>
          <w:tcPr>
            <w:tcW w:w="1037" w:type="dxa"/>
            <w:tcBorders>
              <w:top w:val="nil"/>
              <w:left w:val="nil"/>
              <w:bottom w:val="single" w:sz="4" w:space="0" w:color="auto"/>
              <w:right w:val="nil"/>
            </w:tcBorders>
            <w:shd w:val="clear" w:color="000000" w:fill="FFFFFF"/>
            <w:noWrap/>
            <w:vAlign w:val="bottom"/>
            <w:hideMark/>
          </w:tcPr>
          <w:p w14:paraId="6E390D19"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c>
          <w:tcPr>
            <w:tcW w:w="1129" w:type="dxa"/>
            <w:tcBorders>
              <w:top w:val="nil"/>
              <w:left w:val="nil"/>
              <w:bottom w:val="single" w:sz="4" w:space="0" w:color="auto"/>
              <w:right w:val="nil"/>
            </w:tcBorders>
            <w:shd w:val="clear" w:color="000000" w:fill="FFFFFF"/>
            <w:noWrap/>
            <w:vAlign w:val="bottom"/>
            <w:hideMark/>
          </w:tcPr>
          <w:p w14:paraId="1DB86AA7"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46E03D58" w14:textId="77777777" w:rsidR="00C84830" w:rsidRPr="00C84830" w:rsidRDefault="00C84830" w:rsidP="00C84830">
            <w:pPr>
              <w:spacing w:before="0" w:after="0"/>
              <w:rPr>
                <w:rFonts w:ascii="Arial Narrow" w:hAnsi="Arial Narrow" w:cs="Arial"/>
                <w:b/>
                <w:bCs/>
                <w:color w:val="000000"/>
              </w:rPr>
            </w:pPr>
            <w:r w:rsidRPr="00C84830">
              <w:rPr>
                <w:rFonts w:ascii="Arial Narrow" w:hAnsi="Arial Narrow" w:cs="Arial"/>
                <w:b/>
                <w:bCs/>
                <w:color w:val="000000"/>
              </w:rPr>
              <w:t> </w:t>
            </w:r>
          </w:p>
        </w:tc>
      </w:tr>
      <w:tr w:rsidR="00674DEB" w:rsidRPr="00C84830" w14:paraId="057F5119" w14:textId="77777777" w:rsidTr="00FF6852">
        <w:trPr>
          <w:trHeight w:val="52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054CB52E" w14:textId="7265B7DB"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Amended electron beam cost, retain ADAR ERBT modality split/fractions</w:t>
            </w:r>
          </w:p>
        </w:tc>
        <w:tc>
          <w:tcPr>
            <w:tcW w:w="1037" w:type="dxa"/>
            <w:tcBorders>
              <w:top w:val="nil"/>
              <w:left w:val="nil"/>
              <w:bottom w:val="single" w:sz="4" w:space="0" w:color="auto"/>
              <w:right w:val="single" w:sz="4" w:space="0" w:color="auto"/>
            </w:tcBorders>
            <w:shd w:val="clear" w:color="000000" w:fill="FFFFFF"/>
            <w:noWrap/>
            <w:vAlign w:val="bottom"/>
            <w:hideMark/>
          </w:tcPr>
          <w:p w14:paraId="6ACF5391"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$63,593</w:t>
            </w:r>
          </w:p>
        </w:tc>
        <w:tc>
          <w:tcPr>
            <w:tcW w:w="1129" w:type="dxa"/>
            <w:tcBorders>
              <w:top w:val="nil"/>
              <w:left w:val="nil"/>
              <w:bottom w:val="single" w:sz="4" w:space="0" w:color="auto"/>
              <w:right w:val="single" w:sz="4" w:space="0" w:color="auto"/>
            </w:tcBorders>
            <w:shd w:val="clear" w:color="000000" w:fill="FFFFFF"/>
            <w:noWrap/>
            <w:vAlign w:val="bottom"/>
            <w:hideMark/>
          </w:tcPr>
          <w:p w14:paraId="2EC5C1CF"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$1,017,480</w:t>
            </w:r>
          </w:p>
        </w:tc>
        <w:tc>
          <w:tcPr>
            <w:tcW w:w="1220" w:type="dxa"/>
            <w:tcBorders>
              <w:top w:val="nil"/>
              <w:left w:val="nil"/>
              <w:bottom w:val="single" w:sz="4" w:space="0" w:color="auto"/>
              <w:right w:val="single" w:sz="4" w:space="0" w:color="auto"/>
            </w:tcBorders>
            <w:shd w:val="clear" w:color="000000" w:fill="FFFFFF"/>
            <w:noWrap/>
            <w:vAlign w:val="bottom"/>
            <w:hideMark/>
          </w:tcPr>
          <w:p w14:paraId="73A8FDD5"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$2,734,478</w:t>
            </w:r>
          </w:p>
        </w:tc>
      </w:tr>
      <w:tr w:rsidR="001D025B" w:rsidRPr="00C84830" w14:paraId="7C3CA4BE" w14:textId="77777777" w:rsidTr="00517E0A">
        <w:trPr>
          <w:trHeight w:val="295"/>
        </w:trPr>
        <w:tc>
          <w:tcPr>
            <w:tcW w:w="9649" w:type="dxa"/>
            <w:gridSpan w:val="4"/>
            <w:tcBorders>
              <w:top w:val="nil"/>
              <w:left w:val="single" w:sz="4" w:space="0" w:color="auto"/>
              <w:bottom w:val="single" w:sz="4" w:space="0" w:color="auto"/>
              <w:right w:val="single" w:sz="4" w:space="0" w:color="auto"/>
            </w:tcBorders>
            <w:shd w:val="clear" w:color="auto" w:fill="auto"/>
            <w:vAlign w:val="center"/>
          </w:tcPr>
          <w:p w14:paraId="01001BF1" w14:textId="22012379" w:rsidR="001D025B" w:rsidRPr="00517E0A" w:rsidRDefault="001D025B" w:rsidP="00517E0A">
            <w:pPr>
              <w:spacing w:before="0" w:after="0"/>
              <w:rPr>
                <w:rFonts w:ascii="Arial Narrow" w:hAnsi="Arial Narrow" w:cs="Arial"/>
                <w:b/>
                <w:color w:val="000000"/>
              </w:rPr>
            </w:pPr>
            <w:r w:rsidRPr="00517E0A">
              <w:rPr>
                <w:rFonts w:ascii="Arial Narrow" w:hAnsi="Arial Narrow" w:cs="Arial"/>
                <w:b/>
                <w:color w:val="000000"/>
              </w:rPr>
              <w:t>ESC requested multi-variate SA</w:t>
            </w:r>
          </w:p>
        </w:tc>
      </w:tr>
      <w:tr w:rsidR="001D025B" w:rsidRPr="00C84830" w14:paraId="665255FD" w14:textId="77777777" w:rsidTr="00517E0A">
        <w:trPr>
          <w:trHeight w:val="271"/>
        </w:trPr>
        <w:tc>
          <w:tcPr>
            <w:tcW w:w="9649" w:type="dxa"/>
            <w:gridSpan w:val="4"/>
            <w:tcBorders>
              <w:top w:val="nil"/>
              <w:left w:val="single" w:sz="4" w:space="0" w:color="auto"/>
              <w:bottom w:val="single" w:sz="4" w:space="0" w:color="auto"/>
              <w:right w:val="single" w:sz="4" w:space="0" w:color="auto"/>
            </w:tcBorders>
            <w:shd w:val="clear" w:color="auto" w:fill="auto"/>
            <w:vAlign w:val="center"/>
          </w:tcPr>
          <w:p w14:paraId="72168DFF" w14:textId="2A72546D" w:rsidR="001D025B" w:rsidRPr="00517E0A" w:rsidRDefault="006C591C" w:rsidP="00517E0A">
            <w:pPr>
              <w:spacing w:before="0" w:after="0"/>
              <w:rPr>
                <w:rFonts w:ascii="Arial Narrow" w:hAnsi="Arial Narrow" w:cs="Arial"/>
                <w:b/>
                <w:color w:val="000000"/>
              </w:rPr>
            </w:pPr>
            <w:r w:rsidRPr="00517E0A">
              <w:rPr>
                <w:rFonts w:ascii="Arial Narrow" w:hAnsi="Arial Narrow" w:cs="Arial"/>
                <w:b/>
                <w:color w:val="000000"/>
              </w:rPr>
              <w:t>Amend electron beam cost (2D electron beam MBS items) and EBRT modality split</w:t>
            </w:r>
          </w:p>
        </w:tc>
      </w:tr>
      <w:tr w:rsidR="00674DEB" w:rsidRPr="00C84830" w14:paraId="442FBC1A" w14:textId="77777777" w:rsidTr="00FF6852">
        <w:trPr>
          <w:trHeight w:val="52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613ADC99" w14:textId="7CE424B1"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EBRT split (orthovoltage 45%, electron beam 45%, IMRT/VMAT 10%)</w:t>
            </w:r>
          </w:p>
        </w:tc>
        <w:tc>
          <w:tcPr>
            <w:tcW w:w="1037" w:type="dxa"/>
            <w:tcBorders>
              <w:top w:val="nil"/>
              <w:left w:val="nil"/>
              <w:bottom w:val="single" w:sz="4" w:space="0" w:color="auto"/>
              <w:right w:val="single" w:sz="4" w:space="0" w:color="auto"/>
            </w:tcBorders>
            <w:shd w:val="clear" w:color="000000" w:fill="FFFFFF"/>
            <w:noWrap/>
            <w:vAlign w:val="bottom"/>
            <w:hideMark/>
          </w:tcPr>
          <w:p w14:paraId="2A2DB4FF"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$1,652,543</w:t>
            </w:r>
          </w:p>
        </w:tc>
        <w:tc>
          <w:tcPr>
            <w:tcW w:w="1129" w:type="dxa"/>
            <w:tcBorders>
              <w:top w:val="nil"/>
              <w:left w:val="nil"/>
              <w:bottom w:val="single" w:sz="4" w:space="0" w:color="auto"/>
              <w:right w:val="single" w:sz="4" w:space="0" w:color="auto"/>
            </w:tcBorders>
            <w:shd w:val="clear" w:color="000000" w:fill="FFFFFF"/>
            <w:noWrap/>
            <w:vAlign w:val="bottom"/>
            <w:hideMark/>
          </w:tcPr>
          <w:p w14:paraId="36856531"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$26,440,680</w:t>
            </w:r>
          </w:p>
        </w:tc>
        <w:tc>
          <w:tcPr>
            <w:tcW w:w="1220" w:type="dxa"/>
            <w:tcBorders>
              <w:top w:val="nil"/>
              <w:left w:val="nil"/>
              <w:bottom w:val="single" w:sz="4" w:space="0" w:color="auto"/>
              <w:right w:val="single" w:sz="4" w:space="0" w:color="auto"/>
            </w:tcBorders>
            <w:shd w:val="clear" w:color="000000" w:fill="FFFFFF"/>
            <w:noWrap/>
            <w:vAlign w:val="bottom"/>
            <w:hideMark/>
          </w:tcPr>
          <w:p w14:paraId="3687D860"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$71,059,328</w:t>
            </w:r>
          </w:p>
        </w:tc>
      </w:tr>
      <w:tr w:rsidR="00674DEB" w:rsidRPr="00C84830" w14:paraId="05CBFDF2" w14:textId="77777777" w:rsidTr="00FF6852">
        <w:trPr>
          <w:trHeight w:val="52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4185E89E" w14:textId="5840B21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EBRT split (orthovoltage 30%, electron beam 60%, IMRT/VMAT 10%)</w:t>
            </w:r>
          </w:p>
        </w:tc>
        <w:tc>
          <w:tcPr>
            <w:tcW w:w="1037" w:type="dxa"/>
            <w:tcBorders>
              <w:top w:val="nil"/>
              <w:left w:val="nil"/>
              <w:bottom w:val="single" w:sz="4" w:space="0" w:color="auto"/>
              <w:right w:val="single" w:sz="4" w:space="0" w:color="auto"/>
            </w:tcBorders>
            <w:shd w:val="clear" w:color="000000" w:fill="FFFFFF"/>
            <w:noWrap/>
            <w:vAlign w:val="bottom"/>
            <w:hideMark/>
          </w:tcPr>
          <w:p w14:paraId="4939DD06"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$1,602,383</w:t>
            </w:r>
          </w:p>
        </w:tc>
        <w:tc>
          <w:tcPr>
            <w:tcW w:w="1129" w:type="dxa"/>
            <w:tcBorders>
              <w:top w:val="nil"/>
              <w:left w:val="nil"/>
              <w:bottom w:val="single" w:sz="4" w:space="0" w:color="auto"/>
              <w:right w:val="single" w:sz="4" w:space="0" w:color="auto"/>
            </w:tcBorders>
            <w:shd w:val="clear" w:color="000000" w:fill="FFFFFF"/>
            <w:noWrap/>
            <w:vAlign w:val="bottom"/>
            <w:hideMark/>
          </w:tcPr>
          <w:p w14:paraId="4BE11109"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$25,638,120</w:t>
            </w:r>
          </w:p>
        </w:tc>
        <w:tc>
          <w:tcPr>
            <w:tcW w:w="1220" w:type="dxa"/>
            <w:tcBorders>
              <w:top w:val="nil"/>
              <w:left w:val="nil"/>
              <w:bottom w:val="single" w:sz="4" w:space="0" w:color="auto"/>
              <w:right w:val="single" w:sz="4" w:space="0" w:color="auto"/>
            </w:tcBorders>
            <w:shd w:val="clear" w:color="000000" w:fill="FFFFFF"/>
            <w:noWrap/>
            <w:vAlign w:val="bottom"/>
            <w:hideMark/>
          </w:tcPr>
          <w:p w14:paraId="145768A7"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$68,902,448</w:t>
            </w:r>
          </w:p>
        </w:tc>
      </w:tr>
      <w:tr w:rsidR="00674DEB" w:rsidRPr="00C84830" w14:paraId="109966D8" w14:textId="77777777" w:rsidTr="00FF6852">
        <w:trPr>
          <w:trHeight w:val="52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2CA2D665" w14:textId="181B0D5A"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EBRT split (orthovoltage 20%, electron beam 70%, IMRT/VMAT 10%)</w:t>
            </w:r>
          </w:p>
        </w:tc>
        <w:tc>
          <w:tcPr>
            <w:tcW w:w="1037" w:type="dxa"/>
            <w:tcBorders>
              <w:top w:val="nil"/>
              <w:left w:val="nil"/>
              <w:bottom w:val="single" w:sz="4" w:space="0" w:color="auto"/>
              <w:right w:val="single" w:sz="4" w:space="0" w:color="auto"/>
            </w:tcBorders>
            <w:shd w:val="clear" w:color="000000" w:fill="FFFFFF"/>
            <w:noWrap/>
            <w:vAlign w:val="bottom"/>
            <w:hideMark/>
          </w:tcPr>
          <w:p w14:paraId="7E07B355"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$1,568,943</w:t>
            </w:r>
          </w:p>
        </w:tc>
        <w:tc>
          <w:tcPr>
            <w:tcW w:w="1129" w:type="dxa"/>
            <w:tcBorders>
              <w:top w:val="nil"/>
              <w:left w:val="nil"/>
              <w:bottom w:val="single" w:sz="4" w:space="0" w:color="auto"/>
              <w:right w:val="single" w:sz="4" w:space="0" w:color="auto"/>
            </w:tcBorders>
            <w:shd w:val="clear" w:color="000000" w:fill="FFFFFF"/>
            <w:noWrap/>
            <w:vAlign w:val="bottom"/>
            <w:hideMark/>
          </w:tcPr>
          <w:p w14:paraId="0877D17F"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$25,103,080</w:t>
            </w:r>
          </w:p>
        </w:tc>
        <w:tc>
          <w:tcPr>
            <w:tcW w:w="1220" w:type="dxa"/>
            <w:tcBorders>
              <w:top w:val="nil"/>
              <w:left w:val="nil"/>
              <w:bottom w:val="single" w:sz="4" w:space="0" w:color="auto"/>
              <w:right w:val="single" w:sz="4" w:space="0" w:color="auto"/>
            </w:tcBorders>
            <w:shd w:val="clear" w:color="000000" w:fill="FFFFFF"/>
            <w:noWrap/>
            <w:vAlign w:val="bottom"/>
            <w:hideMark/>
          </w:tcPr>
          <w:p w14:paraId="77ACB44C" w14:textId="77777777" w:rsidR="00C84830" w:rsidRPr="00C84830" w:rsidRDefault="00C84830" w:rsidP="00C84830">
            <w:pPr>
              <w:spacing w:before="0" w:after="0"/>
              <w:jc w:val="right"/>
              <w:rPr>
                <w:rFonts w:ascii="Arial Narrow" w:hAnsi="Arial Narrow" w:cs="Arial"/>
                <w:color w:val="000000"/>
              </w:rPr>
            </w:pPr>
            <w:r w:rsidRPr="00C84830">
              <w:rPr>
                <w:rFonts w:ascii="Arial Narrow" w:hAnsi="Arial Narrow" w:cs="Arial"/>
                <w:color w:val="000000"/>
              </w:rPr>
              <w:t>$67,464,528</w:t>
            </w:r>
          </w:p>
        </w:tc>
      </w:tr>
      <w:tr w:rsidR="00C84830" w:rsidRPr="00C84830" w14:paraId="6826D669" w14:textId="77777777" w:rsidTr="00653430">
        <w:trPr>
          <w:trHeight w:val="280"/>
        </w:trPr>
        <w:tc>
          <w:tcPr>
            <w:tcW w:w="9649" w:type="dxa"/>
            <w:gridSpan w:val="4"/>
            <w:tcBorders>
              <w:top w:val="nil"/>
              <w:left w:val="single" w:sz="4" w:space="0" w:color="auto"/>
              <w:bottom w:val="single" w:sz="4" w:space="0" w:color="auto"/>
              <w:right w:val="single" w:sz="4" w:space="0" w:color="auto"/>
            </w:tcBorders>
            <w:shd w:val="clear" w:color="auto" w:fill="auto"/>
            <w:vAlign w:val="center"/>
            <w:hideMark/>
          </w:tcPr>
          <w:p w14:paraId="10A6C02A" w14:textId="41AA4F31" w:rsidR="00C84830" w:rsidRPr="00C84830" w:rsidRDefault="005654B7" w:rsidP="005E613B">
            <w:pPr>
              <w:spacing w:before="0" w:after="0"/>
              <w:rPr>
                <w:rFonts w:ascii="Arial Narrow" w:hAnsi="Arial Narrow" w:cs="Arial"/>
                <w:b/>
                <w:bCs/>
                <w:color w:val="000000"/>
              </w:rPr>
            </w:pPr>
            <w:r w:rsidRPr="00C84830">
              <w:rPr>
                <w:rFonts w:ascii="Arial Narrow" w:hAnsi="Arial Narrow" w:cs="Arial"/>
                <w:b/>
                <w:bCs/>
                <w:color w:val="000000"/>
              </w:rPr>
              <w:t xml:space="preserve">Amend </w:t>
            </w:r>
            <w:r>
              <w:rPr>
                <w:rFonts w:ascii="Arial Narrow" w:hAnsi="Arial Narrow" w:cs="Arial"/>
                <w:b/>
                <w:bCs/>
                <w:color w:val="000000"/>
              </w:rPr>
              <w:t>electron beam cost (2D electron beam MbS items), EBRT modality split (orthovoltage 20%, electron beam 70%, IMRT/VMAT 10%) and number o</w:t>
            </w:r>
            <w:r w:rsidRPr="00C84830">
              <w:rPr>
                <w:rFonts w:ascii="Arial Narrow" w:hAnsi="Arial Narrow" w:cs="Arial"/>
                <w:b/>
                <w:bCs/>
                <w:color w:val="000000"/>
              </w:rPr>
              <w:t>f fractions (ADAR base case: 19</w:t>
            </w:r>
            <w:r w:rsidR="00F2022D">
              <w:rPr>
                <w:rFonts w:ascii="Arial Narrow" w:hAnsi="Arial Narrow" w:cs="Arial"/>
                <w:b/>
                <w:bCs/>
                <w:color w:val="000000"/>
              </w:rPr>
              <w:t xml:space="preserve"> fractions</w:t>
            </w:r>
            <w:r w:rsidRPr="00C84830">
              <w:rPr>
                <w:rFonts w:ascii="Arial Narrow" w:hAnsi="Arial Narrow" w:cs="Arial"/>
                <w:b/>
                <w:bCs/>
                <w:color w:val="000000"/>
              </w:rPr>
              <w:t>)</w:t>
            </w:r>
          </w:p>
        </w:tc>
      </w:tr>
      <w:tr w:rsidR="009228FB" w:rsidRPr="00C84830" w14:paraId="798B4C08"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34FC5B1A" w14:textId="05541566"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5 fractions</w:t>
            </w:r>
          </w:p>
        </w:tc>
        <w:tc>
          <w:tcPr>
            <w:tcW w:w="1037" w:type="dxa"/>
            <w:tcBorders>
              <w:top w:val="nil"/>
              <w:left w:val="nil"/>
              <w:bottom w:val="single" w:sz="4" w:space="0" w:color="auto"/>
              <w:right w:val="single" w:sz="4" w:space="0" w:color="auto"/>
            </w:tcBorders>
            <w:shd w:val="clear" w:color="auto" w:fill="auto"/>
            <w:noWrap/>
            <w:vAlign w:val="bottom"/>
            <w:hideMark/>
          </w:tcPr>
          <w:p w14:paraId="503FCFEF"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$2,054,918</w:t>
            </w:r>
          </w:p>
        </w:tc>
        <w:tc>
          <w:tcPr>
            <w:tcW w:w="1129" w:type="dxa"/>
            <w:tcBorders>
              <w:top w:val="nil"/>
              <w:left w:val="nil"/>
              <w:bottom w:val="single" w:sz="4" w:space="0" w:color="auto"/>
              <w:right w:val="single" w:sz="4" w:space="0" w:color="auto"/>
            </w:tcBorders>
            <w:shd w:val="clear" w:color="auto" w:fill="auto"/>
            <w:noWrap/>
            <w:vAlign w:val="bottom"/>
            <w:hideMark/>
          </w:tcPr>
          <w:p w14:paraId="3B18D559"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$32,878,680</w:t>
            </w:r>
          </w:p>
        </w:tc>
        <w:tc>
          <w:tcPr>
            <w:tcW w:w="1220" w:type="dxa"/>
            <w:tcBorders>
              <w:top w:val="nil"/>
              <w:left w:val="nil"/>
              <w:bottom w:val="single" w:sz="4" w:space="0" w:color="auto"/>
              <w:right w:val="single" w:sz="4" w:space="0" w:color="auto"/>
            </w:tcBorders>
            <w:shd w:val="clear" w:color="auto" w:fill="auto"/>
            <w:noWrap/>
            <w:vAlign w:val="bottom"/>
            <w:hideMark/>
          </w:tcPr>
          <w:p w14:paraId="42BD82C9"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$88,361,453</w:t>
            </w:r>
          </w:p>
        </w:tc>
      </w:tr>
      <w:tr w:rsidR="009228FB" w:rsidRPr="00C84830" w14:paraId="58111521"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27DD996A" w14:textId="53DF0659"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10 fractions</w:t>
            </w:r>
          </w:p>
        </w:tc>
        <w:tc>
          <w:tcPr>
            <w:tcW w:w="1037" w:type="dxa"/>
            <w:tcBorders>
              <w:top w:val="nil"/>
              <w:left w:val="nil"/>
              <w:bottom w:val="single" w:sz="4" w:space="0" w:color="auto"/>
              <w:right w:val="single" w:sz="4" w:space="0" w:color="auto"/>
            </w:tcBorders>
            <w:shd w:val="clear" w:color="auto" w:fill="auto"/>
            <w:noWrap/>
            <w:vAlign w:val="bottom"/>
            <w:hideMark/>
          </w:tcPr>
          <w:p w14:paraId="7B534A9A"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$1,881,355</w:t>
            </w:r>
          </w:p>
        </w:tc>
        <w:tc>
          <w:tcPr>
            <w:tcW w:w="1129" w:type="dxa"/>
            <w:tcBorders>
              <w:top w:val="nil"/>
              <w:left w:val="nil"/>
              <w:bottom w:val="single" w:sz="4" w:space="0" w:color="auto"/>
              <w:right w:val="single" w:sz="4" w:space="0" w:color="auto"/>
            </w:tcBorders>
            <w:shd w:val="clear" w:color="auto" w:fill="auto"/>
            <w:noWrap/>
            <w:vAlign w:val="bottom"/>
            <w:hideMark/>
          </w:tcPr>
          <w:p w14:paraId="4561E0A5"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$30,101,680</w:t>
            </w:r>
          </w:p>
        </w:tc>
        <w:tc>
          <w:tcPr>
            <w:tcW w:w="1220" w:type="dxa"/>
            <w:tcBorders>
              <w:top w:val="nil"/>
              <w:left w:val="nil"/>
              <w:bottom w:val="single" w:sz="4" w:space="0" w:color="auto"/>
              <w:right w:val="single" w:sz="4" w:space="0" w:color="auto"/>
            </w:tcBorders>
            <w:shd w:val="clear" w:color="auto" w:fill="auto"/>
            <w:noWrap/>
            <w:vAlign w:val="bottom"/>
            <w:hideMark/>
          </w:tcPr>
          <w:p w14:paraId="56F3E698"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$80,898,265</w:t>
            </w:r>
          </w:p>
        </w:tc>
      </w:tr>
      <w:tr w:rsidR="009228FB" w:rsidRPr="00C84830" w14:paraId="779CC208"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3028D026" w14:textId="20EBFCD4"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15 fractions</w:t>
            </w:r>
          </w:p>
        </w:tc>
        <w:tc>
          <w:tcPr>
            <w:tcW w:w="1037" w:type="dxa"/>
            <w:tcBorders>
              <w:top w:val="nil"/>
              <w:left w:val="nil"/>
              <w:bottom w:val="single" w:sz="4" w:space="0" w:color="auto"/>
              <w:right w:val="single" w:sz="4" w:space="0" w:color="auto"/>
            </w:tcBorders>
            <w:shd w:val="clear" w:color="auto" w:fill="auto"/>
            <w:vAlign w:val="bottom"/>
            <w:hideMark/>
          </w:tcPr>
          <w:p w14:paraId="28C61AD2"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$1,707,793</w:t>
            </w:r>
          </w:p>
        </w:tc>
        <w:tc>
          <w:tcPr>
            <w:tcW w:w="1129" w:type="dxa"/>
            <w:tcBorders>
              <w:top w:val="nil"/>
              <w:left w:val="nil"/>
              <w:bottom w:val="single" w:sz="4" w:space="0" w:color="auto"/>
              <w:right w:val="single" w:sz="4" w:space="0" w:color="auto"/>
            </w:tcBorders>
            <w:shd w:val="clear" w:color="auto" w:fill="auto"/>
            <w:vAlign w:val="bottom"/>
            <w:hideMark/>
          </w:tcPr>
          <w:p w14:paraId="52FFBC09"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$27,324,680</w:t>
            </w:r>
          </w:p>
        </w:tc>
        <w:tc>
          <w:tcPr>
            <w:tcW w:w="1220" w:type="dxa"/>
            <w:tcBorders>
              <w:top w:val="nil"/>
              <w:left w:val="nil"/>
              <w:bottom w:val="single" w:sz="4" w:space="0" w:color="auto"/>
              <w:right w:val="single" w:sz="4" w:space="0" w:color="auto"/>
            </w:tcBorders>
            <w:shd w:val="clear" w:color="auto" w:fill="auto"/>
            <w:vAlign w:val="bottom"/>
            <w:hideMark/>
          </w:tcPr>
          <w:p w14:paraId="37DD85A1"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$73,435,078</w:t>
            </w:r>
          </w:p>
        </w:tc>
      </w:tr>
      <w:tr w:rsidR="009228FB" w:rsidRPr="00C84830" w14:paraId="4B294405"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15670259" w14:textId="728CB5B6"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20 fractions</w:t>
            </w:r>
          </w:p>
        </w:tc>
        <w:tc>
          <w:tcPr>
            <w:tcW w:w="1037" w:type="dxa"/>
            <w:tcBorders>
              <w:top w:val="nil"/>
              <w:left w:val="nil"/>
              <w:bottom w:val="single" w:sz="4" w:space="0" w:color="auto"/>
              <w:right w:val="single" w:sz="4" w:space="0" w:color="auto"/>
            </w:tcBorders>
            <w:shd w:val="clear" w:color="auto" w:fill="auto"/>
            <w:vAlign w:val="bottom"/>
            <w:hideMark/>
          </w:tcPr>
          <w:p w14:paraId="2BD1D8CA"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$1,534,230</w:t>
            </w:r>
          </w:p>
        </w:tc>
        <w:tc>
          <w:tcPr>
            <w:tcW w:w="1129" w:type="dxa"/>
            <w:tcBorders>
              <w:top w:val="nil"/>
              <w:left w:val="nil"/>
              <w:bottom w:val="single" w:sz="4" w:space="0" w:color="auto"/>
              <w:right w:val="single" w:sz="4" w:space="0" w:color="auto"/>
            </w:tcBorders>
            <w:shd w:val="clear" w:color="auto" w:fill="auto"/>
            <w:vAlign w:val="bottom"/>
            <w:hideMark/>
          </w:tcPr>
          <w:p w14:paraId="2C7689A9"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$24,547,680</w:t>
            </w:r>
          </w:p>
        </w:tc>
        <w:tc>
          <w:tcPr>
            <w:tcW w:w="1220" w:type="dxa"/>
            <w:tcBorders>
              <w:top w:val="nil"/>
              <w:left w:val="nil"/>
              <w:bottom w:val="single" w:sz="4" w:space="0" w:color="auto"/>
              <w:right w:val="single" w:sz="4" w:space="0" w:color="auto"/>
            </w:tcBorders>
            <w:shd w:val="clear" w:color="auto" w:fill="auto"/>
            <w:vAlign w:val="bottom"/>
            <w:hideMark/>
          </w:tcPr>
          <w:p w14:paraId="5A8BEEC9"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$65,971,890</w:t>
            </w:r>
          </w:p>
        </w:tc>
      </w:tr>
      <w:tr w:rsidR="009228FB" w:rsidRPr="00C84830" w14:paraId="6441C77C"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55A90303" w14:textId="6D3337C2"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25 fractions</w:t>
            </w:r>
          </w:p>
        </w:tc>
        <w:tc>
          <w:tcPr>
            <w:tcW w:w="1037" w:type="dxa"/>
            <w:tcBorders>
              <w:top w:val="nil"/>
              <w:left w:val="nil"/>
              <w:bottom w:val="single" w:sz="4" w:space="0" w:color="auto"/>
              <w:right w:val="single" w:sz="4" w:space="0" w:color="auto"/>
            </w:tcBorders>
            <w:shd w:val="clear" w:color="auto" w:fill="auto"/>
            <w:vAlign w:val="bottom"/>
            <w:hideMark/>
          </w:tcPr>
          <w:p w14:paraId="4FE56D72"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$1,360,668</w:t>
            </w:r>
          </w:p>
        </w:tc>
        <w:tc>
          <w:tcPr>
            <w:tcW w:w="1129" w:type="dxa"/>
            <w:tcBorders>
              <w:top w:val="nil"/>
              <w:left w:val="nil"/>
              <w:bottom w:val="single" w:sz="4" w:space="0" w:color="auto"/>
              <w:right w:val="single" w:sz="4" w:space="0" w:color="auto"/>
            </w:tcBorders>
            <w:shd w:val="clear" w:color="auto" w:fill="auto"/>
            <w:vAlign w:val="bottom"/>
            <w:hideMark/>
          </w:tcPr>
          <w:p w14:paraId="2FA482B6"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$21,770,680</w:t>
            </w:r>
          </w:p>
        </w:tc>
        <w:tc>
          <w:tcPr>
            <w:tcW w:w="1220" w:type="dxa"/>
            <w:tcBorders>
              <w:top w:val="nil"/>
              <w:left w:val="nil"/>
              <w:bottom w:val="single" w:sz="4" w:space="0" w:color="auto"/>
              <w:right w:val="single" w:sz="4" w:space="0" w:color="auto"/>
            </w:tcBorders>
            <w:shd w:val="clear" w:color="auto" w:fill="auto"/>
            <w:vAlign w:val="bottom"/>
            <w:hideMark/>
          </w:tcPr>
          <w:p w14:paraId="553740DB"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$58,508,703</w:t>
            </w:r>
          </w:p>
        </w:tc>
      </w:tr>
      <w:tr w:rsidR="009228FB" w:rsidRPr="00C84830" w14:paraId="24619023" w14:textId="77777777" w:rsidTr="00FF6852">
        <w:trPr>
          <w:trHeight w:val="280"/>
        </w:trPr>
        <w:tc>
          <w:tcPr>
            <w:tcW w:w="6263" w:type="dxa"/>
            <w:tcBorders>
              <w:top w:val="nil"/>
              <w:left w:val="single" w:sz="4" w:space="0" w:color="auto"/>
              <w:bottom w:val="single" w:sz="4" w:space="0" w:color="auto"/>
              <w:right w:val="single" w:sz="4" w:space="0" w:color="auto"/>
            </w:tcBorders>
            <w:shd w:val="clear" w:color="auto" w:fill="auto"/>
            <w:vAlign w:val="center"/>
            <w:hideMark/>
          </w:tcPr>
          <w:p w14:paraId="345A7DDE" w14:textId="5E20F747" w:rsidR="00C84830" w:rsidRPr="00C84830" w:rsidRDefault="00C84830" w:rsidP="00C84830">
            <w:pPr>
              <w:spacing w:before="0" w:after="0"/>
              <w:ind w:firstLineChars="100" w:firstLine="200"/>
              <w:rPr>
                <w:rFonts w:ascii="Arial Narrow" w:hAnsi="Arial Narrow" w:cs="Arial"/>
                <w:color w:val="000000"/>
              </w:rPr>
            </w:pPr>
            <w:r w:rsidRPr="00C84830">
              <w:rPr>
                <w:rFonts w:ascii="Arial Narrow" w:hAnsi="Arial Narrow" w:cs="Arial"/>
                <w:color w:val="000000"/>
              </w:rPr>
              <w:t>30 fractions</w:t>
            </w:r>
          </w:p>
        </w:tc>
        <w:tc>
          <w:tcPr>
            <w:tcW w:w="1037" w:type="dxa"/>
            <w:tcBorders>
              <w:top w:val="nil"/>
              <w:left w:val="nil"/>
              <w:bottom w:val="single" w:sz="4" w:space="0" w:color="auto"/>
              <w:right w:val="single" w:sz="4" w:space="0" w:color="auto"/>
            </w:tcBorders>
            <w:shd w:val="clear" w:color="auto" w:fill="auto"/>
            <w:vAlign w:val="bottom"/>
            <w:hideMark/>
          </w:tcPr>
          <w:p w14:paraId="0E9B7176"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$1,187,105</w:t>
            </w:r>
          </w:p>
        </w:tc>
        <w:tc>
          <w:tcPr>
            <w:tcW w:w="1129" w:type="dxa"/>
            <w:tcBorders>
              <w:top w:val="nil"/>
              <w:left w:val="nil"/>
              <w:bottom w:val="single" w:sz="4" w:space="0" w:color="auto"/>
              <w:right w:val="single" w:sz="4" w:space="0" w:color="auto"/>
            </w:tcBorders>
            <w:shd w:val="clear" w:color="auto" w:fill="auto"/>
            <w:vAlign w:val="bottom"/>
            <w:hideMark/>
          </w:tcPr>
          <w:p w14:paraId="7C5C7E1A"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$18,993,680</w:t>
            </w:r>
          </w:p>
        </w:tc>
        <w:tc>
          <w:tcPr>
            <w:tcW w:w="1220" w:type="dxa"/>
            <w:tcBorders>
              <w:top w:val="nil"/>
              <w:left w:val="nil"/>
              <w:bottom w:val="single" w:sz="4" w:space="0" w:color="auto"/>
              <w:right w:val="single" w:sz="4" w:space="0" w:color="auto"/>
            </w:tcBorders>
            <w:shd w:val="clear" w:color="auto" w:fill="auto"/>
            <w:vAlign w:val="bottom"/>
            <w:hideMark/>
          </w:tcPr>
          <w:p w14:paraId="035E9B2B" w14:textId="77777777" w:rsidR="00C84830" w:rsidRPr="00C84830" w:rsidRDefault="00C84830" w:rsidP="00C84830">
            <w:pPr>
              <w:spacing w:before="0" w:after="0"/>
              <w:jc w:val="right"/>
              <w:rPr>
                <w:rFonts w:ascii="Arial Narrow" w:hAnsi="Arial Narrow" w:cs="Arial"/>
              </w:rPr>
            </w:pPr>
            <w:r w:rsidRPr="00C84830">
              <w:rPr>
                <w:rFonts w:ascii="Arial Narrow" w:hAnsi="Arial Narrow" w:cs="Arial"/>
              </w:rPr>
              <w:t>$51,045,515</w:t>
            </w:r>
          </w:p>
        </w:tc>
      </w:tr>
    </w:tbl>
    <w:p w14:paraId="61521CB3" w14:textId="17A5F5AE" w:rsidR="00C84830" w:rsidRDefault="00517E0A" w:rsidP="000134C9">
      <w:pPr>
        <w:pStyle w:val="Tablenotes"/>
      </w:pPr>
      <w:r>
        <w:t xml:space="preserve">Source: </w:t>
      </w:r>
      <w:r w:rsidR="00B65808">
        <w:t>Co</w:t>
      </w:r>
      <w:r w:rsidR="00F95D03">
        <w:t>mpiled from Commentary Table 22, pg 168 of MSAC 1657 ADAR+in-line Commentary and additional analyses by the Department as requested by ESC</w:t>
      </w:r>
    </w:p>
    <w:p w14:paraId="2D80AC6E" w14:textId="7385644D" w:rsidR="00614AEB" w:rsidRDefault="00517E0A" w:rsidP="00C173A3">
      <w:pPr>
        <w:pStyle w:val="Tablenotes"/>
        <w:spacing w:after="240"/>
        <w:contextualSpacing w:val="0"/>
      </w:pPr>
      <w:r>
        <w:t xml:space="preserve">Abbreviations: </w:t>
      </w:r>
      <w:r w:rsidRPr="00517E0A">
        <w:t>Abbreviations: EBRT = External Beam Radiation Therapy; IMRT = Intensity-Modulated Radiation Therapy; MBS = Medicare Benefits Schedule; Re-188 = Rhenium 188; SA = sensitivity analysis; VMAT = Volumetric Modulated Arc Therapy</w:t>
      </w:r>
    </w:p>
    <w:p w14:paraId="16448683" w14:textId="65368846" w:rsidR="001E193C" w:rsidRDefault="00AC008B" w:rsidP="00B6439B">
      <w:pPr>
        <w:pStyle w:val="Heading3"/>
        <w:spacing w:before="0"/>
      </w:pPr>
      <w:r>
        <w:t>Patient out-of-pocket costs</w:t>
      </w:r>
    </w:p>
    <w:p w14:paraId="7D6AB174" w14:textId="78AF8400" w:rsidR="000265FE" w:rsidRDefault="00DF71CB" w:rsidP="000265FE">
      <w:r>
        <w:t>T</w:t>
      </w:r>
      <w:r w:rsidR="00790AE5">
        <w:t xml:space="preserve">he </w:t>
      </w:r>
      <w:r w:rsidR="00A201A9">
        <w:t>c</w:t>
      </w:r>
      <w:r w:rsidR="00790AE5">
        <w:t xml:space="preserve">ommentary noted </w:t>
      </w:r>
      <w:r w:rsidR="005E0882">
        <w:t>that even though</w:t>
      </w:r>
      <w:r w:rsidR="000265FE">
        <w:t xml:space="preserve"> Re-188 brachytherapy procedure</w:t>
      </w:r>
      <w:r w:rsidR="00F46E81">
        <w:t>s</w:t>
      </w:r>
      <w:r w:rsidR="000265FE">
        <w:t xml:space="preserve"> seem more expensive</w:t>
      </w:r>
      <w:r w:rsidR="000265FE" w:rsidRPr="000265FE">
        <w:t xml:space="preserve"> </w:t>
      </w:r>
      <w:r w:rsidR="000265FE">
        <w:t xml:space="preserve">than EBRT </w:t>
      </w:r>
      <w:r>
        <w:t>(3D megavoltage and IMRT/VMAT)</w:t>
      </w:r>
      <w:r w:rsidR="000265FE">
        <w:t xml:space="preserve"> from an MBS perspective, the gap fee paid by patients is higher for EBRT</w:t>
      </w:r>
      <w:r w:rsidR="000D7845">
        <w:t xml:space="preserve"> </w:t>
      </w:r>
      <w:r>
        <w:t>(3D megavoltage and IMRT/VMAT) compared to Re-189 brachytherapy</w:t>
      </w:r>
      <w:r w:rsidR="000D245F">
        <w:t xml:space="preserve"> due</w:t>
      </w:r>
      <w:r w:rsidR="000D7845">
        <w:t xml:space="preserve"> to the </w:t>
      </w:r>
      <w:r w:rsidR="000D245F">
        <w:t xml:space="preserve">GPG </w:t>
      </w:r>
      <w:r w:rsidR="00B91C17">
        <w:t xml:space="preserve">as shown in </w:t>
      </w:r>
      <w:r w:rsidR="00381B20">
        <w:t>Table 2</w:t>
      </w:r>
      <w:r w:rsidR="00F76D74">
        <w:t>0</w:t>
      </w:r>
      <w:r w:rsidR="0020362D">
        <w:t>.</w:t>
      </w:r>
    </w:p>
    <w:p w14:paraId="618F8CF6" w14:textId="146BE888" w:rsidR="0020362D" w:rsidRDefault="0020362D" w:rsidP="000265FE">
      <w:r>
        <w:lastRenderedPageBreak/>
        <w:t>Given this notabl</w:t>
      </w:r>
      <w:r w:rsidR="007E4858">
        <w:t>y low</w:t>
      </w:r>
      <w:r>
        <w:t xml:space="preserve"> out-of-pocket costs for patients</w:t>
      </w:r>
      <w:r w:rsidR="007E4858">
        <w:t xml:space="preserve"> </w:t>
      </w:r>
      <w:r w:rsidR="00471AAD">
        <w:t>for Re-188 brachytherapy compared with EBRT</w:t>
      </w:r>
      <w:r>
        <w:t xml:space="preserve">, it is possible that </w:t>
      </w:r>
      <w:r w:rsidR="007E4858">
        <w:t xml:space="preserve">patients may </w:t>
      </w:r>
      <w:r w:rsidR="00585702">
        <w:t xml:space="preserve">have a </w:t>
      </w:r>
      <w:r w:rsidR="007E4858">
        <w:t>prefer</w:t>
      </w:r>
      <w:r w:rsidR="00585702">
        <w:t>ence for</w:t>
      </w:r>
      <w:r w:rsidR="007E4858">
        <w:t xml:space="preserve"> Re-188</w:t>
      </w:r>
      <w:r w:rsidR="00AE0211">
        <w:t xml:space="preserve"> brachytherapy</w:t>
      </w:r>
      <w:r w:rsidR="00585702">
        <w:t xml:space="preserve">, if it is </w:t>
      </w:r>
      <w:r w:rsidR="005E0882">
        <w:t>listed on the MBS</w:t>
      </w:r>
      <w:r w:rsidR="004B1A03">
        <w:t xml:space="preserve"> even though </w:t>
      </w:r>
      <w:r w:rsidR="00405B42">
        <w:t>the clinical evidence</w:t>
      </w:r>
      <w:r w:rsidR="00085BC5">
        <w:t xml:space="preserve"> is inconclusive regarding</w:t>
      </w:r>
      <w:r w:rsidR="00405B42">
        <w:t xml:space="preserve"> its </w:t>
      </w:r>
      <w:r w:rsidR="007F5650">
        <w:t xml:space="preserve">clinical safety and effectiveness comparative </w:t>
      </w:r>
      <w:r w:rsidR="00085BC5">
        <w:t>to EBRT in treating non-melanoma skin cancers in the population of interest.</w:t>
      </w:r>
    </w:p>
    <w:p w14:paraId="07B632AF" w14:textId="1B08BC47" w:rsidR="00F10249" w:rsidRDefault="00001CCB" w:rsidP="00B6439B">
      <w:pPr>
        <w:pStyle w:val="Caption"/>
        <w:spacing w:before="0"/>
      </w:pPr>
      <w:bookmarkStart w:id="53" w:name="_Ref138153716"/>
      <w:r>
        <w:t xml:space="preserve">Table </w:t>
      </w:r>
      <w:r>
        <w:fldChar w:fldCharType="begin"/>
      </w:r>
      <w:r>
        <w:instrText>SEQ Table \* ARABIC</w:instrText>
      </w:r>
      <w:r>
        <w:fldChar w:fldCharType="separate"/>
      </w:r>
      <w:r w:rsidR="009228FB">
        <w:rPr>
          <w:noProof/>
        </w:rPr>
        <w:t>20</w:t>
      </w:r>
      <w:r>
        <w:fldChar w:fldCharType="end"/>
      </w:r>
      <w:bookmarkEnd w:id="53"/>
      <w:r w:rsidR="00F76D74">
        <w:tab/>
      </w:r>
      <w:r w:rsidR="00F10249" w:rsidRPr="00B84C69">
        <w:t xml:space="preserve">Comparison of cost to MBS and cost to patients for EBRT </w:t>
      </w:r>
      <w:r w:rsidR="00541A70">
        <w:t>(</w:t>
      </w:r>
      <w:r w:rsidR="00541A70" w:rsidRPr="00541A70">
        <w:t>3D megavoltage</w:t>
      </w:r>
      <w:r w:rsidR="00E64A1F">
        <w:t xml:space="preserve"> &amp; </w:t>
      </w:r>
      <w:r w:rsidR="003361BA">
        <w:t>IMRT</w:t>
      </w:r>
      <w:r w:rsidR="00E64A1F">
        <w:t>/VMAT</w:t>
      </w:r>
      <w:r w:rsidR="00541A70">
        <w:t>)</w:t>
      </w:r>
      <w:r w:rsidR="00F10249" w:rsidRPr="00B84C69">
        <w:t xml:space="preserve"> treatment modalities and Re-188</w:t>
      </w:r>
      <w:r w:rsidR="001B6C0A" w:rsidRPr="001B6C0A">
        <w:t xml:space="preserve"> brachytherapy</w:t>
      </w:r>
    </w:p>
    <w:tbl>
      <w:tblPr>
        <w:tblStyle w:val="TableGrid"/>
        <w:tblW w:w="4401" w:type="pct"/>
        <w:tblInd w:w="-5" w:type="dxa"/>
        <w:tblLayout w:type="fixed"/>
        <w:tblLook w:val="04A0" w:firstRow="1" w:lastRow="0" w:firstColumn="1" w:lastColumn="0" w:noHBand="0" w:noVBand="1"/>
      </w:tblPr>
      <w:tblGrid>
        <w:gridCol w:w="2293"/>
        <w:gridCol w:w="1960"/>
        <w:gridCol w:w="1840"/>
        <w:gridCol w:w="1843"/>
      </w:tblGrid>
      <w:tr w:rsidR="00D8129D" w:rsidRPr="00F15709" w14:paraId="34143ECD" w14:textId="77777777" w:rsidTr="008F7C0C">
        <w:trPr>
          <w:trHeight w:val="542"/>
          <w:tblHeader/>
        </w:trPr>
        <w:tc>
          <w:tcPr>
            <w:tcW w:w="1445" w:type="pct"/>
            <w:noWrap/>
            <w:hideMark/>
          </w:tcPr>
          <w:p w14:paraId="092E9E55" w14:textId="0CE14C89" w:rsidR="00D8129D" w:rsidRPr="003848F1" w:rsidRDefault="008C69BE" w:rsidP="003A0D19">
            <w:pPr>
              <w:pStyle w:val="TableTextCA"/>
              <w:rPr>
                <w:b/>
                <w:bCs/>
              </w:rPr>
            </w:pPr>
            <w:r>
              <w:rPr>
                <w:b/>
                <w:bCs/>
              </w:rPr>
              <w:t>Treatment</w:t>
            </w:r>
          </w:p>
        </w:tc>
        <w:tc>
          <w:tcPr>
            <w:tcW w:w="1235" w:type="pct"/>
            <w:hideMark/>
          </w:tcPr>
          <w:p w14:paraId="5251E967" w14:textId="3FCCADC4" w:rsidR="00D8129D" w:rsidRPr="003848F1" w:rsidRDefault="008C69BE" w:rsidP="003A0D19">
            <w:pPr>
              <w:pStyle w:val="TableTextCA"/>
              <w:rPr>
                <w:b/>
                <w:bCs/>
              </w:rPr>
            </w:pPr>
            <w:r>
              <w:rPr>
                <w:b/>
                <w:bCs/>
              </w:rPr>
              <w:t>Total cost per treatment course</w:t>
            </w:r>
          </w:p>
        </w:tc>
        <w:tc>
          <w:tcPr>
            <w:tcW w:w="1159" w:type="pct"/>
            <w:hideMark/>
          </w:tcPr>
          <w:p w14:paraId="2B73FDFE" w14:textId="70499FA2" w:rsidR="00D8129D" w:rsidRPr="003848F1" w:rsidRDefault="00D8129D" w:rsidP="003A0D19">
            <w:pPr>
              <w:pStyle w:val="TableTextCA"/>
              <w:rPr>
                <w:b/>
                <w:bCs/>
              </w:rPr>
            </w:pPr>
            <w:r w:rsidRPr="003848F1">
              <w:rPr>
                <w:b/>
                <w:bCs/>
              </w:rPr>
              <w:t>Cost to MBS per treatment</w:t>
            </w:r>
            <w:r w:rsidR="008C69BE">
              <w:rPr>
                <w:b/>
                <w:bCs/>
              </w:rPr>
              <w:t xml:space="preserve"> course</w:t>
            </w:r>
          </w:p>
        </w:tc>
        <w:tc>
          <w:tcPr>
            <w:tcW w:w="1161" w:type="pct"/>
            <w:hideMark/>
          </w:tcPr>
          <w:p w14:paraId="1BE3D07E" w14:textId="4C100C30" w:rsidR="00D8129D" w:rsidRPr="003848F1" w:rsidRDefault="00D8129D" w:rsidP="003A0D19">
            <w:pPr>
              <w:pStyle w:val="TableTextCA"/>
              <w:rPr>
                <w:b/>
                <w:bCs/>
              </w:rPr>
            </w:pPr>
            <w:r w:rsidRPr="003848F1">
              <w:rPr>
                <w:b/>
                <w:bCs/>
              </w:rPr>
              <w:t>Cost to patient per treatment</w:t>
            </w:r>
            <w:r w:rsidR="008C69BE">
              <w:rPr>
                <w:b/>
                <w:bCs/>
              </w:rPr>
              <w:t xml:space="preserve"> course</w:t>
            </w:r>
          </w:p>
        </w:tc>
      </w:tr>
      <w:tr w:rsidR="00253C73" w:rsidRPr="0088239E" w14:paraId="04E5154B" w14:textId="77777777" w:rsidTr="008F7C0C">
        <w:trPr>
          <w:trHeight w:val="300"/>
        </w:trPr>
        <w:tc>
          <w:tcPr>
            <w:tcW w:w="1445" w:type="pct"/>
            <w:tcBorders>
              <w:bottom w:val="single" w:sz="4" w:space="0" w:color="auto"/>
            </w:tcBorders>
            <w:noWrap/>
          </w:tcPr>
          <w:p w14:paraId="631E6609" w14:textId="2F156760" w:rsidR="00687673" w:rsidRPr="0088239E" w:rsidRDefault="00687673" w:rsidP="00687673">
            <w:pPr>
              <w:pStyle w:val="TableTextCA"/>
            </w:pPr>
            <w:r>
              <w:t>EBRT – 3D megavoltage</w:t>
            </w:r>
          </w:p>
        </w:tc>
        <w:tc>
          <w:tcPr>
            <w:tcW w:w="1235" w:type="pct"/>
            <w:tcBorders>
              <w:bottom w:val="single" w:sz="4" w:space="0" w:color="auto"/>
            </w:tcBorders>
            <w:noWrap/>
          </w:tcPr>
          <w:p w14:paraId="203D4A37" w14:textId="77777777" w:rsidR="00687673" w:rsidRPr="0088239E" w:rsidRDefault="00687673" w:rsidP="00687673">
            <w:pPr>
              <w:pStyle w:val="TableTextCA"/>
            </w:pPr>
          </w:p>
        </w:tc>
        <w:tc>
          <w:tcPr>
            <w:tcW w:w="1159" w:type="pct"/>
            <w:tcBorders>
              <w:bottom w:val="single" w:sz="4" w:space="0" w:color="auto"/>
            </w:tcBorders>
            <w:noWrap/>
          </w:tcPr>
          <w:p w14:paraId="6A54E12A" w14:textId="0B1CB8B4" w:rsidR="00687673" w:rsidRPr="0088239E" w:rsidRDefault="00687673" w:rsidP="00687673">
            <w:pPr>
              <w:pStyle w:val="TableTextCA"/>
              <w:rPr>
                <w:b/>
                <w:bCs/>
              </w:rPr>
            </w:pPr>
            <w:r w:rsidRPr="00227B04">
              <w:t>$3,498.75</w:t>
            </w:r>
          </w:p>
        </w:tc>
        <w:tc>
          <w:tcPr>
            <w:tcW w:w="1161" w:type="pct"/>
            <w:tcBorders>
              <w:bottom w:val="single" w:sz="4" w:space="0" w:color="auto"/>
            </w:tcBorders>
            <w:noWrap/>
          </w:tcPr>
          <w:p w14:paraId="554F0982" w14:textId="67E68983" w:rsidR="00687673" w:rsidRPr="0088239E" w:rsidRDefault="00687673" w:rsidP="00687673">
            <w:pPr>
              <w:pStyle w:val="TableTextCA"/>
              <w:rPr>
                <w:b/>
                <w:bCs/>
              </w:rPr>
            </w:pPr>
            <w:r w:rsidRPr="00227B04">
              <w:t>$503.70</w:t>
            </w:r>
          </w:p>
        </w:tc>
      </w:tr>
      <w:tr w:rsidR="00253C73" w:rsidRPr="0088239E" w14:paraId="6A70A548" w14:textId="77777777" w:rsidTr="008F7C0C">
        <w:trPr>
          <w:trHeight w:val="300"/>
        </w:trPr>
        <w:tc>
          <w:tcPr>
            <w:tcW w:w="1445" w:type="pct"/>
            <w:tcBorders>
              <w:bottom w:val="single" w:sz="4" w:space="0" w:color="auto"/>
            </w:tcBorders>
            <w:noWrap/>
          </w:tcPr>
          <w:p w14:paraId="55B2EADD" w14:textId="653459EA" w:rsidR="00687673" w:rsidRPr="0088239E" w:rsidRDefault="00687673" w:rsidP="00687673">
            <w:pPr>
              <w:pStyle w:val="TableTextCA"/>
            </w:pPr>
            <w:r>
              <w:t>EBRT – IMRT/VMAT</w:t>
            </w:r>
          </w:p>
        </w:tc>
        <w:tc>
          <w:tcPr>
            <w:tcW w:w="1235" w:type="pct"/>
            <w:tcBorders>
              <w:bottom w:val="single" w:sz="4" w:space="0" w:color="auto"/>
            </w:tcBorders>
            <w:noWrap/>
          </w:tcPr>
          <w:p w14:paraId="4BE912C6" w14:textId="77777777" w:rsidR="00687673" w:rsidRPr="0088239E" w:rsidRDefault="00687673" w:rsidP="00687673">
            <w:pPr>
              <w:pStyle w:val="TableTextCA"/>
            </w:pPr>
          </w:p>
        </w:tc>
        <w:tc>
          <w:tcPr>
            <w:tcW w:w="1159" w:type="pct"/>
            <w:tcBorders>
              <w:bottom w:val="single" w:sz="4" w:space="0" w:color="auto"/>
            </w:tcBorders>
            <w:noWrap/>
          </w:tcPr>
          <w:p w14:paraId="478224C0" w14:textId="1236424E" w:rsidR="00687673" w:rsidRPr="0088239E" w:rsidRDefault="00687673" w:rsidP="00687673">
            <w:pPr>
              <w:pStyle w:val="TableTextCA"/>
              <w:rPr>
                <w:b/>
                <w:bCs/>
              </w:rPr>
            </w:pPr>
            <w:r w:rsidRPr="00227B04">
              <w:t>$8,499.80</w:t>
            </w:r>
          </w:p>
        </w:tc>
        <w:tc>
          <w:tcPr>
            <w:tcW w:w="1161" w:type="pct"/>
            <w:tcBorders>
              <w:bottom w:val="single" w:sz="4" w:space="0" w:color="auto"/>
            </w:tcBorders>
            <w:noWrap/>
          </w:tcPr>
          <w:p w14:paraId="66C8A606" w14:textId="469A6A66" w:rsidR="00687673" w:rsidRPr="0088239E" w:rsidRDefault="00687673" w:rsidP="00687673">
            <w:pPr>
              <w:pStyle w:val="TableTextCA"/>
              <w:rPr>
                <w:b/>
                <w:bCs/>
              </w:rPr>
            </w:pPr>
            <w:r w:rsidRPr="00227B04">
              <w:t>$968.25</w:t>
            </w:r>
          </w:p>
        </w:tc>
      </w:tr>
      <w:tr w:rsidR="00D8129D" w:rsidRPr="0088239E" w14:paraId="4005550C" w14:textId="77777777" w:rsidTr="008F7C0C">
        <w:trPr>
          <w:trHeight w:val="300"/>
        </w:trPr>
        <w:tc>
          <w:tcPr>
            <w:tcW w:w="1445" w:type="pct"/>
            <w:tcBorders>
              <w:bottom w:val="single" w:sz="4" w:space="0" w:color="auto"/>
            </w:tcBorders>
            <w:noWrap/>
            <w:hideMark/>
          </w:tcPr>
          <w:p w14:paraId="08A9868C" w14:textId="2493BBE3" w:rsidR="00D8129D" w:rsidRPr="0088239E" w:rsidRDefault="008C69BE" w:rsidP="003A0D19">
            <w:pPr>
              <w:pStyle w:val="TableTextCA"/>
            </w:pPr>
            <w:r w:rsidRPr="0088239E">
              <w:t>Re-188 for Tier 1 lesions</w:t>
            </w:r>
          </w:p>
        </w:tc>
        <w:tc>
          <w:tcPr>
            <w:tcW w:w="1235" w:type="pct"/>
            <w:tcBorders>
              <w:bottom w:val="single" w:sz="4" w:space="0" w:color="auto"/>
            </w:tcBorders>
            <w:noWrap/>
            <w:hideMark/>
          </w:tcPr>
          <w:p w14:paraId="7DE5A47A" w14:textId="4D2DC0AB" w:rsidR="00D8129D" w:rsidRPr="0088239E" w:rsidRDefault="008C69BE" w:rsidP="003A0D19">
            <w:pPr>
              <w:pStyle w:val="TableTextCA"/>
            </w:pPr>
            <w:r w:rsidRPr="0088239E">
              <w:t>$3,420.00</w:t>
            </w:r>
          </w:p>
        </w:tc>
        <w:tc>
          <w:tcPr>
            <w:tcW w:w="1159" w:type="pct"/>
            <w:tcBorders>
              <w:bottom w:val="single" w:sz="4" w:space="0" w:color="auto"/>
            </w:tcBorders>
            <w:noWrap/>
            <w:hideMark/>
          </w:tcPr>
          <w:p w14:paraId="6DE3DFAB" w14:textId="77777777" w:rsidR="00D8129D" w:rsidRPr="00687673" w:rsidRDefault="00D8129D" w:rsidP="003A0D19">
            <w:pPr>
              <w:pStyle w:val="TableTextCA"/>
            </w:pPr>
            <w:r w:rsidRPr="00687673">
              <w:t>$3,326.80</w:t>
            </w:r>
          </w:p>
        </w:tc>
        <w:tc>
          <w:tcPr>
            <w:tcW w:w="1161" w:type="pct"/>
            <w:tcBorders>
              <w:bottom w:val="single" w:sz="4" w:space="0" w:color="auto"/>
            </w:tcBorders>
            <w:noWrap/>
            <w:hideMark/>
          </w:tcPr>
          <w:p w14:paraId="5A088CFE" w14:textId="77777777" w:rsidR="00D8129D" w:rsidRPr="00687673" w:rsidRDefault="00D8129D" w:rsidP="003A0D19">
            <w:pPr>
              <w:pStyle w:val="TableTextCA"/>
            </w:pPr>
            <w:r w:rsidRPr="00687673">
              <w:t>$93.20</w:t>
            </w:r>
          </w:p>
        </w:tc>
      </w:tr>
      <w:tr w:rsidR="00D8129D" w:rsidRPr="0088239E" w14:paraId="104CC5EB" w14:textId="77777777" w:rsidTr="008F7C0C">
        <w:trPr>
          <w:trHeight w:val="300"/>
        </w:trPr>
        <w:tc>
          <w:tcPr>
            <w:tcW w:w="1445" w:type="pct"/>
            <w:tcBorders>
              <w:bottom w:val="single" w:sz="4" w:space="0" w:color="auto"/>
            </w:tcBorders>
            <w:noWrap/>
            <w:hideMark/>
          </w:tcPr>
          <w:p w14:paraId="0329AC80" w14:textId="1202140B" w:rsidR="00D8129D" w:rsidRPr="0088239E" w:rsidRDefault="008C69BE" w:rsidP="003A0D19">
            <w:pPr>
              <w:pStyle w:val="TableTextCA"/>
            </w:pPr>
            <w:r w:rsidRPr="0088239E">
              <w:t>Re-188 for Tier 2 lesions</w:t>
            </w:r>
          </w:p>
        </w:tc>
        <w:tc>
          <w:tcPr>
            <w:tcW w:w="1235" w:type="pct"/>
            <w:tcBorders>
              <w:bottom w:val="single" w:sz="4" w:space="0" w:color="auto"/>
            </w:tcBorders>
            <w:noWrap/>
            <w:hideMark/>
          </w:tcPr>
          <w:p w14:paraId="12DF2F53" w14:textId="4C51F51C" w:rsidR="00D8129D" w:rsidRPr="0088239E" w:rsidRDefault="008C69BE" w:rsidP="003A0D19">
            <w:pPr>
              <w:pStyle w:val="TableTextCA"/>
            </w:pPr>
            <w:r w:rsidRPr="0088239E">
              <w:t>$4,781.00</w:t>
            </w:r>
          </w:p>
        </w:tc>
        <w:tc>
          <w:tcPr>
            <w:tcW w:w="1159" w:type="pct"/>
            <w:tcBorders>
              <w:bottom w:val="single" w:sz="4" w:space="0" w:color="auto"/>
            </w:tcBorders>
            <w:noWrap/>
            <w:hideMark/>
          </w:tcPr>
          <w:p w14:paraId="172739DA" w14:textId="77777777" w:rsidR="00D8129D" w:rsidRPr="00687673" w:rsidRDefault="00D8129D" w:rsidP="003A0D19">
            <w:pPr>
              <w:pStyle w:val="TableTextCA"/>
            </w:pPr>
            <w:r w:rsidRPr="00687673">
              <w:t>$4,687.80</w:t>
            </w:r>
          </w:p>
        </w:tc>
        <w:tc>
          <w:tcPr>
            <w:tcW w:w="1161" w:type="pct"/>
            <w:tcBorders>
              <w:bottom w:val="single" w:sz="4" w:space="0" w:color="auto"/>
            </w:tcBorders>
            <w:noWrap/>
            <w:hideMark/>
          </w:tcPr>
          <w:p w14:paraId="56E32A99" w14:textId="77777777" w:rsidR="00D8129D" w:rsidRPr="00687673" w:rsidRDefault="00D8129D" w:rsidP="003A0D19">
            <w:pPr>
              <w:pStyle w:val="TableTextCA"/>
            </w:pPr>
            <w:r w:rsidRPr="00687673">
              <w:t>$93.20</w:t>
            </w:r>
          </w:p>
        </w:tc>
      </w:tr>
      <w:tr w:rsidR="00D8129D" w:rsidRPr="0088239E" w14:paraId="3DFE44E5" w14:textId="77777777" w:rsidTr="008F7C0C">
        <w:trPr>
          <w:trHeight w:val="300"/>
        </w:trPr>
        <w:tc>
          <w:tcPr>
            <w:tcW w:w="1445" w:type="pct"/>
            <w:noWrap/>
            <w:hideMark/>
          </w:tcPr>
          <w:p w14:paraId="0D238D78" w14:textId="6D2D4398" w:rsidR="00D8129D" w:rsidRPr="0088239E" w:rsidRDefault="008C69BE" w:rsidP="003A0D19">
            <w:pPr>
              <w:pStyle w:val="TableTextCA"/>
            </w:pPr>
            <w:r w:rsidRPr="0088239E">
              <w:t>Re-188 for Tier 3 lesions</w:t>
            </w:r>
          </w:p>
        </w:tc>
        <w:tc>
          <w:tcPr>
            <w:tcW w:w="1235" w:type="pct"/>
            <w:noWrap/>
            <w:hideMark/>
          </w:tcPr>
          <w:p w14:paraId="7549F1BB" w14:textId="323DF262" w:rsidR="00D8129D" w:rsidRPr="0088239E" w:rsidRDefault="008C69BE" w:rsidP="003A0D19">
            <w:pPr>
              <w:pStyle w:val="TableTextCA"/>
            </w:pPr>
            <w:r w:rsidRPr="0088239E">
              <w:t>$6,726.00</w:t>
            </w:r>
          </w:p>
        </w:tc>
        <w:tc>
          <w:tcPr>
            <w:tcW w:w="1159" w:type="pct"/>
            <w:noWrap/>
            <w:hideMark/>
          </w:tcPr>
          <w:p w14:paraId="30CB7923" w14:textId="77777777" w:rsidR="00D8129D" w:rsidRPr="00687673" w:rsidRDefault="00D8129D" w:rsidP="003A0D19">
            <w:pPr>
              <w:pStyle w:val="TableTextCA"/>
            </w:pPr>
            <w:r w:rsidRPr="00687673">
              <w:t>$6,632.80</w:t>
            </w:r>
          </w:p>
        </w:tc>
        <w:tc>
          <w:tcPr>
            <w:tcW w:w="1161" w:type="pct"/>
            <w:noWrap/>
            <w:hideMark/>
          </w:tcPr>
          <w:p w14:paraId="08F30444" w14:textId="77777777" w:rsidR="00D8129D" w:rsidRPr="00687673" w:rsidRDefault="00D8129D" w:rsidP="003A0D19">
            <w:pPr>
              <w:pStyle w:val="TableTextCA"/>
            </w:pPr>
            <w:r w:rsidRPr="00687673">
              <w:t>$93.20</w:t>
            </w:r>
          </w:p>
        </w:tc>
      </w:tr>
    </w:tbl>
    <w:p w14:paraId="1955BA12" w14:textId="77777777" w:rsidR="00687673" w:rsidRDefault="00687673" w:rsidP="000134C9">
      <w:pPr>
        <w:pStyle w:val="Tablenotes"/>
      </w:pPr>
      <w:r w:rsidRPr="007A1D44">
        <w:t>Source:</w:t>
      </w:r>
      <w:r>
        <w:t xml:space="preserve"> Adapted from</w:t>
      </w:r>
      <w:r w:rsidRPr="007A1D44">
        <w:t xml:space="preserve"> </w:t>
      </w:r>
      <w:r>
        <w:t>Commentary Table 21, pg 166 of MSAC 1657 ADAR+in-line commentary</w:t>
      </w:r>
    </w:p>
    <w:p w14:paraId="464E5DFA" w14:textId="658264AF" w:rsidR="00EC084E" w:rsidRPr="001C46F5" w:rsidRDefault="00687673" w:rsidP="00687673">
      <w:pPr>
        <w:pStyle w:val="Tablenotes"/>
      </w:pPr>
      <w:r w:rsidRPr="007A1D44">
        <w:t>Abbreviations: EBRT= External Beam Radiation Therapy; GPG= Greatest Permissible Gap; IMRT=Intensity-modulated radiation therapy; MBS=Medicare Benefits Scheme; VMAT=Volumetric modulated arc therapy</w:t>
      </w:r>
    </w:p>
    <w:p w14:paraId="7838A9FF" w14:textId="2BCEA625" w:rsidR="00772829" w:rsidRDefault="00C36633" w:rsidP="002A18BE">
      <w:pPr>
        <w:pStyle w:val="Heading2"/>
        <w:numPr>
          <w:ilvl w:val="0"/>
          <w:numId w:val="0"/>
        </w:numPr>
      </w:pPr>
      <w:bookmarkStart w:id="54" w:name="_Toc69491427"/>
      <w:r>
        <w:t>1</w:t>
      </w:r>
      <w:r w:rsidR="00F76D74">
        <w:t>5</w:t>
      </w:r>
      <w:r>
        <w:t>.</w:t>
      </w:r>
      <w:r>
        <w:tab/>
      </w:r>
      <w:r w:rsidR="00772829" w:rsidRPr="00CE28E3">
        <w:t xml:space="preserve">Other relevant </w:t>
      </w:r>
      <w:bookmarkEnd w:id="54"/>
      <w:r w:rsidR="00FA5766">
        <w:t>information</w:t>
      </w:r>
    </w:p>
    <w:p w14:paraId="01B2A9FA" w14:textId="4C33D784" w:rsidR="00772829" w:rsidRDefault="00385755">
      <w:r>
        <w:t>Nil.</w:t>
      </w:r>
    </w:p>
    <w:p w14:paraId="7BDFB0CD" w14:textId="5E377E76" w:rsidR="00F76D74" w:rsidRDefault="00F76D74" w:rsidP="00F76D74">
      <w:pPr>
        <w:pStyle w:val="Heading2"/>
        <w:numPr>
          <w:ilvl w:val="0"/>
          <w:numId w:val="0"/>
        </w:numPr>
      </w:pPr>
      <w:r>
        <w:t>16.</w:t>
      </w:r>
      <w:r>
        <w:tab/>
        <w:t>Key issues from ESC to MSAC</w:t>
      </w:r>
    </w:p>
    <w:p w14:paraId="26BF5243" w14:textId="77777777" w:rsidR="00F76D74" w:rsidRPr="00DC2288" w:rsidRDefault="00F76D74" w:rsidP="00F76D74">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rPr>
          <w:rFonts w:eastAsia="Times New Roman" w:cs="Times New Roman"/>
          <w:b/>
          <w:bCs/>
          <w:color w:val="000000"/>
          <w:sz w:val="24"/>
          <w:szCs w:val="20"/>
          <w:lang w:eastAsia="en-AU"/>
        </w:rPr>
      </w:pPr>
      <w:r w:rsidRPr="00DC2288">
        <w:rPr>
          <w:rFonts w:eastAsia="Times New Roman" w:cs="Times New Roman"/>
          <w:b/>
          <w:bCs/>
          <w:color w:val="000000"/>
          <w:sz w:val="24"/>
          <w:szCs w:val="20"/>
          <w:lang w:eastAsia="en-AU"/>
        </w:rPr>
        <w:t>Main issues for MSAC consideration</w:t>
      </w:r>
    </w:p>
    <w:p w14:paraId="14C39096" w14:textId="77777777" w:rsidR="00F76D74" w:rsidRDefault="00F76D74" w:rsidP="00F76D74">
      <w:pPr>
        <w:pStyle w:val="BoxName0"/>
      </w:pPr>
      <w:r>
        <w:t>Clinical issues:</w:t>
      </w:r>
    </w:p>
    <w:p w14:paraId="2D8E7F78" w14:textId="77777777" w:rsidR="00F76D74" w:rsidRPr="009C4D39" w:rsidRDefault="00F76D74" w:rsidP="002252F8">
      <w:pPr>
        <w:pStyle w:val="BoxBullet"/>
        <w:rPr>
          <w:b/>
          <w:bCs/>
        </w:rPr>
      </w:pPr>
      <w:r>
        <w:t xml:space="preserve">The clinical evidence for Re-188 brachytherapy is limited (k=5 small single arm studies), with four of the five studies coming from the same institution. Further, the clinical evidence was not presented in </w:t>
      </w:r>
      <w:r w:rsidRPr="002944D9">
        <w:rPr>
          <w:color w:val="000000" w:themeColor="text1"/>
        </w:rPr>
        <w:t xml:space="preserve">a format that would </w:t>
      </w:r>
      <w:r>
        <w:rPr>
          <w:color w:val="000000" w:themeColor="text1"/>
        </w:rPr>
        <w:t>facilitate a comparative assessment of the safety and effectiveness of</w:t>
      </w:r>
      <w:r w:rsidRPr="00CF4699">
        <w:rPr>
          <w:color w:val="000000" w:themeColor="text1"/>
        </w:rPr>
        <w:t xml:space="preserve"> Re-188 brachytherapy versus </w:t>
      </w:r>
      <w:r>
        <w:rPr>
          <w:color w:val="000000" w:themeColor="text1"/>
        </w:rPr>
        <w:t>the comparator external beam radiation therapy (</w:t>
      </w:r>
      <w:r w:rsidRPr="00CF4699">
        <w:rPr>
          <w:color w:val="000000" w:themeColor="text1"/>
        </w:rPr>
        <w:t>EBRT</w:t>
      </w:r>
      <w:r>
        <w:rPr>
          <w:color w:val="000000" w:themeColor="text1"/>
        </w:rPr>
        <w:t>)</w:t>
      </w:r>
      <w:r>
        <w:t xml:space="preserve">. ESC considered the </w:t>
      </w:r>
      <w:r w:rsidRPr="003544F4">
        <w:t xml:space="preserve">comparative safety and effectiveness of Re-188 brachytherapy versus EBRT </w:t>
      </w:r>
      <w:r>
        <w:t>is uncertain</w:t>
      </w:r>
      <w:r w:rsidRPr="003544F4">
        <w:t>.</w:t>
      </w:r>
    </w:p>
    <w:p w14:paraId="4EBCE22E" w14:textId="77777777" w:rsidR="00F76D74" w:rsidRPr="00225CB3" w:rsidRDefault="00F76D74" w:rsidP="002252F8">
      <w:pPr>
        <w:pStyle w:val="BoxBullet"/>
        <w:rPr>
          <w:b/>
          <w:bCs/>
        </w:rPr>
      </w:pPr>
      <w:r>
        <w:t>Interim data from the ongoing prospective study of Re-188 (EPIC-Skin study) were provided. ESC noted that this study may be able to provide Australian patient specific data when completed and that this should be requested, but the study is not likely to be completed before the end of 2023.</w:t>
      </w:r>
    </w:p>
    <w:p w14:paraId="3F3DD268" w14:textId="77777777" w:rsidR="00F76D74" w:rsidRPr="006A0D8B" w:rsidRDefault="00F76D74" w:rsidP="00F76D74">
      <w:pPr>
        <w:pStyle w:val="BoxBullet"/>
        <w:numPr>
          <w:ilvl w:val="0"/>
          <w:numId w:val="0"/>
        </w:numPr>
        <w:rPr>
          <w:b/>
        </w:rPr>
      </w:pPr>
      <w:r w:rsidRPr="006A0D8B">
        <w:rPr>
          <w:b/>
        </w:rPr>
        <w:t>Item descriptor</w:t>
      </w:r>
      <w:r>
        <w:rPr>
          <w:b/>
        </w:rPr>
        <w:t xml:space="preserve"> and fee</w:t>
      </w:r>
      <w:r w:rsidRPr="006A0D8B">
        <w:rPr>
          <w:b/>
        </w:rPr>
        <w:t xml:space="preserve"> issues</w:t>
      </w:r>
    </w:p>
    <w:p w14:paraId="41BDB580" w14:textId="77777777" w:rsidR="00F76D74" w:rsidRDefault="00F76D74" w:rsidP="002252F8">
      <w:pPr>
        <w:pStyle w:val="BoxBullet"/>
      </w:pPr>
      <w:r>
        <w:t>The item descriptors should be amended to better align with the ongoing EPIC-Skin study of Re-188 brachytherapy. That is, limit the population to patients with histologically confirmed basal cell carcinoma (BCC) as the majority of patients (80%) had (BCC) and to remove lesions located on the genitalia from the item descriptor as there were no patients with genital lesions in the EPIC-Skin study.</w:t>
      </w:r>
    </w:p>
    <w:p w14:paraId="25E8C18C" w14:textId="77777777" w:rsidR="00F76D74" w:rsidRPr="00DC2288" w:rsidRDefault="00F76D74" w:rsidP="002252F8">
      <w:pPr>
        <w:pStyle w:val="BoxBullet"/>
      </w:pPr>
      <w:r>
        <w:t xml:space="preserve">The MBS item descriptor should not be limited to once per lifetime (as a patient may develop skin cancers in other areas in the future) but should not permit re-treatment of the </w:t>
      </w:r>
      <w:r w:rsidRPr="00DC2288">
        <w:t xml:space="preserve">same </w:t>
      </w:r>
      <w:r>
        <w:t>lesion.</w:t>
      </w:r>
    </w:p>
    <w:p w14:paraId="6D55EDBA" w14:textId="77777777" w:rsidR="00F76D74" w:rsidRDefault="00F76D74" w:rsidP="002252F8">
      <w:pPr>
        <w:pStyle w:val="BoxBullet"/>
      </w:pPr>
      <w:r>
        <w:lastRenderedPageBreak/>
        <w:t>The all-inclusive single fee structure does not allow for economies of scale in patient treatment. Although it is noted the applicant is willing to work with the department and MSAC on this issue.</w:t>
      </w:r>
    </w:p>
    <w:p w14:paraId="148DD88E" w14:textId="77777777" w:rsidR="00F76D74" w:rsidRDefault="00F76D74" w:rsidP="00F76D74">
      <w:pPr>
        <w:pStyle w:val="BoxBullet"/>
        <w:numPr>
          <w:ilvl w:val="0"/>
          <w:numId w:val="0"/>
        </w:numPr>
        <w:ind w:left="357" w:hanging="357"/>
      </w:pPr>
      <w:r>
        <w:t xml:space="preserve">Further justification of the cost-components for the proposed fees is required. For example, justification of staff costs is required as these may be </w:t>
      </w:r>
      <w:r w:rsidRPr="00DC2288">
        <w:t>overestimated</w:t>
      </w:r>
      <w:r>
        <w:t xml:space="preserve"> and clarification of whether a single carpoule of Re-188 is sufficient to treat 18cm</w:t>
      </w:r>
      <w:r w:rsidRPr="00B31BD7">
        <w:rPr>
          <w:vertAlign w:val="superscript"/>
        </w:rPr>
        <w:t>2</w:t>
      </w:r>
      <w:r>
        <w:t xml:space="preserve"> or 25cm</w:t>
      </w:r>
      <w:r w:rsidRPr="00B31BD7">
        <w:rPr>
          <w:vertAlign w:val="superscript"/>
        </w:rPr>
        <w:t>2</w:t>
      </w:r>
      <w:r>
        <w:t>. Further, the tiered lesion size approach to the MBS items and fees appears to be arbitrar</w:t>
      </w:r>
      <w:r w:rsidRPr="00DC2288">
        <w:t xml:space="preserve">y and implies that batching of patients would occur, but wastage is not accounted for, and this may lead to out-of-pocket costs for patients. </w:t>
      </w:r>
      <w:r w:rsidRPr="00965898">
        <w:t>ESC queried whether a cost per cm</w:t>
      </w:r>
      <w:r w:rsidRPr="006D0BFC">
        <w:rPr>
          <w:vertAlign w:val="superscript"/>
        </w:rPr>
        <w:t>2</w:t>
      </w:r>
      <w:r w:rsidRPr="00965898">
        <w:t xml:space="preserve"> might be more appropriate, but also noted that an exact size is difficult to calculate for lesions with irregular margins</w:t>
      </w:r>
      <w:r>
        <w:t xml:space="preserve">. </w:t>
      </w:r>
    </w:p>
    <w:p w14:paraId="20B98D4A" w14:textId="77777777" w:rsidR="00F76D74" w:rsidRPr="00417F5C" w:rsidRDefault="00F76D74" w:rsidP="00F76D74">
      <w:pPr>
        <w:pStyle w:val="BoxBullet"/>
        <w:numPr>
          <w:ilvl w:val="0"/>
          <w:numId w:val="0"/>
        </w:numPr>
        <w:ind w:left="357" w:hanging="357"/>
      </w:pPr>
      <w:r w:rsidRPr="00417F5C">
        <w:rPr>
          <w:b/>
          <w:bCs/>
        </w:rPr>
        <w:t>Economic issues:</w:t>
      </w:r>
    </w:p>
    <w:p w14:paraId="096E1139" w14:textId="77777777" w:rsidR="00F76D74" w:rsidRDefault="00F76D74" w:rsidP="002252F8">
      <w:pPr>
        <w:pStyle w:val="BoxBullet"/>
      </w:pPr>
      <w:r>
        <w:t xml:space="preserve">The ADAR presented a cost-comparison which claimed Re-188 brachytherapy was cost-saving compared to EBRT. This cost-saving is highly uncertain due a number of issues with the economic analysis. </w:t>
      </w:r>
    </w:p>
    <w:p w14:paraId="5E977A2B" w14:textId="77777777" w:rsidR="00F76D74" w:rsidRDefault="00F76D74" w:rsidP="002252F8">
      <w:pPr>
        <w:pStyle w:val="BoxBullet"/>
      </w:pPr>
      <w:r>
        <w:t xml:space="preserve">The ADAR did not include orthovoltage (a common EBRT modality for treating skin cancer) as an EBRT comparator modality when costing EBRT. Rather the ADAR presented a weighted EBRT cost which was based on 50% 3D megavoltage (ADAR referred to as LINAC) and 50% intensity modulated radiation therapy/volumetric modulated arc therapy (IMRT/VMAT). ESC considered that orthovoltage was an appropriate comparator modality that should be included. </w:t>
      </w:r>
    </w:p>
    <w:p w14:paraId="7436A1E1" w14:textId="77777777" w:rsidR="00F76D74" w:rsidRDefault="00F76D74" w:rsidP="002252F8">
      <w:pPr>
        <w:pStyle w:val="BoxBullet"/>
      </w:pPr>
      <w:r>
        <w:t>The ADAR included 3D megavoltage as one of the EBRT modalities. However, ESC considered the</w:t>
      </w:r>
      <w:r w:rsidRPr="00E4456A">
        <w:t xml:space="preserve"> patients in the target population would be treated with 2D electron </w:t>
      </w:r>
      <w:r>
        <w:t>EBRT</w:t>
      </w:r>
      <w:r w:rsidRPr="00E4456A">
        <w:t xml:space="preserve"> rather than 3D megavoltage</w:t>
      </w:r>
      <w:r>
        <w:t xml:space="preserve">.  </w:t>
      </w:r>
    </w:p>
    <w:p w14:paraId="6EED21E8" w14:textId="77777777" w:rsidR="00F76D74" w:rsidRDefault="00F76D74" w:rsidP="002252F8">
      <w:pPr>
        <w:pStyle w:val="BoxBullet"/>
      </w:pPr>
      <w:r>
        <w:t xml:space="preserve">There remains some uncertainty regarding the appropriate weighting for the EBRT modalities. However, ESC did not agree with the ADAR weighting (50% 3D megavoltage, 50% IMRT/VMAT) and considered 20% orthovoltage, 70% 2D electron beam and 10% VMAT/IMRT weighting may be a more appropriate representation of current clinical practice. </w:t>
      </w:r>
    </w:p>
    <w:p w14:paraId="1A3AB426" w14:textId="77777777" w:rsidR="00F76D74" w:rsidRDefault="00F76D74" w:rsidP="002252F8">
      <w:pPr>
        <w:pStyle w:val="BoxBullet"/>
      </w:pPr>
      <w:r>
        <w:t>The ADAR assumed the number of EBRT fractions would range between 10 – 30 with an average of 19.03 fractions. ESC noted this assumption was</w:t>
      </w:r>
      <w:r w:rsidRPr="00993773">
        <w:t xml:space="preserve"> not aligned with clinical guidelines or literature. ESC considered a lower fractionation range with an average of 10 fractions would be more appropriate</w:t>
      </w:r>
      <w:r>
        <w:t>, with the lowest range of 4 fractions.</w:t>
      </w:r>
      <w:r w:rsidRPr="00993773">
        <w:t xml:space="preserve"> </w:t>
      </w:r>
    </w:p>
    <w:p w14:paraId="591DDAD0" w14:textId="77777777" w:rsidR="00F76D74" w:rsidRDefault="00F76D74" w:rsidP="002252F8">
      <w:pPr>
        <w:pStyle w:val="BoxBullet"/>
      </w:pPr>
      <w:r>
        <w:t xml:space="preserve">ESC noted the ADAR used a </w:t>
      </w:r>
      <w:r w:rsidRPr="006C3DEE">
        <w:t xml:space="preserve">random simulation of 100 lesion sizes and fractionations (range 10-30) across a uniform distribution </w:t>
      </w:r>
      <w:r>
        <w:t>to compare the average treatment costs of Re-188 brachytherapy and EBRT. The relationship between lesion size and fractionations was not well defined, making comparisons difficult. Further, the uniform distribution used for the simulation is unlikely to reflect the true clinical presentation of patients, and a normal distribution may be more appropriate.</w:t>
      </w:r>
    </w:p>
    <w:p w14:paraId="69604290" w14:textId="77777777" w:rsidR="00F76D74" w:rsidRDefault="00F76D74" w:rsidP="002252F8">
      <w:pPr>
        <w:pStyle w:val="BoxBullet"/>
      </w:pPr>
      <w:r>
        <w:t xml:space="preserve">Sensitivity analysis exploring these issues indicate that the claimed </w:t>
      </w:r>
      <w:r w:rsidRPr="00651013">
        <w:t>average cost saving of $1</w:t>
      </w:r>
      <w:r>
        <w:t>,</w:t>
      </w:r>
      <w:r w:rsidRPr="00651013">
        <w:t>648 per patient</w:t>
      </w:r>
      <w:r>
        <w:t xml:space="preserve"> changes to an increased</w:t>
      </w:r>
      <w:r w:rsidRPr="00651013">
        <w:t xml:space="preserve"> cost of $2</w:t>
      </w:r>
      <w:r>
        <w:t>,</w:t>
      </w:r>
      <w:r w:rsidRPr="00651013">
        <w:t>000-$4</w:t>
      </w:r>
      <w:r>
        <w:t>,</w:t>
      </w:r>
      <w:r w:rsidRPr="00651013">
        <w:t xml:space="preserve">000 per patient </w:t>
      </w:r>
      <w:r>
        <w:t>compared to EBRT.</w:t>
      </w:r>
    </w:p>
    <w:p w14:paraId="2CE688D2" w14:textId="77777777" w:rsidR="00F76D74" w:rsidRDefault="00F76D74" w:rsidP="00F76D74">
      <w:pPr>
        <w:pStyle w:val="BoxHeading"/>
      </w:pPr>
      <w:r>
        <w:t>Financial issues:</w:t>
      </w:r>
    </w:p>
    <w:p w14:paraId="79A676D2" w14:textId="57000AD0" w:rsidR="00F76D74" w:rsidRDefault="00F76D74" w:rsidP="002252F8">
      <w:pPr>
        <w:pStyle w:val="BoxBullet"/>
      </w:pPr>
      <w:r>
        <w:t xml:space="preserve">ESC considered that the financial estimates involved substantial uncertainty relating to the size of the proposed population, uptake of Re-188, distributions of lesion sizes, number of fractions for the comparator, and percentage split of the comparator across modalities. </w:t>
      </w:r>
    </w:p>
    <w:p w14:paraId="75B9194D" w14:textId="77777777" w:rsidR="00C173A3" w:rsidRDefault="00C173A3">
      <w:pPr>
        <w:spacing w:before="0"/>
        <w:rPr>
          <w:rFonts w:eastAsia="Times New Roman" w:cs="Times New Roman"/>
          <w:b/>
          <w:color w:val="000000"/>
          <w:szCs w:val="20"/>
          <w:lang w:eastAsia="en-AU"/>
        </w:rPr>
      </w:pPr>
      <w:r>
        <w:rPr>
          <w:rFonts w:eastAsia="Times New Roman" w:cs="Times New Roman"/>
          <w:b/>
          <w:color w:val="000000"/>
          <w:szCs w:val="20"/>
          <w:lang w:eastAsia="en-AU"/>
        </w:rPr>
        <w:br w:type="page"/>
      </w:r>
    </w:p>
    <w:p w14:paraId="06A5D46C" w14:textId="374F3BE2" w:rsidR="00F76D74" w:rsidRPr="00DC2288" w:rsidRDefault="00F76D74" w:rsidP="00F76D74">
      <w:pPr>
        <w:spacing w:before="240" w:after="240" w:line="240" w:lineRule="auto"/>
        <w:rPr>
          <w:rFonts w:eastAsia="Times New Roman" w:cs="Times New Roman"/>
          <w:b/>
          <w:color w:val="000000"/>
          <w:szCs w:val="20"/>
          <w:lang w:eastAsia="en-AU"/>
        </w:rPr>
      </w:pPr>
      <w:r w:rsidRPr="00DC2288">
        <w:rPr>
          <w:rFonts w:eastAsia="Times New Roman" w:cs="Times New Roman"/>
          <w:b/>
          <w:color w:val="000000"/>
          <w:szCs w:val="20"/>
          <w:lang w:eastAsia="en-AU"/>
        </w:rPr>
        <w:lastRenderedPageBreak/>
        <w:t>ESC discussion</w:t>
      </w:r>
    </w:p>
    <w:p w14:paraId="22D2F853"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that the purpose of this application from Oncobeta Therapeutics Australia was to seek listing on the Medicare Benefits Schedule (MBS) of high-dose-rate brachytherapy with an epidermal isotope composed of rhenium-188 (Re-188) in patients with non-melanoma skin cancers (including basal cell and squamous cell carcinomas) who are contraindicated for surgery.</w:t>
      </w:r>
    </w:p>
    <w:p w14:paraId="128D3E65"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that Re-188 is a mixed beta-gamma emitter epidermal isotope. The particles penetrate to a depth of 8–10 mm with 92% deposit within the first 3 mm. The paste used is formulated as nano-colloid containing Re-188 in a viscous polymeric matrix. When applied to the epidermis, the paste forms a sealed, dry flexible film in 10 minutes. ESC noted that it is intended to be a single treatment and the duration of treatment is calculated by a pre-determined dose.</w:t>
      </w:r>
    </w:p>
    <w:p w14:paraId="4F9F6066"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noted the various opinions in the consultation feedback. Nuclear medicine specialists supported the application. A skin cancer advocacy group supported the application, noting that the procedure reduces time away from home and work, is pain-free and non-invasive, avoids disfiguring surgery, and will reduce public waiting lists for treatment. However, several professional colleges considered that there was insufficient evidence of safety or efficacy, and the procedure may result in radiation reactions on the skin, ulceration or other complications. The procedure may not be available in rural and remote areas. </w:t>
      </w:r>
      <w:r>
        <w:rPr>
          <w:rFonts w:eastAsia="Times New Roman" w:cs="Times New Roman"/>
          <w:color w:val="000000"/>
          <w:szCs w:val="20"/>
          <w:lang w:eastAsia="en-AU"/>
        </w:rPr>
        <w:t>ESC noted the</w:t>
      </w:r>
      <w:r w:rsidRPr="00DC2288">
        <w:rPr>
          <w:rFonts w:eastAsia="Times New Roman" w:cs="Times New Roman"/>
          <w:color w:val="000000"/>
          <w:szCs w:val="20"/>
          <w:lang w:eastAsia="en-AU"/>
        </w:rPr>
        <w:t xml:space="preserve"> applicant’s pre-ESC response </w:t>
      </w:r>
      <w:r>
        <w:rPr>
          <w:rFonts w:eastAsia="Times New Roman" w:cs="Times New Roman"/>
          <w:color w:val="000000"/>
          <w:szCs w:val="20"/>
          <w:lang w:eastAsia="en-AU"/>
        </w:rPr>
        <w:t>stated</w:t>
      </w:r>
      <w:r w:rsidRPr="00DC2288">
        <w:rPr>
          <w:rFonts w:eastAsia="Times New Roman" w:cs="Times New Roman"/>
          <w:color w:val="000000"/>
          <w:szCs w:val="20"/>
          <w:lang w:eastAsia="en-AU"/>
        </w:rPr>
        <w:t xml:space="preserve"> that availability and use </w:t>
      </w:r>
      <w:r>
        <w:rPr>
          <w:rFonts w:eastAsia="Times New Roman" w:cs="Times New Roman"/>
          <w:color w:val="000000"/>
          <w:szCs w:val="20"/>
          <w:lang w:eastAsia="en-AU"/>
        </w:rPr>
        <w:t xml:space="preserve">of Re-188 brachytherapy </w:t>
      </w:r>
      <w:r w:rsidRPr="00DC2288">
        <w:rPr>
          <w:rFonts w:eastAsia="Times New Roman" w:cs="Times New Roman"/>
          <w:color w:val="000000"/>
          <w:szCs w:val="20"/>
          <w:lang w:eastAsia="en-AU"/>
        </w:rPr>
        <w:t xml:space="preserve">will depend on training, acceptance and adoption among clinicians. </w:t>
      </w:r>
    </w:p>
    <w:p w14:paraId="304217FD"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discussed the three proposed MBS items. The item descriptors and fees vary by lesion size (1.5–3.0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3.1–5.0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and 5.1–8.0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xml:space="preserve">). ESC </w:t>
      </w:r>
      <w:r>
        <w:rPr>
          <w:rFonts w:eastAsia="Times New Roman" w:cs="Times New Roman"/>
          <w:color w:val="000000"/>
          <w:szCs w:val="20"/>
          <w:lang w:eastAsia="en-AU"/>
        </w:rPr>
        <w:t xml:space="preserve">questioned whether the item descriptors were adequately defined to prevent use beyond the intended target population and </w:t>
      </w:r>
      <w:r w:rsidRPr="00DC2288">
        <w:rPr>
          <w:rFonts w:eastAsia="Times New Roman" w:cs="Times New Roman"/>
          <w:color w:val="000000"/>
          <w:szCs w:val="20"/>
          <w:lang w:eastAsia="en-AU"/>
        </w:rPr>
        <w:t>considered that the size categories were arbitrary and not justified in the application. ESC queried whether a cost per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xml:space="preserve"> might be more appropriate, but also noted that an exact size is difficult to calculate for lesions with irregular margins. ESC noted the query from the commentary about whether the MBS items should be grouped under T2–Radiation Oncology or T3–Nuclear Medicine</w:t>
      </w:r>
      <w:r>
        <w:rPr>
          <w:rFonts w:eastAsia="Times New Roman" w:cs="Times New Roman"/>
          <w:color w:val="000000"/>
          <w:szCs w:val="20"/>
          <w:lang w:eastAsia="en-AU"/>
        </w:rPr>
        <w:t xml:space="preserve"> although this is a policy issue that can be addressed closer to implementation</w:t>
      </w:r>
      <w:r w:rsidRPr="00DC2288">
        <w:rPr>
          <w:rFonts w:eastAsia="Times New Roman" w:cs="Times New Roman"/>
          <w:color w:val="000000"/>
          <w:szCs w:val="20"/>
          <w:lang w:eastAsia="en-AU"/>
        </w:rPr>
        <w:t xml:space="preserve">. ESC agreed </w:t>
      </w:r>
      <w:r>
        <w:rPr>
          <w:rFonts w:eastAsia="Times New Roman" w:cs="Times New Roman"/>
          <w:color w:val="000000"/>
          <w:szCs w:val="20"/>
          <w:lang w:eastAsia="en-AU"/>
        </w:rPr>
        <w:t>with the</w:t>
      </w:r>
      <w:r w:rsidRPr="00DC2288">
        <w:rPr>
          <w:rFonts w:eastAsia="Times New Roman" w:cs="Times New Roman"/>
          <w:color w:val="000000"/>
          <w:szCs w:val="20"/>
          <w:lang w:eastAsia="en-AU"/>
        </w:rPr>
        <w:t xml:space="preserve"> MBS item descriptors </w:t>
      </w:r>
      <w:r>
        <w:rPr>
          <w:rFonts w:eastAsia="Times New Roman" w:cs="Times New Roman"/>
          <w:color w:val="000000"/>
          <w:szCs w:val="20"/>
          <w:lang w:eastAsia="en-AU"/>
        </w:rPr>
        <w:t xml:space="preserve">that had been updated to state </w:t>
      </w:r>
      <w:r w:rsidRPr="00DA3AFA">
        <w:rPr>
          <w:rFonts w:eastAsia="Times New Roman" w:cs="Times New Roman"/>
          <w:color w:val="000000"/>
          <w:szCs w:val="20"/>
          <w:lang w:eastAsia="en-AU"/>
        </w:rPr>
        <w:t xml:space="preserve">cutaneous basal cell carcinoma (BCC) or cutaneous squamous cell carcinoma (SCC) </w:t>
      </w:r>
      <w:r>
        <w:rPr>
          <w:rFonts w:eastAsia="Times New Roman" w:cs="Times New Roman"/>
          <w:color w:val="000000"/>
          <w:szCs w:val="20"/>
          <w:lang w:eastAsia="en-AU"/>
        </w:rPr>
        <w:t xml:space="preserve">instead of the generic term ‘malignant non-melanoma’, revise the diameter size to prevent overlap across the items, specify situations where surgical excision would not be possible and include service provision by radiation oncologists noting service provision by a nuclear medicine physician or radiation oncologist will depend on the relevant state or territory.  </w:t>
      </w:r>
      <w:r w:rsidRPr="00DC2288">
        <w:rPr>
          <w:rFonts w:eastAsia="Times New Roman" w:cs="Times New Roman"/>
          <w:color w:val="000000"/>
          <w:szCs w:val="20"/>
          <w:lang w:eastAsia="en-AU"/>
        </w:rPr>
        <w:t>ESC con</w:t>
      </w:r>
      <w:r>
        <w:rPr>
          <w:rFonts w:eastAsia="Times New Roman" w:cs="Times New Roman"/>
          <w:color w:val="000000"/>
          <w:szCs w:val="20"/>
          <w:lang w:eastAsia="en-AU"/>
        </w:rPr>
        <w:t xml:space="preserve">sidered </w:t>
      </w:r>
      <w:r w:rsidRPr="00DC2288">
        <w:rPr>
          <w:rFonts w:eastAsia="Times New Roman" w:cs="Times New Roman"/>
          <w:color w:val="000000"/>
          <w:szCs w:val="20"/>
          <w:lang w:eastAsia="en-AU"/>
        </w:rPr>
        <w:t xml:space="preserve">that </w:t>
      </w:r>
      <w:r>
        <w:rPr>
          <w:rFonts w:eastAsia="Times New Roman" w:cs="Times New Roman"/>
          <w:color w:val="000000"/>
          <w:szCs w:val="20"/>
          <w:lang w:eastAsia="en-AU"/>
        </w:rPr>
        <w:t>Re-188 brachytherapy</w:t>
      </w:r>
      <w:r w:rsidRPr="00DC2288">
        <w:rPr>
          <w:rFonts w:eastAsia="Times New Roman" w:cs="Times New Roman"/>
          <w:color w:val="000000"/>
          <w:szCs w:val="20"/>
          <w:lang w:eastAsia="en-AU"/>
        </w:rPr>
        <w:t xml:space="preserve"> would be a Type C procedure in an outpatient setting. </w:t>
      </w:r>
      <w:r>
        <w:rPr>
          <w:rFonts w:eastAsia="Times New Roman" w:cs="Times New Roman"/>
          <w:color w:val="000000"/>
          <w:szCs w:val="20"/>
          <w:lang w:eastAsia="en-AU"/>
        </w:rPr>
        <w:t>ESC noted the issue of whether the item descriptor should allow retreatment of lesions. ESC noted the applicant’s pre-ESC response clarified that while</w:t>
      </w:r>
      <w:r w:rsidRPr="00DC2288">
        <w:rPr>
          <w:rFonts w:eastAsia="Times New Roman" w:cs="Times New Roman"/>
          <w:color w:val="000000"/>
          <w:szCs w:val="20"/>
          <w:lang w:eastAsia="en-AU"/>
        </w:rPr>
        <w:t xml:space="preserve"> early trials allowed multiple treatment episodes per lesion, </w:t>
      </w:r>
      <w:r>
        <w:rPr>
          <w:rFonts w:eastAsia="Times New Roman" w:cs="Times New Roman"/>
          <w:color w:val="000000"/>
          <w:szCs w:val="20"/>
          <w:lang w:eastAsia="en-AU"/>
        </w:rPr>
        <w:t xml:space="preserve">the </w:t>
      </w:r>
      <w:r w:rsidRPr="00DC2288">
        <w:rPr>
          <w:rFonts w:eastAsia="Times New Roman" w:cs="Times New Roman"/>
          <w:color w:val="000000"/>
          <w:szCs w:val="20"/>
          <w:lang w:eastAsia="en-AU"/>
        </w:rPr>
        <w:t xml:space="preserve">more recent data </w:t>
      </w:r>
      <w:r w:rsidRPr="0011769A">
        <w:rPr>
          <w:rFonts w:eastAsia="Times New Roman" w:cs="Times New Roman"/>
          <w:color w:val="000000"/>
          <w:szCs w:val="20"/>
          <w:lang w:eastAsia="en-AU"/>
        </w:rPr>
        <w:t>relates to a single episode of treatment</w:t>
      </w:r>
      <w:r>
        <w:rPr>
          <w:rFonts w:eastAsia="Times New Roman" w:cs="Times New Roman"/>
          <w:color w:val="000000"/>
          <w:szCs w:val="20"/>
          <w:lang w:eastAsia="en-AU"/>
        </w:rPr>
        <w:t xml:space="preserve">. As such the applicant </w:t>
      </w:r>
      <w:r w:rsidRPr="0011769A">
        <w:rPr>
          <w:rFonts w:eastAsia="Times New Roman" w:cs="Times New Roman"/>
          <w:color w:val="000000"/>
          <w:szCs w:val="20"/>
          <w:lang w:eastAsia="en-AU"/>
        </w:rPr>
        <w:t xml:space="preserve">neither proposed nor anticipated that more than one instance of Re-188 brachytherapy </w:t>
      </w:r>
      <w:r>
        <w:rPr>
          <w:rFonts w:eastAsia="Times New Roman" w:cs="Times New Roman"/>
          <w:color w:val="000000"/>
          <w:szCs w:val="20"/>
          <w:lang w:eastAsia="en-AU"/>
        </w:rPr>
        <w:t xml:space="preserve">per lesion </w:t>
      </w:r>
      <w:r w:rsidRPr="0011769A">
        <w:rPr>
          <w:rFonts w:eastAsia="Times New Roman" w:cs="Times New Roman"/>
          <w:color w:val="000000"/>
          <w:szCs w:val="20"/>
          <w:lang w:eastAsia="en-AU"/>
        </w:rPr>
        <w:t xml:space="preserve">will be required </w:t>
      </w:r>
      <w:r>
        <w:rPr>
          <w:rFonts w:eastAsia="Times New Roman" w:cs="Times New Roman"/>
          <w:color w:val="000000"/>
          <w:szCs w:val="20"/>
          <w:lang w:eastAsia="en-AU"/>
        </w:rPr>
        <w:t>and that i</w:t>
      </w:r>
      <w:r w:rsidRPr="0011769A">
        <w:rPr>
          <w:rFonts w:eastAsia="Times New Roman" w:cs="Times New Roman"/>
          <w:color w:val="000000"/>
          <w:szCs w:val="20"/>
          <w:lang w:eastAsia="en-AU"/>
        </w:rPr>
        <w:t>n rare cases of non-response, initiation of</w:t>
      </w:r>
      <w:r w:rsidRPr="00DC2288">
        <w:rPr>
          <w:rFonts w:eastAsia="Times New Roman" w:cs="Times New Roman"/>
          <w:color w:val="000000"/>
          <w:szCs w:val="20"/>
          <w:lang w:eastAsia="en-AU"/>
        </w:rPr>
        <w:t xml:space="preserve"> an alternative treatment</w:t>
      </w:r>
      <w:r w:rsidRPr="0011769A">
        <w:rPr>
          <w:rFonts w:eastAsia="Times New Roman" w:cs="Times New Roman"/>
          <w:color w:val="000000"/>
          <w:szCs w:val="20"/>
          <w:lang w:eastAsia="en-AU"/>
        </w:rPr>
        <w:t xml:space="preserve"> approach is a more likely outcome.</w:t>
      </w:r>
      <w:r>
        <w:rPr>
          <w:rFonts w:eastAsia="Times New Roman" w:cs="Times New Roman"/>
          <w:color w:val="000000"/>
          <w:szCs w:val="20"/>
          <w:lang w:eastAsia="en-AU"/>
        </w:rPr>
        <w:t xml:space="preserve"> </w:t>
      </w:r>
      <w:r w:rsidRPr="00DC2288">
        <w:rPr>
          <w:rFonts w:eastAsia="Times New Roman" w:cs="Times New Roman"/>
          <w:color w:val="000000"/>
          <w:szCs w:val="20"/>
          <w:lang w:eastAsia="en-AU"/>
        </w:rPr>
        <w:t xml:space="preserve">ESC considered that the descriptor should not </w:t>
      </w:r>
      <w:r>
        <w:rPr>
          <w:rFonts w:eastAsia="Times New Roman" w:cs="Times New Roman"/>
          <w:color w:val="000000"/>
          <w:szCs w:val="20"/>
          <w:lang w:eastAsia="en-AU"/>
        </w:rPr>
        <w:t xml:space="preserve">be </w:t>
      </w:r>
      <w:r w:rsidRPr="00DC2288">
        <w:rPr>
          <w:rFonts w:eastAsia="Times New Roman" w:cs="Times New Roman"/>
          <w:color w:val="000000"/>
          <w:szCs w:val="20"/>
          <w:lang w:eastAsia="en-AU"/>
        </w:rPr>
        <w:t>limit</w:t>
      </w:r>
      <w:r>
        <w:rPr>
          <w:rFonts w:eastAsia="Times New Roman" w:cs="Times New Roman"/>
          <w:color w:val="000000"/>
          <w:szCs w:val="20"/>
          <w:lang w:eastAsia="en-AU"/>
        </w:rPr>
        <w:t>ed</w:t>
      </w:r>
      <w:r w:rsidRPr="00DC2288">
        <w:rPr>
          <w:rFonts w:eastAsia="Times New Roman" w:cs="Times New Roman"/>
          <w:color w:val="000000"/>
          <w:szCs w:val="20"/>
          <w:lang w:eastAsia="en-AU"/>
        </w:rPr>
        <w:t xml:space="preserve"> to once per lifetime (as a patient may develop skin cancers in other areas in the future)</w:t>
      </w:r>
      <w:r>
        <w:rPr>
          <w:rFonts w:eastAsia="Times New Roman" w:cs="Times New Roman"/>
          <w:color w:val="000000"/>
          <w:szCs w:val="20"/>
          <w:lang w:eastAsia="en-AU"/>
        </w:rPr>
        <w:t xml:space="preserve"> but </w:t>
      </w:r>
      <w:r w:rsidRPr="00DC2288">
        <w:rPr>
          <w:rFonts w:eastAsia="Times New Roman" w:cs="Times New Roman"/>
          <w:color w:val="000000"/>
          <w:szCs w:val="20"/>
          <w:lang w:eastAsia="en-AU"/>
        </w:rPr>
        <w:t>should not permit re-treatment of the same</w:t>
      </w:r>
      <w:r w:rsidRPr="00DC2288" w:rsidDel="000A7430">
        <w:rPr>
          <w:rFonts w:eastAsia="Times New Roman" w:cs="Times New Roman"/>
          <w:color w:val="000000"/>
          <w:szCs w:val="20"/>
          <w:lang w:eastAsia="en-AU"/>
        </w:rPr>
        <w:t xml:space="preserve"> </w:t>
      </w:r>
      <w:r>
        <w:rPr>
          <w:rFonts w:eastAsia="Times New Roman" w:cs="Times New Roman"/>
          <w:color w:val="000000"/>
          <w:szCs w:val="20"/>
          <w:lang w:eastAsia="en-AU"/>
        </w:rPr>
        <w:t>lesion</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suggested the item descriptors could specify ‘not for retreatment of previously treated lesion(s)’.</w:t>
      </w:r>
    </w:p>
    <w:p w14:paraId="729F087E"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noted the proposed clinical management algorithm. ESC confirmed that radiation therapy </w:t>
      </w:r>
      <w:r>
        <w:rPr>
          <w:rFonts w:eastAsia="Times New Roman" w:cs="Times New Roman"/>
          <w:color w:val="000000"/>
          <w:szCs w:val="20"/>
          <w:lang w:eastAsia="en-AU"/>
        </w:rPr>
        <w:t xml:space="preserve">(EBRT- external beam radiation therapy) </w:t>
      </w:r>
      <w:r w:rsidRPr="00DC2288">
        <w:rPr>
          <w:rFonts w:eastAsia="Times New Roman" w:cs="Times New Roman"/>
          <w:color w:val="000000"/>
          <w:szCs w:val="20"/>
          <w:lang w:eastAsia="en-AU"/>
        </w:rPr>
        <w:t xml:space="preserve">was the appropriate comparator, but noted the many different modalities for </w:t>
      </w:r>
      <w:r>
        <w:rPr>
          <w:rFonts w:eastAsia="Times New Roman" w:cs="Times New Roman"/>
          <w:color w:val="000000"/>
          <w:szCs w:val="20"/>
          <w:lang w:eastAsia="en-AU"/>
        </w:rPr>
        <w:t>EBRT</w:t>
      </w:r>
      <w:r w:rsidRPr="00DC2288">
        <w:rPr>
          <w:rFonts w:eastAsia="Times New Roman" w:cs="Times New Roman"/>
          <w:color w:val="000000"/>
          <w:szCs w:val="20"/>
          <w:lang w:eastAsia="en-AU"/>
        </w:rPr>
        <w:t>, which have different MBS fees.</w:t>
      </w:r>
      <w:r>
        <w:rPr>
          <w:rFonts w:eastAsia="Times New Roman" w:cs="Times New Roman"/>
          <w:color w:val="000000"/>
          <w:szCs w:val="20"/>
          <w:lang w:eastAsia="en-AU"/>
        </w:rPr>
        <w:t xml:space="preserve"> ESC discussed this further when discussing the economic evaluation. </w:t>
      </w:r>
    </w:p>
    <w:p w14:paraId="5A15C3D5" w14:textId="77777777" w:rsidR="00F76D74" w:rsidRPr="00DC2288" w:rsidRDefault="00F76D74" w:rsidP="00F76D74">
      <w:pPr>
        <w:spacing w:before="0" w:after="240" w:line="240" w:lineRule="auto"/>
        <w:rPr>
          <w:rFonts w:eastAsia="Times New Roman" w:cs="Times New Roman"/>
          <w:color w:val="000000"/>
          <w:lang w:eastAsia="en-AU"/>
        </w:rPr>
      </w:pPr>
      <w:r w:rsidRPr="11AD6DF4">
        <w:rPr>
          <w:rFonts w:eastAsia="Times New Roman" w:cs="Times New Roman"/>
          <w:color w:val="000000" w:themeColor="text1"/>
          <w:lang w:eastAsia="en-AU"/>
        </w:rPr>
        <w:lastRenderedPageBreak/>
        <w:t xml:space="preserve">ESC noted the clinical evidence base </w:t>
      </w:r>
      <w:r>
        <w:rPr>
          <w:rFonts w:eastAsia="Times New Roman" w:cs="Times New Roman"/>
          <w:color w:val="000000" w:themeColor="text1"/>
          <w:lang w:eastAsia="en-AU"/>
        </w:rPr>
        <w:t xml:space="preserve">for Re-188 brachytherapy </w:t>
      </w:r>
      <w:r w:rsidRPr="11AD6DF4">
        <w:rPr>
          <w:rFonts w:eastAsia="Times New Roman" w:cs="Times New Roman"/>
          <w:color w:val="000000" w:themeColor="text1"/>
          <w:lang w:eastAsia="en-AU"/>
        </w:rPr>
        <w:t>consisted of five single-arm studies that were at high risk of bias</w:t>
      </w:r>
      <w:r>
        <w:rPr>
          <w:rFonts w:eastAsia="Times New Roman" w:cs="Times New Roman"/>
          <w:color w:val="000000" w:themeColor="text1"/>
          <w:lang w:eastAsia="en-AU"/>
        </w:rPr>
        <w:t>,</w:t>
      </w:r>
      <w:r w:rsidRPr="001A6621">
        <w:t xml:space="preserve"> </w:t>
      </w:r>
      <w:r>
        <w:t xml:space="preserve">with </w:t>
      </w:r>
      <w:r w:rsidRPr="001A6621">
        <w:rPr>
          <w:rFonts w:eastAsia="Times New Roman" w:cs="Times New Roman"/>
          <w:color w:val="000000" w:themeColor="text1"/>
          <w:lang w:eastAsia="en-AU"/>
        </w:rPr>
        <w:t xml:space="preserve">Castellucci </w:t>
      </w:r>
      <w:r>
        <w:rPr>
          <w:rFonts w:eastAsia="Times New Roman" w:cs="Times New Roman"/>
          <w:color w:val="000000" w:themeColor="text1"/>
          <w:lang w:eastAsia="en-AU"/>
        </w:rPr>
        <w:t>(</w:t>
      </w:r>
      <w:r w:rsidRPr="001A6621">
        <w:rPr>
          <w:rFonts w:eastAsia="Times New Roman" w:cs="Times New Roman"/>
          <w:color w:val="000000" w:themeColor="text1"/>
          <w:lang w:eastAsia="en-AU"/>
        </w:rPr>
        <w:t>2021</w:t>
      </w:r>
      <w:r>
        <w:rPr>
          <w:rFonts w:eastAsia="Times New Roman" w:cs="Times New Roman"/>
          <w:color w:val="000000" w:themeColor="text1"/>
          <w:lang w:eastAsia="en-AU"/>
        </w:rPr>
        <w:t>)</w:t>
      </w:r>
      <w:r w:rsidRPr="003633CC">
        <w:rPr>
          <w:rStyle w:val="FootnoteReference"/>
          <w:rFonts w:eastAsia="Times New Roman" w:cs="Times New Roman"/>
          <w:color w:val="000000"/>
          <w:szCs w:val="20"/>
          <w:lang w:eastAsia="en-AU"/>
        </w:rPr>
        <w:t xml:space="preserve"> </w:t>
      </w:r>
      <w:r>
        <w:rPr>
          <w:rStyle w:val="FootnoteReference"/>
          <w:rFonts w:eastAsia="Times New Roman" w:cs="Times New Roman"/>
          <w:color w:val="000000"/>
          <w:szCs w:val="20"/>
          <w:lang w:eastAsia="en-AU"/>
        </w:rPr>
        <w:footnoteReference w:id="23"/>
      </w:r>
      <w:r>
        <w:rPr>
          <w:rFonts w:eastAsia="Times New Roman" w:cs="Times New Roman"/>
          <w:color w:val="000000" w:themeColor="text1"/>
          <w:lang w:eastAsia="en-AU"/>
        </w:rPr>
        <w:t xml:space="preserve"> being the study of the</w:t>
      </w:r>
      <w:r w:rsidRPr="001A6621">
        <w:rPr>
          <w:rFonts w:eastAsia="Times New Roman" w:cs="Times New Roman"/>
          <w:color w:val="000000" w:themeColor="text1"/>
          <w:lang w:eastAsia="en-AU"/>
        </w:rPr>
        <w:t xml:space="preserve"> highest quality/most applicable evidence (</w:t>
      </w:r>
      <w:r>
        <w:rPr>
          <w:rFonts w:eastAsia="Times New Roman" w:cs="Times New Roman"/>
          <w:color w:val="000000" w:themeColor="text1"/>
          <w:lang w:eastAsia="en-AU"/>
        </w:rPr>
        <w:t>with moderate to high risk of bias)</w:t>
      </w:r>
      <w:r w:rsidRPr="11AD6DF4">
        <w:rPr>
          <w:rFonts w:eastAsia="Times New Roman" w:cs="Times New Roman"/>
          <w:color w:val="000000" w:themeColor="text1"/>
          <w:lang w:eastAsia="en-AU"/>
        </w:rPr>
        <w:t xml:space="preserve">. The studies included small numbers of patients with varied populations, including various lesion sizes, some of which had recurred after previous treatment. Four of the five studies were from a single centre in Italy, with data collected from 2005 onwards. ESC noted the lack of long-term follow-up data. </w:t>
      </w:r>
      <w:r>
        <w:rPr>
          <w:rFonts w:eastAsia="Times New Roman" w:cs="Times New Roman"/>
          <w:color w:val="000000" w:themeColor="text1"/>
          <w:lang w:eastAsia="en-AU"/>
        </w:rPr>
        <w:t>ESC noted the ADAR claimed to present a</w:t>
      </w:r>
      <w:r w:rsidRPr="11AD6DF4" w:rsidDel="00C85357">
        <w:rPr>
          <w:rFonts w:eastAsia="Times New Roman" w:cs="Times New Roman"/>
          <w:color w:val="000000" w:themeColor="text1"/>
          <w:lang w:eastAsia="en-AU"/>
        </w:rPr>
        <w:t xml:space="preserve"> naive indirect comparison </w:t>
      </w:r>
      <w:r>
        <w:rPr>
          <w:rFonts w:eastAsia="Times New Roman" w:cs="Times New Roman"/>
          <w:color w:val="000000" w:themeColor="text1"/>
          <w:lang w:eastAsia="en-AU"/>
        </w:rPr>
        <w:t xml:space="preserve">of Re-188 brachytherapy </w:t>
      </w:r>
      <w:r w:rsidRPr="11AD6DF4" w:rsidDel="00C85357">
        <w:rPr>
          <w:rFonts w:eastAsia="Times New Roman" w:cs="Times New Roman"/>
          <w:color w:val="000000" w:themeColor="text1"/>
          <w:lang w:eastAsia="en-AU"/>
        </w:rPr>
        <w:t xml:space="preserve">with </w:t>
      </w:r>
      <w:r>
        <w:rPr>
          <w:rFonts w:eastAsia="Times New Roman" w:cs="Times New Roman"/>
          <w:color w:val="000000" w:themeColor="text1"/>
          <w:lang w:eastAsia="en-AU"/>
        </w:rPr>
        <w:t>EBRT</w:t>
      </w:r>
      <w:r w:rsidRPr="11AD6DF4">
        <w:rPr>
          <w:rFonts w:eastAsia="Times New Roman" w:cs="Times New Roman"/>
          <w:color w:val="000000" w:themeColor="text1"/>
          <w:lang w:eastAsia="en-AU"/>
        </w:rPr>
        <w:t>.</w:t>
      </w:r>
      <w:r>
        <w:rPr>
          <w:rFonts w:eastAsia="Times New Roman" w:cs="Times New Roman"/>
          <w:color w:val="000000" w:themeColor="text1"/>
          <w:lang w:eastAsia="en-AU"/>
        </w:rPr>
        <w:t xml:space="preserve"> However, the ADAR did not present a naïve indirect comparison, rather the ADAR presented separate narrative summaries for each of the 25 EBRT studies included in the ADAR. ESC noted the commentary tabulated some of the EBRT study data. However, ESC agreed with the commentary that </w:t>
      </w:r>
      <w:r w:rsidRPr="002944D9">
        <w:rPr>
          <w:rFonts w:eastAsia="Times New Roman" w:cs="Times New Roman"/>
          <w:color w:val="000000" w:themeColor="text1"/>
          <w:lang w:eastAsia="en-AU"/>
        </w:rPr>
        <w:t xml:space="preserve">the evidence was not presented in a format that would </w:t>
      </w:r>
      <w:r>
        <w:rPr>
          <w:rFonts w:eastAsia="Times New Roman" w:cs="Times New Roman"/>
          <w:color w:val="000000" w:themeColor="text1"/>
          <w:lang w:eastAsia="en-AU"/>
        </w:rPr>
        <w:t>facilitate either a</w:t>
      </w:r>
      <w:r w:rsidRPr="002944D9">
        <w:rPr>
          <w:rFonts w:eastAsia="Times New Roman" w:cs="Times New Roman"/>
          <w:color w:val="000000" w:themeColor="text1"/>
          <w:lang w:eastAsia="en-AU"/>
        </w:rPr>
        <w:t xml:space="preserve"> </w:t>
      </w:r>
      <w:r w:rsidRPr="00CF4699">
        <w:rPr>
          <w:rFonts w:eastAsia="Times New Roman" w:cs="Times New Roman"/>
          <w:color w:val="000000" w:themeColor="text1"/>
          <w:lang w:eastAsia="en-AU"/>
        </w:rPr>
        <w:t>direct</w:t>
      </w:r>
      <w:r>
        <w:rPr>
          <w:rFonts w:eastAsia="Times New Roman" w:cs="Times New Roman"/>
          <w:color w:val="000000" w:themeColor="text1"/>
          <w:lang w:eastAsia="en-AU"/>
        </w:rPr>
        <w:t xml:space="preserve"> or naïve </w:t>
      </w:r>
      <w:r w:rsidRPr="00CF4699">
        <w:rPr>
          <w:rFonts w:eastAsia="Times New Roman" w:cs="Times New Roman"/>
          <w:color w:val="000000" w:themeColor="text1"/>
          <w:lang w:eastAsia="en-AU"/>
        </w:rPr>
        <w:t>indirect comparison of Re-188 brachytherapy versus EBRT</w:t>
      </w:r>
      <w:r>
        <w:rPr>
          <w:rFonts w:eastAsia="Times New Roman" w:cs="Times New Roman"/>
          <w:color w:val="000000" w:themeColor="text1"/>
          <w:lang w:eastAsia="en-AU"/>
        </w:rPr>
        <w:t xml:space="preserve">. </w:t>
      </w:r>
    </w:p>
    <w:p w14:paraId="1006982D"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safety</w:t>
      </w:r>
      <w:r>
        <w:rPr>
          <w:rFonts w:eastAsia="Times New Roman" w:cs="Times New Roman"/>
          <w:color w:val="000000"/>
          <w:szCs w:val="20"/>
          <w:lang w:eastAsia="en-AU"/>
        </w:rPr>
        <w:t xml:space="preserve"> data from the five single-arm Re-188 brachytherapy studies, ESC noted o</w:t>
      </w:r>
      <w:r w:rsidRPr="00DC2288">
        <w:rPr>
          <w:rFonts w:eastAsia="Times New Roman" w:cs="Times New Roman"/>
          <w:color w:val="000000"/>
          <w:szCs w:val="20"/>
          <w:lang w:eastAsia="en-AU"/>
        </w:rPr>
        <w:t xml:space="preserve">nly acute toxicity data were included for the intervention, with no data </w:t>
      </w:r>
      <w:r>
        <w:rPr>
          <w:rFonts w:eastAsia="Times New Roman" w:cs="Times New Roman"/>
          <w:color w:val="000000"/>
          <w:szCs w:val="20"/>
          <w:lang w:eastAsia="en-AU"/>
        </w:rPr>
        <w:t xml:space="preserve">reported </w:t>
      </w:r>
      <w:r w:rsidRPr="00DC2288">
        <w:rPr>
          <w:rFonts w:eastAsia="Times New Roman" w:cs="Times New Roman"/>
          <w:color w:val="000000"/>
          <w:szCs w:val="20"/>
          <w:lang w:eastAsia="en-AU"/>
        </w:rPr>
        <w:t xml:space="preserve">on late toxicity. ESC </w:t>
      </w:r>
      <w:r>
        <w:rPr>
          <w:rFonts w:eastAsia="Times New Roman" w:cs="Times New Roman"/>
          <w:color w:val="000000"/>
          <w:szCs w:val="20"/>
          <w:lang w:eastAsia="en-AU"/>
        </w:rPr>
        <w:t xml:space="preserve">also </w:t>
      </w:r>
      <w:r w:rsidRPr="00DC2288">
        <w:rPr>
          <w:rFonts w:eastAsia="Times New Roman" w:cs="Times New Roman"/>
          <w:color w:val="000000"/>
          <w:szCs w:val="20"/>
          <w:lang w:eastAsia="en-AU"/>
        </w:rPr>
        <w:t xml:space="preserve">noted that there were no data on the safety of treating multiple lesions </w:t>
      </w:r>
      <w:r>
        <w:rPr>
          <w:rFonts w:eastAsia="Times New Roman" w:cs="Times New Roman"/>
          <w:color w:val="000000"/>
          <w:szCs w:val="20"/>
          <w:lang w:eastAsia="en-AU"/>
        </w:rPr>
        <w:t xml:space="preserve">with Re-188 brachytherapy </w:t>
      </w:r>
      <w:r w:rsidRPr="00DC2288">
        <w:rPr>
          <w:rFonts w:eastAsia="Times New Roman" w:cs="Times New Roman"/>
          <w:color w:val="000000"/>
          <w:szCs w:val="20"/>
          <w:lang w:eastAsia="en-AU"/>
        </w:rPr>
        <w:t xml:space="preserve">in a single patient. </w:t>
      </w:r>
      <w:r>
        <w:rPr>
          <w:rFonts w:eastAsia="Times New Roman" w:cs="Times New Roman"/>
          <w:color w:val="000000"/>
          <w:szCs w:val="20"/>
          <w:lang w:eastAsia="en-AU"/>
        </w:rPr>
        <w:t>ESC also noted the evidence suggests that the adverse events following Re-188 brachytherapy seem mild however, ESC noted that most of the Re-188 brachytherapy studies were descriptive rather than providing detailed safety information. Based on the study by Castellucci et al. 2021,</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noted that a</w:t>
      </w:r>
      <w:r w:rsidRPr="00DC2288">
        <w:rPr>
          <w:rFonts w:eastAsia="Times New Roman" w:cs="Times New Roman"/>
          <w:color w:val="000000"/>
          <w:szCs w:val="20"/>
          <w:lang w:eastAsia="en-AU"/>
        </w:rPr>
        <w:t>cute grade 3 skin toxicity occurred in 6.6% of patients</w:t>
      </w:r>
      <w:r>
        <w:rPr>
          <w:rFonts w:eastAsia="Times New Roman" w:cs="Times New Roman"/>
          <w:color w:val="000000"/>
          <w:szCs w:val="20"/>
          <w:lang w:eastAsia="en-AU"/>
        </w:rPr>
        <w:t xml:space="preserve"> treated with Re-188 brachytherapy</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noted the EBRT c</w:t>
      </w:r>
      <w:r w:rsidRPr="00DC2288">
        <w:rPr>
          <w:rFonts w:eastAsia="Times New Roman" w:cs="Times New Roman"/>
          <w:color w:val="000000"/>
          <w:szCs w:val="20"/>
          <w:lang w:eastAsia="en-AU"/>
        </w:rPr>
        <w:t xml:space="preserve">omparator studies </w:t>
      </w:r>
      <w:r>
        <w:rPr>
          <w:rFonts w:eastAsia="Times New Roman" w:cs="Times New Roman"/>
          <w:color w:val="000000"/>
          <w:szCs w:val="20"/>
          <w:lang w:eastAsia="en-AU"/>
        </w:rPr>
        <w:t xml:space="preserve">summarised by the commentary mostly </w:t>
      </w:r>
      <w:r w:rsidRPr="00DC2288">
        <w:rPr>
          <w:rFonts w:eastAsia="Times New Roman" w:cs="Times New Roman"/>
          <w:color w:val="000000"/>
          <w:szCs w:val="20"/>
          <w:lang w:eastAsia="en-AU"/>
        </w:rPr>
        <w:t>reported</w:t>
      </w:r>
      <w:r>
        <w:rPr>
          <w:rFonts w:eastAsia="Times New Roman" w:cs="Times New Roman"/>
          <w:color w:val="000000"/>
          <w:szCs w:val="20"/>
          <w:lang w:eastAsia="en-AU"/>
        </w:rPr>
        <w:t xml:space="preserve"> mild </w:t>
      </w:r>
      <w:r w:rsidRPr="00DC2288">
        <w:rPr>
          <w:rFonts w:eastAsia="Times New Roman" w:cs="Times New Roman"/>
          <w:color w:val="000000"/>
          <w:szCs w:val="20"/>
          <w:lang w:eastAsia="en-AU"/>
        </w:rPr>
        <w:t xml:space="preserve">acute or late toxicity, </w:t>
      </w:r>
      <w:r>
        <w:rPr>
          <w:rFonts w:eastAsia="Times New Roman" w:cs="Times New Roman"/>
          <w:color w:val="000000"/>
          <w:szCs w:val="20"/>
          <w:lang w:eastAsia="en-AU"/>
        </w:rPr>
        <w:t>few grade 3 acute toxicity events and</w:t>
      </w:r>
      <w:r w:rsidRPr="00DC2288">
        <w:rPr>
          <w:rFonts w:eastAsia="Times New Roman" w:cs="Times New Roman"/>
          <w:color w:val="000000"/>
          <w:szCs w:val="20"/>
          <w:lang w:eastAsia="en-AU"/>
        </w:rPr>
        <w:t xml:space="preserve"> no grade 3 or 4 </w:t>
      </w:r>
      <w:r>
        <w:rPr>
          <w:rFonts w:eastAsia="Times New Roman" w:cs="Times New Roman"/>
          <w:color w:val="000000"/>
          <w:szCs w:val="20"/>
          <w:lang w:eastAsia="en-AU"/>
        </w:rPr>
        <w:t xml:space="preserve">late </w:t>
      </w:r>
      <w:r w:rsidRPr="00DC2288">
        <w:rPr>
          <w:rFonts w:eastAsia="Times New Roman" w:cs="Times New Roman"/>
          <w:color w:val="000000"/>
          <w:szCs w:val="20"/>
          <w:lang w:eastAsia="en-AU"/>
        </w:rPr>
        <w:t>toxicity</w:t>
      </w:r>
      <w:r>
        <w:rPr>
          <w:rFonts w:eastAsia="Times New Roman" w:cs="Times New Roman"/>
          <w:color w:val="000000"/>
          <w:szCs w:val="20"/>
          <w:lang w:eastAsia="en-AU"/>
        </w:rPr>
        <w:t xml:space="preserve"> events</w:t>
      </w:r>
      <w:r w:rsidRPr="00DC2288">
        <w:rPr>
          <w:rFonts w:eastAsia="Times New Roman" w:cs="Times New Roman"/>
          <w:color w:val="000000"/>
          <w:szCs w:val="20"/>
          <w:lang w:eastAsia="en-AU"/>
        </w:rPr>
        <w:t xml:space="preserve">. </w:t>
      </w:r>
    </w:p>
    <w:p w14:paraId="6808A8FF"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effectiveness</w:t>
      </w:r>
      <w:r>
        <w:rPr>
          <w:rFonts w:eastAsia="Times New Roman" w:cs="Times New Roman"/>
          <w:color w:val="000000"/>
          <w:szCs w:val="20"/>
          <w:lang w:eastAsia="en-AU"/>
        </w:rPr>
        <w:t xml:space="preserve"> data from the </w:t>
      </w:r>
      <w:r w:rsidRPr="00DC2288">
        <w:rPr>
          <w:rFonts w:eastAsia="Times New Roman" w:cs="Times New Roman"/>
          <w:color w:val="000000"/>
          <w:szCs w:val="20"/>
          <w:lang w:eastAsia="en-AU"/>
        </w:rPr>
        <w:t xml:space="preserve">five </w:t>
      </w:r>
      <w:r>
        <w:rPr>
          <w:rFonts w:eastAsia="Times New Roman" w:cs="Times New Roman"/>
          <w:color w:val="000000"/>
          <w:szCs w:val="20"/>
          <w:lang w:eastAsia="en-AU"/>
        </w:rPr>
        <w:t xml:space="preserve">single-arm </w:t>
      </w:r>
      <w:r w:rsidRPr="00DC2288">
        <w:rPr>
          <w:rFonts w:eastAsia="Times New Roman" w:cs="Times New Roman"/>
          <w:color w:val="000000"/>
          <w:szCs w:val="20"/>
          <w:lang w:eastAsia="en-AU"/>
        </w:rPr>
        <w:t>Re-188 brachytherapy studies</w:t>
      </w:r>
      <w:r>
        <w:rPr>
          <w:rFonts w:eastAsia="Times New Roman" w:cs="Times New Roman"/>
          <w:color w:val="000000"/>
          <w:szCs w:val="20"/>
          <w:lang w:eastAsia="en-AU"/>
        </w:rPr>
        <w:t>, reported</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80-100% of patients had a complete</w:t>
      </w:r>
      <w:r w:rsidRPr="00DC2288">
        <w:rPr>
          <w:rFonts w:eastAsia="Times New Roman" w:cs="Times New Roman"/>
          <w:color w:val="000000"/>
          <w:szCs w:val="20"/>
          <w:lang w:eastAsia="en-AU"/>
        </w:rPr>
        <w:t xml:space="preserve"> response at 3–6 months. Long-term response at 24 months was 96%</w:t>
      </w:r>
      <w:r>
        <w:rPr>
          <w:rFonts w:eastAsia="Times New Roman" w:cs="Times New Roman"/>
          <w:color w:val="000000"/>
          <w:szCs w:val="20"/>
          <w:lang w:eastAsia="en-AU"/>
        </w:rPr>
        <w:t xml:space="preserve"> based on one study (Castelluci et al. 2021) with a high loss to follow up</w:t>
      </w:r>
      <w:r w:rsidRPr="00DC2288">
        <w:rPr>
          <w:rFonts w:eastAsia="Times New Roman" w:cs="Times New Roman"/>
          <w:color w:val="000000"/>
          <w:szCs w:val="20"/>
          <w:lang w:eastAsia="en-AU"/>
        </w:rPr>
        <w:t>. ESC also noted the draft manuscript provided by the applicant</w:t>
      </w:r>
      <w:r>
        <w:rPr>
          <w:rFonts w:eastAsia="Times New Roman" w:cs="Times New Roman"/>
          <w:color w:val="000000"/>
          <w:szCs w:val="20"/>
          <w:lang w:eastAsia="en-AU"/>
        </w:rPr>
        <w:t xml:space="preserve"> for an unpublished single-arm effectiveness study (Tietze 2023</w:t>
      </w:r>
      <w:r>
        <w:rPr>
          <w:rStyle w:val="FootnoteReference"/>
          <w:rFonts w:eastAsia="Times New Roman" w:cs="Times New Roman"/>
          <w:color w:val="000000"/>
          <w:szCs w:val="20"/>
          <w:lang w:eastAsia="en-AU"/>
        </w:rPr>
        <w:footnoteReference w:id="24"/>
      </w:r>
      <w:r>
        <w:rPr>
          <w:rFonts w:eastAsia="Times New Roman" w:cs="Times New Roman"/>
          <w:color w:val="000000"/>
          <w:szCs w:val="20"/>
          <w:lang w:eastAsia="en-AU"/>
        </w:rPr>
        <w:t>)</w:t>
      </w:r>
      <w:r w:rsidRPr="00DC2288">
        <w:rPr>
          <w:rFonts w:eastAsia="Times New Roman" w:cs="Times New Roman"/>
          <w:color w:val="000000"/>
          <w:szCs w:val="20"/>
          <w:lang w:eastAsia="en-AU"/>
        </w:rPr>
        <w:t xml:space="preserve"> but agreed with the commentary that the data are similar in quality and relevance to the existing studies and would not alter the assessment. </w:t>
      </w:r>
      <w:r>
        <w:rPr>
          <w:rFonts w:eastAsia="Times New Roman" w:cs="Times New Roman"/>
          <w:color w:val="000000"/>
          <w:szCs w:val="20"/>
          <w:lang w:eastAsia="en-AU"/>
        </w:rPr>
        <w:t>ESC noted the s</w:t>
      </w:r>
      <w:r w:rsidRPr="00DC2288">
        <w:rPr>
          <w:rFonts w:eastAsia="Times New Roman" w:cs="Times New Roman"/>
          <w:color w:val="000000"/>
          <w:szCs w:val="20"/>
          <w:lang w:eastAsia="en-AU"/>
        </w:rPr>
        <w:t xml:space="preserve">tudies of the comparator (radiation therapy) </w:t>
      </w:r>
      <w:r>
        <w:rPr>
          <w:rFonts w:eastAsia="Times New Roman" w:cs="Times New Roman"/>
          <w:color w:val="000000"/>
          <w:szCs w:val="20"/>
          <w:lang w:eastAsia="en-AU"/>
        </w:rPr>
        <w:t>reported</w:t>
      </w:r>
      <w:r w:rsidRPr="00DC2288">
        <w:rPr>
          <w:rFonts w:eastAsia="Times New Roman" w:cs="Times New Roman"/>
          <w:color w:val="000000"/>
          <w:szCs w:val="20"/>
          <w:lang w:eastAsia="en-AU"/>
        </w:rPr>
        <w:t xml:space="preserve"> complete response in more than 95% of patients, and cosmesis outcomes were generally excellent or good. </w:t>
      </w:r>
      <w:r>
        <w:rPr>
          <w:rFonts w:eastAsia="Times New Roman" w:cs="Times New Roman"/>
          <w:color w:val="000000"/>
          <w:szCs w:val="20"/>
          <w:lang w:eastAsia="en-AU"/>
        </w:rPr>
        <w:t xml:space="preserve">However, </w:t>
      </w:r>
      <w:r w:rsidRPr="00DC2288">
        <w:rPr>
          <w:rFonts w:eastAsia="Times New Roman" w:cs="Times New Roman"/>
          <w:color w:val="000000"/>
          <w:szCs w:val="20"/>
          <w:lang w:eastAsia="en-AU"/>
        </w:rPr>
        <w:t>ESC noted several limitations</w:t>
      </w:r>
      <w:r>
        <w:rPr>
          <w:rFonts w:eastAsia="Times New Roman" w:cs="Times New Roman"/>
          <w:color w:val="000000"/>
          <w:szCs w:val="20"/>
          <w:lang w:eastAsia="en-AU"/>
        </w:rPr>
        <w:t xml:space="preserve"> of</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the</w:t>
      </w:r>
      <w:r w:rsidRPr="00DC2288">
        <w:rPr>
          <w:rFonts w:eastAsia="Times New Roman" w:cs="Times New Roman"/>
          <w:color w:val="000000"/>
          <w:szCs w:val="20"/>
          <w:lang w:eastAsia="en-AU"/>
        </w:rPr>
        <w:t xml:space="preserve"> studies </w:t>
      </w:r>
      <w:r>
        <w:rPr>
          <w:rFonts w:eastAsia="Times New Roman" w:cs="Times New Roman"/>
          <w:color w:val="000000"/>
          <w:szCs w:val="20"/>
          <w:lang w:eastAsia="en-AU"/>
        </w:rPr>
        <w:t xml:space="preserve">were </w:t>
      </w:r>
      <w:r w:rsidRPr="00DC2288">
        <w:rPr>
          <w:rFonts w:eastAsia="Times New Roman" w:cs="Times New Roman"/>
          <w:color w:val="000000"/>
          <w:szCs w:val="20"/>
          <w:lang w:eastAsia="en-AU"/>
        </w:rPr>
        <w:t>highlighted by the commentary, including the mix of different radiation technologies</w:t>
      </w:r>
      <w:r>
        <w:rPr>
          <w:rFonts w:eastAsia="Times New Roman" w:cs="Times New Roman"/>
          <w:color w:val="000000"/>
          <w:szCs w:val="20"/>
          <w:lang w:eastAsia="en-AU"/>
        </w:rPr>
        <w:t xml:space="preserve"> using a wide variation in fractionations, evidence spanning 5 decades, and unclear lesion depth/diameters</w:t>
      </w:r>
      <w:r w:rsidRPr="00DC2288">
        <w:rPr>
          <w:rFonts w:eastAsia="Times New Roman" w:cs="Times New Roman"/>
          <w:color w:val="000000"/>
          <w:szCs w:val="20"/>
          <w:lang w:eastAsia="en-AU"/>
        </w:rPr>
        <w:t xml:space="preserve">. </w:t>
      </w:r>
    </w:p>
    <w:p w14:paraId="2F4836C0"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also noted the interim statistical analysis provided by the applicant from an ongoing international </w:t>
      </w:r>
      <w:r>
        <w:rPr>
          <w:rFonts w:eastAsia="Times New Roman" w:cs="Times New Roman"/>
          <w:color w:val="000000"/>
          <w:szCs w:val="20"/>
          <w:lang w:eastAsia="en-AU"/>
        </w:rPr>
        <w:t>phase IV open label single-arm study</w:t>
      </w:r>
      <w:r w:rsidRPr="00DC2288">
        <w:rPr>
          <w:rFonts w:eastAsia="Times New Roman" w:cs="Times New Roman"/>
          <w:color w:val="000000"/>
          <w:szCs w:val="20"/>
          <w:lang w:eastAsia="en-AU"/>
        </w:rPr>
        <w:t xml:space="preserve"> (the EPIC</w:t>
      </w:r>
      <w:r>
        <w:rPr>
          <w:rFonts w:eastAsia="Times New Roman" w:cs="Times New Roman"/>
          <w:color w:val="000000"/>
          <w:szCs w:val="20"/>
          <w:lang w:eastAsia="en-AU"/>
        </w:rPr>
        <w:t>-Skin</w:t>
      </w:r>
      <w:r>
        <w:rPr>
          <w:rStyle w:val="FootnoteReference"/>
          <w:rFonts w:eastAsia="Times New Roman" w:cs="Times New Roman"/>
          <w:color w:val="000000"/>
          <w:szCs w:val="20"/>
          <w:lang w:eastAsia="en-AU"/>
        </w:rPr>
        <w:footnoteReference w:id="25"/>
      </w:r>
      <w:r w:rsidRPr="00DC2288">
        <w:rPr>
          <w:rFonts w:eastAsia="Times New Roman" w:cs="Times New Roman"/>
          <w:color w:val="000000"/>
          <w:szCs w:val="20"/>
          <w:lang w:eastAsia="en-AU"/>
        </w:rPr>
        <w:t xml:space="preserve"> study) with recruitment sites in Australia.</w:t>
      </w:r>
      <w:r>
        <w:rPr>
          <w:rFonts w:eastAsia="Times New Roman" w:cs="Times New Roman"/>
          <w:color w:val="000000"/>
          <w:szCs w:val="20"/>
          <w:lang w:eastAsia="en-AU"/>
        </w:rPr>
        <w:t xml:space="preserve"> The study (N=182) aims to evaluate the response to Re-188 brachytherapy in patients with non-melanoma skin cancer.</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80% of patients had BCC, while 20% had SCC. Patients with lesions located on genitalia were not included in the study. </w:t>
      </w:r>
      <w:r w:rsidRPr="00DC2288">
        <w:rPr>
          <w:rFonts w:eastAsia="Times New Roman" w:cs="Times New Roman"/>
          <w:color w:val="000000"/>
          <w:szCs w:val="20"/>
          <w:lang w:eastAsia="en-AU"/>
        </w:rPr>
        <w:t>The interim analysis indicated complete response in 97.2% of patients at 6 months, and the majority of patients had no pain or discomfort at 14 days. However, 24 patients experienced adverse events (such as pain, swelling and wound infection), and one patient had a serious adverse event</w:t>
      </w:r>
      <w:r>
        <w:rPr>
          <w:rFonts w:eastAsia="Times New Roman" w:cs="Times New Roman"/>
          <w:color w:val="000000"/>
          <w:szCs w:val="20"/>
          <w:lang w:eastAsia="en-AU"/>
        </w:rPr>
        <w:t xml:space="preserve"> relating to wound healing</w:t>
      </w:r>
      <w:r w:rsidRPr="00DC2288">
        <w:rPr>
          <w:rFonts w:eastAsia="Times New Roman" w:cs="Times New Roman"/>
          <w:color w:val="000000"/>
          <w:szCs w:val="20"/>
          <w:lang w:eastAsia="en-AU"/>
        </w:rPr>
        <w:t>.  ESC queried whether it may be appropriate to wait for these study results to be published (noting that primary completion is not expected before the end of 2023) and to request data on Australian patient outcomes. ESC also queried whether, to align with the EPIC</w:t>
      </w:r>
      <w:r>
        <w:rPr>
          <w:rFonts w:eastAsia="Times New Roman" w:cs="Times New Roman"/>
          <w:color w:val="000000"/>
          <w:szCs w:val="20"/>
          <w:lang w:eastAsia="en-AU"/>
        </w:rPr>
        <w:t>-Skin</w:t>
      </w:r>
      <w:r w:rsidRPr="00DC2288">
        <w:rPr>
          <w:rFonts w:eastAsia="Times New Roman" w:cs="Times New Roman"/>
          <w:color w:val="000000"/>
          <w:szCs w:val="20"/>
          <w:lang w:eastAsia="en-AU"/>
        </w:rPr>
        <w:t xml:space="preserve"> study, the </w:t>
      </w:r>
      <w:r w:rsidRPr="00DC2288">
        <w:rPr>
          <w:rFonts w:eastAsia="Times New Roman" w:cs="Times New Roman"/>
          <w:color w:val="000000"/>
          <w:szCs w:val="20"/>
          <w:lang w:eastAsia="en-AU"/>
        </w:rPr>
        <w:lastRenderedPageBreak/>
        <w:t xml:space="preserve">MBS item descriptor should be limited to </w:t>
      </w:r>
      <w:r>
        <w:rPr>
          <w:rFonts w:eastAsia="Times New Roman" w:cs="Times New Roman"/>
          <w:color w:val="000000"/>
          <w:szCs w:val="20"/>
          <w:lang w:eastAsia="en-AU"/>
        </w:rPr>
        <w:t>BCC</w:t>
      </w:r>
      <w:r w:rsidRPr="00DC2288">
        <w:rPr>
          <w:rFonts w:eastAsia="Times New Roman" w:cs="Times New Roman"/>
          <w:color w:val="000000"/>
          <w:szCs w:val="20"/>
          <w:lang w:eastAsia="en-AU"/>
        </w:rPr>
        <w:t xml:space="preserve"> and should not include</w:t>
      </w:r>
      <w:r>
        <w:rPr>
          <w:rFonts w:eastAsia="Times New Roman" w:cs="Times New Roman"/>
          <w:color w:val="000000"/>
          <w:szCs w:val="20"/>
          <w:lang w:eastAsia="en-AU"/>
        </w:rPr>
        <w:t xml:space="preserve"> lesions located on</w:t>
      </w:r>
      <w:r w:rsidRPr="00DC2288">
        <w:rPr>
          <w:rFonts w:eastAsia="Times New Roman" w:cs="Times New Roman"/>
          <w:color w:val="000000"/>
          <w:szCs w:val="20"/>
          <w:lang w:eastAsia="en-AU"/>
        </w:rPr>
        <w:t xml:space="preserve"> genitalia.</w:t>
      </w:r>
    </w:p>
    <w:p w14:paraId="00691DC0" w14:textId="77777777" w:rsidR="00F76D74" w:rsidRPr="00DC2288" w:rsidRDefault="00F76D74" w:rsidP="00F76D74">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based on the evidence presented in the ADAR, t</w:t>
      </w:r>
      <w:r w:rsidRPr="00DC2288">
        <w:rPr>
          <w:rFonts w:eastAsia="Times New Roman" w:cs="Times New Roman"/>
          <w:color w:val="000000"/>
          <w:szCs w:val="20"/>
          <w:lang w:eastAsia="en-AU"/>
        </w:rPr>
        <w:t>he applicant proposed that Re-188</w:t>
      </w:r>
      <w:r>
        <w:rPr>
          <w:rFonts w:eastAsia="Times New Roman" w:cs="Times New Roman"/>
          <w:color w:val="000000"/>
          <w:szCs w:val="20"/>
          <w:lang w:eastAsia="en-AU"/>
        </w:rPr>
        <w:t xml:space="preserve"> brachytherapy</w:t>
      </w:r>
      <w:r w:rsidRPr="00DC2288">
        <w:rPr>
          <w:rFonts w:eastAsia="Times New Roman" w:cs="Times New Roman"/>
          <w:color w:val="000000"/>
          <w:szCs w:val="20"/>
          <w:lang w:eastAsia="en-AU"/>
        </w:rPr>
        <w:t xml:space="preserve"> is likely to provide similar effectiveness and safety to fractionated regimen external beam radiation therapy. However, </w:t>
      </w:r>
      <w:r>
        <w:rPr>
          <w:rFonts w:eastAsia="Times New Roman" w:cs="Times New Roman"/>
          <w:color w:val="000000"/>
          <w:szCs w:val="20"/>
          <w:lang w:eastAsia="en-AU"/>
        </w:rPr>
        <w:t>ESC agreed with</w:t>
      </w:r>
      <w:r w:rsidRPr="00DC2288">
        <w:rPr>
          <w:rFonts w:eastAsia="Times New Roman" w:cs="Times New Roman"/>
          <w:color w:val="000000"/>
          <w:szCs w:val="20"/>
          <w:lang w:eastAsia="en-AU"/>
        </w:rPr>
        <w:t xml:space="preserve"> the commentary that the available evidence does not support a conclusion of </w:t>
      </w:r>
      <w:r>
        <w:rPr>
          <w:rFonts w:eastAsia="Times New Roman" w:cs="Times New Roman"/>
          <w:color w:val="000000"/>
          <w:szCs w:val="20"/>
          <w:lang w:eastAsia="en-AU"/>
        </w:rPr>
        <w:t>non-inferior comparative safety and effectiveness</w:t>
      </w:r>
      <w:r w:rsidRPr="00DC2288">
        <w:rPr>
          <w:rFonts w:eastAsia="Times New Roman" w:cs="Times New Roman"/>
          <w:color w:val="000000"/>
          <w:szCs w:val="20"/>
          <w:lang w:eastAsia="en-AU"/>
        </w:rPr>
        <w:t xml:space="preserve"> due to the low quality and low certainty of Re-188 studies</w:t>
      </w:r>
      <w:r>
        <w:rPr>
          <w:rFonts w:eastAsia="Times New Roman" w:cs="Times New Roman"/>
          <w:color w:val="000000"/>
          <w:szCs w:val="20"/>
          <w:lang w:eastAsia="en-AU"/>
        </w:rPr>
        <w:t xml:space="preserve"> and lack of comparative evidence. ESC also agreed with the commentary that a conclusion of uncertain comparative safety and effectiveness of Re-188 brachytherapy versus EBRT is more appropriate</w:t>
      </w:r>
      <w:r w:rsidRPr="00DC2288">
        <w:rPr>
          <w:rFonts w:eastAsia="Times New Roman" w:cs="Times New Roman"/>
          <w:color w:val="000000"/>
          <w:szCs w:val="20"/>
          <w:lang w:eastAsia="en-AU"/>
        </w:rPr>
        <w:t>.</w:t>
      </w:r>
    </w:p>
    <w:p w14:paraId="5BA6F27D" w14:textId="77777777" w:rsidR="00F76D74"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the economic evaluation was a cost comparison</w:t>
      </w:r>
      <w:r>
        <w:rPr>
          <w:rFonts w:eastAsia="Times New Roman" w:cs="Times New Roman"/>
          <w:color w:val="000000"/>
          <w:szCs w:val="20"/>
          <w:lang w:eastAsia="en-AU"/>
        </w:rPr>
        <w:t xml:space="preserve"> that compared the </w:t>
      </w:r>
      <w:r w:rsidRPr="00EC5F16">
        <w:rPr>
          <w:rFonts w:eastAsia="Times New Roman" w:cs="Times New Roman"/>
          <w:color w:val="000000"/>
          <w:szCs w:val="20"/>
          <w:lang w:eastAsia="en-AU"/>
        </w:rPr>
        <w:t>MBS funded healthcare resources for Re-188 brachytherapy</w:t>
      </w:r>
      <w:r>
        <w:rPr>
          <w:rFonts w:eastAsia="Times New Roman" w:cs="Times New Roman"/>
          <w:color w:val="000000"/>
          <w:szCs w:val="20"/>
          <w:lang w:eastAsia="en-AU"/>
        </w:rPr>
        <w:t xml:space="preserve"> against EBRT. ESC noted that while a</w:t>
      </w:r>
      <w:r w:rsidRPr="00DC2288">
        <w:rPr>
          <w:rFonts w:eastAsia="Times New Roman" w:cs="Times New Roman"/>
          <w:color w:val="000000"/>
          <w:szCs w:val="20"/>
          <w:lang w:eastAsia="en-AU"/>
        </w:rPr>
        <w:t xml:space="preserve"> cost-effectiveness or cost utility analysis </w:t>
      </w:r>
      <w:r>
        <w:rPr>
          <w:rFonts w:eastAsia="Times New Roman" w:cs="Times New Roman"/>
          <w:color w:val="000000"/>
          <w:szCs w:val="20"/>
          <w:lang w:eastAsia="en-AU"/>
        </w:rPr>
        <w:t xml:space="preserve">was </w:t>
      </w:r>
      <w:r w:rsidRPr="00DC2288">
        <w:rPr>
          <w:rFonts w:eastAsia="Times New Roman" w:cs="Times New Roman"/>
          <w:color w:val="000000"/>
          <w:szCs w:val="20"/>
          <w:lang w:eastAsia="en-AU"/>
        </w:rPr>
        <w:t xml:space="preserve">proposed in the </w:t>
      </w:r>
      <w:r>
        <w:rPr>
          <w:rFonts w:eastAsia="Times New Roman" w:cs="Times New Roman"/>
          <w:color w:val="000000"/>
          <w:szCs w:val="20"/>
          <w:lang w:eastAsia="en-AU"/>
        </w:rPr>
        <w:t>ratified</w:t>
      </w:r>
      <w:r w:rsidRPr="00DC2288">
        <w:rPr>
          <w:rFonts w:eastAsia="Times New Roman" w:cs="Times New Roman"/>
          <w:color w:val="000000"/>
          <w:szCs w:val="20"/>
          <w:lang w:eastAsia="en-AU"/>
        </w:rPr>
        <w:t xml:space="preserve"> PICO</w:t>
      </w:r>
      <w:r>
        <w:rPr>
          <w:rFonts w:eastAsia="Times New Roman" w:cs="Times New Roman"/>
          <w:color w:val="000000"/>
          <w:szCs w:val="20"/>
          <w:lang w:eastAsia="en-AU"/>
        </w:rPr>
        <w:t xml:space="preserve"> confirmation, the ADAR justified using the cost-comparison approach on the basis that the clinical claim had been downgraded to non-inferior safety and effectiveness and due to a limited availability of data</w:t>
      </w:r>
      <w:r w:rsidRPr="00DC2288">
        <w:rPr>
          <w:rFonts w:eastAsia="Times New Roman" w:cs="Times New Roman"/>
          <w:color w:val="000000"/>
          <w:szCs w:val="20"/>
          <w:lang w:eastAsia="en-AU"/>
        </w:rPr>
        <w:t xml:space="preserve">. ESC considered that this </w:t>
      </w:r>
      <w:r>
        <w:rPr>
          <w:rFonts w:eastAsia="Times New Roman" w:cs="Times New Roman"/>
          <w:color w:val="000000"/>
          <w:szCs w:val="20"/>
          <w:lang w:eastAsia="en-AU"/>
        </w:rPr>
        <w:t>may be</w:t>
      </w:r>
      <w:r w:rsidRPr="00DC2288">
        <w:rPr>
          <w:rFonts w:eastAsia="Times New Roman" w:cs="Times New Roman"/>
          <w:color w:val="000000"/>
          <w:szCs w:val="20"/>
          <w:lang w:eastAsia="en-AU"/>
        </w:rPr>
        <w:t xml:space="preserve"> appropriate due to the limited clinical evidence, differences in cost structure between the intervention and the comparator, and the absence of existing economic evaluations. </w:t>
      </w:r>
    </w:p>
    <w:p w14:paraId="2EB197E7"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w:t>
      </w:r>
      <w:r>
        <w:rPr>
          <w:rFonts w:eastAsia="Times New Roman" w:cs="Times New Roman"/>
          <w:color w:val="000000"/>
          <w:szCs w:val="20"/>
          <w:lang w:eastAsia="en-AU"/>
        </w:rPr>
        <w:t>noted</w:t>
      </w:r>
      <w:r w:rsidRPr="00DC2288">
        <w:rPr>
          <w:rFonts w:eastAsia="Times New Roman" w:cs="Times New Roman"/>
          <w:color w:val="000000"/>
          <w:szCs w:val="20"/>
          <w:lang w:eastAsia="en-AU"/>
        </w:rPr>
        <w:t xml:space="preserve"> that there was limited evidence to support the cost</w:t>
      </w:r>
      <w:r>
        <w:rPr>
          <w:rFonts w:eastAsia="Times New Roman" w:cs="Times New Roman"/>
          <w:color w:val="000000"/>
          <w:szCs w:val="20"/>
          <w:lang w:eastAsia="en-AU"/>
        </w:rPr>
        <w:t>ing</w:t>
      </w:r>
      <w:r w:rsidRPr="00DC2288">
        <w:rPr>
          <w:rFonts w:eastAsia="Times New Roman" w:cs="Times New Roman"/>
          <w:color w:val="000000"/>
          <w:szCs w:val="20"/>
          <w:lang w:eastAsia="en-AU"/>
        </w:rPr>
        <w:t xml:space="preserve"> of Re-188 brachytherapy</w:t>
      </w:r>
      <w:r>
        <w:rPr>
          <w:rFonts w:eastAsia="Times New Roman" w:cs="Times New Roman"/>
          <w:color w:val="000000"/>
          <w:szCs w:val="20"/>
          <w:lang w:eastAsia="en-AU"/>
        </w:rPr>
        <w:t xml:space="preserve"> reported in the ADAR</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considered t</w:t>
      </w:r>
      <w:r w:rsidRPr="00DC2288">
        <w:rPr>
          <w:rFonts w:eastAsia="Times New Roman" w:cs="Times New Roman"/>
          <w:color w:val="000000"/>
          <w:szCs w:val="20"/>
          <w:lang w:eastAsia="en-AU"/>
        </w:rPr>
        <w:t>he lesion sizes that corresponded to the three MBS items to be arbitrary, but</w:t>
      </w:r>
      <w:r>
        <w:rPr>
          <w:rFonts w:eastAsia="Times New Roman" w:cs="Times New Roman"/>
          <w:color w:val="000000"/>
          <w:szCs w:val="20"/>
          <w:lang w:eastAsia="en-AU"/>
        </w:rPr>
        <w:t xml:space="preserve"> were</w:t>
      </w:r>
      <w:r w:rsidRPr="00DC2288">
        <w:rPr>
          <w:rFonts w:eastAsia="Times New Roman" w:cs="Times New Roman"/>
          <w:color w:val="000000"/>
          <w:szCs w:val="20"/>
          <w:lang w:eastAsia="en-AU"/>
        </w:rPr>
        <w:t xml:space="preserve"> consistent with the ratified PICO</w:t>
      </w:r>
      <w:r>
        <w:rPr>
          <w:rFonts w:eastAsia="Times New Roman" w:cs="Times New Roman"/>
          <w:color w:val="000000"/>
          <w:szCs w:val="20"/>
          <w:lang w:eastAsia="en-AU"/>
        </w:rPr>
        <w:t xml:space="preserve"> confirmation. ESC considered that further justification for each of </w:t>
      </w:r>
      <w:r w:rsidRPr="00DC2288">
        <w:rPr>
          <w:rFonts w:eastAsia="Times New Roman" w:cs="Times New Roman"/>
          <w:color w:val="000000"/>
          <w:szCs w:val="20"/>
          <w:lang w:eastAsia="en-AU"/>
        </w:rPr>
        <w:t xml:space="preserve">the cost components </w:t>
      </w:r>
      <w:r>
        <w:rPr>
          <w:rFonts w:eastAsia="Times New Roman" w:cs="Times New Roman"/>
          <w:color w:val="000000"/>
          <w:szCs w:val="20"/>
          <w:lang w:eastAsia="en-AU"/>
        </w:rPr>
        <w:t>for the proposed MBS fees was required</w:t>
      </w:r>
      <w:r w:rsidRPr="00DC2288">
        <w:rPr>
          <w:rFonts w:eastAsia="Times New Roman" w:cs="Times New Roman"/>
          <w:color w:val="000000"/>
          <w:szCs w:val="20"/>
          <w:lang w:eastAsia="en-AU"/>
        </w:rPr>
        <w:t>. For example, the costs include both a technician and a nurse at the same cost</w:t>
      </w:r>
      <w:r>
        <w:rPr>
          <w:rFonts w:eastAsia="Times New Roman" w:cs="Times New Roman"/>
          <w:color w:val="000000"/>
          <w:szCs w:val="20"/>
          <w:lang w:eastAsia="en-AU"/>
        </w:rPr>
        <w:t xml:space="preserve">. However, </w:t>
      </w:r>
      <w:r w:rsidRPr="00DC2288">
        <w:rPr>
          <w:rFonts w:eastAsia="Times New Roman" w:cs="Times New Roman"/>
          <w:color w:val="000000"/>
          <w:szCs w:val="20"/>
          <w:lang w:eastAsia="en-AU"/>
        </w:rPr>
        <w:t xml:space="preserve">ESC considered </w:t>
      </w:r>
      <w:r>
        <w:rPr>
          <w:rFonts w:eastAsia="Times New Roman" w:cs="Times New Roman"/>
          <w:color w:val="000000"/>
          <w:szCs w:val="20"/>
          <w:lang w:eastAsia="en-AU"/>
        </w:rPr>
        <w:t>justification was required to demonstrate whether both</w:t>
      </w:r>
      <w:r w:rsidRPr="00DC2288">
        <w:rPr>
          <w:rFonts w:eastAsia="Times New Roman" w:cs="Times New Roman"/>
          <w:color w:val="000000"/>
          <w:szCs w:val="20"/>
          <w:lang w:eastAsia="en-AU"/>
        </w:rPr>
        <w:t xml:space="preserve"> technician </w:t>
      </w:r>
      <w:r>
        <w:rPr>
          <w:rFonts w:eastAsia="Times New Roman" w:cs="Times New Roman"/>
          <w:color w:val="000000"/>
          <w:szCs w:val="20"/>
          <w:lang w:eastAsia="en-AU"/>
        </w:rPr>
        <w:t>and</w:t>
      </w:r>
      <w:r w:rsidRPr="00DC2288">
        <w:rPr>
          <w:rFonts w:eastAsia="Times New Roman" w:cs="Times New Roman"/>
          <w:color w:val="000000"/>
          <w:szCs w:val="20"/>
          <w:lang w:eastAsia="en-AU"/>
        </w:rPr>
        <w:t xml:space="preserve"> nurse w</w:t>
      </w:r>
      <w:r>
        <w:rPr>
          <w:rFonts w:eastAsia="Times New Roman" w:cs="Times New Roman"/>
          <w:color w:val="000000"/>
          <w:szCs w:val="20"/>
          <w:lang w:eastAsia="en-AU"/>
        </w:rPr>
        <w:t>ere</w:t>
      </w:r>
      <w:r w:rsidRPr="00DC2288">
        <w:rPr>
          <w:rFonts w:eastAsia="Times New Roman" w:cs="Times New Roman"/>
          <w:color w:val="000000"/>
          <w:szCs w:val="20"/>
          <w:lang w:eastAsia="en-AU"/>
        </w:rPr>
        <w:t xml:space="preserve"> required, </w:t>
      </w:r>
      <w:r>
        <w:rPr>
          <w:rFonts w:eastAsia="Times New Roman" w:cs="Times New Roman"/>
          <w:color w:val="000000"/>
          <w:szCs w:val="20"/>
          <w:lang w:eastAsia="en-AU"/>
        </w:rPr>
        <w:t>and the cost for each</w:t>
      </w:r>
      <w:r w:rsidRPr="00DC2288">
        <w:rPr>
          <w:rFonts w:eastAsia="Times New Roman" w:cs="Times New Roman"/>
          <w:color w:val="000000"/>
          <w:szCs w:val="20"/>
          <w:lang w:eastAsia="en-AU"/>
        </w:rPr>
        <w:t xml:space="preserve">. </w:t>
      </w:r>
      <w:r>
        <w:t xml:space="preserve">ESC also noted that in estimating costs, such as </w:t>
      </w:r>
      <w:r w:rsidRPr="00077F76">
        <w:rPr>
          <w:rFonts w:eastAsia="Times New Roman" w:cs="Times New Roman"/>
          <w:color w:val="000000"/>
          <w:szCs w:val="20"/>
          <w:lang w:eastAsia="en-AU"/>
        </w:rPr>
        <w:t xml:space="preserve">amortisation of </w:t>
      </w:r>
      <w:r>
        <w:rPr>
          <w:rFonts w:eastAsia="Times New Roman" w:cs="Times New Roman"/>
          <w:color w:val="000000"/>
          <w:szCs w:val="20"/>
          <w:lang w:eastAsia="en-AU"/>
        </w:rPr>
        <w:t xml:space="preserve">capital </w:t>
      </w:r>
      <w:r w:rsidRPr="00077F76">
        <w:rPr>
          <w:rFonts w:eastAsia="Times New Roman" w:cs="Times New Roman"/>
          <w:color w:val="000000"/>
          <w:szCs w:val="20"/>
          <w:lang w:eastAsia="en-AU"/>
        </w:rPr>
        <w:t>equipment</w:t>
      </w:r>
      <w:r>
        <w:rPr>
          <w:rFonts w:eastAsia="Times New Roman" w:cs="Times New Roman"/>
          <w:color w:val="000000"/>
          <w:szCs w:val="20"/>
          <w:lang w:eastAsia="en-AU"/>
        </w:rPr>
        <w:t xml:space="preserve">, the applicant had assumed </w:t>
      </w:r>
      <w:r w:rsidRPr="00BE5AF0">
        <w:rPr>
          <w:rFonts w:eastAsia="Times New Roman" w:cs="Times New Roman"/>
          <w:color w:val="000000"/>
          <w:szCs w:val="20"/>
          <w:lang w:eastAsia="en-AU"/>
        </w:rPr>
        <w:t>260 clinic days per year and 8 patients per day</w:t>
      </w:r>
      <w:r>
        <w:rPr>
          <w:rFonts w:eastAsia="Times New Roman" w:cs="Times New Roman"/>
          <w:color w:val="000000"/>
          <w:szCs w:val="20"/>
          <w:lang w:eastAsia="en-AU"/>
        </w:rPr>
        <w:t xml:space="preserve"> (2080 patients per year)</w:t>
      </w:r>
      <w:r w:rsidRPr="00077F76">
        <w:rPr>
          <w:rFonts w:eastAsia="Times New Roman" w:cs="Times New Roman"/>
          <w:color w:val="000000"/>
          <w:szCs w:val="20"/>
          <w:lang w:eastAsia="en-AU"/>
        </w:rPr>
        <w:t xml:space="preserve">. </w:t>
      </w:r>
      <w:r>
        <w:rPr>
          <w:rFonts w:eastAsia="Times New Roman" w:cs="Times New Roman"/>
          <w:color w:val="000000"/>
          <w:szCs w:val="20"/>
          <w:lang w:eastAsia="en-AU"/>
        </w:rPr>
        <w:t>ESC queried whether this was a robust estimate of the likely throughput in a private clinic and given the applicant’s estimated utilisation</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(i.e., 500 patients in year 1). </w:t>
      </w:r>
      <w:r w:rsidRPr="00DC2288">
        <w:rPr>
          <w:rFonts w:eastAsia="Times New Roman" w:cs="Times New Roman"/>
          <w:color w:val="000000"/>
          <w:szCs w:val="20"/>
          <w:lang w:eastAsia="en-AU"/>
        </w:rPr>
        <w:t>ESC</w:t>
      </w:r>
      <w:r>
        <w:rPr>
          <w:rFonts w:eastAsia="Times New Roman" w:cs="Times New Roman"/>
          <w:color w:val="000000"/>
          <w:szCs w:val="20"/>
          <w:lang w:eastAsia="en-AU"/>
        </w:rPr>
        <w:t xml:space="preserve"> also</w:t>
      </w:r>
      <w:r w:rsidRPr="00DC2288">
        <w:rPr>
          <w:rFonts w:eastAsia="Times New Roman" w:cs="Times New Roman"/>
          <w:color w:val="000000"/>
          <w:szCs w:val="20"/>
          <w:lang w:eastAsia="en-AU"/>
        </w:rPr>
        <w:t xml:space="preserve"> noted that the cost of one carpoule of Re-188 was $14,000, but it was not clear whether one carpoule can treat up to 18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xml:space="preserve"> (as stated in the applicant-developed assessment report [ADAR]) or up to 25 cm</w:t>
      </w:r>
      <w:r w:rsidRPr="00DC2288">
        <w:rPr>
          <w:rFonts w:eastAsia="Times New Roman" w:cs="Times New Roman"/>
          <w:color w:val="000000"/>
          <w:szCs w:val="20"/>
          <w:vertAlign w:val="superscript"/>
          <w:lang w:eastAsia="en-AU"/>
        </w:rPr>
        <w:t>2</w:t>
      </w:r>
      <w:r w:rsidRPr="00DC2288">
        <w:rPr>
          <w:rFonts w:eastAsia="Times New Roman" w:cs="Times New Roman"/>
          <w:color w:val="000000"/>
          <w:szCs w:val="20"/>
          <w:lang w:eastAsia="en-AU"/>
        </w:rPr>
        <w:t xml:space="preserve"> (as stated in the ratified PICO</w:t>
      </w:r>
      <w:r>
        <w:rPr>
          <w:rFonts w:eastAsia="Times New Roman" w:cs="Times New Roman"/>
          <w:color w:val="000000"/>
          <w:szCs w:val="20"/>
          <w:lang w:eastAsia="en-AU"/>
        </w:rPr>
        <w:t xml:space="preserve"> confirmation</w:t>
      </w:r>
      <w:r w:rsidRPr="00DC2288">
        <w:rPr>
          <w:rFonts w:eastAsia="Times New Roman" w:cs="Times New Roman"/>
          <w:color w:val="000000"/>
          <w:szCs w:val="20"/>
          <w:lang w:eastAsia="en-AU"/>
        </w:rPr>
        <w:t xml:space="preserve">). </w:t>
      </w:r>
      <w:r w:rsidRPr="00E202BB">
        <w:t>ESC noted that if one carpoule can treat an area of 25 cm</w:t>
      </w:r>
      <w:r w:rsidRPr="00E202BB">
        <w:rPr>
          <w:vertAlign w:val="superscript"/>
        </w:rPr>
        <w:t>2</w:t>
      </w:r>
      <w:r w:rsidRPr="00E202BB">
        <w:t>, the cost across the 3 proposed items reduces from $3,420 - $6,720 (if assume 18 cm</w:t>
      </w:r>
      <w:r w:rsidRPr="00E202BB">
        <w:rPr>
          <w:vertAlign w:val="superscript"/>
        </w:rPr>
        <w:t>2</w:t>
      </w:r>
      <w:r w:rsidRPr="00E202BB">
        <w:t>) to $2,930 - $5,338 (if assume 25 cm</w:t>
      </w:r>
      <w:r w:rsidRPr="00E202BB">
        <w:rPr>
          <w:vertAlign w:val="superscript"/>
        </w:rPr>
        <w:t>2</w:t>
      </w:r>
      <w:r w:rsidRPr="00E202BB">
        <w:t xml:space="preserve">). The </w:t>
      </w:r>
      <w:r>
        <w:t>appropriate</w:t>
      </w:r>
      <w:r w:rsidRPr="00E202BB">
        <w:t xml:space="preserve"> area (18 cm</w:t>
      </w:r>
      <w:r w:rsidRPr="00E202BB">
        <w:rPr>
          <w:vertAlign w:val="superscript"/>
        </w:rPr>
        <w:t>2</w:t>
      </w:r>
      <w:r w:rsidRPr="00E202BB">
        <w:t xml:space="preserve"> or 25 cm</w:t>
      </w:r>
      <w:r w:rsidRPr="00E202BB">
        <w:rPr>
          <w:vertAlign w:val="superscript"/>
        </w:rPr>
        <w:t>2</w:t>
      </w:r>
      <w:r w:rsidRPr="00E202BB">
        <w:t xml:space="preserve">) </w:t>
      </w:r>
      <w:r>
        <w:t xml:space="preserve">to inform the costings </w:t>
      </w:r>
      <w:r w:rsidRPr="00DC2288">
        <w:rPr>
          <w:rFonts w:eastAsia="Times New Roman" w:cs="Times New Roman"/>
          <w:color w:val="000000"/>
          <w:szCs w:val="20"/>
          <w:lang w:eastAsia="en-AU"/>
        </w:rPr>
        <w:t>should be confirmed</w:t>
      </w:r>
      <w:r>
        <w:rPr>
          <w:rFonts w:eastAsia="Times New Roman" w:cs="Times New Roman"/>
          <w:color w:val="000000"/>
          <w:szCs w:val="20"/>
          <w:lang w:eastAsia="en-AU"/>
        </w:rPr>
        <w:t xml:space="preserve"> and justified</w:t>
      </w:r>
      <w:r w:rsidRPr="00DC2288">
        <w:rPr>
          <w:rFonts w:eastAsia="Times New Roman" w:cs="Times New Roman"/>
          <w:color w:val="000000"/>
          <w:szCs w:val="20"/>
          <w:lang w:eastAsia="en-AU"/>
        </w:rPr>
        <w:t xml:space="preserve"> by the applicant in the pre-MSAC response. ESC noted that it would be essential to batch multiple patients for treatment from a single carpoule</w:t>
      </w:r>
      <w:r>
        <w:rPr>
          <w:rFonts w:eastAsia="Times New Roman" w:cs="Times New Roman"/>
          <w:color w:val="000000"/>
          <w:szCs w:val="20"/>
          <w:lang w:eastAsia="en-AU"/>
        </w:rPr>
        <w:t xml:space="preserve"> and queried whether this would be practical</w:t>
      </w:r>
      <w:r w:rsidRPr="00DC2288">
        <w:rPr>
          <w:rFonts w:eastAsia="Times New Roman" w:cs="Times New Roman"/>
          <w:color w:val="000000"/>
          <w:szCs w:val="20"/>
          <w:lang w:eastAsia="en-AU"/>
        </w:rPr>
        <w:t>; this was confirmed in the pre-ESC response</w:t>
      </w:r>
      <w:r>
        <w:rPr>
          <w:rFonts w:eastAsia="Times New Roman" w:cs="Times New Roman"/>
          <w:color w:val="000000"/>
          <w:szCs w:val="20"/>
          <w:lang w:eastAsia="en-AU"/>
        </w:rPr>
        <w:t xml:space="preserve"> which stated that batching is feasible</w:t>
      </w:r>
      <w:r w:rsidRPr="00DC2288">
        <w:rPr>
          <w:rFonts w:eastAsia="Times New Roman" w:cs="Times New Roman"/>
          <w:color w:val="000000"/>
          <w:szCs w:val="20"/>
          <w:lang w:eastAsia="en-AU"/>
        </w:rPr>
        <w:t xml:space="preserve">. </w:t>
      </w:r>
    </w:p>
    <w:p w14:paraId="6E1D4FC2" w14:textId="77777777" w:rsidR="00F76D74"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ESC noted that the costs for providing the service were calculated per patient for treatment of one lesion</w:t>
      </w:r>
      <w:r>
        <w:rPr>
          <w:rFonts w:eastAsia="Times New Roman" w:cs="Times New Roman"/>
          <w:color w:val="000000"/>
          <w:szCs w:val="20"/>
          <w:lang w:eastAsia="en-AU"/>
        </w:rPr>
        <w:t>.</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noted that while this all-inclusive approach may be reasonable,</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it </w:t>
      </w:r>
      <w:r w:rsidRPr="00DC2288">
        <w:rPr>
          <w:rFonts w:eastAsia="Times New Roman" w:cs="Times New Roman"/>
          <w:color w:val="000000"/>
          <w:szCs w:val="20"/>
          <w:lang w:eastAsia="en-AU"/>
        </w:rPr>
        <w:t xml:space="preserve">did not allow for economies of scale in staff costs, or any wastage costs of Re-188 (which would vary depending on how efficiently patients can be batched). </w:t>
      </w:r>
      <w:r>
        <w:rPr>
          <w:rFonts w:eastAsia="Times New Roman" w:cs="Times New Roman"/>
          <w:color w:val="000000"/>
          <w:szCs w:val="20"/>
          <w:lang w:eastAsia="en-AU"/>
        </w:rPr>
        <w:t xml:space="preserve">ESC noted that in estimating the </w:t>
      </w:r>
      <w:r w:rsidRPr="00A253B7">
        <w:rPr>
          <w:rFonts w:eastAsia="Times New Roman" w:cs="Times New Roman"/>
          <w:color w:val="000000"/>
          <w:szCs w:val="20"/>
          <w:lang w:eastAsia="en-AU"/>
        </w:rPr>
        <w:t>cost of the Re-188 compound for each of the lesion tiers</w:t>
      </w:r>
      <w:r>
        <w:rPr>
          <w:rFonts w:eastAsia="Times New Roman" w:cs="Times New Roman"/>
          <w:color w:val="000000"/>
          <w:szCs w:val="20"/>
          <w:lang w:eastAsia="en-AU"/>
        </w:rPr>
        <w:t xml:space="preserve">, the ADAR did not use accurate values for the midpoint of each lesion tier. </w:t>
      </w:r>
    </w:p>
    <w:p w14:paraId="7589B352" w14:textId="77777777" w:rsidR="00F76D74"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considered that the relationship between lesion size and fractionation range was unclear and uncertain. </w:t>
      </w:r>
      <w:r>
        <w:rPr>
          <w:rFonts w:eastAsia="Times New Roman" w:cs="Times New Roman"/>
          <w:color w:val="000000"/>
          <w:szCs w:val="20"/>
          <w:lang w:eastAsia="en-AU"/>
        </w:rPr>
        <w:t>This rendered uncertain the ADAR comparison between</w:t>
      </w:r>
      <w:r w:rsidRPr="00A2589D">
        <w:t xml:space="preserve"> </w:t>
      </w:r>
      <w:r w:rsidRPr="00A2589D">
        <w:rPr>
          <w:rFonts w:eastAsia="Times New Roman" w:cs="Times New Roman"/>
          <w:color w:val="000000"/>
          <w:szCs w:val="20"/>
          <w:lang w:eastAsia="en-AU"/>
        </w:rPr>
        <w:t xml:space="preserve">average treatment costs </w:t>
      </w:r>
      <w:r>
        <w:rPr>
          <w:rFonts w:eastAsia="Times New Roman" w:cs="Times New Roman"/>
          <w:color w:val="000000"/>
          <w:szCs w:val="20"/>
          <w:lang w:eastAsia="en-AU"/>
        </w:rPr>
        <w:t xml:space="preserve">of </w:t>
      </w:r>
      <w:r w:rsidRPr="00A2589D">
        <w:rPr>
          <w:rFonts w:eastAsia="Times New Roman" w:cs="Times New Roman"/>
          <w:color w:val="000000"/>
          <w:szCs w:val="20"/>
          <w:lang w:eastAsia="en-AU"/>
        </w:rPr>
        <w:t xml:space="preserve">Re-188 brachytherapy and EBRT </w:t>
      </w:r>
      <w:r>
        <w:rPr>
          <w:rFonts w:eastAsia="Times New Roman" w:cs="Times New Roman"/>
          <w:color w:val="000000"/>
          <w:szCs w:val="20"/>
          <w:lang w:eastAsia="en-AU"/>
        </w:rPr>
        <w:t xml:space="preserve">which relied on a </w:t>
      </w:r>
      <w:r w:rsidRPr="00021FA3">
        <w:rPr>
          <w:rFonts w:eastAsia="Times New Roman" w:cs="Times New Roman"/>
          <w:color w:val="000000"/>
          <w:szCs w:val="20"/>
          <w:lang w:eastAsia="en-AU"/>
        </w:rPr>
        <w:t xml:space="preserve">random simulation of 100 lesion sizes and fractionations </w:t>
      </w:r>
      <w:r>
        <w:rPr>
          <w:rFonts w:eastAsia="Times New Roman" w:cs="Times New Roman"/>
          <w:color w:val="000000"/>
          <w:szCs w:val="20"/>
          <w:lang w:eastAsia="en-AU"/>
        </w:rPr>
        <w:t xml:space="preserve">(range 10-30) </w:t>
      </w:r>
      <w:r w:rsidRPr="00021FA3">
        <w:rPr>
          <w:rFonts w:eastAsia="Times New Roman" w:cs="Times New Roman"/>
          <w:color w:val="000000"/>
          <w:szCs w:val="20"/>
          <w:lang w:eastAsia="en-AU"/>
        </w:rPr>
        <w:t>across a uniform distribution</w:t>
      </w:r>
      <w:r>
        <w:rPr>
          <w:rFonts w:eastAsia="Times New Roman" w:cs="Times New Roman"/>
          <w:color w:val="000000"/>
          <w:szCs w:val="20"/>
          <w:lang w:eastAsia="en-AU"/>
        </w:rPr>
        <w:t>. ESC noted the</w:t>
      </w:r>
      <w:r w:rsidRPr="000F33EF">
        <w:t xml:space="preserve"> </w:t>
      </w:r>
      <w:r w:rsidRPr="000F33EF">
        <w:rPr>
          <w:rFonts w:eastAsia="Times New Roman" w:cs="Times New Roman"/>
          <w:color w:val="000000"/>
          <w:szCs w:val="20"/>
          <w:lang w:eastAsia="en-AU"/>
        </w:rPr>
        <w:t>uniform distribution assumes all patients are equally likely to have a non-melanoma skin lesion of any size</w:t>
      </w:r>
      <w:r>
        <w:rPr>
          <w:rFonts w:eastAsia="Times New Roman" w:cs="Times New Roman"/>
          <w:color w:val="000000"/>
          <w:szCs w:val="20"/>
          <w:lang w:eastAsia="en-AU"/>
        </w:rPr>
        <w:t xml:space="preserve"> which is clinically unlikely</w:t>
      </w:r>
      <w:r w:rsidRPr="00A2589D">
        <w:rPr>
          <w:rFonts w:eastAsia="Times New Roman" w:cs="Times New Roman"/>
          <w:color w:val="000000"/>
          <w:szCs w:val="20"/>
          <w:lang w:eastAsia="en-AU"/>
        </w:rPr>
        <w:t>.</w:t>
      </w:r>
      <w:r>
        <w:rPr>
          <w:rFonts w:eastAsia="Times New Roman" w:cs="Times New Roman"/>
          <w:color w:val="000000"/>
          <w:szCs w:val="20"/>
          <w:lang w:eastAsia="en-AU"/>
        </w:rPr>
        <w:t xml:space="preserve"> </w:t>
      </w:r>
      <w:r w:rsidRPr="00DC2288">
        <w:rPr>
          <w:rFonts w:eastAsia="Times New Roman" w:cs="Times New Roman"/>
          <w:color w:val="000000"/>
          <w:szCs w:val="20"/>
          <w:lang w:eastAsia="en-AU"/>
        </w:rPr>
        <w:t>The commentary noted that the gray (Gy) range may be a more appropriate method to establish a relationship, and this would result in fewer fractions than that proposed by the applicant.</w:t>
      </w:r>
      <w:r>
        <w:rPr>
          <w:rFonts w:eastAsia="Times New Roman" w:cs="Times New Roman"/>
          <w:color w:val="000000"/>
          <w:szCs w:val="20"/>
          <w:lang w:eastAsia="en-AU"/>
        </w:rPr>
        <w:t xml:space="preserve"> ESC noted the ADAR assumed a fractionation range of 10-30 (with an average of 19.03) for EBRT which was not aligned with clinical guidelines or literature. ESC considered a </w:t>
      </w:r>
      <w:r>
        <w:rPr>
          <w:rFonts w:eastAsia="Times New Roman" w:cs="Times New Roman"/>
          <w:color w:val="000000"/>
          <w:szCs w:val="20"/>
          <w:lang w:eastAsia="en-AU"/>
        </w:rPr>
        <w:lastRenderedPageBreak/>
        <w:t xml:space="preserve">lower fractionation range with an average of 10 fractions would be more appropriate which was used to inform additional sensitivity analyses conducted by the Department for ESC (presented in Section 11, </w:t>
      </w:r>
      <w:r>
        <w:rPr>
          <w:rFonts w:eastAsia="Times New Roman" w:cs="Times New Roman"/>
          <w:color w:val="000000"/>
          <w:szCs w:val="20"/>
          <w:lang w:eastAsia="en-AU"/>
        </w:rPr>
        <w:fldChar w:fldCharType="begin"/>
      </w:r>
      <w:r>
        <w:rPr>
          <w:rFonts w:eastAsia="Times New Roman" w:cs="Times New Roman"/>
          <w:color w:val="000000"/>
          <w:szCs w:val="20"/>
          <w:lang w:eastAsia="en-AU"/>
        </w:rPr>
        <w:instrText xml:space="preserve"> REF _Ref133827073 \h </w:instrText>
      </w:r>
      <w:r>
        <w:rPr>
          <w:rFonts w:eastAsia="Times New Roman" w:cs="Times New Roman"/>
          <w:color w:val="000000"/>
          <w:szCs w:val="20"/>
          <w:lang w:eastAsia="en-AU"/>
        </w:rPr>
      </w:r>
      <w:r>
        <w:rPr>
          <w:rFonts w:eastAsia="Times New Roman" w:cs="Times New Roman"/>
          <w:color w:val="000000"/>
          <w:szCs w:val="20"/>
          <w:lang w:eastAsia="en-AU"/>
        </w:rPr>
        <w:fldChar w:fldCharType="separate"/>
      </w:r>
      <w:r>
        <w:t xml:space="preserve">Table </w:t>
      </w:r>
      <w:r>
        <w:rPr>
          <w:noProof/>
        </w:rPr>
        <w:t>14</w:t>
      </w:r>
      <w:r>
        <w:rPr>
          <w:rFonts w:eastAsia="Times New Roman" w:cs="Times New Roman"/>
          <w:color w:val="000000"/>
          <w:szCs w:val="20"/>
          <w:lang w:eastAsia="en-AU"/>
        </w:rPr>
        <w:fldChar w:fldCharType="end"/>
      </w:r>
      <w:r>
        <w:rPr>
          <w:rFonts w:eastAsia="Times New Roman" w:cs="Times New Roman"/>
          <w:color w:val="000000"/>
          <w:szCs w:val="20"/>
          <w:lang w:eastAsia="en-AU"/>
        </w:rPr>
        <w:t>).</w:t>
      </w:r>
      <w:r w:rsidRPr="00DC2288">
        <w:rPr>
          <w:rFonts w:eastAsia="Times New Roman" w:cs="Times New Roman"/>
          <w:color w:val="000000"/>
          <w:szCs w:val="20"/>
          <w:lang w:eastAsia="en-AU"/>
        </w:rPr>
        <w:t xml:space="preserve"> </w:t>
      </w:r>
    </w:p>
    <w:p w14:paraId="3EB135B8" w14:textId="77777777" w:rsidR="00F76D74" w:rsidRDefault="00F76D74" w:rsidP="00F76D74">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 xml:space="preserve">ESC noted the ADAR costed the comparator (EBRT- external beam radiation therapy) as a weighted cost using a 50/50 split between 3D megavoltage and intensity modulated radiation therapy/volumetric modulated arc therapy (IMRT/VMAT). However, </w:t>
      </w:r>
      <w:r w:rsidRPr="00DC2288">
        <w:rPr>
          <w:rFonts w:eastAsia="Times New Roman" w:cs="Times New Roman"/>
          <w:color w:val="000000"/>
          <w:szCs w:val="20"/>
          <w:lang w:eastAsia="en-AU"/>
        </w:rPr>
        <w:t xml:space="preserve">ESC noted that the </w:t>
      </w:r>
      <w:r>
        <w:rPr>
          <w:rFonts w:eastAsia="Times New Roman" w:cs="Times New Roman"/>
          <w:color w:val="000000"/>
          <w:szCs w:val="20"/>
          <w:lang w:eastAsia="en-AU"/>
        </w:rPr>
        <w:t>commentary</w:t>
      </w:r>
      <w:r w:rsidRPr="00DC2288">
        <w:rPr>
          <w:rFonts w:eastAsia="Times New Roman" w:cs="Times New Roman"/>
          <w:color w:val="000000"/>
          <w:szCs w:val="20"/>
          <w:lang w:eastAsia="en-AU"/>
        </w:rPr>
        <w:t xml:space="preserve"> had included </w:t>
      </w:r>
      <w:r>
        <w:rPr>
          <w:rFonts w:eastAsia="Times New Roman" w:cs="Times New Roman"/>
          <w:color w:val="000000"/>
          <w:szCs w:val="20"/>
          <w:lang w:eastAsia="en-AU"/>
        </w:rPr>
        <w:t xml:space="preserve">sensitivity analysis with a revised weighted EBRT cost which included </w:t>
      </w:r>
      <w:r w:rsidRPr="00DC2288">
        <w:rPr>
          <w:rFonts w:eastAsia="Times New Roman" w:cs="Times New Roman"/>
          <w:color w:val="000000"/>
          <w:szCs w:val="20"/>
          <w:lang w:eastAsia="en-AU"/>
        </w:rPr>
        <w:t xml:space="preserve">orthovoltage as </w:t>
      </w:r>
      <w:r>
        <w:rPr>
          <w:rFonts w:eastAsia="Times New Roman" w:cs="Times New Roman"/>
          <w:color w:val="000000"/>
          <w:szCs w:val="20"/>
          <w:lang w:eastAsia="en-AU"/>
        </w:rPr>
        <w:t>an additional EBRT modality</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(i.e., weighted EBRT cost assuming 90% orthovoltage, 5% 3D megavoltage and 5% IMRT/VMAT)</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ESC noted o</w:t>
      </w:r>
      <w:r w:rsidRPr="00DC2288">
        <w:rPr>
          <w:rFonts w:eastAsia="Times New Roman" w:cs="Times New Roman"/>
          <w:color w:val="000000"/>
          <w:szCs w:val="20"/>
          <w:lang w:eastAsia="en-AU"/>
        </w:rPr>
        <w:t xml:space="preserve">rthovoltage is </w:t>
      </w:r>
      <w:r>
        <w:rPr>
          <w:rFonts w:eastAsia="Times New Roman" w:cs="Times New Roman"/>
          <w:color w:val="000000"/>
          <w:szCs w:val="20"/>
          <w:lang w:eastAsia="en-AU"/>
        </w:rPr>
        <w:t>a</w:t>
      </w:r>
      <w:r w:rsidRPr="00DC2288">
        <w:rPr>
          <w:rFonts w:eastAsia="Times New Roman" w:cs="Times New Roman"/>
          <w:color w:val="000000"/>
          <w:szCs w:val="20"/>
          <w:lang w:eastAsia="en-AU"/>
        </w:rPr>
        <w:t xml:space="preserve"> common </w:t>
      </w:r>
      <w:r>
        <w:rPr>
          <w:rFonts w:eastAsia="Times New Roman" w:cs="Times New Roman"/>
          <w:color w:val="000000"/>
          <w:szCs w:val="20"/>
          <w:lang w:eastAsia="en-AU"/>
        </w:rPr>
        <w:t xml:space="preserve">EBRT </w:t>
      </w:r>
      <w:r w:rsidRPr="00DC2288">
        <w:rPr>
          <w:rFonts w:eastAsia="Times New Roman" w:cs="Times New Roman"/>
          <w:color w:val="000000"/>
          <w:szCs w:val="20"/>
          <w:lang w:eastAsia="en-AU"/>
        </w:rPr>
        <w:t>modality for</w:t>
      </w:r>
      <w:r>
        <w:rPr>
          <w:rFonts w:eastAsia="Times New Roman" w:cs="Times New Roman"/>
          <w:color w:val="000000"/>
          <w:szCs w:val="20"/>
          <w:lang w:eastAsia="en-AU"/>
        </w:rPr>
        <w:t xml:space="preserve"> treating</w:t>
      </w:r>
      <w:r w:rsidRPr="00DC2288">
        <w:rPr>
          <w:rFonts w:eastAsia="Times New Roman" w:cs="Times New Roman"/>
          <w:color w:val="000000"/>
          <w:szCs w:val="20"/>
          <w:lang w:eastAsia="en-AU"/>
        </w:rPr>
        <w:t xml:space="preserve"> keratinocyte cancers and is significantly less costly than </w:t>
      </w:r>
      <w:r>
        <w:rPr>
          <w:rFonts w:eastAsia="Times New Roman" w:cs="Times New Roman"/>
          <w:color w:val="000000"/>
          <w:szCs w:val="20"/>
          <w:lang w:eastAsia="en-AU"/>
        </w:rPr>
        <w:t xml:space="preserve">3D </w:t>
      </w:r>
      <w:r w:rsidRPr="00DC2288">
        <w:rPr>
          <w:rFonts w:eastAsia="Times New Roman" w:cs="Times New Roman"/>
          <w:color w:val="000000"/>
          <w:szCs w:val="20"/>
          <w:lang w:eastAsia="en-AU"/>
        </w:rPr>
        <w:t xml:space="preserve">megavoltage. Although the applicant </w:t>
      </w:r>
      <w:r>
        <w:rPr>
          <w:rFonts w:eastAsia="Times New Roman" w:cs="Times New Roman"/>
          <w:color w:val="000000"/>
          <w:szCs w:val="20"/>
          <w:lang w:eastAsia="en-AU"/>
        </w:rPr>
        <w:t xml:space="preserve">pre-ESC response </w:t>
      </w:r>
      <w:r w:rsidRPr="00DC2288">
        <w:rPr>
          <w:rFonts w:eastAsia="Times New Roman" w:cs="Times New Roman"/>
          <w:color w:val="000000"/>
          <w:szCs w:val="20"/>
          <w:lang w:eastAsia="en-AU"/>
        </w:rPr>
        <w:t xml:space="preserve">disagreed with including orthovoltage, ESC considered </w:t>
      </w:r>
      <w:r>
        <w:rPr>
          <w:rFonts w:eastAsia="Times New Roman" w:cs="Times New Roman"/>
          <w:color w:val="000000"/>
          <w:szCs w:val="20"/>
          <w:lang w:eastAsia="en-AU"/>
        </w:rPr>
        <w:t xml:space="preserve">it was appropriate to include </w:t>
      </w:r>
      <w:r w:rsidRPr="00DC2288">
        <w:rPr>
          <w:rFonts w:eastAsia="Times New Roman" w:cs="Times New Roman"/>
          <w:color w:val="000000"/>
          <w:szCs w:val="20"/>
          <w:lang w:eastAsia="en-AU"/>
        </w:rPr>
        <w:t xml:space="preserve">orthovoltage </w:t>
      </w:r>
      <w:r>
        <w:rPr>
          <w:rFonts w:eastAsia="Times New Roman" w:cs="Times New Roman"/>
          <w:color w:val="000000"/>
          <w:szCs w:val="20"/>
          <w:lang w:eastAsia="en-AU"/>
        </w:rPr>
        <w:t>as a comparator modality in the weighted EBRT cost</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However, ESC agreed that the 90% orthovoltage weighting may be high and suggested a lower weight may be more representative of current clinical practice (e.g., 20%-30% orthovoltage). ESC also considered patients in the target population would be treated with 2D electron EBRT rather than 3D megavoltage. Additional sensitivity analyses using 2D electron EBRT instead of 3D megavoltage costings and various weightings for the EBRT modalities were conducted by the department for ESC (</w:t>
      </w:r>
      <w:r>
        <w:rPr>
          <w:rFonts w:eastAsia="Times New Roman" w:cs="Times New Roman"/>
          <w:color w:val="000000"/>
          <w:szCs w:val="20"/>
          <w:lang w:eastAsia="en-AU"/>
        </w:rPr>
        <w:fldChar w:fldCharType="begin"/>
      </w:r>
      <w:r>
        <w:rPr>
          <w:rFonts w:eastAsia="Times New Roman" w:cs="Times New Roman"/>
          <w:color w:val="000000"/>
          <w:szCs w:val="20"/>
          <w:lang w:eastAsia="en-AU"/>
        </w:rPr>
        <w:instrText xml:space="preserve"> REF _Ref133827073 \h </w:instrText>
      </w:r>
      <w:r>
        <w:rPr>
          <w:rFonts w:eastAsia="Times New Roman" w:cs="Times New Roman"/>
          <w:color w:val="000000"/>
          <w:szCs w:val="20"/>
          <w:lang w:eastAsia="en-AU"/>
        </w:rPr>
      </w:r>
      <w:r>
        <w:rPr>
          <w:rFonts w:eastAsia="Times New Roman" w:cs="Times New Roman"/>
          <w:color w:val="000000"/>
          <w:szCs w:val="20"/>
          <w:lang w:eastAsia="en-AU"/>
        </w:rPr>
        <w:fldChar w:fldCharType="separate"/>
      </w:r>
      <w:r>
        <w:t xml:space="preserve">Table </w:t>
      </w:r>
      <w:r>
        <w:rPr>
          <w:noProof/>
        </w:rPr>
        <w:t>14</w:t>
      </w:r>
      <w:r>
        <w:rPr>
          <w:rFonts w:eastAsia="Times New Roman" w:cs="Times New Roman"/>
          <w:color w:val="000000"/>
          <w:szCs w:val="20"/>
          <w:lang w:eastAsia="en-AU"/>
        </w:rPr>
        <w:fldChar w:fldCharType="end"/>
      </w:r>
      <w:r>
        <w:rPr>
          <w:rFonts w:eastAsia="Times New Roman" w:cs="Times New Roman"/>
          <w:color w:val="000000"/>
          <w:szCs w:val="20"/>
          <w:lang w:eastAsia="en-AU"/>
        </w:rPr>
        <w:t xml:space="preserve">). </w:t>
      </w:r>
    </w:p>
    <w:p w14:paraId="2F66A119" w14:textId="77777777" w:rsidR="00F76D74" w:rsidRPr="00DC2288" w:rsidRDefault="00F76D74" w:rsidP="00F76D74">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 xml:space="preserve">ESC noted the ADAR cost comparison claimed that Re-188 brachytherapy provided a cost-saving of $1,648 per patient compared to EBRT. However, </w:t>
      </w:r>
      <w:r w:rsidRPr="00DC2288">
        <w:rPr>
          <w:rFonts w:eastAsia="Times New Roman" w:cs="Times New Roman"/>
          <w:color w:val="000000"/>
          <w:szCs w:val="20"/>
          <w:lang w:eastAsia="en-AU"/>
        </w:rPr>
        <w:t xml:space="preserve">ESC noted the </w:t>
      </w:r>
      <w:r>
        <w:rPr>
          <w:rFonts w:eastAsia="Times New Roman" w:cs="Times New Roman"/>
          <w:color w:val="000000"/>
          <w:szCs w:val="20"/>
          <w:lang w:eastAsia="en-AU"/>
        </w:rPr>
        <w:t>additional sensitivity analyses exploring the impact of including</w:t>
      </w:r>
      <w:r w:rsidRPr="00DC2288">
        <w:rPr>
          <w:rFonts w:eastAsia="Times New Roman" w:cs="Times New Roman"/>
          <w:color w:val="000000"/>
          <w:szCs w:val="20"/>
          <w:lang w:eastAsia="en-AU"/>
        </w:rPr>
        <w:t xml:space="preserve"> orthovoltage</w:t>
      </w:r>
      <w:r>
        <w:rPr>
          <w:rFonts w:eastAsia="Times New Roman" w:cs="Times New Roman"/>
          <w:color w:val="000000"/>
          <w:szCs w:val="20"/>
          <w:lang w:eastAsia="en-AU"/>
        </w:rPr>
        <w:t xml:space="preserve">, amending 3D megavoltage to 2D electron EBRT and amending the number of EBRT fractions resulted in </w:t>
      </w:r>
      <w:r w:rsidRPr="00DC2288">
        <w:rPr>
          <w:rFonts w:eastAsia="Times New Roman" w:cs="Times New Roman"/>
          <w:color w:val="000000"/>
          <w:szCs w:val="20"/>
          <w:lang w:eastAsia="en-AU"/>
        </w:rPr>
        <w:t>substantial redu</w:t>
      </w:r>
      <w:r>
        <w:rPr>
          <w:rFonts w:eastAsia="Times New Roman" w:cs="Times New Roman"/>
          <w:color w:val="000000"/>
          <w:szCs w:val="20"/>
          <w:lang w:eastAsia="en-AU"/>
        </w:rPr>
        <w:t xml:space="preserve">ctions in </w:t>
      </w:r>
      <w:r w:rsidRPr="00DC2288">
        <w:rPr>
          <w:rFonts w:eastAsia="Times New Roman" w:cs="Times New Roman"/>
          <w:color w:val="000000"/>
          <w:szCs w:val="20"/>
          <w:lang w:eastAsia="en-AU"/>
        </w:rPr>
        <w:t>the cost of the comparator</w:t>
      </w:r>
      <w:r>
        <w:rPr>
          <w:rFonts w:eastAsia="Times New Roman" w:cs="Times New Roman"/>
          <w:color w:val="000000"/>
          <w:szCs w:val="20"/>
          <w:lang w:eastAsia="en-AU"/>
        </w:rPr>
        <w:t xml:space="preserve"> such that Re-188 brachytherapy is more expensive than EBRT</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ESC acknowledged </w:t>
      </w:r>
      <w:r w:rsidRPr="00DC2288">
        <w:rPr>
          <w:rFonts w:eastAsia="Times New Roman" w:cs="Times New Roman"/>
          <w:color w:val="000000"/>
          <w:szCs w:val="20"/>
          <w:lang w:eastAsia="en-AU"/>
        </w:rPr>
        <w:t xml:space="preserve">the appropriate split of </w:t>
      </w:r>
      <w:r>
        <w:rPr>
          <w:rFonts w:eastAsia="Times New Roman" w:cs="Times New Roman"/>
          <w:color w:val="000000"/>
          <w:szCs w:val="20"/>
          <w:lang w:eastAsia="en-AU"/>
        </w:rPr>
        <w:t>EBRT</w:t>
      </w:r>
      <w:r w:rsidRPr="00DC2288">
        <w:rPr>
          <w:rFonts w:eastAsia="Times New Roman" w:cs="Times New Roman"/>
          <w:color w:val="000000"/>
          <w:szCs w:val="20"/>
          <w:lang w:eastAsia="en-AU"/>
        </w:rPr>
        <w:t xml:space="preserve"> modalities is uncertain</w:t>
      </w:r>
      <w:r>
        <w:rPr>
          <w:rFonts w:eastAsia="Times New Roman" w:cs="Times New Roman"/>
          <w:color w:val="000000"/>
          <w:szCs w:val="20"/>
          <w:lang w:eastAsia="en-AU"/>
        </w:rPr>
        <w:t>, and that further expert advice would be beneficial. ESC noted the multivariate sensitivity analyses</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including </w:t>
      </w:r>
      <w:r w:rsidRPr="00DC2288">
        <w:rPr>
          <w:rFonts w:eastAsia="Times New Roman" w:cs="Times New Roman"/>
          <w:color w:val="000000"/>
          <w:szCs w:val="20"/>
          <w:lang w:eastAsia="en-AU"/>
        </w:rPr>
        <w:t xml:space="preserve">orthovoltage </w:t>
      </w:r>
      <w:r>
        <w:rPr>
          <w:rFonts w:eastAsia="Times New Roman" w:cs="Times New Roman"/>
          <w:color w:val="000000"/>
          <w:szCs w:val="20"/>
          <w:lang w:eastAsia="en-AU"/>
        </w:rPr>
        <w:t>as a comparator modality, amending the number of fractions and costs for 2D electron EBRT changed the economic evaluation results from an average cost saving of $1,648 per patient to an increased cost of $2,000-$4,000 per patient compared to EBRT (with varying values depending on the precise split of EBRT modalities and number of fractions)</w:t>
      </w:r>
      <w:r w:rsidRPr="00DC2288">
        <w:rPr>
          <w:rFonts w:eastAsia="Times New Roman" w:cs="Times New Roman"/>
          <w:color w:val="000000"/>
          <w:szCs w:val="20"/>
          <w:lang w:eastAsia="en-AU"/>
        </w:rPr>
        <w:t xml:space="preserve">. </w:t>
      </w:r>
    </w:p>
    <w:p w14:paraId="0F3EF9FA" w14:textId="77777777" w:rsidR="00F76D74" w:rsidRPr="00DC2288" w:rsidRDefault="00F76D74" w:rsidP="00F76D74">
      <w:pPr>
        <w:spacing w:before="0" w:after="240" w:line="240" w:lineRule="auto"/>
        <w:rPr>
          <w:rFonts w:eastAsia="Times New Roman" w:cs="Times New Roman"/>
          <w:color w:val="000000"/>
          <w:szCs w:val="20"/>
          <w:lang w:eastAsia="en-AU"/>
        </w:rPr>
      </w:pPr>
      <w:r w:rsidRPr="00DC2288">
        <w:rPr>
          <w:rFonts w:eastAsia="Times New Roman" w:cs="Times New Roman"/>
          <w:color w:val="000000"/>
          <w:szCs w:val="20"/>
          <w:lang w:eastAsia="en-AU"/>
        </w:rPr>
        <w:t xml:space="preserve">ESC noted the </w:t>
      </w:r>
      <w:r>
        <w:rPr>
          <w:rFonts w:eastAsia="Times New Roman" w:cs="Times New Roman"/>
          <w:color w:val="000000"/>
          <w:szCs w:val="20"/>
          <w:lang w:eastAsia="en-AU"/>
        </w:rPr>
        <w:t xml:space="preserve">ADAR’s </w:t>
      </w:r>
      <w:r w:rsidRPr="00DC2288">
        <w:rPr>
          <w:rFonts w:eastAsia="Times New Roman" w:cs="Times New Roman"/>
          <w:color w:val="000000"/>
          <w:szCs w:val="20"/>
          <w:lang w:eastAsia="en-AU"/>
        </w:rPr>
        <w:t>financial impact</w:t>
      </w:r>
      <w:r>
        <w:rPr>
          <w:rFonts w:eastAsia="Times New Roman" w:cs="Times New Roman"/>
          <w:color w:val="000000"/>
          <w:szCs w:val="20"/>
          <w:lang w:eastAsia="en-AU"/>
        </w:rPr>
        <w:t xml:space="preserve"> analysis</w:t>
      </w:r>
      <w:r w:rsidRPr="00DC2288">
        <w:rPr>
          <w:rFonts w:eastAsia="Times New Roman" w:cs="Times New Roman"/>
          <w:color w:val="000000"/>
          <w:szCs w:val="20"/>
          <w:lang w:eastAsia="en-AU"/>
        </w:rPr>
        <w:t xml:space="preserve">. </w:t>
      </w:r>
      <w:r>
        <w:rPr>
          <w:rFonts w:eastAsia="Times New Roman" w:cs="Times New Roman"/>
          <w:color w:val="000000"/>
          <w:szCs w:val="20"/>
          <w:lang w:eastAsia="en-AU"/>
        </w:rPr>
        <w:t xml:space="preserve">ESC noted the ADAR’s estimated utilisation of Re-188 brachytherapy was based on an ‘internal forecast’ that could not be justified or substantiated. </w:t>
      </w:r>
      <w:r w:rsidRPr="00DC2288">
        <w:rPr>
          <w:rFonts w:eastAsia="Times New Roman" w:cs="Times New Roman"/>
          <w:color w:val="000000"/>
          <w:szCs w:val="20"/>
          <w:lang w:eastAsia="en-AU"/>
        </w:rPr>
        <w:t xml:space="preserve">ESC agreed with the </w:t>
      </w:r>
      <w:r>
        <w:rPr>
          <w:rFonts w:eastAsia="Times New Roman" w:cs="Times New Roman"/>
          <w:color w:val="000000"/>
          <w:szCs w:val="20"/>
          <w:lang w:eastAsia="en-AU"/>
        </w:rPr>
        <w:t xml:space="preserve">applicant’s </w:t>
      </w:r>
      <w:r w:rsidRPr="00DC2288">
        <w:rPr>
          <w:rFonts w:eastAsia="Times New Roman" w:cs="Times New Roman"/>
          <w:color w:val="000000"/>
          <w:szCs w:val="20"/>
          <w:lang w:eastAsia="en-AU"/>
        </w:rPr>
        <w:t xml:space="preserve">pre-ESC response that </w:t>
      </w:r>
      <w:r>
        <w:rPr>
          <w:rFonts w:eastAsia="Times New Roman" w:cs="Times New Roman"/>
          <w:color w:val="000000"/>
          <w:szCs w:val="20"/>
          <w:lang w:eastAsia="en-AU"/>
        </w:rPr>
        <w:t xml:space="preserve">utilisation of existing </w:t>
      </w:r>
      <w:r w:rsidRPr="00DC2288">
        <w:rPr>
          <w:rFonts w:eastAsia="Times New Roman" w:cs="Times New Roman"/>
          <w:color w:val="000000"/>
          <w:szCs w:val="20"/>
          <w:lang w:eastAsia="en-AU"/>
        </w:rPr>
        <w:t xml:space="preserve">orthovoltage </w:t>
      </w:r>
      <w:r>
        <w:rPr>
          <w:rFonts w:eastAsia="Times New Roman" w:cs="Times New Roman"/>
          <w:color w:val="000000"/>
          <w:szCs w:val="20"/>
          <w:lang w:eastAsia="en-AU"/>
        </w:rPr>
        <w:t>MBS items reflected</w:t>
      </w:r>
      <w:r w:rsidRPr="00DC2288">
        <w:rPr>
          <w:rFonts w:eastAsia="Times New Roman" w:cs="Times New Roman"/>
          <w:color w:val="000000"/>
          <w:szCs w:val="20"/>
          <w:lang w:eastAsia="en-AU"/>
        </w:rPr>
        <w:t xml:space="preserve"> the number of services, not the number of patients. </w:t>
      </w:r>
      <w:r>
        <w:rPr>
          <w:rFonts w:eastAsia="Times New Roman" w:cs="Times New Roman"/>
          <w:color w:val="000000"/>
          <w:szCs w:val="20"/>
          <w:lang w:eastAsia="en-AU"/>
        </w:rPr>
        <w:t xml:space="preserve">ESC also agreed with the clarification from the pre-ESC response that the ADAR assumed all patients who receive Re-188 brachytherapy would have received EBRT in the comparator scenario, and that the ADAR was not implying Re-188 brachytherapy would 100% substitute EBRT in the target population. </w:t>
      </w:r>
      <w:r w:rsidRPr="00DC2288">
        <w:rPr>
          <w:rFonts w:eastAsia="Times New Roman" w:cs="Times New Roman"/>
          <w:color w:val="000000"/>
          <w:szCs w:val="20"/>
          <w:lang w:eastAsia="en-AU"/>
        </w:rPr>
        <w:t xml:space="preserve">ESC noted that during the PICO confirmation stage (December 2021), the applicant stated intentions to establish an international registry for keratinocyte cancers, which will include an Australian component to allow a better understanding of disease epidemiology as well the utility of Re-188 brachytherapy in its treatment. However, no Australian registry data were </w:t>
      </w:r>
      <w:r>
        <w:rPr>
          <w:rFonts w:eastAsia="Times New Roman" w:cs="Times New Roman"/>
          <w:color w:val="000000"/>
          <w:szCs w:val="20"/>
          <w:lang w:eastAsia="en-AU"/>
        </w:rPr>
        <w:t>available from the registry</w:t>
      </w:r>
      <w:r w:rsidRPr="00DC2288">
        <w:rPr>
          <w:rFonts w:eastAsia="Times New Roman" w:cs="Times New Roman"/>
          <w:color w:val="000000"/>
          <w:szCs w:val="20"/>
          <w:lang w:eastAsia="en-AU"/>
        </w:rPr>
        <w:t xml:space="preserve"> to inform the assessment of Re-188 brachytherapy.</w:t>
      </w:r>
      <w:r>
        <w:rPr>
          <w:rFonts w:eastAsia="Times New Roman" w:cs="Times New Roman"/>
          <w:color w:val="000000"/>
          <w:szCs w:val="20"/>
          <w:lang w:eastAsia="en-AU"/>
        </w:rPr>
        <w:t xml:space="preserve"> The pre-ESC response noted that work on the registry was initially delayed by work on the EPIC-Skin study but has now recommenced.</w:t>
      </w:r>
    </w:p>
    <w:p w14:paraId="7E08A0A4" w14:textId="77777777" w:rsidR="00F76D74" w:rsidRPr="009C4D39" w:rsidRDefault="00F76D74" w:rsidP="00F76D74">
      <w:pPr>
        <w:rPr>
          <w:lang w:eastAsia="en-AU"/>
        </w:rPr>
      </w:pPr>
      <w:r w:rsidRPr="00DC2288">
        <w:rPr>
          <w:lang w:eastAsia="en-AU"/>
        </w:rPr>
        <w:t xml:space="preserve">ESC considered that the total cost to the MBS of Re-188 </w:t>
      </w:r>
      <w:r>
        <w:rPr>
          <w:lang w:eastAsia="en-AU"/>
        </w:rPr>
        <w:t xml:space="preserve">brachytherapy </w:t>
      </w:r>
      <w:r w:rsidRPr="00DC2288">
        <w:rPr>
          <w:lang w:eastAsia="en-AU"/>
        </w:rPr>
        <w:t>was uncertain due to the</w:t>
      </w:r>
      <w:r>
        <w:rPr>
          <w:lang w:eastAsia="en-AU"/>
        </w:rPr>
        <w:t xml:space="preserve"> uncertainty regarding the utilisation estimates and the</w:t>
      </w:r>
      <w:r w:rsidRPr="00DC2288">
        <w:rPr>
          <w:lang w:eastAsia="en-AU"/>
        </w:rPr>
        <w:t xml:space="preserve"> method of costing Re-188 brachytherapy</w:t>
      </w:r>
      <w:r>
        <w:rPr>
          <w:lang w:eastAsia="en-AU"/>
        </w:rPr>
        <w:t xml:space="preserve"> (including the inconsistency between the assumptions about lesion distribution used in the financials versus the economic evaluation)</w:t>
      </w:r>
      <w:r w:rsidRPr="00DC2288">
        <w:rPr>
          <w:lang w:eastAsia="en-AU"/>
        </w:rPr>
        <w:t xml:space="preserve">. </w:t>
      </w:r>
      <w:r>
        <w:rPr>
          <w:lang w:eastAsia="en-AU"/>
        </w:rPr>
        <w:t>ESC noted t</w:t>
      </w:r>
      <w:r w:rsidRPr="00DC2288">
        <w:rPr>
          <w:lang w:eastAsia="en-AU"/>
        </w:rPr>
        <w:t xml:space="preserve">he ADAR also did not </w:t>
      </w:r>
      <w:r>
        <w:rPr>
          <w:lang w:eastAsia="en-AU"/>
        </w:rPr>
        <w:t xml:space="preserve">account for </w:t>
      </w:r>
      <w:r w:rsidRPr="00DC2288">
        <w:rPr>
          <w:lang w:eastAsia="en-AU"/>
        </w:rPr>
        <w:t>the Greatest Permissible Gap (GPG)</w:t>
      </w:r>
      <w:r>
        <w:rPr>
          <w:lang w:eastAsia="en-AU"/>
        </w:rPr>
        <w:t xml:space="preserve"> which was corrected by the commentary</w:t>
      </w:r>
      <w:r w:rsidRPr="00DC2288">
        <w:rPr>
          <w:lang w:eastAsia="en-AU"/>
        </w:rPr>
        <w:t xml:space="preserve">. </w:t>
      </w:r>
      <w:r>
        <w:rPr>
          <w:lang w:eastAsia="en-AU"/>
        </w:rPr>
        <w:t xml:space="preserve">ESC noted the issues identified for the economic analyses also impacted the financial estimates (e.g., inclusion of orthovoltage, amending the number of fractions and costs for 2D electron beam). </w:t>
      </w:r>
      <w:r w:rsidRPr="00DC2288">
        <w:rPr>
          <w:lang w:eastAsia="en-AU"/>
        </w:rPr>
        <w:t>ESC noted</w:t>
      </w:r>
      <w:r>
        <w:rPr>
          <w:lang w:eastAsia="en-AU"/>
        </w:rPr>
        <w:t xml:space="preserve"> that while the ADAR claimed that MBS listing of Re-188 brachytherapy would save the MBS </w:t>
      </w:r>
      <w:r>
        <w:rPr>
          <w:lang w:eastAsia="en-AU"/>
        </w:rPr>
        <w:lastRenderedPageBreak/>
        <w:t xml:space="preserve">~$20 million over 6 years, </w:t>
      </w:r>
      <w:r w:rsidRPr="00DC2288">
        <w:rPr>
          <w:lang w:eastAsia="en-AU"/>
        </w:rPr>
        <w:t xml:space="preserve">the </w:t>
      </w:r>
      <w:r>
        <w:rPr>
          <w:lang w:eastAsia="en-AU"/>
        </w:rPr>
        <w:t>additional sensitivity analyses indicated that this claimed saving was highly uncertain. Further, MBS listing of Re-188 brachytherapy could in fact result in an additional cost to the MBS of up to ~$80 million over 6 years (</w:t>
      </w:r>
      <w:r>
        <w:rPr>
          <w:lang w:eastAsia="en-AU"/>
        </w:rPr>
        <w:fldChar w:fldCharType="begin"/>
      </w:r>
      <w:r>
        <w:rPr>
          <w:lang w:eastAsia="en-AU"/>
        </w:rPr>
        <w:instrText xml:space="preserve"> REF _Ref138151826 \h </w:instrText>
      </w:r>
      <w:r>
        <w:rPr>
          <w:lang w:eastAsia="en-AU"/>
        </w:rPr>
      </w:r>
      <w:r>
        <w:rPr>
          <w:lang w:eastAsia="en-AU"/>
        </w:rPr>
        <w:fldChar w:fldCharType="separate"/>
      </w:r>
      <w:r>
        <w:t xml:space="preserve">Table </w:t>
      </w:r>
      <w:r>
        <w:rPr>
          <w:noProof/>
        </w:rPr>
        <w:t>19</w:t>
      </w:r>
      <w:r>
        <w:rPr>
          <w:lang w:eastAsia="en-AU"/>
        </w:rPr>
        <w:fldChar w:fldCharType="end"/>
      </w:r>
      <w:r>
        <w:rPr>
          <w:lang w:eastAsia="en-AU"/>
        </w:rPr>
        <w:t>)</w:t>
      </w:r>
      <w:r w:rsidRPr="00DC2288">
        <w:rPr>
          <w:lang w:eastAsia="en-AU"/>
        </w:rPr>
        <w:t xml:space="preserve">. </w:t>
      </w:r>
    </w:p>
    <w:p w14:paraId="55D35060" w14:textId="487483DF" w:rsidR="00F76D74" w:rsidRDefault="00F76D74" w:rsidP="00F76D74">
      <w:pPr>
        <w:pStyle w:val="Heading2"/>
        <w:numPr>
          <w:ilvl w:val="0"/>
          <w:numId w:val="0"/>
        </w:numPr>
      </w:pPr>
      <w:r>
        <w:t>17.</w:t>
      </w:r>
      <w:r>
        <w:tab/>
        <w:t>Applicant comments on MSAC’s Public Summary Document</w:t>
      </w:r>
    </w:p>
    <w:p w14:paraId="607D4188" w14:textId="3907EC68" w:rsidR="00F76D74" w:rsidRPr="00063E73" w:rsidRDefault="00063E73" w:rsidP="00F76D74">
      <w:pPr>
        <w:spacing w:after="240"/>
        <w:rPr>
          <w:szCs w:val="24"/>
        </w:rPr>
      </w:pPr>
      <w:r w:rsidRPr="00063E73">
        <w:rPr>
          <w:szCs w:val="24"/>
        </w:rPr>
        <w:t>The applicant had no comment.</w:t>
      </w:r>
    </w:p>
    <w:p w14:paraId="7E378F60" w14:textId="77777777" w:rsidR="00F76D74" w:rsidRDefault="00F76D74" w:rsidP="00F76D74">
      <w:pPr>
        <w:pStyle w:val="Heading2"/>
        <w:numPr>
          <w:ilvl w:val="0"/>
          <w:numId w:val="0"/>
        </w:numPr>
      </w:pPr>
      <w:r>
        <w:t>18.</w:t>
      </w:r>
      <w:r>
        <w:tab/>
        <w:t>Further information on MSAC</w:t>
      </w:r>
    </w:p>
    <w:p w14:paraId="38F3CC57" w14:textId="14DCBB2E" w:rsidR="00F76D74" w:rsidRPr="00F76D74" w:rsidRDefault="00F76D74" w:rsidP="00F76D74">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4" w:tooltip="Link to the MSAC website" w:history="1">
        <w:r w:rsidRPr="00F309FA">
          <w:rPr>
            <w:rStyle w:val="Hyperlink"/>
            <w:rFonts w:ascii="Franklin Gothic Book" w:hAnsi="Franklin Gothic Book"/>
            <w:bCs/>
            <w:iCs/>
            <w:sz w:val="22"/>
          </w:rPr>
          <w:t>visit the MSAC website</w:t>
        </w:r>
      </w:hyperlink>
    </w:p>
    <w:sectPr w:rsidR="00F76D74" w:rsidRPr="00F76D74" w:rsidSect="00784341">
      <w:footerReference w:type="even" r:id="rId15"/>
      <w:footerReference w:type="default" r:id="rId16"/>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7DA7" w14:textId="77777777" w:rsidR="00D51B93" w:rsidRDefault="00D51B93" w:rsidP="00B62DF2">
      <w:pPr>
        <w:spacing w:after="0" w:line="240" w:lineRule="auto"/>
      </w:pPr>
      <w:r>
        <w:separator/>
      </w:r>
    </w:p>
  </w:endnote>
  <w:endnote w:type="continuationSeparator" w:id="0">
    <w:p w14:paraId="2BBBE784" w14:textId="77777777" w:rsidR="00D51B93" w:rsidRDefault="00D51B93" w:rsidP="00B62DF2">
      <w:pPr>
        <w:spacing w:after="0" w:line="240" w:lineRule="auto"/>
      </w:pPr>
      <w:r>
        <w:continuationSeparator/>
      </w:r>
    </w:p>
  </w:endnote>
  <w:endnote w:type="continuationNotice" w:id="1">
    <w:p w14:paraId="31D4D4E9" w14:textId="77777777" w:rsidR="00D51B93" w:rsidRDefault="00D51B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abon">
    <w:altName w:val="Cambria"/>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36969871" w:rsidR="005947B5" w:rsidRDefault="005947B5" w:rsidP="00F76D74">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3DCC625E"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A2C" w14:textId="77777777" w:rsidR="00D51B93" w:rsidRDefault="00D51B93" w:rsidP="00B62DF2">
      <w:pPr>
        <w:spacing w:after="0" w:line="240" w:lineRule="auto"/>
      </w:pPr>
      <w:r>
        <w:separator/>
      </w:r>
    </w:p>
  </w:footnote>
  <w:footnote w:type="continuationSeparator" w:id="0">
    <w:p w14:paraId="628E2A0E" w14:textId="77777777" w:rsidR="00D51B93" w:rsidRDefault="00D51B93" w:rsidP="00B62DF2">
      <w:pPr>
        <w:spacing w:after="0" w:line="240" w:lineRule="auto"/>
      </w:pPr>
      <w:r>
        <w:continuationSeparator/>
      </w:r>
    </w:p>
  </w:footnote>
  <w:footnote w:type="continuationNotice" w:id="1">
    <w:p w14:paraId="584A2A4E" w14:textId="77777777" w:rsidR="00D51B93" w:rsidRDefault="00D51B93">
      <w:pPr>
        <w:spacing w:before="0" w:after="0" w:line="240" w:lineRule="auto"/>
      </w:pPr>
    </w:p>
  </w:footnote>
  <w:footnote w:id="2">
    <w:p w14:paraId="45E836FC" w14:textId="5E8A30C6" w:rsidR="008770DC" w:rsidRDefault="008770DC">
      <w:pPr>
        <w:pStyle w:val="FootnoteText"/>
      </w:pPr>
      <w:r>
        <w:rPr>
          <w:rStyle w:val="FootnoteReference"/>
        </w:rPr>
        <w:footnoteRef/>
      </w:r>
      <w:r>
        <w:t xml:space="preserve"> </w:t>
      </w:r>
      <w:r w:rsidRPr="009228FB">
        <w:t>Rhenium-Skin Cancer Therapy (SCT) for the Treatment of Non-Melanoma Skin Cancer. (EPIC-Skin)</w:t>
      </w:r>
      <w:r>
        <w:t xml:space="preserve"> – </w:t>
      </w:r>
      <w:hyperlink r:id="rId1" w:history="1">
        <w:r w:rsidRPr="009228FB">
          <w:rPr>
            <w:rStyle w:val="Hyperlink"/>
          </w:rPr>
          <w:t>NCTC 05135052</w:t>
        </w:r>
      </w:hyperlink>
    </w:p>
  </w:footnote>
  <w:footnote w:id="3">
    <w:p w14:paraId="493CB219" w14:textId="784C891F" w:rsidR="001B0163" w:rsidRDefault="001B0163">
      <w:pPr>
        <w:pStyle w:val="FootnoteText"/>
      </w:pPr>
      <w:r>
        <w:rPr>
          <w:rStyle w:val="FootnoteReference"/>
        </w:rPr>
        <w:footnoteRef/>
      </w:r>
      <w:r>
        <w:t xml:space="preserve"> </w:t>
      </w:r>
      <w:r w:rsidRPr="00F211B2">
        <w:t xml:space="preserve">eviQ, Skin cancer basal cell carcinoma definitive EBRT, Accessed at: </w:t>
      </w:r>
      <w:r w:rsidRPr="0011617F">
        <w:t>https://www.eviq.org.au/radiation-oncology/skin/1032-skin-cancer-basal-cell-carcinoma-definitive-e#dose-prescription.</w:t>
      </w:r>
    </w:p>
  </w:footnote>
  <w:footnote w:id="4">
    <w:p w14:paraId="4D6DF03C" w14:textId="415C478B" w:rsidR="00F10616" w:rsidRPr="00F10616" w:rsidRDefault="00F10616">
      <w:pPr>
        <w:pStyle w:val="FootnoteText"/>
        <w:rPr>
          <w:lang w:val="en-US"/>
        </w:rPr>
      </w:pPr>
      <w:r>
        <w:rPr>
          <w:rStyle w:val="FootnoteReference"/>
        </w:rPr>
        <w:footnoteRef/>
      </w:r>
      <w:r>
        <w:t xml:space="preserve"> </w:t>
      </w:r>
      <w:r w:rsidRPr="00BD3482">
        <w:t>Carrozzo A</w:t>
      </w:r>
      <w:r w:rsidR="00E83253">
        <w:t xml:space="preserve"> et al. (</w:t>
      </w:r>
      <w:r w:rsidRPr="00BD3482">
        <w:t>2013</w:t>
      </w:r>
      <w:r w:rsidR="00190920">
        <w:t>)</w:t>
      </w:r>
      <w:r w:rsidRPr="00BD3482">
        <w:t xml:space="preserve"> "Dermo beta brachytherapy with 188-Re in squamous cell carcinoma of the penis: a new therapy."  Eur J Dermatol 23 (2):183-8. </w:t>
      </w:r>
    </w:p>
  </w:footnote>
  <w:footnote w:id="5">
    <w:p w14:paraId="4509305B" w14:textId="22F559FC" w:rsidR="00413E1C" w:rsidRPr="00081764" w:rsidRDefault="00413E1C">
      <w:pPr>
        <w:pStyle w:val="FootnoteText"/>
        <w:rPr>
          <w:lang w:val="en-US"/>
        </w:rPr>
      </w:pPr>
      <w:r>
        <w:rPr>
          <w:rStyle w:val="FootnoteReference"/>
        </w:rPr>
        <w:footnoteRef/>
      </w:r>
      <w:r>
        <w:t xml:space="preserve"> </w:t>
      </w:r>
      <w:r w:rsidR="0025138C">
        <w:rPr>
          <w:lang w:val="en-US"/>
        </w:rPr>
        <w:t>Ti</w:t>
      </w:r>
      <w:r w:rsidR="0025138C" w:rsidRPr="0025138C">
        <w:rPr>
          <w:lang w:val="en-US"/>
        </w:rPr>
        <w:t>etze J</w:t>
      </w:r>
      <w:r w:rsidR="00190920">
        <w:rPr>
          <w:lang w:val="en-US"/>
        </w:rPr>
        <w:t xml:space="preserve"> et al. (</w:t>
      </w:r>
      <w:r w:rsidR="0025138C" w:rsidRPr="0025138C">
        <w:rPr>
          <w:lang w:val="en-US"/>
        </w:rPr>
        <w:t>2023</w:t>
      </w:r>
      <w:r w:rsidR="00190920">
        <w:rPr>
          <w:lang w:val="en-US"/>
        </w:rPr>
        <w:t>)</w:t>
      </w:r>
      <w:r w:rsidR="0025138C" w:rsidRPr="0025138C">
        <w:rPr>
          <w:lang w:val="en-US"/>
        </w:rPr>
        <w:t xml:space="preserve"> "Topical Rhenium-188 ionizing radiation therapy exerts high efficacy in curing invasive non-melanoma skin cancer." </w:t>
      </w:r>
      <w:r w:rsidR="00261497">
        <w:rPr>
          <w:lang w:val="en-US"/>
        </w:rPr>
        <w:t>[Unpublished manuscript]</w:t>
      </w:r>
      <w:r w:rsidR="0025138C" w:rsidRPr="0025138C">
        <w:rPr>
          <w:lang w:val="en-US"/>
        </w:rPr>
        <w:t>.</w:t>
      </w:r>
    </w:p>
  </w:footnote>
  <w:footnote w:id="6">
    <w:p w14:paraId="18371E62" w14:textId="515ED809" w:rsidR="0040538B" w:rsidRDefault="0040538B" w:rsidP="00333E44">
      <w:pPr>
        <w:pStyle w:val="FootnoteText"/>
        <w:spacing w:before="0"/>
      </w:pPr>
      <w:r>
        <w:rPr>
          <w:rStyle w:val="FootnoteReference"/>
        </w:rPr>
        <w:footnoteRef/>
      </w:r>
      <w:r>
        <w:t xml:space="preserve"> </w:t>
      </w:r>
      <w:r w:rsidRPr="009228FB">
        <w:t>Rhenium-Skin Cancer Therapy (SCT) for the Treatment of Non-Melanoma Skin Cancer. (EPIC-Skin)</w:t>
      </w:r>
      <w:r>
        <w:t xml:space="preserve"> – </w:t>
      </w:r>
      <w:hyperlink r:id="rId2" w:history="1">
        <w:r w:rsidRPr="009228FB">
          <w:rPr>
            <w:rStyle w:val="Hyperlink"/>
          </w:rPr>
          <w:t>NCTC 05135052</w:t>
        </w:r>
      </w:hyperlink>
    </w:p>
  </w:footnote>
  <w:footnote w:id="7">
    <w:p w14:paraId="7669E6DB" w14:textId="6E3E9754" w:rsidR="00867AC2" w:rsidRPr="00C47D03" w:rsidRDefault="00867AC2" w:rsidP="00867AC2">
      <w:pPr>
        <w:pStyle w:val="FootnoteText"/>
        <w:spacing w:before="0"/>
        <w:rPr>
          <w:lang w:val="en-US"/>
        </w:rPr>
      </w:pPr>
      <w:r>
        <w:rPr>
          <w:rStyle w:val="FootnoteReference"/>
        </w:rPr>
        <w:footnoteRef/>
      </w:r>
      <w:r>
        <w:t xml:space="preserve"> </w:t>
      </w:r>
      <w:r w:rsidRPr="00211106">
        <w:t>Castellucci P</w:t>
      </w:r>
      <w:r w:rsidR="00190920">
        <w:t xml:space="preserve"> et al. (</w:t>
      </w:r>
      <w:r w:rsidRPr="00211106">
        <w:t>2021</w:t>
      </w:r>
      <w:r w:rsidR="00190920">
        <w:t>)</w:t>
      </w:r>
      <w:r w:rsidRPr="00211106">
        <w:t xml:space="preserve"> "High dose brachytherapy with non sealed (188)Re (rhenium) resin in patients with non-melanoma skin cancers (NMSCs): single center preliminary results."  Eur J Nucl Med Mol Imaging 48 (5):1511-1521.</w:t>
      </w:r>
    </w:p>
  </w:footnote>
  <w:footnote w:id="8">
    <w:p w14:paraId="57CA4E60" w14:textId="3E8717AC" w:rsidR="00867AC2" w:rsidRPr="00C47D03" w:rsidRDefault="00867AC2" w:rsidP="00867AC2">
      <w:pPr>
        <w:pStyle w:val="FootnoteText"/>
        <w:spacing w:before="0"/>
        <w:rPr>
          <w:lang w:val="en-US"/>
        </w:rPr>
      </w:pPr>
      <w:r>
        <w:rPr>
          <w:rStyle w:val="FootnoteReference"/>
        </w:rPr>
        <w:footnoteRef/>
      </w:r>
      <w:r>
        <w:t xml:space="preserve"> </w:t>
      </w:r>
      <w:r w:rsidRPr="00BD3482">
        <w:t>Carrozzo AM</w:t>
      </w:r>
      <w:r w:rsidR="00190920">
        <w:t xml:space="preserve"> et al. (</w:t>
      </w:r>
      <w:r w:rsidRPr="00BD3482">
        <w:t>2013</w:t>
      </w:r>
      <w:r w:rsidR="00190920">
        <w:t>)</w:t>
      </w:r>
      <w:r w:rsidRPr="00BD3482">
        <w:t xml:space="preserve"> "Dermo beta brachytherapy with 188-Re in squamous cell carcinoma of the penis: a new therapy."  Eur J Dermatol 23 (2):183-8. </w:t>
      </w:r>
    </w:p>
  </w:footnote>
  <w:footnote w:id="9">
    <w:p w14:paraId="072DAB98" w14:textId="57C943B4" w:rsidR="00867AC2" w:rsidRPr="00C47D03" w:rsidRDefault="00867AC2" w:rsidP="00867AC2">
      <w:pPr>
        <w:pStyle w:val="FootnoteText"/>
        <w:spacing w:before="0"/>
        <w:rPr>
          <w:lang w:val="en-US"/>
        </w:rPr>
      </w:pPr>
      <w:r>
        <w:rPr>
          <w:rStyle w:val="FootnoteReference"/>
        </w:rPr>
        <w:footnoteRef/>
      </w:r>
      <w:r>
        <w:t xml:space="preserve"> </w:t>
      </w:r>
      <w:r w:rsidRPr="00774EBA">
        <w:t>Sedda AF</w:t>
      </w:r>
      <w:r w:rsidR="00190920">
        <w:t xml:space="preserve"> et al. (</w:t>
      </w:r>
      <w:r w:rsidRPr="00774EBA">
        <w:t>2008</w:t>
      </w:r>
      <w:r w:rsidR="00190920">
        <w:t>)</w:t>
      </w:r>
      <w:r w:rsidRPr="00774EBA">
        <w:t xml:space="preserve"> "Dermatological high-dose-rate brachytherapy for the treatment of basal and squamous cell carcinoma."  Clin Exp Dermatol 33 (6):745-9. </w:t>
      </w:r>
    </w:p>
  </w:footnote>
  <w:footnote w:id="10">
    <w:p w14:paraId="7E1C9D36" w14:textId="0DD9EF94" w:rsidR="00867AC2" w:rsidRPr="00C47D03" w:rsidRDefault="00867AC2" w:rsidP="00867AC2">
      <w:pPr>
        <w:pStyle w:val="FootnoteText"/>
        <w:spacing w:before="0"/>
        <w:rPr>
          <w:lang w:val="en-US"/>
        </w:rPr>
      </w:pPr>
      <w:r>
        <w:rPr>
          <w:rStyle w:val="FootnoteReference"/>
        </w:rPr>
        <w:footnoteRef/>
      </w:r>
      <w:r>
        <w:t xml:space="preserve"> </w:t>
      </w:r>
      <w:r w:rsidRPr="00BF4E05">
        <w:t>Cipriani C</w:t>
      </w:r>
      <w:r w:rsidR="00190920">
        <w:t xml:space="preserve"> et al. (</w:t>
      </w:r>
      <w:r w:rsidRPr="00BF4E05">
        <w:t>2020</w:t>
      </w:r>
      <w:r w:rsidR="00190920">
        <w:t>)</w:t>
      </w:r>
      <w:r w:rsidRPr="00BF4E05">
        <w:t xml:space="preserve"> "Personalized irradiation therapy for NMSC by rhenium-188 skin cancer therapy: a long-term retrospective study."  Journal of Dermatological Treatment:1-7. </w:t>
      </w:r>
    </w:p>
  </w:footnote>
  <w:footnote w:id="11">
    <w:p w14:paraId="2AC82D42" w14:textId="22F1B5F3" w:rsidR="00867AC2" w:rsidRPr="00C47D03" w:rsidRDefault="00867AC2" w:rsidP="00867AC2">
      <w:pPr>
        <w:pStyle w:val="FootnoteText"/>
        <w:spacing w:before="0"/>
        <w:rPr>
          <w:lang w:val="en-US"/>
        </w:rPr>
      </w:pPr>
      <w:r>
        <w:rPr>
          <w:rStyle w:val="FootnoteReference"/>
        </w:rPr>
        <w:footnoteRef/>
      </w:r>
      <w:r>
        <w:t xml:space="preserve"> </w:t>
      </w:r>
      <w:r w:rsidRPr="00491E29">
        <w:t>Cipriani C</w:t>
      </w:r>
      <w:r w:rsidR="00190920">
        <w:t xml:space="preserve"> et al. (</w:t>
      </w:r>
      <w:r w:rsidRPr="00491E29">
        <w:t>2017</w:t>
      </w:r>
      <w:r w:rsidR="00190920">
        <w:t>)</w:t>
      </w:r>
      <w:r w:rsidRPr="00491E29">
        <w:t xml:space="preserve"> "Personalized High-Dose-Rate Brachytherapy with Non-Sealed Rhenium-188 in Non-Melanoma Skin Cancer."  Int J Nuc Med Res Jul:114-22.</w:t>
      </w:r>
    </w:p>
  </w:footnote>
  <w:footnote w:id="12">
    <w:p w14:paraId="180506D7" w14:textId="0B1FD2F2" w:rsidR="00B86B9A" w:rsidRPr="004C61D5" w:rsidRDefault="00B86B9A" w:rsidP="00190920">
      <w:pPr>
        <w:pStyle w:val="FootnoteText"/>
        <w:spacing w:before="0"/>
        <w:rPr>
          <w:lang w:val="en-US"/>
        </w:rPr>
      </w:pPr>
      <w:r>
        <w:rPr>
          <w:rStyle w:val="FootnoteReference"/>
        </w:rPr>
        <w:footnoteRef/>
      </w:r>
      <w:r>
        <w:t xml:space="preserve"> </w:t>
      </w:r>
      <w:r w:rsidR="00011569" w:rsidRPr="00011569">
        <w:rPr>
          <w:lang w:val="en-US"/>
        </w:rPr>
        <w:t>Avril MF</w:t>
      </w:r>
      <w:r w:rsidR="00190920">
        <w:rPr>
          <w:lang w:val="en-US"/>
        </w:rPr>
        <w:t xml:space="preserve"> et al. (</w:t>
      </w:r>
      <w:r w:rsidR="00011569" w:rsidRPr="00011569">
        <w:rPr>
          <w:lang w:val="en-US"/>
        </w:rPr>
        <w:t>1997</w:t>
      </w:r>
      <w:r w:rsidR="00190920">
        <w:rPr>
          <w:lang w:val="en-US"/>
        </w:rPr>
        <w:t>)</w:t>
      </w:r>
      <w:r w:rsidR="00011569" w:rsidRPr="00011569">
        <w:rPr>
          <w:lang w:val="en-US"/>
        </w:rPr>
        <w:t xml:space="preserve"> "Basal cell carcinoma of the face: surgery or radiotherapy? Results of a randomized study."  Br J Cancer 76 (1):100-6.</w:t>
      </w:r>
    </w:p>
  </w:footnote>
  <w:footnote w:id="13">
    <w:p w14:paraId="7C93C3FF" w14:textId="6BB44341" w:rsidR="002F7779" w:rsidRPr="00081764" w:rsidRDefault="002F7779">
      <w:pPr>
        <w:pStyle w:val="FootnoteText"/>
        <w:rPr>
          <w:lang w:val="en-US"/>
        </w:rPr>
      </w:pPr>
      <w:r>
        <w:rPr>
          <w:rStyle w:val="FootnoteReference"/>
        </w:rPr>
        <w:footnoteRef/>
      </w:r>
      <w:r>
        <w:t xml:space="preserve"> </w:t>
      </w:r>
      <w:r w:rsidR="00CC29FB" w:rsidRPr="00CC29FB">
        <w:t>Ferini G</w:t>
      </w:r>
      <w:r w:rsidR="00190920">
        <w:t xml:space="preserve"> et al. (</w:t>
      </w:r>
      <w:r w:rsidR="00CC29FB" w:rsidRPr="00CC29FB">
        <w:t>2021</w:t>
      </w:r>
      <w:r w:rsidR="00190920">
        <w:t>)</w:t>
      </w:r>
      <w:r w:rsidR="00CC29FB" w:rsidRPr="00CC29FB">
        <w:t xml:space="preserve"> "A small case series about safety and effectiveness of a hypofractionated electron beam radiotherapy schedule in five fractions for facial non melanoma skin cancer among frail and elderly patients."  Rep Prac Onc and Rad 26 (1):66-72.</w:t>
      </w:r>
    </w:p>
  </w:footnote>
  <w:footnote w:id="14">
    <w:p w14:paraId="79A79EDA" w14:textId="34D57578" w:rsidR="002F7779" w:rsidRPr="00081764" w:rsidRDefault="002F7779" w:rsidP="0096727B">
      <w:pPr>
        <w:pStyle w:val="FootnoteText"/>
        <w:spacing w:before="0"/>
        <w:rPr>
          <w:lang w:val="en-US"/>
        </w:rPr>
      </w:pPr>
      <w:r>
        <w:rPr>
          <w:rStyle w:val="FootnoteReference"/>
        </w:rPr>
        <w:footnoteRef/>
      </w:r>
      <w:r>
        <w:t xml:space="preserve"> </w:t>
      </w:r>
      <w:r w:rsidR="0053790A" w:rsidRPr="009D08E3">
        <w:t>Ferro MF</w:t>
      </w:r>
      <w:r w:rsidR="0096727B">
        <w:t xml:space="preserve"> et al. (</w:t>
      </w:r>
      <w:r w:rsidR="0053790A" w:rsidRPr="009D08E3">
        <w:t>2015</w:t>
      </w:r>
      <w:r w:rsidR="0096727B">
        <w:t>)</w:t>
      </w:r>
      <w:r w:rsidR="0053790A" w:rsidRPr="009D08E3">
        <w:t xml:space="preserve"> "Short-course radiotherapy in elderly patients with early stage non-melanoma skin cancer: a phase II study."  </w:t>
      </w:r>
      <w:r w:rsidR="0053790A" w:rsidRPr="009D08E3">
        <w:rPr>
          <w:i/>
        </w:rPr>
        <w:t>Cancer Invest</w:t>
      </w:r>
      <w:r w:rsidR="0053790A" w:rsidRPr="009D08E3">
        <w:t xml:space="preserve"> 33 (2):34-8.</w:t>
      </w:r>
    </w:p>
  </w:footnote>
  <w:footnote w:id="15">
    <w:p w14:paraId="76B4345E" w14:textId="6E239F7A" w:rsidR="002F7779" w:rsidRPr="00081764" w:rsidRDefault="002F7779" w:rsidP="0096727B">
      <w:pPr>
        <w:pStyle w:val="FootnoteText"/>
        <w:spacing w:before="0"/>
        <w:rPr>
          <w:lang w:val="en-US"/>
        </w:rPr>
      </w:pPr>
      <w:r>
        <w:rPr>
          <w:rStyle w:val="FootnoteReference"/>
        </w:rPr>
        <w:footnoteRef/>
      </w:r>
      <w:r>
        <w:t xml:space="preserve"> </w:t>
      </w:r>
      <w:r w:rsidR="00407F54" w:rsidRPr="00407F54">
        <w:rPr>
          <w:lang w:val="en-US"/>
        </w:rPr>
        <w:t>Haehl E</w:t>
      </w:r>
      <w:r w:rsidR="0096727B">
        <w:rPr>
          <w:lang w:val="en-US"/>
        </w:rPr>
        <w:t xml:space="preserve"> et al. (</w:t>
      </w:r>
      <w:r w:rsidR="00407F54" w:rsidRPr="00407F54">
        <w:rPr>
          <w:lang w:val="en-US"/>
        </w:rPr>
        <w:t>2021</w:t>
      </w:r>
      <w:r w:rsidR="0096727B">
        <w:rPr>
          <w:lang w:val="en-US"/>
        </w:rPr>
        <w:t>)</w:t>
      </w:r>
      <w:r w:rsidR="00407F54" w:rsidRPr="00407F54">
        <w:rPr>
          <w:lang w:val="en-US"/>
        </w:rPr>
        <w:t xml:space="preserve"> "The value of primary and adjuvant radiotherapy for cutaneous squamous cell carcinomas of the head-and-neck region in the elderly."  Radiat Oncol 16 (105):1-13.</w:t>
      </w:r>
    </w:p>
  </w:footnote>
  <w:footnote w:id="16">
    <w:p w14:paraId="04B68B48" w14:textId="5FDC0032" w:rsidR="006F1447" w:rsidRDefault="006F1447" w:rsidP="004E2934">
      <w:pPr>
        <w:pStyle w:val="FootnoteText"/>
        <w:spacing w:before="0"/>
      </w:pPr>
      <w:r>
        <w:rPr>
          <w:rStyle w:val="FootnoteReference"/>
        </w:rPr>
        <w:footnoteRef/>
      </w:r>
      <w:r>
        <w:t xml:space="preserve"> In the TNM staging system, T refers to the size and extent of the main tumour, N refers to the number of </w:t>
      </w:r>
      <w:r w:rsidR="00836B02">
        <w:t>tumour-involved</w:t>
      </w:r>
      <w:r>
        <w:t xml:space="preserve"> lymph notes and M refers to whether the </w:t>
      </w:r>
      <w:r w:rsidR="006A3D09">
        <w:t xml:space="preserve">tumour </w:t>
      </w:r>
      <w:r>
        <w:t xml:space="preserve">has metastasised. </w:t>
      </w:r>
    </w:p>
  </w:footnote>
  <w:footnote w:id="17">
    <w:p w14:paraId="54E00063" w14:textId="2A2C3D1D" w:rsidR="00712436" w:rsidRPr="00081764" w:rsidRDefault="00712436" w:rsidP="00712436">
      <w:pPr>
        <w:pStyle w:val="FootnoteText"/>
        <w:rPr>
          <w:rStyle w:val="FootnoteReference"/>
        </w:rPr>
      </w:pPr>
      <w:r w:rsidRPr="00081764">
        <w:rPr>
          <w:rStyle w:val="FootnoteReference"/>
        </w:rPr>
        <w:footnoteRef/>
      </w:r>
      <w:r w:rsidRPr="00081764">
        <w:rPr>
          <w:rStyle w:val="FootnoteReference"/>
        </w:rPr>
        <w:t xml:space="preserve"> </w:t>
      </w:r>
      <w:r w:rsidRPr="00F211B2">
        <w:t xml:space="preserve">eviQ, Skin cancer basal cell carcinoma definitive EBRT, Accessed at: </w:t>
      </w:r>
      <w:r w:rsidR="0011617F" w:rsidRPr="0011617F">
        <w:t>https://www.eviq.org.au/radiation-oncology/skin/1032-skin-cancer-basal-cell-carcinoma-definitive-e#dose-prescription.</w:t>
      </w:r>
    </w:p>
  </w:footnote>
  <w:footnote w:id="18">
    <w:p w14:paraId="0FE34B79" w14:textId="10E95096" w:rsidR="000C78AF" w:rsidRPr="00081764" w:rsidRDefault="000C78AF">
      <w:pPr>
        <w:pStyle w:val="FootnoteText"/>
        <w:rPr>
          <w:rStyle w:val="FootnoteReference"/>
        </w:rPr>
      </w:pPr>
      <w:r w:rsidRPr="00843CC1">
        <w:rPr>
          <w:rStyle w:val="FootnoteReference"/>
        </w:rPr>
        <w:footnoteRef/>
      </w:r>
      <w:r w:rsidRPr="00081764">
        <w:rPr>
          <w:rStyle w:val="FootnoteReference"/>
        </w:rPr>
        <w:t xml:space="preserve"> </w:t>
      </w:r>
      <w:r w:rsidRPr="00081764">
        <w:t>Paolo et al. (2020)</w:t>
      </w:r>
      <w:r w:rsidR="004E2934">
        <w:t xml:space="preserve"> “</w:t>
      </w:r>
      <w:r w:rsidRPr="00081764">
        <w:t>High dose brachytherapy with non sealed 188Re (rhenium) resin in patients with non-melanoma skin cancers (NMSCs): single center preliminary results</w:t>
      </w:r>
      <w:r w:rsidR="004E2934">
        <w:t>”</w:t>
      </w:r>
    </w:p>
  </w:footnote>
  <w:footnote w:id="19">
    <w:p w14:paraId="0552D1D2" w14:textId="1DBAEBE9" w:rsidR="00F83313" w:rsidRPr="00081764" w:rsidRDefault="00F83313" w:rsidP="004E2934">
      <w:pPr>
        <w:pStyle w:val="FootnoteText"/>
        <w:spacing w:before="0"/>
        <w:rPr>
          <w:rStyle w:val="FootnoteReference"/>
        </w:rPr>
      </w:pPr>
      <w:r w:rsidRPr="00843CC1">
        <w:rPr>
          <w:rStyle w:val="FootnoteReference"/>
        </w:rPr>
        <w:footnoteRef/>
      </w:r>
      <w:r w:rsidRPr="00081764">
        <w:rPr>
          <w:rStyle w:val="FootnoteReference"/>
        </w:rPr>
        <w:t xml:space="preserve"> </w:t>
      </w:r>
      <w:r w:rsidR="00403DE9" w:rsidRPr="00081764">
        <w:t xml:space="preserve">eviQ, Radiation Oncology, Skin cancer basal cell carcinoma definitive EBRT, Accessed at: </w:t>
      </w:r>
      <w:r w:rsidR="00403DE9" w:rsidRPr="0011617F">
        <w:t>https://www.eviq.org.au/radiation-oncology/skin/1032-skin-cancer-basal-cell-carcinoma-definitive-e</w:t>
      </w:r>
      <w:r w:rsidR="0011617F" w:rsidRPr="0011617F">
        <w:t>.</w:t>
      </w:r>
    </w:p>
  </w:footnote>
  <w:footnote w:id="20">
    <w:p w14:paraId="042922D7" w14:textId="0066AC48" w:rsidR="00B94786" w:rsidRPr="00081764" w:rsidRDefault="00B94786" w:rsidP="004E2934">
      <w:pPr>
        <w:pStyle w:val="FootnoteText"/>
        <w:spacing w:before="0"/>
        <w:rPr>
          <w:rStyle w:val="FootnoteReference"/>
        </w:rPr>
      </w:pPr>
      <w:r w:rsidRPr="00843CC1">
        <w:rPr>
          <w:rStyle w:val="FootnoteReference"/>
        </w:rPr>
        <w:footnoteRef/>
      </w:r>
      <w:r w:rsidRPr="00081764">
        <w:rPr>
          <w:rStyle w:val="FootnoteReference"/>
        </w:rPr>
        <w:t xml:space="preserve"> </w:t>
      </w:r>
      <w:r w:rsidR="00125EDD" w:rsidRPr="00081764">
        <w:t xml:space="preserve">Cancer Council Australia, 8. Radiotherapy, Clinical practice guidelines for keratinocyte cancer, Accessed at: </w:t>
      </w:r>
      <w:r w:rsidR="00125EDD" w:rsidRPr="0011617F">
        <w:t>https://wiki.cancer.org.au/australia/Guidelines:Keratinocyte_carcinoma/Radiotherapy#cite_note-Citation:Grossi_Marconi_D.2C_da_Costa_Resende_B.2C_Rauber_E.2C_de_Cassia_Soares_P.2C_Fernandes_JM_Junior.2C_Mehta_N.2C_et_al_2016-11</w:t>
      </w:r>
      <w:r w:rsidR="0011617F" w:rsidRPr="0011617F">
        <w:t>.</w:t>
      </w:r>
    </w:p>
  </w:footnote>
  <w:footnote w:id="21">
    <w:p w14:paraId="42755DEE" w14:textId="77777777" w:rsidR="008F5731" w:rsidRDefault="008F5731" w:rsidP="004E2934">
      <w:pPr>
        <w:pStyle w:val="FootnoteText"/>
        <w:spacing w:before="0"/>
      </w:pPr>
      <w:r>
        <w:rPr>
          <w:rStyle w:val="FootnoteReference"/>
        </w:rPr>
        <w:footnoteRef/>
      </w:r>
      <w:r w:rsidRPr="00081764">
        <w:rPr>
          <w:rStyle w:val="FootnoteReference"/>
        </w:rPr>
        <w:t xml:space="preserve"> </w:t>
      </w:r>
      <w:r w:rsidRPr="00081764">
        <w:t>Australian Journal of General Practice (AJGP), Jeremy Khong, Non-melanoma skin cancer in general practice: Radiotherapy is an effective treatment option, Volume 49, Issue 8, August 2020</w:t>
      </w:r>
    </w:p>
  </w:footnote>
  <w:footnote w:id="22">
    <w:p w14:paraId="525E0E0D" w14:textId="77777777" w:rsidR="00852741" w:rsidRPr="009D08E3" w:rsidRDefault="00852741" w:rsidP="00F1171C">
      <w:pPr>
        <w:pStyle w:val="TableFooter"/>
      </w:pPr>
      <w:r>
        <w:rPr>
          <w:rStyle w:val="FootnoteReference"/>
        </w:rPr>
        <w:footnoteRef/>
      </w:r>
      <w:r>
        <w:t xml:space="preserve"> </w:t>
      </w:r>
      <w:r w:rsidRPr="009D08E3">
        <w:t xml:space="preserve">Olsen, C. M., N. Pandeya, A. C. Green, B. S. Ragaini, A. J. Venn, and D. C. Whiteman. 2022. "Keratinocyte cancer incidence in Australia: a review of population-based incidence trends and estimates of lifetime risk."  </w:t>
      </w:r>
      <w:r w:rsidRPr="009D08E3">
        <w:rPr>
          <w:i/>
        </w:rPr>
        <w:t>Public Health Res Pract</w:t>
      </w:r>
      <w:r w:rsidRPr="009D08E3">
        <w:t xml:space="preserve"> 32 (1). doi: 10.17061/phrp3212203.</w:t>
      </w:r>
    </w:p>
    <w:p w14:paraId="543392E2" w14:textId="7D4DE4CE" w:rsidR="00852741" w:rsidRDefault="00852741">
      <w:pPr>
        <w:pStyle w:val="FootnoteText"/>
      </w:pPr>
    </w:p>
  </w:footnote>
  <w:footnote w:id="23">
    <w:p w14:paraId="2C07B5F4" w14:textId="77777777" w:rsidR="00F76D74" w:rsidRDefault="00F76D74" w:rsidP="00F76D74">
      <w:pPr>
        <w:pStyle w:val="FootnoteText"/>
      </w:pPr>
      <w:r>
        <w:rPr>
          <w:rStyle w:val="FootnoteReference"/>
        </w:rPr>
        <w:footnoteRef/>
      </w:r>
      <w:r>
        <w:t xml:space="preserve"> </w:t>
      </w:r>
      <w:r w:rsidRPr="00211106">
        <w:t>Castellucci P</w:t>
      </w:r>
      <w:r>
        <w:t xml:space="preserve"> et al. (2021)</w:t>
      </w:r>
      <w:r w:rsidRPr="00211106">
        <w:t>. "High dose brachytherapy with non sealed (188)Re (rhenium) resin in patients with non-melanoma skin cancers (NMSCs): single center preliminary results."  Eur J Nucl Med Mol Imaging 48 (5):1511-1521.</w:t>
      </w:r>
    </w:p>
  </w:footnote>
  <w:footnote w:id="24">
    <w:p w14:paraId="3EDC2D94" w14:textId="77777777" w:rsidR="00F76D74" w:rsidRDefault="00F76D74" w:rsidP="00F76D74">
      <w:pPr>
        <w:pStyle w:val="FootnoteText"/>
      </w:pPr>
      <w:r>
        <w:rPr>
          <w:rStyle w:val="FootnoteReference"/>
        </w:rPr>
        <w:footnoteRef/>
      </w:r>
      <w:r>
        <w:t xml:space="preserve"> </w:t>
      </w:r>
      <w:r w:rsidRPr="006C0B36">
        <w:t>Tietze J</w:t>
      </w:r>
      <w:r>
        <w:t xml:space="preserve"> et al. (</w:t>
      </w:r>
      <w:r w:rsidRPr="006C0B36">
        <w:t>2023</w:t>
      </w:r>
      <w:r>
        <w:t>)</w:t>
      </w:r>
      <w:r w:rsidRPr="006C0B36">
        <w:t>. "Topical Rhenium-188 ionizing radiation therapy exerts high efficacy in curing invasive non-melanoma skin cancer." [Unpublished manuscript].</w:t>
      </w:r>
    </w:p>
  </w:footnote>
  <w:footnote w:id="25">
    <w:p w14:paraId="1FCD5BBD" w14:textId="77777777" w:rsidR="00F76D74" w:rsidRDefault="00F76D74" w:rsidP="00F76D74">
      <w:pPr>
        <w:pStyle w:val="FootnoteText"/>
      </w:pPr>
      <w:r>
        <w:rPr>
          <w:rStyle w:val="FootnoteReference"/>
        </w:rPr>
        <w:footnoteRef/>
      </w:r>
      <w:r>
        <w:t xml:space="preserve"> </w:t>
      </w:r>
      <w:r w:rsidRPr="009228FB">
        <w:t>Rhenium-Skin Cancer Therapy (SCT) for the Treatment of Non-Melanoma Skin Cancer. (EPIC-Skin)</w:t>
      </w:r>
      <w:r>
        <w:t xml:space="preserve"> – </w:t>
      </w:r>
      <w:hyperlink r:id="rId3" w:history="1">
        <w:r w:rsidRPr="009228FB">
          <w:rPr>
            <w:rStyle w:val="Hyperlink"/>
          </w:rPr>
          <w:t>NCTC 05135052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36C"/>
    <w:multiLevelType w:val="hybridMultilevel"/>
    <w:tmpl w:val="0DC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37313"/>
    <w:multiLevelType w:val="hybridMultilevel"/>
    <w:tmpl w:val="95345BCA"/>
    <w:lvl w:ilvl="0" w:tplc="B38EC9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55C2C"/>
    <w:multiLevelType w:val="hybridMultilevel"/>
    <w:tmpl w:val="BE4A97DE"/>
    <w:lvl w:ilvl="0" w:tplc="B7CC9DD8">
      <w:start w:val="1"/>
      <w:numFmt w:val="bullet"/>
      <w:lvlText w:val=""/>
      <w:lvlJc w:val="left"/>
      <w:pPr>
        <w:tabs>
          <w:tab w:val="num" w:pos="720"/>
        </w:tabs>
        <w:ind w:left="720" w:hanging="360"/>
      </w:pPr>
      <w:rPr>
        <w:rFonts w:ascii="Wingdings" w:hAnsi="Wingdings" w:hint="default"/>
      </w:rPr>
    </w:lvl>
    <w:lvl w:ilvl="1" w:tplc="03D0ABC4" w:tentative="1">
      <w:start w:val="1"/>
      <w:numFmt w:val="bullet"/>
      <w:lvlText w:val=""/>
      <w:lvlJc w:val="left"/>
      <w:pPr>
        <w:tabs>
          <w:tab w:val="num" w:pos="1440"/>
        </w:tabs>
        <w:ind w:left="1440" w:hanging="360"/>
      </w:pPr>
      <w:rPr>
        <w:rFonts w:ascii="Wingdings" w:hAnsi="Wingdings" w:hint="default"/>
      </w:rPr>
    </w:lvl>
    <w:lvl w:ilvl="2" w:tplc="09A8C1A2" w:tentative="1">
      <w:start w:val="1"/>
      <w:numFmt w:val="bullet"/>
      <w:lvlText w:val=""/>
      <w:lvlJc w:val="left"/>
      <w:pPr>
        <w:tabs>
          <w:tab w:val="num" w:pos="2160"/>
        </w:tabs>
        <w:ind w:left="2160" w:hanging="360"/>
      </w:pPr>
      <w:rPr>
        <w:rFonts w:ascii="Wingdings" w:hAnsi="Wingdings" w:hint="default"/>
      </w:rPr>
    </w:lvl>
    <w:lvl w:ilvl="3" w:tplc="F0A6CDB6" w:tentative="1">
      <w:start w:val="1"/>
      <w:numFmt w:val="bullet"/>
      <w:lvlText w:val=""/>
      <w:lvlJc w:val="left"/>
      <w:pPr>
        <w:tabs>
          <w:tab w:val="num" w:pos="2880"/>
        </w:tabs>
        <w:ind w:left="2880" w:hanging="360"/>
      </w:pPr>
      <w:rPr>
        <w:rFonts w:ascii="Wingdings" w:hAnsi="Wingdings" w:hint="default"/>
      </w:rPr>
    </w:lvl>
    <w:lvl w:ilvl="4" w:tplc="6DF83D00" w:tentative="1">
      <w:start w:val="1"/>
      <w:numFmt w:val="bullet"/>
      <w:lvlText w:val=""/>
      <w:lvlJc w:val="left"/>
      <w:pPr>
        <w:tabs>
          <w:tab w:val="num" w:pos="3600"/>
        </w:tabs>
        <w:ind w:left="3600" w:hanging="360"/>
      </w:pPr>
      <w:rPr>
        <w:rFonts w:ascii="Wingdings" w:hAnsi="Wingdings" w:hint="default"/>
      </w:rPr>
    </w:lvl>
    <w:lvl w:ilvl="5" w:tplc="B3C8A2A8" w:tentative="1">
      <w:start w:val="1"/>
      <w:numFmt w:val="bullet"/>
      <w:lvlText w:val=""/>
      <w:lvlJc w:val="left"/>
      <w:pPr>
        <w:tabs>
          <w:tab w:val="num" w:pos="4320"/>
        </w:tabs>
        <w:ind w:left="4320" w:hanging="360"/>
      </w:pPr>
      <w:rPr>
        <w:rFonts w:ascii="Wingdings" w:hAnsi="Wingdings" w:hint="default"/>
      </w:rPr>
    </w:lvl>
    <w:lvl w:ilvl="6" w:tplc="7E54D58C" w:tentative="1">
      <w:start w:val="1"/>
      <w:numFmt w:val="bullet"/>
      <w:lvlText w:val=""/>
      <w:lvlJc w:val="left"/>
      <w:pPr>
        <w:tabs>
          <w:tab w:val="num" w:pos="5040"/>
        </w:tabs>
        <w:ind w:left="5040" w:hanging="360"/>
      </w:pPr>
      <w:rPr>
        <w:rFonts w:ascii="Wingdings" w:hAnsi="Wingdings" w:hint="default"/>
      </w:rPr>
    </w:lvl>
    <w:lvl w:ilvl="7" w:tplc="EC32C51C" w:tentative="1">
      <w:start w:val="1"/>
      <w:numFmt w:val="bullet"/>
      <w:lvlText w:val=""/>
      <w:lvlJc w:val="left"/>
      <w:pPr>
        <w:tabs>
          <w:tab w:val="num" w:pos="5760"/>
        </w:tabs>
        <w:ind w:left="5760" w:hanging="360"/>
      </w:pPr>
      <w:rPr>
        <w:rFonts w:ascii="Wingdings" w:hAnsi="Wingdings" w:hint="default"/>
      </w:rPr>
    </w:lvl>
    <w:lvl w:ilvl="8" w:tplc="7C58C6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A7FC3"/>
    <w:multiLevelType w:val="hybridMultilevel"/>
    <w:tmpl w:val="C2245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72C63"/>
    <w:multiLevelType w:val="hybridMultilevel"/>
    <w:tmpl w:val="FCCE26A8"/>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041" w:hanging="360"/>
      </w:pPr>
      <w:rPr>
        <w:rFonts w:ascii="Courier New" w:hAnsi="Courier New" w:cs="Courier New" w:hint="default"/>
      </w:rPr>
    </w:lvl>
    <w:lvl w:ilvl="2" w:tplc="0C090005" w:tentative="1">
      <w:start w:val="1"/>
      <w:numFmt w:val="bullet"/>
      <w:lvlText w:val=""/>
      <w:lvlJc w:val="left"/>
      <w:pPr>
        <w:ind w:left="1761" w:hanging="360"/>
      </w:pPr>
      <w:rPr>
        <w:rFonts w:ascii="Wingdings" w:hAnsi="Wingdings" w:hint="default"/>
      </w:rPr>
    </w:lvl>
    <w:lvl w:ilvl="3" w:tplc="0C090001" w:tentative="1">
      <w:start w:val="1"/>
      <w:numFmt w:val="bullet"/>
      <w:lvlText w:val=""/>
      <w:lvlJc w:val="left"/>
      <w:pPr>
        <w:ind w:left="2481" w:hanging="360"/>
      </w:pPr>
      <w:rPr>
        <w:rFonts w:ascii="Symbol" w:hAnsi="Symbol" w:hint="default"/>
      </w:rPr>
    </w:lvl>
    <w:lvl w:ilvl="4" w:tplc="0C090003" w:tentative="1">
      <w:start w:val="1"/>
      <w:numFmt w:val="bullet"/>
      <w:lvlText w:val="o"/>
      <w:lvlJc w:val="left"/>
      <w:pPr>
        <w:ind w:left="3201" w:hanging="360"/>
      </w:pPr>
      <w:rPr>
        <w:rFonts w:ascii="Courier New" w:hAnsi="Courier New" w:cs="Courier New" w:hint="default"/>
      </w:rPr>
    </w:lvl>
    <w:lvl w:ilvl="5" w:tplc="0C090005" w:tentative="1">
      <w:start w:val="1"/>
      <w:numFmt w:val="bullet"/>
      <w:lvlText w:val=""/>
      <w:lvlJc w:val="left"/>
      <w:pPr>
        <w:ind w:left="3921" w:hanging="360"/>
      </w:pPr>
      <w:rPr>
        <w:rFonts w:ascii="Wingdings" w:hAnsi="Wingdings" w:hint="default"/>
      </w:rPr>
    </w:lvl>
    <w:lvl w:ilvl="6" w:tplc="0C090001" w:tentative="1">
      <w:start w:val="1"/>
      <w:numFmt w:val="bullet"/>
      <w:lvlText w:val=""/>
      <w:lvlJc w:val="left"/>
      <w:pPr>
        <w:ind w:left="4641" w:hanging="360"/>
      </w:pPr>
      <w:rPr>
        <w:rFonts w:ascii="Symbol" w:hAnsi="Symbol" w:hint="default"/>
      </w:rPr>
    </w:lvl>
    <w:lvl w:ilvl="7" w:tplc="0C090003" w:tentative="1">
      <w:start w:val="1"/>
      <w:numFmt w:val="bullet"/>
      <w:lvlText w:val="o"/>
      <w:lvlJc w:val="left"/>
      <w:pPr>
        <w:ind w:left="5361" w:hanging="360"/>
      </w:pPr>
      <w:rPr>
        <w:rFonts w:ascii="Courier New" w:hAnsi="Courier New" w:cs="Courier New" w:hint="default"/>
      </w:rPr>
    </w:lvl>
    <w:lvl w:ilvl="8" w:tplc="0C090005" w:tentative="1">
      <w:start w:val="1"/>
      <w:numFmt w:val="bullet"/>
      <w:lvlText w:val=""/>
      <w:lvlJc w:val="left"/>
      <w:pPr>
        <w:ind w:left="6081"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D953"/>
    <w:multiLevelType w:val="hybridMultilevel"/>
    <w:tmpl w:val="AB3EE028"/>
    <w:lvl w:ilvl="0" w:tplc="1AB25E68">
      <w:start w:val="1"/>
      <w:numFmt w:val="bullet"/>
      <w:lvlText w:val="·"/>
      <w:lvlJc w:val="left"/>
      <w:pPr>
        <w:ind w:left="720" w:hanging="360"/>
      </w:pPr>
      <w:rPr>
        <w:rFonts w:ascii="Symbol" w:hAnsi="Symbol" w:hint="default"/>
      </w:rPr>
    </w:lvl>
    <w:lvl w:ilvl="1" w:tplc="4D46E098">
      <w:start w:val="1"/>
      <w:numFmt w:val="bullet"/>
      <w:lvlText w:val="o"/>
      <w:lvlJc w:val="left"/>
      <w:pPr>
        <w:ind w:left="1440" w:hanging="360"/>
      </w:pPr>
      <w:rPr>
        <w:rFonts w:ascii="Courier New" w:hAnsi="Courier New" w:hint="default"/>
      </w:rPr>
    </w:lvl>
    <w:lvl w:ilvl="2" w:tplc="C6AE80F4">
      <w:start w:val="1"/>
      <w:numFmt w:val="bullet"/>
      <w:lvlText w:val=""/>
      <w:lvlJc w:val="left"/>
      <w:pPr>
        <w:ind w:left="2160" w:hanging="360"/>
      </w:pPr>
      <w:rPr>
        <w:rFonts w:ascii="Wingdings" w:hAnsi="Wingdings" w:hint="default"/>
      </w:rPr>
    </w:lvl>
    <w:lvl w:ilvl="3" w:tplc="7194B73C">
      <w:start w:val="1"/>
      <w:numFmt w:val="bullet"/>
      <w:lvlText w:val=""/>
      <w:lvlJc w:val="left"/>
      <w:pPr>
        <w:ind w:left="2880" w:hanging="360"/>
      </w:pPr>
      <w:rPr>
        <w:rFonts w:ascii="Symbol" w:hAnsi="Symbol" w:hint="default"/>
      </w:rPr>
    </w:lvl>
    <w:lvl w:ilvl="4" w:tplc="23B4F57A">
      <w:start w:val="1"/>
      <w:numFmt w:val="bullet"/>
      <w:lvlText w:val="o"/>
      <w:lvlJc w:val="left"/>
      <w:pPr>
        <w:ind w:left="3600" w:hanging="360"/>
      </w:pPr>
      <w:rPr>
        <w:rFonts w:ascii="Courier New" w:hAnsi="Courier New" w:hint="default"/>
      </w:rPr>
    </w:lvl>
    <w:lvl w:ilvl="5" w:tplc="091CB19A">
      <w:start w:val="1"/>
      <w:numFmt w:val="bullet"/>
      <w:lvlText w:val=""/>
      <w:lvlJc w:val="left"/>
      <w:pPr>
        <w:ind w:left="4320" w:hanging="360"/>
      </w:pPr>
      <w:rPr>
        <w:rFonts w:ascii="Wingdings" w:hAnsi="Wingdings" w:hint="default"/>
      </w:rPr>
    </w:lvl>
    <w:lvl w:ilvl="6" w:tplc="F310702E">
      <w:start w:val="1"/>
      <w:numFmt w:val="bullet"/>
      <w:lvlText w:val=""/>
      <w:lvlJc w:val="left"/>
      <w:pPr>
        <w:ind w:left="5040" w:hanging="360"/>
      </w:pPr>
      <w:rPr>
        <w:rFonts w:ascii="Symbol" w:hAnsi="Symbol" w:hint="default"/>
      </w:rPr>
    </w:lvl>
    <w:lvl w:ilvl="7" w:tplc="07349062">
      <w:start w:val="1"/>
      <w:numFmt w:val="bullet"/>
      <w:lvlText w:val="o"/>
      <w:lvlJc w:val="left"/>
      <w:pPr>
        <w:ind w:left="5760" w:hanging="360"/>
      </w:pPr>
      <w:rPr>
        <w:rFonts w:ascii="Courier New" w:hAnsi="Courier New" w:hint="default"/>
      </w:rPr>
    </w:lvl>
    <w:lvl w:ilvl="8" w:tplc="9AFC215A">
      <w:start w:val="1"/>
      <w:numFmt w:val="bullet"/>
      <w:lvlText w:val=""/>
      <w:lvlJc w:val="left"/>
      <w:pPr>
        <w:ind w:left="6480" w:hanging="360"/>
      </w:pPr>
      <w:rPr>
        <w:rFonts w:ascii="Wingdings" w:hAnsi="Wingdings" w:hint="default"/>
      </w:rPr>
    </w:lvl>
  </w:abstractNum>
  <w:abstractNum w:abstractNumId="8" w15:restartNumberingAfterBreak="0">
    <w:nsid w:val="20BC1B7F"/>
    <w:multiLevelType w:val="hybridMultilevel"/>
    <w:tmpl w:val="8D149958"/>
    <w:lvl w:ilvl="0" w:tplc="55AE76F8">
      <w:start w:val="1"/>
      <w:numFmt w:val="bullet"/>
      <w:lvlText w:val="·"/>
      <w:lvlJc w:val="left"/>
      <w:pPr>
        <w:ind w:left="720" w:hanging="360"/>
      </w:pPr>
      <w:rPr>
        <w:rFonts w:ascii="Symbol" w:hAnsi="Symbol" w:hint="default"/>
      </w:rPr>
    </w:lvl>
    <w:lvl w:ilvl="1" w:tplc="8E560CDC">
      <w:start w:val="1"/>
      <w:numFmt w:val="bullet"/>
      <w:lvlText w:val="o"/>
      <w:lvlJc w:val="left"/>
      <w:pPr>
        <w:ind w:left="1440" w:hanging="360"/>
      </w:pPr>
      <w:rPr>
        <w:rFonts w:ascii="Courier New" w:hAnsi="Courier New" w:hint="default"/>
      </w:rPr>
    </w:lvl>
    <w:lvl w:ilvl="2" w:tplc="9D24D590">
      <w:start w:val="1"/>
      <w:numFmt w:val="bullet"/>
      <w:lvlText w:val=""/>
      <w:lvlJc w:val="left"/>
      <w:pPr>
        <w:ind w:left="2160" w:hanging="360"/>
      </w:pPr>
      <w:rPr>
        <w:rFonts w:ascii="Wingdings" w:hAnsi="Wingdings" w:hint="default"/>
      </w:rPr>
    </w:lvl>
    <w:lvl w:ilvl="3" w:tplc="B100CD3A">
      <w:start w:val="1"/>
      <w:numFmt w:val="bullet"/>
      <w:lvlText w:val=""/>
      <w:lvlJc w:val="left"/>
      <w:pPr>
        <w:ind w:left="2880" w:hanging="360"/>
      </w:pPr>
      <w:rPr>
        <w:rFonts w:ascii="Symbol" w:hAnsi="Symbol" w:hint="default"/>
      </w:rPr>
    </w:lvl>
    <w:lvl w:ilvl="4" w:tplc="DEE0E200">
      <w:start w:val="1"/>
      <w:numFmt w:val="bullet"/>
      <w:lvlText w:val="o"/>
      <w:lvlJc w:val="left"/>
      <w:pPr>
        <w:ind w:left="3600" w:hanging="360"/>
      </w:pPr>
      <w:rPr>
        <w:rFonts w:ascii="Courier New" w:hAnsi="Courier New" w:hint="default"/>
      </w:rPr>
    </w:lvl>
    <w:lvl w:ilvl="5" w:tplc="BD60C338">
      <w:start w:val="1"/>
      <w:numFmt w:val="bullet"/>
      <w:lvlText w:val=""/>
      <w:lvlJc w:val="left"/>
      <w:pPr>
        <w:ind w:left="4320" w:hanging="360"/>
      </w:pPr>
      <w:rPr>
        <w:rFonts w:ascii="Wingdings" w:hAnsi="Wingdings" w:hint="default"/>
      </w:rPr>
    </w:lvl>
    <w:lvl w:ilvl="6" w:tplc="E1622570">
      <w:start w:val="1"/>
      <w:numFmt w:val="bullet"/>
      <w:lvlText w:val=""/>
      <w:lvlJc w:val="left"/>
      <w:pPr>
        <w:ind w:left="5040" w:hanging="360"/>
      </w:pPr>
      <w:rPr>
        <w:rFonts w:ascii="Symbol" w:hAnsi="Symbol" w:hint="default"/>
      </w:rPr>
    </w:lvl>
    <w:lvl w:ilvl="7" w:tplc="BB6CCF8A">
      <w:start w:val="1"/>
      <w:numFmt w:val="bullet"/>
      <w:lvlText w:val="o"/>
      <w:lvlJc w:val="left"/>
      <w:pPr>
        <w:ind w:left="5760" w:hanging="360"/>
      </w:pPr>
      <w:rPr>
        <w:rFonts w:ascii="Courier New" w:hAnsi="Courier New" w:hint="default"/>
      </w:rPr>
    </w:lvl>
    <w:lvl w:ilvl="8" w:tplc="88D24EE4">
      <w:start w:val="1"/>
      <w:numFmt w:val="bullet"/>
      <w:lvlText w:val=""/>
      <w:lvlJc w:val="left"/>
      <w:pPr>
        <w:ind w:left="6480" w:hanging="360"/>
      </w:pPr>
      <w:rPr>
        <w:rFonts w:ascii="Wingdings" w:hAnsi="Wingdings" w:hint="default"/>
      </w:rPr>
    </w:lvl>
  </w:abstractNum>
  <w:abstractNum w:abstractNumId="9" w15:restartNumberingAfterBreak="0">
    <w:nsid w:val="261DF61B"/>
    <w:multiLevelType w:val="hybridMultilevel"/>
    <w:tmpl w:val="BB5C5FD2"/>
    <w:lvl w:ilvl="0" w:tplc="6EF2CD88">
      <w:start w:val="1"/>
      <w:numFmt w:val="bullet"/>
      <w:lvlText w:val="·"/>
      <w:lvlJc w:val="left"/>
      <w:pPr>
        <w:ind w:left="720" w:hanging="360"/>
      </w:pPr>
      <w:rPr>
        <w:rFonts w:ascii="Symbol" w:hAnsi="Symbol" w:hint="default"/>
      </w:rPr>
    </w:lvl>
    <w:lvl w:ilvl="1" w:tplc="54F000A8">
      <w:start w:val="1"/>
      <w:numFmt w:val="bullet"/>
      <w:lvlText w:val="o"/>
      <w:lvlJc w:val="left"/>
      <w:pPr>
        <w:ind w:left="1440" w:hanging="360"/>
      </w:pPr>
      <w:rPr>
        <w:rFonts w:ascii="Courier New" w:hAnsi="Courier New" w:hint="default"/>
      </w:rPr>
    </w:lvl>
    <w:lvl w:ilvl="2" w:tplc="699C0518">
      <w:start w:val="1"/>
      <w:numFmt w:val="bullet"/>
      <w:lvlText w:val=""/>
      <w:lvlJc w:val="left"/>
      <w:pPr>
        <w:ind w:left="2160" w:hanging="360"/>
      </w:pPr>
      <w:rPr>
        <w:rFonts w:ascii="Wingdings" w:hAnsi="Wingdings" w:hint="default"/>
      </w:rPr>
    </w:lvl>
    <w:lvl w:ilvl="3" w:tplc="A8823692">
      <w:start w:val="1"/>
      <w:numFmt w:val="bullet"/>
      <w:lvlText w:val=""/>
      <w:lvlJc w:val="left"/>
      <w:pPr>
        <w:ind w:left="2880" w:hanging="360"/>
      </w:pPr>
      <w:rPr>
        <w:rFonts w:ascii="Symbol" w:hAnsi="Symbol" w:hint="default"/>
      </w:rPr>
    </w:lvl>
    <w:lvl w:ilvl="4" w:tplc="C772F540">
      <w:start w:val="1"/>
      <w:numFmt w:val="bullet"/>
      <w:lvlText w:val="o"/>
      <w:lvlJc w:val="left"/>
      <w:pPr>
        <w:ind w:left="3600" w:hanging="360"/>
      </w:pPr>
      <w:rPr>
        <w:rFonts w:ascii="Courier New" w:hAnsi="Courier New" w:hint="default"/>
      </w:rPr>
    </w:lvl>
    <w:lvl w:ilvl="5" w:tplc="4912A208">
      <w:start w:val="1"/>
      <w:numFmt w:val="bullet"/>
      <w:lvlText w:val=""/>
      <w:lvlJc w:val="left"/>
      <w:pPr>
        <w:ind w:left="4320" w:hanging="360"/>
      </w:pPr>
      <w:rPr>
        <w:rFonts w:ascii="Wingdings" w:hAnsi="Wingdings" w:hint="default"/>
      </w:rPr>
    </w:lvl>
    <w:lvl w:ilvl="6" w:tplc="AC7A3152">
      <w:start w:val="1"/>
      <w:numFmt w:val="bullet"/>
      <w:lvlText w:val=""/>
      <w:lvlJc w:val="left"/>
      <w:pPr>
        <w:ind w:left="5040" w:hanging="360"/>
      </w:pPr>
      <w:rPr>
        <w:rFonts w:ascii="Symbol" w:hAnsi="Symbol" w:hint="default"/>
      </w:rPr>
    </w:lvl>
    <w:lvl w:ilvl="7" w:tplc="9EACABC4">
      <w:start w:val="1"/>
      <w:numFmt w:val="bullet"/>
      <w:lvlText w:val="o"/>
      <w:lvlJc w:val="left"/>
      <w:pPr>
        <w:ind w:left="5760" w:hanging="360"/>
      </w:pPr>
      <w:rPr>
        <w:rFonts w:ascii="Courier New" w:hAnsi="Courier New" w:hint="default"/>
      </w:rPr>
    </w:lvl>
    <w:lvl w:ilvl="8" w:tplc="30C8E4E8">
      <w:start w:val="1"/>
      <w:numFmt w:val="bullet"/>
      <w:lvlText w:val=""/>
      <w:lvlJc w:val="left"/>
      <w:pPr>
        <w:ind w:left="648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C25E48"/>
    <w:multiLevelType w:val="hybridMultilevel"/>
    <w:tmpl w:val="FFFFFFFF"/>
    <w:styleLink w:val="ESSectionheading-numbered"/>
    <w:lvl w:ilvl="0" w:tplc="52DAD616">
      <w:start w:val="1"/>
      <w:numFmt w:val="bullet"/>
      <w:lvlText w:val=""/>
      <w:lvlJc w:val="left"/>
      <w:pPr>
        <w:ind w:left="720" w:hanging="360"/>
      </w:pPr>
      <w:rPr>
        <w:rFonts w:ascii="Symbol" w:hAnsi="Symbol" w:hint="default"/>
      </w:rPr>
    </w:lvl>
    <w:lvl w:ilvl="1" w:tplc="9AA4328E">
      <w:start w:val="1"/>
      <w:numFmt w:val="bullet"/>
      <w:lvlText w:val="o"/>
      <w:lvlJc w:val="left"/>
      <w:pPr>
        <w:ind w:left="1440" w:hanging="360"/>
      </w:pPr>
      <w:rPr>
        <w:rFonts w:ascii="Courier New" w:hAnsi="Courier New" w:hint="default"/>
      </w:rPr>
    </w:lvl>
    <w:lvl w:ilvl="2" w:tplc="D03040F4">
      <w:start w:val="1"/>
      <w:numFmt w:val="bullet"/>
      <w:lvlText w:val=""/>
      <w:lvlJc w:val="left"/>
      <w:pPr>
        <w:ind w:left="2160" w:hanging="360"/>
      </w:pPr>
      <w:rPr>
        <w:rFonts w:ascii="Wingdings" w:hAnsi="Wingdings" w:hint="default"/>
      </w:rPr>
    </w:lvl>
    <w:lvl w:ilvl="3" w:tplc="5580654C">
      <w:start w:val="1"/>
      <w:numFmt w:val="bullet"/>
      <w:lvlText w:val=""/>
      <w:lvlJc w:val="left"/>
      <w:pPr>
        <w:ind w:left="2880" w:hanging="360"/>
      </w:pPr>
      <w:rPr>
        <w:rFonts w:ascii="Symbol" w:hAnsi="Symbol" w:hint="default"/>
      </w:rPr>
    </w:lvl>
    <w:lvl w:ilvl="4" w:tplc="724C45A2">
      <w:start w:val="1"/>
      <w:numFmt w:val="bullet"/>
      <w:lvlText w:val="o"/>
      <w:lvlJc w:val="left"/>
      <w:pPr>
        <w:ind w:left="3600" w:hanging="360"/>
      </w:pPr>
      <w:rPr>
        <w:rFonts w:ascii="Courier New" w:hAnsi="Courier New" w:hint="default"/>
      </w:rPr>
    </w:lvl>
    <w:lvl w:ilvl="5" w:tplc="BECAC010">
      <w:start w:val="1"/>
      <w:numFmt w:val="bullet"/>
      <w:lvlText w:val=""/>
      <w:lvlJc w:val="left"/>
      <w:pPr>
        <w:ind w:left="4320" w:hanging="360"/>
      </w:pPr>
      <w:rPr>
        <w:rFonts w:ascii="Wingdings" w:hAnsi="Wingdings" w:hint="default"/>
      </w:rPr>
    </w:lvl>
    <w:lvl w:ilvl="6" w:tplc="9FAE4EBE">
      <w:start w:val="1"/>
      <w:numFmt w:val="bullet"/>
      <w:lvlText w:val=""/>
      <w:lvlJc w:val="left"/>
      <w:pPr>
        <w:ind w:left="5040" w:hanging="360"/>
      </w:pPr>
      <w:rPr>
        <w:rFonts w:ascii="Symbol" w:hAnsi="Symbol" w:hint="default"/>
      </w:rPr>
    </w:lvl>
    <w:lvl w:ilvl="7" w:tplc="286C0E60">
      <w:start w:val="1"/>
      <w:numFmt w:val="bullet"/>
      <w:lvlText w:val="o"/>
      <w:lvlJc w:val="left"/>
      <w:pPr>
        <w:ind w:left="5760" w:hanging="360"/>
      </w:pPr>
      <w:rPr>
        <w:rFonts w:ascii="Courier New" w:hAnsi="Courier New" w:hint="default"/>
      </w:rPr>
    </w:lvl>
    <w:lvl w:ilvl="8" w:tplc="BE241720">
      <w:start w:val="1"/>
      <w:numFmt w:val="bullet"/>
      <w:lvlText w:val=""/>
      <w:lvlJc w:val="left"/>
      <w:pPr>
        <w:ind w:left="6480" w:hanging="360"/>
      </w:pPr>
      <w:rPr>
        <w:rFonts w:ascii="Wingdings" w:hAnsi="Wingdings" w:hint="default"/>
      </w:rPr>
    </w:lvl>
  </w:abstractNum>
  <w:abstractNum w:abstractNumId="15" w15:restartNumberingAfterBreak="0">
    <w:nsid w:val="39110A96"/>
    <w:multiLevelType w:val="hybridMultilevel"/>
    <w:tmpl w:val="AD4CE3EE"/>
    <w:lvl w:ilvl="0" w:tplc="C7F6B1B8">
      <w:start w:val="1"/>
      <w:numFmt w:val="bullet"/>
      <w:lvlText w:val=""/>
      <w:lvlJc w:val="left"/>
      <w:pPr>
        <w:tabs>
          <w:tab w:val="num" w:pos="720"/>
        </w:tabs>
        <w:ind w:left="720" w:hanging="360"/>
      </w:pPr>
      <w:rPr>
        <w:rFonts w:ascii="Wingdings" w:hAnsi="Wingdings" w:hint="default"/>
      </w:rPr>
    </w:lvl>
    <w:lvl w:ilvl="1" w:tplc="6A001936">
      <w:start w:val="1"/>
      <w:numFmt w:val="bullet"/>
      <w:lvlText w:val=""/>
      <w:lvlJc w:val="left"/>
      <w:pPr>
        <w:tabs>
          <w:tab w:val="num" w:pos="1440"/>
        </w:tabs>
        <w:ind w:left="1440" w:hanging="360"/>
      </w:pPr>
      <w:rPr>
        <w:rFonts w:ascii="Wingdings" w:hAnsi="Wingdings" w:hint="default"/>
      </w:rPr>
    </w:lvl>
    <w:lvl w:ilvl="2" w:tplc="A198F344" w:tentative="1">
      <w:start w:val="1"/>
      <w:numFmt w:val="bullet"/>
      <w:lvlText w:val=""/>
      <w:lvlJc w:val="left"/>
      <w:pPr>
        <w:tabs>
          <w:tab w:val="num" w:pos="2160"/>
        </w:tabs>
        <w:ind w:left="2160" w:hanging="360"/>
      </w:pPr>
      <w:rPr>
        <w:rFonts w:ascii="Wingdings" w:hAnsi="Wingdings" w:hint="default"/>
      </w:rPr>
    </w:lvl>
    <w:lvl w:ilvl="3" w:tplc="0A62B950" w:tentative="1">
      <w:start w:val="1"/>
      <w:numFmt w:val="bullet"/>
      <w:lvlText w:val=""/>
      <w:lvlJc w:val="left"/>
      <w:pPr>
        <w:tabs>
          <w:tab w:val="num" w:pos="2880"/>
        </w:tabs>
        <w:ind w:left="2880" w:hanging="360"/>
      </w:pPr>
      <w:rPr>
        <w:rFonts w:ascii="Wingdings" w:hAnsi="Wingdings" w:hint="default"/>
      </w:rPr>
    </w:lvl>
    <w:lvl w:ilvl="4" w:tplc="CDFCD2B2" w:tentative="1">
      <w:start w:val="1"/>
      <w:numFmt w:val="bullet"/>
      <w:lvlText w:val=""/>
      <w:lvlJc w:val="left"/>
      <w:pPr>
        <w:tabs>
          <w:tab w:val="num" w:pos="3600"/>
        </w:tabs>
        <w:ind w:left="3600" w:hanging="360"/>
      </w:pPr>
      <w:rPr>
        <w:rFonts w:ascii="Wingdings" w:hAnsi="Wingdings" w:hint="default"/>
      </w:rPr>
    </w:lvl>
    <w:lvl w:ilvl="5" w:tplc="874E3986" w:tentative="1">
      <w:start w:val="1"/>
      <w:numFmt w:val="bullet"/>
      <w:lvlText w:val=""/>
      <w:lvlJc w:val="left"/>
      <w:pPr>
        <w:tabs>
          <w:tab w:val="num" w:pos="4320"/>
        </w:tabs>
        <w:ind w:left="4320" w:hanging="360"/>
      </w:pPr>
      <w:rPr>
        <w:rFonts w:ascii="Wingdings" w:hAnsi="Wingdings" w:hint="default"/>
      </w:rPr>
    </w:lvl>
    <w:lvl w:ilvl="6" w:tplc="3DA6893A" w:tentative="1">
      <w:start w:val="1"/>
      <w:numFmt w:val="bullet"/>
      <w:lvlText w:val=""/>
      <w:lvlJc w:val="left"/>
      <w:pPr>
        <w:tabs>
          <w:tab w:val="num" w:pos="5040"/>
        </w:tabs>
        <w:ind w:left="5040" w:hanging="360"/>
      </w:pPr>
      <w:rPr>
        <w:rFonts w:ascii="Wingdings" w:hAnsi="Wingdings" w:hint="default"/>
      </w:rPr>
    </w:lvl>
    <w:lvl w:ilvl="7" w:tplc="F2C4E67C" w:tentative="1">
      <w:start w:val="1"/>
      <w:numFmt w:val="bullet"/>
      <w:lvlText w:val=""/>
      <w:lvlJc w:val="left"/>
      <w:pPr>
        <w:tabs>
          <w:tab w:val="num" w:pos="5760"/>
        </w:tabs>
        <w:ind w:left="5760" w:hanging="360"/>
      </w:pPr>
      <w:rPr>
        <w:rFonts w:ascii="Wingdings" w:hAnsi="Wingdings" w:hint="default"/>
      </w:rPr>
    </w:lvl>
    <w:lvl w:ilvl="8" w:tplc="AB767A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72259"/>
    <w:multiLevelType w:val="hybridMultilevel"/>
    <w:tmpl w:val="4DA88D2A"/>
    <w:lvl w:ilvl="0" w:tplc="0AE2C05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6D1B0E"/>
    <w:multiLevelType w:val="hybridMultilevel"/>
    <w:tmpl w:val="35BA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391C4DEE"/>
    <w:lvl w:ilvl="0" w:tplc="39B08A72">
      <w:start w:val="1"/>
      <w:numFmt w:val="bullet"/>
      <w:pStyle w:val="Instructionaltext-bullet"/>
      <w:lvlText w:val=""/>
      <w:lvlJc w:val="left"/>
      <w:pPr>
        <w:ind w:left="720" w:hanging="360"/>
      </w:pPr>
      <w:rPr>
        <w:rFonts w:ascii="Symbol" w:hAnsi="Symbol" w:cs="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8337FC"/>
    <w:multiLevelType w:val="hybridMultilevel"/>
    <w:tmpl w:val="00A4EC66"/>
    <w:lvl w:ilvl="0" w:tplc="948A1D86">
      <w:start w:val="1"/>
      <w:numFmt w:val="bullet"/>
      <w:lvlText w:val=""/>
      <w:lvlJc w:val="left"/>
      <w:pPr>
        <w:tabs>
          <w:tab w:val="num" w:pos="720"/>
        </w:tabs>
        <w:ind w:left="720" w:hanging="360"/>
      </w:pPr>
      <w:rPr>
        <w:rFonts w:ascii="Wingdings" w:hAnsi="Wingdings" w:hint="default"/>
      </w:rPr>
    </w:lvl>
    <w:lvl w:ilvl="1" w:tplc="10A04376">
      <w:start w:val="1"/>
      <w:numFmt w:val="bullet"/>
      <w:lvlText w:val=""/>
      <w:lvlJc w:val="left"/>
      <w:pPr>
        <w:tabs>
          <w:tab w:val="num" w:pos="1440"/>
        </w:tabs>
        <w:ind w:left="1440" w:hanging="360"/>
      </w:pPr>
      <w:rPr>
        <w:rFonts w:ascii="Wingdings" w:hAnsi="Wingdings" w:hint="default"/>
      </w:rPr>
    </w:lvl>
    <w:lvl w:ilvl="2" w:tplc="6FA818AA" w:tentative="1">
      <w:start w:val="1"/>
      <w:numFmt w:val="bullet"/>
      <w:lvlText w:val=""/>
      <w:lvlJc w:val="left"/>
      <w:pPr>
        <w:tabs>
          <w:tab w:val="num" w:pos="2160"/>
        </w:tabs>
        <w:ind w:left="2160" w:hanging="360"/>
      </w:pPr>
      <w:rPr>
        <w:rFonts w:ascii="Wingdings" w:hAnsi="Wingdings" w:hint="default"/>
      </w:rPr>
    </w:lvl>
    <w:lvl w:ilvl="3" w:tplc="94D64CE8" w:tentative="1">
      <w:start w:val="1"/>
      <w:numFmt w:val="bullet"/>
      <w:lvlText w:val=""/>
      <w:lvlJc w:val="left"/>
      <w:pPr>
        <w:tabs>
          <w:tab w:val="num" w:pos="2880"/>
        </w:tabs>
        <w:ind w:left="2880" w:hanging="360"/>
      </w:pPr>
      <w:rPr>
        <w:rFonts w:ascii="Wingdings" w:hAnsi="Wingdings" w:hint="default"/>
      </w:rPr>
    </w:lvl>
    <w:lvl w:ilvl="4" w:tplc="CD8C1F8E" w:tentative="1">
      <w:start w:val="1"/>
      <w:numFmt w:val="bullet"/>
      <w:lvlText w:val=""/>
      <w:lvlJc w:val="left"/>
      <w:pPr>
        <w:tabs>
          <w:tab w:val="num" w:pos="3600"/>
        </w:tabs>
        <w:ind w:left="3600" w:hanging="360"/>
      </w:pPr>
      <w:rPr>
        <w:rFonts w:ascii="Wingdings" w:hAnsi="Wingdings" w:hint="default"/>
      </w:rPr>
    </w:lvl>
    <w:lvl w:ilvl="5" w:tplc="EDE8A638" w:tentative="1">
      <w:start w:val="1"/>
      <w:numFmt w:val="bullet"/>
      <w:lvlText w:val=""/>
      <w:lvlJc w:val="left"/>
      <w:pPr>
        <w:tabs>
          <w:tab w:val="num" w:pos="4320"/>
        </w:tabs>
        <w:ind w:left="4320" w:hanging="360"/>
      </w:pPr>
      <w:rPr>
        <w:rFonts w:ascii="Wingdings" w:hAnsi="Wingdings" w:hint="default"/>
      </w:rPr>
    </w:lvl>
    <w:lvl w:ilvl="6" w:tplc="2B7A58BE" w:tentative="1">
      <w:start w:val="1"/>
      <w:numFmt w:val="bullet"/>
      <w:lvlText w:val=""/>
      <w:lvlJc w:val="left"/>
      <w:pPr>
        <w:tabs>
          <w:tab w:val="num" w:pos="5040"/>
        </w:tabs>
        <w:ind w:left="5040" w:hanging="360"/>
      </w:pPr>
      <w:rPr>
        <w:rFonts w:ascii="Wingdings" w:hAnsi="Wingdings" w:hint="default"/>
      </w:rPr>
    </w:lvl>
    <w:lvl w:ilvl="7" w:tplc="CC9ABF36" w:tentative="1">
      <w:start w:val="1"/>
      <w:numFmt w:val="bullet"/>
      <w:lvlText w:val=""/>
      <w:lvlJc w:val="left"/>
      <w:pPr>
        <w:tabs>
          <w:tab w:val="num" w:pos="5760"/>
        </w:tabs>
        <w:ind w:left="5760" w:hanging="360"/>
      </w:pPr>
      <w:rPr>
        <w:rFonts w:ascii="Wingdings" w:hAnsi="Wingdings" w:hint="default"/>
      </w:rPr>
    </w:lvl>
    <w:lvl w:ilvl="8" w:tplc="FE00FF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F26D3"/>
    <w:multiLevelType w:val="hybridMultilevel"/>
    <w:tmpl w:val="E864F782"/>
    <w:lvl w:ilvl="0" w:tplc="7BAE2F70">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6B5495"/>
    <w:multiLevelType w:val="hybridMultilevel"/>
    <w:tmpl w:val="56662310"/>
    <w:lvl w:ilvl="0" w:tplc="8858434A">
      <w:start w:val="1"/>
      <w:numFmt w:val="bullet"/>
      <w:lvlText w:val=""/>
      <w:lvlJc w:val="left"/>
      <w:pPr>
        <w:tabs>
          <w:tab w:val="num" w:pos="720"/>
        </w:tabs>
        <w:ind w:left="720" w:hanging="360"/>
      </w:pPr>
      <w:rPr>
        <w:rFonts w:ascii="Wingdings" w:hAnsi="Wingdings" w:hint="default"/>
      </w:rPr>
    </w:lvl>
    <w:lvl w:ilvl="1" w:tplc="CBCAB7CE" w:tentative="1">
      <w:start w:val="1"/>
      <w:numFmt w:val="bullet"/>
      <w:lvlText w:val=""/>
      <w:lvlJc w:val="left"/>
      <w:pPr>
        <w:tabs>
          <w:tab w:val="num" w:pos="1440"/>
        </w:tabs>
        <w:ind w:left="1440" w:hanging="360"/>
      </w:pPr>
      <w:rPr>
        <w:rFonts w:ascii="Wingdings" w:hAnsi="Wingdings" w:hint="default"/>
      </w:rPr>
    </w:lvl>
    <w:lvl w:ilvl="2" w:tplc="EDB8469E" w:tentative="1">
      <w:start w:val="1"/>
      <w:numFmt w:val="bullet"/>
      <w:lvlText w:val=""/>
      <w:lvlJc w:val="left"/>
      <w:pPr>
        <w:tabs>
          <w:tab w:val="num" w:pos="2160"/>
        </w:tabs>
        <w:ind w:left="2160" w:hanging="360"/>
      </w:pPr>
      <w:rPr>
        <w:rFonts w:ascii="Wingdings" w:hAnsi="Wingdings" w:hint="default"/>
      </w:rPr>
    </w:lvl>
    <w:lvl w:ilvl="3" w:tplc="817A8A14" w:tentative="1">
      <w:start w:val="1"/>
      <w:numFmt w:val="bullet"/>
      <w:lvlText w:val=""/>
      <w:lvlJc w:val="left"/>
      <w:pPr>
        <w:tabs>
          <w:tab w:val="num" w:pos="2880"/>
        </w:tabs>
        <w:ind w:left="2880" w:hanging="360"/>
      </w:pPr>
      <w:rPr>
        <w:rFonts w:ascii="Wingdings" w:hAnsi="Wingdings" w:hint="default"/>
      </w:rPr>
    </w:lvl>
    <w:lvl w:ilvl="4" w:tplc="A23E8D36" w:tentative="1">
      <w:start w:val="1"/>
      <w:numFmt w:val="bullet"/>
      <w:lvlText w:val=""/>
      <w:lvlJc w:val="left"/>
      <w:pPr>
        <w:tabs>
          <w:tab w:val="num" w:pos="3600"/>
        </w:tabs>
        <w:ind w:left="3600" w:hanging="360"/>
      </w:pPr>
      <w:rPr>
        <w:rFonts w:ascii="Wingdings" w:hAnsi="Wingdings" w:hint="default"/>
      </w:rPr>
    </w:lvl>
    <w:lvl w:ilvl="5" w:tplc="D62CE2D4" w:tentative="1">
      <w:start w:val="1"/>
      <w:numFmt w:val="bullet"/>
      <w:lvlText w:val=""/>
      <w:lvlJc w:val="left"/>
      <w:pPr>
        <w:tabs>
          <w:tab w:val="num" w:pos="4320"/>
        </w:tabs>
        <w:ind w:left="4320" w:hanging="360"/>
      </w:pPr>
      <w:rPr>
        <w:rFonts w:ascii="Wingdings" w:hAnsi="Wingdings" w:hint="default"/>
      </w:rPr>
    </w:lvl>
    <w:lvl w:ilvl="6" w:tplc="8B303B5E" w:tentative="1">
      <w:start w:val="1"/>
      <w:numFmt w:val="bullet"/>
      <w:lvlText w:val=""/>
      <w:lvlJc w:val="left"/>
      <w:pPr>
        <w:tabs>
          <w:tab w:val="num" w:pos="5040"/>
        </w:tabs>
        <w:ind w:left="5040" w:hanging="360"/>
      </w:pPr>
      <w:rPr>
        <w:rFonts w:ascii="Wingdings" w:hAnsi="Wingdings" w:hint="default"/>
      </w:rPr>
    </w:lvl>
    <w:lvl w:ilvl="7" w:tplc="F3D6DA3A" w:tentative="1">
      <w:start w:val="1"/>
      <w:numFmt w:val="bullet"/>
      <w:lvlText w:val=""/>
      <w:lvlJc w:val="left"/>
      <w:pPr>
        <w:tabs>
          <w:tab w:val="num" w:pos="5760"/>
        </w:tabs>
        <w:ind w:left="5760" w:hanging="360"/>
      </w:pPr>
      <w:rPr>
        <w:rFonts w:ascii="Wingdings" w:hAnsi="Wingdings" w:hint="default"/>
      </w:rPr>
    </w:lvl>
    <w:lvl w:ilvl="8" w:tplc="985C7A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C3C9C"/>
    <w:multiLevelType w:val="hybridMultilevel"/>
    <w:tmpl w:val="D2CA2B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582682192">
    <w:abstractNumId w:val="14"/>
  </w:num>
  <w:num w:numId="2" w16cid:durableId="1647248362">
    <w:abstractNumId w:val="13"/>
  </w:num>
  <w:num w:numId="3" w16cid:durableId="873272801">
    <w:abstractNumId w:val="26"/>
  </w:num>
  <w:num w:numId="4" w16cid:durableId="370157304">
    <w:abstractNumId w:val="2"/>
  </w:num>
  <w:num w:numId="5" w16cid:durableId="598802511">
    <w:abstractNumId w:val="25"/>
  </w:num>
  <w:num w:numId="6" w16cid:durableId="1064988725">
    <w:abstractNumId w:val="10"/>
  </w:num>
  <w:num w:numId="7" w16cid:durableId="1613976363">
    <w:abstractNumId w:val="11"/>
  </w:num>
  <w:num w:numId="8" w16cid:durableId="1514220050">
    <w:abstractNumId w:val="12"/>
  </w:num>
  <w:num w:numId="9" w16cid:durableId="163322174">
    <w:abstractNumId w:val="19"/>
  </w:num>
  <w:num w:numId="10" w16cid:durableId="1647592094">
    <w:abstractNumId w:val="22"/>
  </w:num>
  <w:num w:numId="11" w16cid:durableId="1169446440">
    <w:abstractNumId w:val="0"/>
  </w:num>
  <w:num w:numId="12" w16cid:durableId="491484617">
    <w:abstractNumId w:val="1"/>
  </w:num>
  <w:num w:numId="13" w16cid:durableId="364256812">
    <w:abstractNumId w:val="18"/>
  </w:num>
  <w:num w:numId="14" w16cid:durableId="2117409247">
    <w:abstractNumId w:val="5"/>
  </w:num>
  <w:num w:numId="15" w16cid:durableId="1450977203">
    <w:abstractNumId w:val="16"/>
  </w:num>
  <w:num w:numId="16" w16cid:durableId="295990607">
    <w:abstractNumId w:val="21"/>
  </w:num>
  <w:num w:numId="17" w16cid:durableId="1335765007">
    <w:abstractNumId w:val="24"/>
  </w:num>
  <w:num w:numId="18" w16cid:durableId="1363943369">
    <w:abstractNumId w:val="7"/>
  </w:num>
  <w:num w:numId="19" w16cid:durableId="1273053931">
    <w:abstractNumId w:val="9"/>
  </w:num>
  <w:num w:numId="20" w16cid:durableId="1717194484">
    <w:abstractNumId w:val="8"/>
  </w:num>
  <w:num w:numId="21" w16cid:durableId="1779523168">
    <w:abstractNumId w:val="6"/>
  </w:num>
  <w:num w:numId="22" w16cid:durableId="170461414">
    <w:abstractNumId w:val="4"/>
  </w:num>
  <w:num w:numId="23" w16cid:durableId="579146055">
    <w:abstractNumId w:val="17"/>
  </w:num>
  <w:num w:numId="24" w16cid:durableId="349917933">
    <w:abstractNumId w:val="3"/>
  </w:num>
  <w:num w:numId="25" w16cid:durableId="1443724242">
    <w:abstractNumId w:val="15"/>
  </w:num>
  <w:num w:numId="26" w16cid:durableId="689112145">
    <w:abstractNumId w:val="23"/>
  </w:num>
  <w:num w:numId="27" w16cid:durableId="82228425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513"/>
    <w:rsid w:val="000008F7"/>
    <w:rsid w:val="000009FB"/>
    <w:rsid w:val="00000A54"/>
    <w:rsid w:val="00000C81"/>
    <w:rsid w:val="00000E9A"/>
    <w:rsid w:val="0000109A"/>
    <w:rsid w:val="00001AE6"/>
    <w:rsid w:val="00001CCB"/>
    <w:rsid w:val="00001CDE"/>
    <w:rsid w:val="00001D55"/>
    <w:rsid w:val="00001DCB"/>
    <w:rsid w:val="000025A6"/>
    <w:rsid w:val="000025BA"/>
    <w:rsid w:val="00002624"/>
    <w:rsid w:val="00002BFE"/>
    <w:rsid w:val="00002EBF"/>
    <w:rsid w:val="00003046"/>
    <w:rsid w:val="0000335A"/>
    <w:rsid w:val="000037C2"/>
    <w:rsid w:val="000038B4"/>
    <w:rsid w:val="00003C58"/>
    <w:rsid w:val="00003C86"/>
    <w:rsid w:val="00003F39"/>
    <w:rsid w:val="000040FC"/>
    <w:rsid w:val="00004D69"/>
    <w:rsid w:val="00004E17"/>
    <w:rsid w:val="00004F7F"/>
    <w:rsid w:val="00005266"/>
    <w:rsid w:val="0000535B"/>
    <w:rsid w:val="00005441"/>
    <w:rsid w:val="000054C9"/>
    <w:rsid w:val="000055D3"/>
    <w:rsid w:val="00005741"/>
    <w:rsid w:val="00005AA9"/>
    <w:rsid w:val="00005B1D"/>
    <w:rsid w:val="00005DBE"/>
    <w:rsid w:val="00005E41"/>
    <w:rsid w:val="00005EC6"/>
    <w:rsid w:val="000064A0"/>
    <w:rsid w:val="000064B9"/>
    <w:rsid w:val="00006612"/>
    <w:rsid w:val="00006728"/>
    <w:rsid w:val="00006E62"/>
    <w:rsid w:val="00006FD3"/>
    <w:rsid w:val="00007058"/>
    <w:rsid w:val="000071D9"/>
    <w:rsid w:val="00007254"/>
    <w:rsid w:val="00007669"/>
    <w:rsid w:val="0000768A"/>
    <w:rsid w:val="000078B2"/>
    <w:rsid w:val="000078D2"/>
    <w:rsid w:val="000079C8"/>
    <w:rsid w:val="000079CA"/>
    <w:rsid w:val="00007B6E"/>
    <w:rsid w:val="00007DA4"/>
    <w:rsid w:val="00007FBA"/>
    <w:rsid w:val="000100C1"/>
    <w:rsid w:val="00010108"/>
    <w:rsid w:val="00010220"/>
    <w:rsid w:val="0001046B"/>
    <w:rsid w:val="000104BF"/>
    <w:rsid w:val="000104E5"/>
    <w:rsid w:val="00010577"/>
    <w:rsid w:val="000106A2"/>
    <w:rsid w:val="00011144"/>
    <w:rsid w:val="00011222"/>
    <w:rsid w:val="0001136C"/>
    <w:rsid w:val="00011568"/>
    <w:rsid w:val="00011569"/>
    <w:rsid w:val="00011773"/>
    <w:rsid w:val="00011821"/>
    <w:rsid w:val="00011D95"/>
    <w:rsid w:val="00011FC3"/>
    <w:rsid w:val="00012339"/>
    <w:rsid w:val="0001263E"/>
    <w:rsid w:val="0001268E"/>
    <w:rsid w:val="00012695"/>
    <w:rsid w:val="00012718"/>
    <w:rsid w:val="00012D93"/>
    <w:rsid w:val="00012DD5"/>
    <w:rsid w:val="00012DF6"/>
    <w:rsid w:val="000133AC"/>
    <w:rsid w:val="000134C9"/>
    <w:rsid w:val="00013710"/>
    <w:rsid w:val="0001382C"/>
    <w:rsid w:val="00013B77"/>
    <w:rsid w:val="00013C34"/>
    <w:rsid w:val="00013CA1"/>
    <w:rsid w:val="00014545"/>
    <w:rsid w:val="00014974"/>
    <w:rsid w:val="00014D03"/>
    <w:rsid w:val="00014FB8"/>
    <w:rsid w:val="00015234"/>
    <w:rsid w:val="000154DE"/>
    <w:rsid w:val="0001552F"/>
    <w:rsid w:val="0001565D"/>
    <w:rsid w:val="000157C1"/>
    <w:rsid w:val="000157ED"/>
    <w:rsid w:val="00015B6E"/>
    <w:rsid w:val="00015B95"/>
    <w:rsid w:val="00015BFC"/>
    <w:rsid w:val="00015C90"/>
    <w:rsid w:val="00015D13"/>
    <w:rsid w:val="00015F18"/>
    <w:rsid w:val="00015F2B"/>
    <w:rsid w:val="00016234"/>
    <w:rsid w:val="00016465"/>
    <w:rsid w:val="000165AA"/>
    <w:rsid w:val="00016943"/>
    <w:rsid w:val="00016AAD"/>
    <w:rsid w:val="00016E76"/>
    <w:rsid w:val="00017031"/>
    <w:rsid w:val="000172B4"/>
    <w:rsid w:val="00017471"/>
    <w:rsid w:val="00017797"/>
    <w:rsid w:val="00017C4A"/>
    <w:rsid w:val="00020269"/>
    <w:rsid w:val="00020346"/>
    <w:rsid w:val="000204F3"/>
    <w:rsid w:val="000209FC"/>
    <w:rsid w:val="00020C51"/>
    <w:rsid w:val="00020D1A"/>
    <w:rsid w:val="00020D6F"/>
    <w:rsid w:val="000215A3"/>
    <w:rsid w:val="00021779"/>
    <w:rsid w:val="00021FA3"/>
    <w:rsid w:val="00022770"/>
    <w:rsid w:val="000228B8"/>
    <w:rsid w:val="00022AED"/>
    <w:rsid w:val="00022EED"/>
    <w:rsid w:val="00023073"/>
    <w:rsid w:val="00023351"/>
    <w:rsid w:val="0002381B"/>
    <w:rsid w:val="00023AA3"/>
    <w:rsid w:val="00023C82"/>
    <w:rsid w:val="00024083"/>
    <w:rsid w:val="000240B9"/>
    <w:rsid w:val="00024254"/>
    <w:rsid w:val="00024985"/>
    <w:rsid w:val="00024A43"/>
    <w:rsid w:val="00024B6D"/>
    <w:rsid w:val="00024EA5"/>
    <w:rsid w:val="0002502D"/>
    <w:rsid w:val="000251BB"/>
    <w:rsid w:val="00025685"/>
    <w:rsid w:val="000257A5"/>
    <w:rsid w:val="000257EC"/>
    <w:rsid w:val="0002596C"/>
    <w:rsid w:val="000259EB"/>
    <w:rsid w:val="00025CDC"/>
    <w:rsid w:val="00026018"/>
    <w:rsid w:val="0002619E"/>
    <w:rsid w:val="000262E8"/>
    <w:rsid w:val="000263F6"/>
    <w:rsid w:val="000265FE"/>
    <w:rsid w:val="0002677B"/>
    <w:rsid w:val="00026F18"/>
    <w:rsid w:val="00027020"/>
    <w:rsid w:val="0002755F"/>
    <w:rsid w:val="0002781C"/>
    <w:rsid w:val="000279CC"/>
    <w:rsid w:val="00027C33"/>
    <w:rsid w:val="00027D23"/>
    <w:rsid w:val="00027E6C"/>
    <w:rsid w:val="000303D3"/>
    <w:rsid w:val="0003041F"/>
    <w:rsid w:val="0003069B"/>
    <w:rsid w:val="00030708"/>
    <w:rsid w:val="00030C02"/>
    <w:rsid w:val="00030CFD"/>
    <w:rsid w:val="00030FA5"/>
    <w:rsid w:val="00031063"/>
    <w:rsid w:val="000314C3"/>
    <w:rsid w:val="000315E9"/>
    <w:rsid w:val="00031621"/>
    <w:rsid w:val="000319E7"/>
    <w:rsid w:val="00031C7C"/>
    <w:rsid w:val="00031C9C"/>
    <w:rsid w:val="00031DB0"/>
    <w:rsid w:val="00031EAF"/>
    <w:rsid w:val="00032463"/>
    <w:rsid w:val="000324EA"/>
    <w:rsid w:val="000326A1"/>
    <w:rsid w:val="000326C8"/>
    <w:rsid w:val="00032ACB"/>
    <w:rsid w:val="00032D80"/>
    <w:rsid w:val="00032F66"/>
    <w:rsid w:val="0003302E"/>
    <w:rsid w:val="000330C7"/>
    <w:rsid w:val="00033FBA"/>
    <w:rsid w:val="00034004"/>
    <w:rsid w:val="0003403C"/>
    <w:rsid w:val="00034138"/>
    <w:rsid w:val="0003423A"/>
    <w:rsid w:val="000342F7"/>
    <w:rsid w:val="0003477F"/>
    <w:rsid w:val="00034B47"/>
    <w:rsid w:val="00034E01"/>
    <w:rsid w:val="000354DF"/>
    <w:rsid w:val="0003552C"/>
    <w:rsid w:val="00035725"/>
    <w:rsid w:val="00035907"/>
    <w:rsid w:val="0003596F"/>
    <w:rsid w:val="00035A9F"/>
    <w:rsid w:val="00035B4E"/>
    <w:rsid w:val="00035E16"/>
    <w:rsid w:val="00036467"/>
    <w:rsid w:val="0003672E"/>
    <w:rsid w:val="0003674F"/>
    <w:rsid w:val="0003681F"/>
    <w:rsid w:val="00036854"/>
    <w:rsid w:val="000368DA"/>
    <w:rsid w:val="0003699A"/>
    <w:rsid w:val="00036AD8"/>
    <w:rsid w:val="00036B88"/>
    <w:rsid w:val="00036C04"/>
    <w:rsid w:val="00037013"/>
    <w:rsid w:val="00037037"/>
    <w:rsid w:val="00037219"/>
    <w:rsid w:val="000372F9"/>
    <w:rsid w:val="00037302"/>
    <w:rsid w:val="000377FE"/>
    <w:rsid w:val="00037B10"/>
    <w:rsid w:val="00037E6C"/>
    <w:rsid w:val="00037EF3"/>
    <w:rsid w:val="0004005D"/>
    <w:rsid w:val="000400FE"/>
    <w:rsid w:val="0004068F"/>
    <w:rsid w:val="00040877"/>
    <w:rsid w:val="00040ADF"/>
    <w:rsid w:val="00040D5F"/>
    <w:rsid w:val="00040E1F"/>
    <w:rsid w:val="00040FB4"/>
    <w:rsid w:val="00040FC5"/>
    <w:rsid w:val="0004178C"/>
    <w:rsid w:val="00041B06"/>
    <w:rsid w:val="00041D5C"/>
    <w:rsid w:val="00041D7E"/>
    <w:rsid w:val="00041DD6"/>
    <w:rsid w:val="00041F5D"/>
    <w:rsid w:val="00042DF9"/>
    <w:rsid w:val="000436C3"/>
    <w:rsid w:val="000437A0"/>
    <w:rsid w:val="000438A3"/>
    <w:rsid w:val="000438E2"/>
    <w:rsid w:val="00043A18"/>
    <w:rsid w:val="00043C9C"/>
    <w:rsid w:val="0004408B"/>
    <w:rsid w:val="000443A6"/>
    <w:rsid w:val="0004448F"/>
    <w:rsid w:val="00044785"/>
    <w:rsid w:val="000449D1"/>
    <w:rsid w:val="00044ADE"/>
    <w:rsid w:val="00044CCC"/>
    <w:rsid w:val="00044FBB"/>
    <w:rsid w:val="00044FCC"/>
    <w:rsid w:val="000452F1"/>
    <w:rsid w:val="0004538B"/>
    <w:rsid w:val="00045523"/>
    <w:rsid w:val="00045B8D"/>
    <w:rsid w:val="00045CC5"/>
    <w:rsid w:val="00045D21"/>
    <w:rsid w:val="00046030"/>
    <w:rsid w:val="000460E7"/>
    <w:rsid w:val="000462C2"/>
    <w:rsid w:val="00046337"/>
    <w:rsid w:val="00046356"/>
    <w:rsid w:val="00046437"/>
    <w:rsid w:val="00046A07"/>
    <w:rsid w:val="00046B6A"/>
    <w:rsid w:val="000472D4"/>
    <w:rsid w:val="0004731B"/>
    <w:rsid w:val="00047359"/>
    <w:rsid w:val="00047A8C"/>
    <w:rsid w:val="00047CDF"/>
    <w:rsid w:val="00047F29"/>
    <w:rsid w:val="000502E6"/>
    <w:rsid w:val="0005044B"/>
    <w:rsid w:val="000504DC"/>
    <w:rsid w:val="0005085D"/>
    <w:rsid w:val="0005103B"/>
    <w:rsid w:val="00051907"/>
    <w:rsid w:val="000519FF"/>
    <w:rsid w:val="00051B96"/>
    <w:rsid w:val="00051B9A"/>
    <w:rsid w:val="00051C31"/>
    <w:rsid w:val="00051E62"/>
    <w:rsid w:val="00051EDB"/>
    <w:rsid w:val="00051EE0"/>
    <w:rsid w:val="00052151"/>
    <w:rsid w:val="00052536"/>
    <w:rsid w:val="000529D5"/>
    <w:rsid w:val="00052AA1"/>
    <w:rsid w:val="00052AF7"/>
    <w:rsid w:val="00052C27"/>
    <w:rsid w:val="00052DB7"/>
    <w:rsid w:val="00052DD3"/>
    <w:rsid w:val="000531A1"/>
    <w:rsid w:val="0005324B"/>
    <w:rsid w:val="0005326D"/>
    <w:rsid w:val="000533C7"/>
    <w:rsid w:val="00053786"/>
    <w:rsid w:val="00053B76"/>
    <w:rsid w:val="00053C10"/>
    <w:rsid w:val="00053EEA"/>
    <w:rsid w:val="00053F6C"/>
    <w:rsid w:val="00053F73"/>
    <w:rsid w:val="00054420"/>
    <w:rsid w:val="00054516"/>
    <w:rsid w:val="0005468D"/>
    <w:rsid w:val="00054A75"/>
    <w:rsid w:val="00054E9F"/>
    <w:rsid w:val="00054EF8"/>
    <w:rsid w:val="000551F7"/>
    <w:rsid w:val="0005524F"/>
    <w:rsid w:val="000552EA"/>
    <w:rsid w:val="00055483"/>
    <w:rsid w:val="0005588F"/>
    <w:rsid w:val="00055A66"/>
    <w:rsid w:val="00055CDD"/>
    <w:rsid w:val="00055ECC"/>
    <w:rsid w:val="00055F6D"/>
    <w:rsid w:val="0005619B"/>
    <w:rsid w:val="00056423"/>
    <w:rsid w:val="0005643F"/>
    <w:rsid w:val="000564AA"/>
    <w:rsid w:val="0005687F"/>
    <w:rsid w:val="00056AC8"/>
    <w:rsid w:val="00056B18"/>
    <w:rsid w:val="00056C3D"/>
    <w:rsid w:val="00056CBD"/>
    <w:rsid w:val="000571CC"/>
    <w:rsid w:val="00057400"/>
    <w:rsid w:val="00057A0C"/>
    <w:rsid w:val="00057C88"/>
    <w:rsid w:val="00057E42"/>
    <w:rsid w:val="00057EB7"/>
    <w:rsid w:val="00057EE7"/>
    <w:rsid w:val="0006059C"/>
    <w:rsid w:val="00060C51"/>
    <w:rsid w:val="00060D2F"/>
    <w:rsid w:val="00060E98"/>
    <w:rsid w:val="000612A2"/>
    <w:rsid w:val="000612B0"/>
    <w:rsid w:val="00061632"/>
    <w:rsid w:val="000618D7"/>
    <w:rsid w:val="00061FE1"/>
    <w:rsid w:val="0006230B"/>
    <w:rsid w:val="00062323"/>
    <w:rsid w:val="00062337"/>
    <w:rsid w:val="0006312B"/>
    <w:rsid w:val="0006339C"/>
    <w:rsid w:val="000636A1"/>
    <w:rsid w:val="0006370C"/>
    <w:rsid w:val="00063A43"/>
    <w:rsid w:val="00063A84"/>
    <w:rsid w:val="00063C8B"/>
    <w:rsid w:val="00063E73"/>
    <w:rsid w:val="00063ED5"/>
    <w:rsid w:val="00063EFC"/>
    <w:rsid w:val="0006415F"/>
    <w:rsid w:val="00064281"/>
    <w:rsid w:val="00064291"/>
    <w:rsid w:val="000645E3"/>
    <w:rsid w:val="0006466E"/>
    <w:rsid w:val="00064693"/>
    <w:rsid w:val="00064783"/>
    <w:rsid w:val="000647C2"/>
    <w:rsid w:val="000648F4"/>
    <w:rsid w:val="00064A73"/>
    <w:rsid w:val="00064ACF"/>
    <w:rsid w:val="00064DD8"/>
    <w:rsid w:val="0006549B"/>
    <w:rsid w:val="000657C9"/>
    <w:rsid w:val="0006589A"/>
    <w:rsid w:val="00065A6C"/>
    <w:rsid w:val="00065C64"/>
    <w:rsid w:val="00065DD7"/>
    <w:rsid w:val="00065DF8"/>
    <w:rsid w:val="00066172"/>
    <w:rsid w:val="00066415"/>
    <w:rsid w:val="00066D43"/>
    <w:rsid w:val="00066F54"/>
    <w:rsid w:val="00066FCD"/>
    <w:rsid w:val="00067443"/>
    <w:rsid w:val="000679B7"/>
    <w:rsid w:val="00070006"/>
    <w:rsid w:val="0007021F"/>
    <w:rsid w:val="00070250"/>
    <w:rsid w:val="00070383"/>
    <w:rsid w:val="00070516"/>
    <w:rsid w:val="000705A6"/>
    <w:rsid w:val="0007064B"/>
    <w:rsid w:val="00070765"/>
    <w:rsid w:val="000709A0"/>
    <w:rsid w:val="00070B15"/>
    <w:rsid w:val="00070D32"/>
    <w:rsid w:val="00070D62"/>
    <w:rsid w:val="0007123D"/>
    <w:rsid w:val="000714E7"/>
    <w:rsid w:val="00071C64"/>
    <w:rsid w:val="00071F20"/>
    <w:rsid w:val="0007255D"/>
    <w:rsid w:val="00072A29"/>
    <w:rsid w:val="00072B60"/>
    <w:rsid w:val="00072C1E"/>
    <w:rsid w:val="00072C23"/>
    <w:rsid w:val="0007345A"/>
    <w:rsid w:val="00073AB4"/>
    <w:rsid w:val="00073EB1"/>
    <w:rsid w:val="00073FEE"/>
    <w:rsid w:val="00074199"/>
    <w:rsid w:val="000744D3"/>
    <w:rsid w:val="00074640"/>
    <w:rsid w:val="000749EE"/>
    <w:rsid w:val="00074B5A"/>
    <w:rsid w:val="00074E2E"/>
    <w:rsid w:val="000750EA"/>
    <w:rsid w:val="00075461"/>
    <w:rsid w:val="000757EC"/>
    <w:rsid w:val="000759B7"/>
    <w:rsid w:val="00075A90"/>
    <w:rsid w:val="00075CFB"/>
    <w:rsid w:val="00075E0E"/>
    <w:rsid w:val="00076344"/>
    <w:rsid w:val="00076562"/>
    <w:rsid w:val="00076AA8"/>
    <w:rsid w:val="00076BB9"/>
    <w:rsid w:val="00076CC5"/>
    <w:rsid w:val="00076DE9"/>
    <w:rsid w:val="00076E96"/>
    <w:rsid w:val="00076F2B"/>
    <w:rsid w:val="00077788"/>
    <w:rsid w:val="00077807"/>
    <w:rsid w:val="00077F64"/>
    <w:rsid w:val="00080158"/>
    <w:rsid w:val="00080241"/>
    <w:rsid w:val="0008034E"/>
    <w:rsid w:val="00080A45"/>
    <w:rsid w:val="00080B0E"/>
    <w:rsid w:val="00080CCC"/>
    <w:rsid w:val="00080D65"/>
    <w:rsid w:val="00080DCF"/>
    <w:rsid w:val="00080DDC"/>
    <w:rsid w:val="00080E03"/>
    <w:rsid w:val="00080E74"/>
    <w:rsid w:val="00080F6C"/>
    <w:rsid w:val="000810A0"/>
    <w:rsid w:val="000813D1"/>
    <w:rsid w:val="000813DE"/>
    <w:rsid w:val="00081764"/>
    <w:rsid w:val="00081778"/>
    <w:rsid w:val="00081868"/>
    <w:rsid w:val="00081DD2"/>
    <w:rsid w:val="0008230E"/>
    <w:rsid w:val="0008245D"/>
    <w:rsid w:val="0008269E"/>
    <w:rsid w:val="00082B3C"/>
    <w:rsid w:val="00082EB8"/>
    <w:rsid w:val="00082EE9"/>
    <w:rsid w:val="00082F5C"/>
    <w:rsid w:val="0008339F"/>
    <w:rsid w:val="00083566"/>
    <w:rsid w:val="000835EA"/>
    <w:rsid w:val="00083712"/>
    <w:rsid w:val="00083838"/>
    <w:rsid w:val="00083B31"/>
    <w:rsid w:val="00083D1A"/>
    <w:rsid w:val="00083D20"/>
    <w:rsid w:val="00083D80"/>
    <w:rsid w:val="00083E88"/>
    <w:rsid w:val="00083F36"/>
    <w:rsid w:val="00084765"/>
    <w:rsid w:val="00084887"/>
    <w:rsid w:val="00084B70"/>
    <w:rsid w:val="00084BA1"/>
    <w:rsid w:val="0008529A"/>
    <w:rsid w:val="00085659"/>
    <w:rsid w:val="000857B6"/>
    <w:rsid w:val="00085934"/>
    <w:rsid w:val="00085BC5"/>
    <w:rsid w:val="00085D53"/>
    <w:rsid w:val="00085E58"/>
    <w:rsid w:val="00085EF6"/>
    <w:rsid w:val="0008608F"/>
    <w:rsid w:val="00086105"/>
    <w:rsid w:val="000861B7"/>
    <w:rsid w:val="00086434"/>
    <w:rsid w:val="00086552"/>
    <w:rsid w:val="00086883"/>
    <w:rsid w:val="00086954"/>
    <w:rsid w:val="00086A9E"/>
    <w:rsid w:val="00086BA3"/>
    <w:rsid w:val="000870B6"/>
    <w:rsid w:val="00087735"/>
    <w:rsid w:val="00087967"/>
    <w:rsid w:val="00087980"/>
    <w:rsid w:val="00087B14"/>
    <w:rsid w:val="00087BA6"/>
    <w:rsid w:val="00087CDC"/>
    <w:rsid w:val="00087D65"/>
    <w:rsid w:val="00087D8E"/>
    <w:rsid w:val="00087D95"/>
    <w:rsid w:val="000900E4"/>
    <w:rsid w:val="00090154"/>
    <w:rsid w:val="00090506"/>
    <w:rsid w:val="00090613"/>
    <w:rsid w:val="00090AF8"/>
    <w:rsid w:val="00090BD1"/>
    <w:rsid w:val="00090EE8"/>
    <w:rsid w:val="00090EFF"/>
    <w:rsid w:val="00091020"/>
    <w:rsid w:val="0009147C"/>
    <w:rsid w:val="00091648"/>
    <w:rsid w:val="00091857"/>
    <w:rsid w:val="00091C24"/>
    <w:rsid w:val="00091C59"/>
    <w:rsid w:val="0009206F"/>
    <w:rsid w:val="00092414"/>
    <w:rsid w:val="00092496"/>
    <w:rsid w:val="000927C4"/>
    <w:rsid w:val="0009287C"/>
    <w:rsid w:val="00092A10"/>
    <w:rsid w:val="00092A21"/>
    <w:rsid w:val="00092ADD"/>
    <w:rsid w:val="00092C45"/>
    <w:rsid w:val="00092C84"/>
    <w:rsid w:val="00092D18"/>
    <w:rsid w:val="00092E5D"/>
    <w:rsid w:val="00092E6E"/>
    <w:rsid w:val="00093127"/>
    <w:rsid w:val="0009330C"/>
    <w:rsid w:val="00093486"/>
    <w:rsid w:val="0009357D"/>
    <w:rsid w:val="00093820"/>
    <w:rsid w:val="00093B0D"/>
    <w:rsid w:val="00093C0D"/>
    <w:rsid w:val="00093D55"/>
    <w:rsid w:val="00093D9A"/>
    <w:rsid w:val="00093F00"/>
    <w:rsid w:val="00094384"/>
    <w:rsid w:val="0009456C"/>
    <w:rsid w:val="00094656"/>
    <w:rsid w:val="0009471A"/>
    <w:rsid w:val="00094849"/>
    <w:rsid w:val="000949FF"/>
    <w:rsid w:val="00094CC1"/>
    <w:rsid w:val="00094DB8"/>
    <w:rsid w:val="00095168"/>
    <w:rsid w:val="00095360"/>
    <w:rsid w:val="000953BE"/>
    <w:rsid w:val="000956B7"/>
    <w:rsid w:val="00095944"/>
    <w:rsid w:val="00095D89"/>
    <w:rsid w:val="00095E57"/>
    <w:rsid w:val="00095EFC"/>
    <w:rsid w:val="00095F75"/>
    <w:rsid w:val="000966D4"/>
    <w:rsid w:val="000969E3"/>
    <w:rsid w:val="00096AFE"/>
    <w:rsid w:val="00096B52"/>
    <w:rsid w:val="00096B60"/>
    <w:rsid w:val="00096BEC"/>
    <w:rsid w:val="00096D8F"/>
    <w:rsid w:val="00096E6F"/>
    <w:rsid w:val="000972F2"/>
    <w:rsid w:val="00097518"/>
    <w:rsid w:val="00097702"/>
    <w:rsid w:val="00097837"/>
    <w:rsid w:val="000979F1"/>
    <w:rsid w:val="00097A82"/>
    <w:rsid w:val="00097B68"/>
    <w:rsid w:val="00097D82"/>
    <w:rsid w:val="00097E64"/>
    <w:rsid w:val="000A007C"/>
    <w:rsid w:val="000A01EA"/>
    <w:rsid w:val="000A0426"/>
    <w:rsid w:val="000A087D"/>
    <w:rsid w:val="000A0DEA"/>
    <w:rsid w:val="000A10BF"/>
    <w:rsid w:val="000A1DD8"/>
    <w:rsid w:val="000A1F0E"/>
    <w:rsid w:val="000A2166"/>
    <w:rsid w:val="000A2243"/>
    <w:rsid w:val="000A2580"/>
    <w:rsid w:val="000A2ACD"/>
    <w:rsid w:val="000A2B65"/>
    <w:rsid w:val="000A2DA8"/>
    <w:rsid w:val="000A2DC8"/>
    <w:rsid w:val="000A2E0F"/>
    <w:rsid w:val="000A3230"/>
    <w:rsid w:val="000A3232"/>
    <w:rsid w:val="000A32B8"/>
    <w:rsid w:val="000A3359"/>
    <w:rsid w:val="000A34D5"/>
    <w:rsid w:val="000A388F"/>
    <w:rsid w:val="000A38B3"/>
    <w:rsid w:val="000A38C4"/>
    <w:rsid w:val="000A38C5"/>
    <w:rsid w:val="000A39EE"/>
    <w:rsid w:val="000A3A70"/>
    <w:rsid w:val="000A3CC9"/>
    <w:rsid w:val="000A410C"/>
    <w:rsid w:val="000A4989"/>
    <w:rsid w:val="000A4C15"/>
    <w:rsid w:val="000A4E41"/>
    <w:rsid w:val="000A4E6B"/>
    <w:rsid w:val="000A4F3C"/>
    <w:rsid w:val="000A522D"/>
    <w:rsid w:val="000A5252"/>
    <w:rsid w:val="000A54DB"/>
    <w:rsid w:val="000A5747"/>
    <w:rsid w:val="000A58A6"/>
    <w:rsid w:val="000A5C47"/>
    <w:rsid w:val="000A615A"/>
    <w:rsid w:val="000A61ED"/>
    <w:rsid w:val="000A629E"/>
    <w:rsid w:val="000A63EC"/>
    <w:rsid w:val="000A6864"/>
    <w:rsid w:val="000A6B30"/>
    <w:rsid w:val="000A71D1"/>
    <w:rsid w:val="000A7248"/>
    <w:rsid w:val="000A7430"/>
    <w:rsid w:val="000A75D3"/>
    <w:rsid w:val="000A764B"/>
    <w:rsid w:val="000A7E63"/>
    <w:rsid w:val="000B013D"/>
    <w:rsid w:val="000B03DA"/>
    <w:rsid w:val="000B03E0"/>
    <w:rsid w:val="000B0972"/>
    <w:rsid w:val="000B0D08"/>
    <w:rsid w:val="000B0E34"/>
    <w:rsid w:val="000B111C"/>
    <w:rsid w:val="000B11F0"/>
    <w:rsid w:val="000B136C"/>
    <w:rsid w:val="000B14B9"/>
    <w:rsid w:val="000B1606"/>
    <w:rsid w:val="000B1657"/>
    <w:rsid w:val="000B175A"/>
    <w:rsid w:val="000B1991"/>
    <w:rsid w:val="000B19FE"/>
    <w:rsid w:val="000B1A6A"/>
    <w:rsid w:val="000B1B16"/>
    <w:rsid w:val="000B1C01"/>
    <w:rsid w:val="000B1D31"/>
    <w:rsid w:val="000B1D7A"/>
    <w:rsid w:val="000B1E92"/>
    <w:rsid w:val="000B22C0"/>
    <w:rsid w:val="000B23F7"/>
    <w:rsid w:val="000B2487"/>
    <w:rsid w:val="000B28DD"/>
    <w:rsid w:val="000B29D6"/>
    <w:rsid w:val="000B2B03"/>
    <w:rsid w:val="000B2B29"/>
    <w:rsid w:val="000B2BCB"/>
    <w:rsid w:val="000B3105"/>
    <w:rsid w:val="000B3330"/>
    <w:rsid w:val="000B34C8"/>
    <w:rsid w:val="000B35B1"/>
    <w:rsid w:val="000B369F"/>
    <w:rsid w:val="000B371F"/>
    <w:rsid w:val="000B39F2"/>
    <w:rsid w:val="000B3CAB"/>
    <w:rsid w:val="000B3FE9"/>
    <w:rsid w:val="000B411C"/>
    <w:rsid w:val="000B4955"/>
    <w:rsid w:val="000B4A2D"/>
    <w:rsid w:val="000B4A4F"/>
    <w:rsid w:val="000B4ACA"/>
    <w:rsid w:val="000B4C21"/>
    <w:rsid w:val="000B4CA0"/>
    <w:rsid w:val="000B4DD1"/>
    <w:rsid w:val="000B4F37"/>
    <w:rsid w:val="000B518C"/>
    <w:rsid w:val="000B56D3"/>
    <w:rsid w:val="000B5831"/>
    <w:rsid w:val="000B5A43"/>
    <w:rsid w:val="000B5BE0"/>
    <w:rsid w:val="000B5EDE"/>
    <w:rsid w:val="000B6077"/>
    <w:rsid w:val="000B613B"/>
    <w:rsid w:val="000B6CF0"/>
    <w:rsid w:val="000B6E2F"/>
    <w:rsid w:val="000B6E90"/>
    <w:rsid w:val="000B7112"/>
    <w:rsid w:val="000B720C"/>
    <w:rsid w:val="000B7665"/>
    <w:rsid w:val="000B77AE"/>
    <w:rsid w:val="000B79B8"/>
    <w:rsid w:val="000C0493"/>
    <w:rsid w:val="000C08D5"/>
    <w:rsid w:val="000C0B5C"/>
    <w:rsid w:val="000C1431"/>
    <w:rsid w:val="000C166E"/>
    <w:rsid w:val="000C16D9"/>
    <w:rsid w:val="000C1898"/>
    <w:rsid w:val="000C1B59"/>
    <w:rsid w:val="000C2445"/>
    <w:rsid w:val="000C2818"/>
    <w:rsid w:val="000C2D4B"/>
    <w:rsid w:val="000C315E"/>
    <w:rsid w:val="000C3389"/>
    <w:rsid w:val="000C3464"/>
    <w:rsid w:val="000C362C"/>
    <w:rsid w:val="000C369A"/>
    <w:rsid w:val="000C380A"/>
    <w:rsid w:val="000C392C"/>
    <w:rsid w:val="000C3A74"/>
    <w:rsid w:val="000C3B16"/>
    <w:rsid w:val="000C3B59"/>
    <w:rsid w:val="000C3E81"/>
    <w:rsid w:val="000C417F"/>
    <w:rsid w:val="000C4350"/>
    <w:rsid w:val="000C445C"/>
    <w:rsid w:val="000C4488"/>
    <w:rsid w:val="000C45BE"/>
    <w:rsid w:val="000C4773"/>
    <w:rsid w:val="000C4962"/>
    <w:rsid w:val="000C4C60"/>
    <w:rsid w:val="000C51FD"/>
    <w:rsid w:val="000C54D8"/>
    <w:rsid w:val="000C5613"/>
    <w:rsid w:val="000C56CB"/>
    <w:rsid w:val="000C5807"/>
    <w:rsid w:val="000C5C56"/>
    <w:rsid w:val="000C63F7"/>
    <w:rsid w:val="000C6531"/>
    <w:rsid w:val="000C6FA3"/>
    <w:rsid w:val="000C70DE"/>
    <w:rsid w:val="000C719D"/>
    <w:rsid w:val="000C732F"/>
    <w:rsid w:val="000C77E3"/>
    <w:rsid w:val="000C78AF"/>
    <w:rsid w:val="000C79DA"/>
    <w:rsid w:val="000C7BFE"/>
    <w:rsid w:val="000C7C46"/>
    <w:rsid w:val="000C7D5F"/>
    <w:rsid w:val="000D03AE"/>
    <w:rsid w:val="000D052C"/>
    <w:rsid w:val="000D075A"/>
    <w:rsid w:val="000D0A41"/>
    <w:rsid w:val="000D0A69"/>
    <w:rsid w:val="000D105D"/>
    <w:rsid w:val="000D11F6"/>
    <w:rsid w:val="000D12F7"/>
    <w:rsid w:val="000D142D"/>
    <w:rsid w:val="000D1824"/>
    <w:rsid w:val="000D1950"/>
    <w:rsid w:val="000D1B52"/>
    <w:rsid w:val="000D1CC7"/>
    <w:rsid w:val="000D1CD6"/>
    <w:rsid w:val="000D1D16"/>
    <w:rsid w:val="000D20D9"/>
    <w:rsid w:val="000D245F"/>
    <w:rsid w:val="000D253E"/>
    <w:rsid w:val="000D2551"/>
    <w:rsid w:val="000D2848"/>
    <w:rsid w:val="000D2D8E"/>
    <w:rsid w:val="000D2F30"/>
    <w:rsid w:val="000D31D2"/>
    <w:rsid w:val="000D31D4"/>
    <w:rsid w:val="000D37C9"/>
    <w:rsid w:val="000D3E44"/>
    <w:rsid w:val="000D3E99"/>
    <w:rsid w:val="000D3F18"/>
    <w:rsid w:val="000D3FAA"/>
    <w:rsid w:val="000D4271"/>
    <w:rsid w:val="000D42D0"/>
    <w:rsid w:val="000D436F"/>
    <w:rsid w:val="000D437E"/>
    <w:rsid w:val="000D439B"/>
    <w:rsid w:val="000D43B7"/>
    <w:rsid w:val="000D49C9"/>
    <w:rsid w:val="000D4BF2"/>
    <w:rsid w:val="000D4C1B"/>
    <w:rsid w:val="000D4F62"/>
    <w:rsid w:val="000D5111"/>
    <w:rsid w:val="000D5220"/>
    <w:rsid w:val="000D536B"/>
    <w:rsid w:val="000D5523"/>
    <w:rsid w:val="000D575B"/>
    <w:rsid w:val="000D57B1"/>
    <w:rsid w:val="000D5960"/>
    <w:rsid w:val="000D6028"/>
    <w:rsid w:val="000D605F"/>
    <w:rsid w:val="000D649B"/>
    <w:rsid w:val="000D6780"/>
    <w:rsid w:val="000D6ACB"/>
    <w:rsid w:val="000D6C1E"/>
    <w:rsid w:val="000D6D7A"/>
    <w:rsid w:val="000D7067"/>
    <w:rsid w:val="000D7845"/>
    <w:rsid w:val="000D7866"/>
    <w:rsid w:val="000D797F"/>
    <w:rsid w:val="000D7D46"/>
    <w:rsid w:val="000E0185"/>
    <w:rsid w:val="000E03DC"/>
    <w:rsid w:val="000E060F"/>
    <w:rsid w:val="000E07C6"/>
    <w:rsid w:val="000E081B"/>
    <w:rsid w:val="000E0910"/>
    <w:rsid w:val="000E093D"/>
    <w:rsid w:val="000E094C"/>
    <w:rsid w:val="000E0960"/>
    <w:rsid w:val="000E0D66"/>
    <w:rsid w:val="000E0EBE"/>
    <w:rsid w:val="000E110E"/>
    <w:rsid w:val="000E1124"/>
    <w:rsid w:val="000E11B7"/>
    <w:rsid w:val="000E11E1"/>
    <w:rsid w:val="000E13E2"/>
    <w:rsid w:val="000E1EC0"/>
    <w:rsid w:val="000E1F15"/>
    <w:rsid w:val="000E1F83"/>
    <w:rsid w:val="000E2164"/>
    <w:rsid w:val="000E2762"/>
    <w:rsid w:val="000E2871"/>
    <w:rsid w:val="000E2C7C"/>
    <w:rsid w:val="000E2D33"/>
    <w:rsid w:val="000E362E"/>
    <w:rsid w:val="000E3694"/>
    <w:rsid w:val="000E37C8"/>
    <w:rsid w:val="000E3B42"/>
    <w:rsid w:val="000E3E0F"/>
    <w:rsid w:val="000E3E6A"/>
    <w:rsid w:val="000E4182"/>
    <w:rsid w:val="000E41D7"/>
    <w:rsid w:val="000E44E0"/>
    <w:rsid w:val="000E4600"/>
    <w:rsid w:val="000E4893"/>
    <w:rsid w:val="000E49FA"/>
    <w:rsid w:val="000E4AAC"/>
    <w:rsid w:val="000E4AC8"/>
    <w:rsid w:val="000E5531"/>
    <w:rsid w:val="000E58EE"/>
    <w:rsid w:val="000E58FC"/>
    <w:rsid w:val="000E5C65"/>
    <w:rsid w:val="000E6410"/>
    <w:rsid w:val="000E64D6"/>
    <w:rsid w:val="000E64E2"/>
    <w:rsid w:val="000E659C"/>
    <w:rsid w:val="000E673A"/>
    <w:rsid w:val="000E678B"/>
    <w:rsid w:val="000E6905"/>
    <w:rsid w:val="000E6A92"/>
    <w:rsid w:val="000E6AA5"/>
    <w:rsid w:val="000E6E04"/>
    <w:rsid w:val="000E6EC0"/>
    <w:rsid w:val="000E7009"/>
    <w:rsid w:val="000E7751"/>
    <w:rsid w:val="000E7AA4"/>
    <w:rsid w:val="000E7DED"/>
    <w:rsid w:val="000E7F9A"/>
    <w:rsid w:val="000F0039"/>
    <w:rsid w:val="000F0043"/>
    <w:rsid w:val="000F01C1"/>
    <w:rsid w:val="000F036B"/>
    <w:rsid w:val="000F053C"/>
    <w:rsid w:val="000F0660"/>
    <w:rsid w:val="000F079D"/>
    <w:rsid w:val="000F0B03"/>
    <w:rsid w:val="000F0DFA"/>
    <w:rsid w:val="000F13AE"/>
    <w:rsid w:val="000F14A7"/>
    <w:rsid w:val="000F15A8"/>
    <w:rsid w:val="000F1891"/>
    <w:rsid w:val="000F194A"/>
    <w:rsid w:val="000F19DC"/>
    <w:rsid w:val="000F1AC7"/>
    <w:rsid w:val="000F1C92"/>
    <w:rsid w:val="000F1D3F"/>
    <w:rsid w:val="000F1E87"/>
    <w:rsid w:val="000F2485"/>
    <w:rsid w:val="000F2948"/>
    <w:rsid w:val="000F2DA1"/>
    <w:rsid w:val="000F2E01"/>
    <w:rsid w:val="000F2E79"/>
    <w:rsid w:val="000F3040"/>
    <w:rsid w:val="000F30E3"/>
    <w:rsid w:val="000F33EF"/>
    <w:rsid w:val="000F35D1"/>
    <w:rsid w:val="000F3900"/>
    <w:rsid w:val="000F391F"/>
    <w:rsid w:val="000F3A9D"/>
    <w:rsid w:val="000F42CE"/>
    <w:rsid w:val="000F4315"/>
    <w:rsid w:val="000F46E0"/>
    <w:rsid w:val="000F4845"/>
    <w:rsid w:val="000F4ACE"/>
    <w:rsid w:val="000F4DAB"/>
    <w:rsid w:val="000F4DFC"/>
    <w:rsid w:val="000F512B"/>
    <w:rsid w:val="000F530B"/>
    <w:rsid w:val="000F5859"/>
    <w:rsid w:val="000F5877"/>
    <w:rsid w:val="000F5A54"/>
    <w:rsid w:val="000F5EE3"/>
    <w:rsid w:val="000F631E"/>
    <w:rsid w:val="000F6AC3"/>
    <w:rsid w:val="000F6BB5"/>
    <w:rsid w:val="000F705F"/>
    <w:rsid w:val="000F709A"/>
    <w:rsid w:val="000F73DE"/>
    <w:rsid w:val="000F756F"/>
    <w:rsid w:val="000F7576"/>
    <w:rsid w:val="000F7815"/>
    <w:rsid w:val="000F7987"/>
    <w:rsid w:val="000F79E3"/>
    <w:rsid w:val="000F7A68"/>
    <w:rsid w:val="000F7E90"/>
    <w:rsid w:val="000F7EAA"/>
    <w:rsid w:val="000F7FCC"/>
    <w:rsid w:val="0010027E"/>
    <w:rsid w:val="0010051C"/>
    <w:rsid w:val="00100550"/>
    <w:rsid w:val="00100980"/>
    <w:rsid w:val="00100E89"/>
    <w:rsid w:val="00100EAE"/>
    <w:rsid w:val="00100F87"/>
    <w:rsid w:val="00101235"/>
    <w:rsid w:val="0010159A"/>
    <w:rsid w:val="001015D4"/>
    <w:rsid w:val="00101B98"/>
    <w:rsid w:val="001021B9"/>
    <w:rsid w:val="001023A2"/>
    <w:rsid w:val="001028BD"/>
    <w:rsid w:val="00102AF8"/>
    <w:rsid w:val="00102B4D"/>
    <w:rsid w:val="00102BC5"/>
    <w:rsid w:val="001038E6"/>
    <w:rsid w:val="00103A21"/>
    <w:rsid w:val="00103EAC"/>
    <w:rsid w:val="00104004"/>
    <w:rsid w:val="0010426A"/>
    <w:rsid w:val="001042AF"/>
    <w:rsid w:val="0010448B"/>
    <w:rsid w:val="0010457E"/>
    <w:rsid w:val="00104D9A"/>
    <w:rsid w:val="00105019"/>
    <w:rsid w:val="00105036"/>
    <w:rsid w:val="00105040"/>
    <w:rsid w:val="0010521F"/>
    <w:rsid w:val="0010587B"/>
    <w:rsid w:val="00105BB1"/>
    <w:rsid w:val="00105C2A"/>
    <w:rsid w:val="00105F72"/>
    <w:rsid w:val="001060A4"/>
    <w:rsid w:val="001061A4"/>
    <w:rsid w:val="00106227"/>
    <w:rsid w:val="0010625A"/>
    <w:rsid w:val="001063BC"/>
    <w:rsid w:val="0010649E"/>
    <w:rsid w:val="001066F5"/>
    <w:rsid w:val="00106798"/>
    <w:rsid w:val="0010680F"/>
    <w:rsid w:val="0010684D"/>
    <w:rsid w:val="00106970"/>
    <w:rsid w:val="001069E3"/>
    <w:rsid w:val="00106AD7"/>
    <w:rsid w:val="00106BA0"/>
    <w:rsid w:val="00106E83"/>
    <w:rsid w:val="001072C6"/>
    <w:rsid w:val="00107395"/>
    <w:rsid w:val="00107517"/>
    <w:rsid w:val="00107524"/>
    <w:rsid w:val="00107618"/>
    <w:rsid w:val="00107766"/>
    <w:rsid w:val="00107AB7"/>
    <w:rsid w:val="00107B0B"/>
    <w:rsid w:val="00107B7F"/>
    <w:rsid w:val="00107CAA"/>
    <w:rsid w:val="00107DCD"/>
    <w:rsid w:val="00107EF0"/>
    <w:rsid w:val="00110157"/>
    <w:rsid w:val="00110644"/>
    <w:rsid w:val="00110ABB"/>
    <w:rsid w:val="00110BFD"/>
    <w:rsid w:val="00110EF8"/>
    <w:rsid w:val="0011119B"/>
    <w:rsid w:val="00111417"/>
    <w:rsid w:val="00111951"/>
    <w:rsid w:val="00111C83"/>
    <w:rsid w:val="001121DA"/>
    <w:rsid w:val="00112693"/>
    <w:rsid w:val="0011282F"/>
    <w:rsid w:val="00112C94"/>
    <w:rsid w:val="00113011"/>
    <w:rsid w:val="00113024"/>
    <w:rsid w:val="00113043"/>
    <w:rsid w:val="001132A4"/>
    <w:rsid w:val="001132D3"/>
    <w:rsid w:val="0011359C"/>
    <w:rsid w:val="001135C7"/>
    <w:rsid w:val="00113641"/>
    <w:rsid w:val="00113717"/>
    <w:rsid w:val="00113832"/>
    <w:rsid w:val="0011383B"/>
    <w:rsid w:val="0011395B"/>
    <w:rsid w:val="00113C60"/>
    <w:rsid w:val="00113FFE"/>
    <w:rsid w:val="001140D5"/>
    <w:rsid w:val="00114239"/>
    <w:rsid w:val="0011441F"/>
    <w:rsid w:val="0011497D"/>
    <w:rsid w:val="00114C3B"/>
    <w:rsid w:val="00114D00"/>
    <w:rsid w:val="00114ECB"/>
    <w:rsid w:val="0011502E"/>
    <w:rsid w:val="0011523F"/>
    <w:rsid w:val="00115691"/>
    <w:rsid w:val="00115A31"/>
    <w:rsid w:val="00115C39"/>
    <w:rsid w:val="00115C52"/>
    <w:rsid w:val="0011617F"/>
    <w:rsid w:val="00116456"/>
    <w:rsid w:val="00116E87"/>
    <w:rsid w:val="00117039"/>
    <w:rsid w:val="0011746D"/>
    <w:rsid w:val="0011769A"/>
    <w:rsid w:val="0011774E"/>
    <w:rsid w:val="0011783C"/>
    <w:rsid w:val="00117BAF"/>
    <w:rsid w:val="00117C8B"/>
    <w:rsid w:val="00117D71"/>
    <w:rsid w:val="00117F04"/>
    <w:rsid w:val="0012022A"/>
    <w:rsid w:val="0012047A"/>
    <w:rsid w:val="0012056C"/>
    <w:rsid w:val="001207FF"/>
    <w:rsid w:val="001209B5"/>
    <w:rsid w:val="00120B5E"/>
    <w:rsid w:val="00120BD3"/>
    <w:rsid w:val="00120EB8"/>
    <w:rsid w:val="00120F4E"/>
    <w:rsid w:val="0012100E"/>
    <w:rsid w:val="001215BE"/>
    <w:rsid w:val="00121768"/>
    <w:rsid w:val="00121B34"/>
    <w:rsid w:val="0012228C"/>
    <w:rsid w:val="001224A2"/>
    <w:rsid w:val="001225AB"/>
    <w:rsid w:val="001229BC"/>
    <w:rsid w:val="001229F0"/>
    <w:rsid w:val="00122AE3"/>
    <w:rsid w:val="00122C9D"/>
    <w:rsid w:val="00122EE1"/>
    <w:rsid w:val="00122F9C"/>
    <w:rsid w:val="001232B8"/>
    <w:rsid w:val="001232E5"/>
    <w:rsid w:val="001235BB"/>
    <w:rsid w:val="00123658"/>
    <w:rsid w:val="001237AF"/>
    <w:rsid w:val="001238E6"/>
    <w:rsid w:val="00124023"/>
    <w:rsid w:val="00124082"/>
    <w:rsid w:val="0012468D"/>
    <w:rsid w:val="001246B8"/>
    <w:rsid w:val="001247EB"/>
    <w:rsid w:val="00124F3C"/>
    <w:rsid w:val="0012502F"/>
    <w:rsid w:val="001251C4"/>
    <w:rsid w:val="0012539B"/>
    <w:rsid w:val="001253CB"/>
    <w:rsid w:val="00125A71"/>
    <w:rsid w:val="00125A94"/>
    <w:rsid w:val="00125B61"/>
    <w:rsid w:val="00125BB5"/>
    <w:rsid w:val="00125C60"/>
    <w:rsid w:val="00125D97"/>
    <w:rsid w:val="00125DCC"/>
    <w:rsid w:val="00125EDD"/>
    <w:rsid w:val="00126055"/>
    <w:rsid w:val="00126122"/>
    <w:rsid w:val="00126F57"/>
    <w:rsid w:val="00126F5E"/>
    <w:rsid w:val="001272E2"/>
    <w:rsid w:val="00127D1C"/>
    <w:rsid w:val="00127D53"/>
    <w:rsid w:val="00127E9B"/>
    <w:rsid w:val="00127F4A"/>
    <w:rsid w:val="00130045"/>
    <w:rsid w:val="001302F2"/>
    <w:rsid w:val="00130640"/>
    <w:rsid w:val="0013068A"/>
    <w:rsid w:val="00130A3B"/>
    <w:rsid w:val="00130AB2"/>
    <w:rsid w:val="001311DF"/>
    <w:rsid w:val="0013127F"/>
    <w:rsid w:val="001313A4"/>
    <w:rsid w:val="0013164E"/>
    <w:rsid w:val="00131870"/>
    <w:rsid w:val="00131941"/>
    <w:rsid w:val="00131B72"/>
    <w:rsid w:val="00131B83"/>
    <w:rsid w:val="00131D45"/>
    <w:rsid w:val="001320F0"/>
    <w:rsid w:val="0013229B"/>
    <w:rsid w:val="00132ADA"/>
    <w:rsid w:val="00132C02"/>
    <w:rsid w:val="00132F40"/>
    <w:rsid w:val="0013333D"/>
    <w:rsid w:val="001336E0"/>
    <w:rsid w:val="00133D33"/>
    <w:rsid w:val="00133F34"/>
    <w:rsid w:val="00133F68"/>
    <w:rsid w:val="0013405C"/>
    <w:rsid w:val="001340EF"/>
    <w:rsid w:val="0013458E"/>
    <w:rsid w:val="0013483F"/>
    <w:rsid w:val="00134920"/>
    <w:rsid w:val="0013493E"/>
    <w:rsid w:val="00134CA0"/>
    <w:rsid w:val="00134D7F"/>
    <w:rsid w:val="00135273"/>
    <w:rsid w:val="001357D3"/>
    <w:rsid w:val="001357D6"/>
    <w:rsid w:val="001359D8"/>
    <w:rsid w:val="00135A0E"/>
    <w:rsid w:val="00135E06"/>
    <w:rsid w:val="00135E65"/>
    <w:rsid w:val="00135EF6"/>
    <w:rsid w:val="00135FC9"/>
    <w:rsid w:val="00136032"/>
    <w:rsid w:val="00136116"/>
    <w:rsid w:val="001362F1"/>
    <w:rsid w:val="00136486"/>
    <w:rsid w:val="001366FD"/>
    <w:rsid w:val="00136D2B"/>
    <w:rsid w:val="00136DBB"/>
    <w:rsid w:val="00137460"/>
    <w:rsid w:val="0013748E"/>
    <w:rsid w:val="00137562"/>
    <w:rsid w:val="0013762E"/>
    <w:rsid w:val="001378EB"/>
    <w:rsid w:val="00137B87"/>
    <w:rsid w:val="00137D3F"/>
    <w:rsid w:val="00137D63"/>
    <w:rsid w:val="00137E77"/>
    <w:rsid w:val="0014019C"/>
    <w:rsid w:val="0014039E"/>
    <w:rsid w:val="00140900"/>
    <w:rsid w:val="00141061"/>
    <w:rsid w:val="00141587"/>
    <w:rsid w:val="001416E8"/>
    <w:rsid w:val="00141BC2"/>
    <w:rsid w:val="00142197"/>
    <w:rsid w:val="001429E3"/>
    <w:rsid w:val="00142B53"/>
    <w:rsid w:val="00142E4C"/>
    <w:rsid w:val="00142EA6"/>
    <w:rsid w:val="00142F04"/>
    <w:rsid w:val="001430CE"/>
    <w:rsid w:val="001430D6"/>
    <w:rsid w:val="001433B8"/>
    <w:rsid w:val="00143478"/>
    <w:rsid w:val="001439E8"/>
    <w:rsid w:val="00143F2F"/>
    <w:rsid w:val="0014404E"/>
    <w:rsid w:val="001441CD"/>
    <w:rsid w:val="0014492C"/>
    <w:rsid w:val="00144E36"/>
    <w:rsid w:val="001456AF"/>
    <w:rsid w:val="00145CFB"/>
    <w:rsid w:val="00145D65"/>
    <w:rsid w:val="00145FAF"/>
    <w:rsid w:val="00146624"/>
    <w:rsid w:val="0014689C"/>
    <w:rsid w:val="00146A5F"/>
    <w:rsid w:val="00146CD1"/>
    <w:rsid w:val="00146E26"/>
    <w:rsid w:val="00146ECD"/>
    <w:rsid w:val="001471BA"/>
    <w:rsid w:val="00147264"/>
    <w:rsid w:val="0014735C"/>
    <w:rsid w:val="001473D5"/>
    <w:rsid w:val="00147622"/>
    <w:rsid w:val="00147F6F"/>
    <w:rsid w:val="00150367"/>
    <w:rsid w:val="00150376"/>
    <w:rsid w:val="00150629"/>
    <w:rsid w:val="00150C4C"/>
    <w:rsid w:val="0015108E"/>
    <w:rsid w:val="00151266"/>
    <w:rsid w:val="001513BB"/>
    <w:rsid w:val="00151490"/>
    <w:rsid w:val="0015157E"/>
    <w:rsid w:val="00151882"/>
    <w:rsid w:val="001518C1"/>
    <w:rsid w:val="00151A6B"/>
    <w:rsid w:val="00151CC6"/>
    <w:rsid w:val="00151DBD"/>
    <w:rsid w:val="00152049"/>
    <w:rsid w:val="001520B4"/>
    <w:rsid w:val="00152109"/>
    <w:rsid w:val="00152211"/>
    <w:rsid w:val="0015264C"/>
    <w:rsid w:val="001526D1"/>
    <w:rsid w:val="00152BA2"/>
    <w:rsid w:val="00152C5A"/>
    <w:rsid w:val="00152D97"/>
    <w:rsid w:val="001531D6"/>
    <w:rsid w:val="00153498"/>
    <w:rsid w:val="001536CD"/>
    <w:rsid w:val="00153801"/>
    <w:rsid w:val="00153AE7"/>
    <w:rsid w:val="00153DB4"/>
    <w:rsid w:val="001540A3"/>
    <w:rsid w:val="0015459A"/>
    <w:rsid w:val="001545F7"/>
    <w:rsid w:val="00154C1E"/>
    <w:rsid w:val="00154E78"/>
    <w:rsid w:val="00155434"/>
    <w:rsid w:val="0015543F"/>
    <w:rsid w:val="0015575D"/>
    <w:rsid w:val="00155BDA"/>
    <w:rsid w:val="00155C19"/>
    <w:rsid w:val="00156236"/>
    <w:rsid w:val="00156536"/>
    <w:rsid w:val="00156B0D"/>
    <w:rsid w:val="00156FA7"/>
    <w:rsid w:val="00157106"/>
    <w:rsid w:val="0015716C"/>
    <w:rsid w:val="00157318"/>
    <w:rsid w:val="001575C8"/>
    <w:rsid w:val="00157A17"/>
    <w:rsid w:val="00157CD8"/>
    <w:rsid w:val="00157D95"/>
    <w:rsid w:val="00160025"/>
    <w:rsid w:val="0016003B"/>
    <w:rsid w:val="001600FC"/>
    <w:rsid w:val="0016023A"/>
    <w:rsid w:val="00160350"/>
    <w:rsid w:val="001607D9"/>
    <w:rsid w:val="00160888"/>
    <w:rsid w:val="00160951"/>
    <w:rsid w:val="00161124"/>
    <w:rsid w:val="0016112E"/>
    <w:rsid w:val="001616CD"/>
    <w:rsid w:val="001616E0"/>
    <w:rsid w:val="00161D28"/>
    <w:rsid w:val="001623C6"/>
    <w:rsid w:val="001626F0"/>
    <w:rsid w:val="001627B1"/>
    <w:rsid w:val="00162B03"/>
    <w:rsid w:val="00162DBF"/>
    <w:rsid w:val="00163095"/>
    <w:rsid w:val="00163383"/>
    <w:rsid w:val="00163814"/>
    <w:rsid w:val="001639F0"/>
    <w:rsid w:val="00163B36"/>
    <w:rsid w:val="00163BF5"/>
    <w:rsid w:val="0016419F"/>
    <w:rsid w:val="0016463E"/>
    <w:rsid w:val="001647EF"/>
    <w:rsid w:val="001649FB"/>
    <w:rsid w:val="00164AC8"/>
    <w:rsid w:val="00164CF8"/>
    <w:rsid w:val="00164DDF"/>
    <w:rsid w:val="00164DE1"/>
    <w:rsid w:val="001653AE"/>
    <w:rsid w:val="00165525"/>
    <w:rsid w:val="0016599B"/>
    <w:rsid w:val="001662F2"/>
    <w:rsid w:val="0016662E"/>
    <w:rsid w:val="00166656"/>
    <w:rsid w:val="00166915"/>
    <w:rsid w:val="00166C7C"/>
    <w:rsid w:val="00166C99"/>
    <w:rsid w:val="00166E25"/>
    <w:rsid w:val="00166E4A"/>
    <w:rsid w:val="00166F96"/>
    <w:rsid w:val="0016761D"/>
    <w:rsid w:val="00167F9D"/>
    <w:rsid w:val="0017049B"/>
    <w:rsid w:val="0017099C"/>
    <w:rsid w:val="00170BCF"/>
    <w:rsid w:val="00170D5B"/>
    <w:rsid w:val="00170DF6"/>
    <w:rsid w:val="00170F77"/>
    <w:rsid w:val="0017163B"/>
    <w:rsid w:val="001717D1"/>
    <w:rsid w:val="001718D4"/>
    <w:rsid w:val="001719D6"/>
    <w:rsid w:val="00171A2A"/>
    <w:rsid w:val="00171CAE"/>
    <w:rsid w:val="00171E03"/>
    <w:rsid w:val="00171EF3"/>
    <w:rsid w:val="00171EF5"/>
    <w:rsid w:val="00172237"/>
    <w:rsid w:val="00172724"/>
    <w:rsid w:val="0017294C"/>
    <w:rsid w:val="00172B2D"/>
    <w:rsid w:val="00172B8F"/>
    <w:rsid w:val="00172D82"/>
    <w:rsid w:val="00172F63"/>
    <w:rsid w:val="001732C9"/>
    <w:rsid w:val="0017361A"/>
    <w:rsid w:val="001736B3"/>
    <w:rsid w:val="001736F8"/>
    <w:rsid w:val="00173890"/>
    <w:rsid w:val="00173A3C"/>
    <w:rsid w:val="00173D85"/>
    <w:rsid w:val="00173EA3"/>
    <w:rsid w:val="00174134"/>
    <w:rsid w:val="001741A6"/>
    <w:rsid w:val="001741C1"/>
    <w:rsid w:val="00174348"/>
    <w:rsid w:val="00174424"/>
    <w:rsid w:val="001746AD"/>
    <w:rsid w:val="001749DF"/>
    <w:rsid w:val="00174B4B"/>
    <w:rsid w:val="00174BA9"/>
    <w:rsid w:val="00174EB5"/>
    <w:rsid w:val="00174EC3"/>
    <w:rsid w:val="00174F30"/>
    <w:rsid w:val="00174FA1"/>
    <w:rsid w:val="00174FD4"/>
    <w:rsid w:val="00175092"/>
    <w:rsid w:val="001758E5"/>
    <w:rsid w:val="00175A4F"/>
    <w:rsid w:val="00175A6E"/>
    <w:rsid w:val="00175B48"/>
    <w:rsid w:val="00175DBB"/>
    <w:rsid w:val="00175DBF"/>
    <w:rsid w:val="00175F34"/>
    <w:rsid w:val="00175F7B"/>
    <w:rsid w:val="00176087"/>
    <w:rsid w:val="00176151"/>
    <w:rsid w:val="0017664E"/>
    <w:rsid w:val="001766F0"/>
    <w:rsid w:val="00176779"/>
    <w:rsid w:val="00176844"/>
    <w:rsid w:val="00176A3C"/>
    <w:rsid w:val="00176B58"/>
    <w:rsid w:val="00176D0B"/>
    <w:rsid w:val="00176DB5"/>
    <w:rsid w:val="00177010"/>
    <w:rsid w:val="001770E3"/>
    <w:rsid w:val="001770F7"/>
    <w:rsid w:val="00177374"/>
    <w:rsid w:val="001778A7"/>
    <w:rsid w:val="001778B9"/>
    <w:rsid w:val="001778CB"/>
    <w:rsid w:val="0017794D"/>
    <w:rsid w:val="00177CE3"/>
    <w:rsid w:val="00177EDE"/>
    <w:rsid w:val="001803F4"/>
    <w:rsid w:val="00180522"/>
    <w:rsid w:val="00180D5C"/>
    <w:rsid w:val="00181614"/>
    <w:rsid w:val="00181D75"/>
    <w:rsid w:val="00181DC5"/>
    <w:rsid w:val="00181EA6"/>
    <w:rsid w:val="00181EF3"/>
    <w:rsid w:val="001821C6"/>
    <w:rsid w:val="0018221A"/>
    <w:rsid w:val="00182776"/>
    <w:rsid w:val="00182905"/>
    <w:rsid w:val="00182A42"/>
    <w:rsid w:val="00182C80"/>
    <w:rsid w:val="00182E2B"/>
    <w:rsid w:val="0018312C"/>
    <w:rsid w:val="001831FA"/>
    <w:rsid w:val="0018333D"/>
    <w:rsid w:val="00183392"/>
    <w:rsid w:val="00183542"/>
    <w:rsid w:val="001836AD"/>
    <w:rsid w:val="00183724"/>
    <w:rsid w:val="00183977"/>
    <w:rsid w:val="0018397A"/>
    <w:rsid w:val="001839CA"/>
    <w:rsid w:val="0018413C"/>
    <w:rsid w:val="0018428D"/>
    <w:rsid w:val="00184702"/>
    <w:rsid w:val="00184804"/>
    <w:rsid w:val="00184BAE"/>
    <w:rsid w:val="00184CAB"/>
    <w:rsid w:val="0018500D"/>
    <w:rsid w:val="00185206"/>
    <w:rsid w:val="001854C2"/>
    <w:rsid w:val="001859D9"/>
    <w:rsid w:val="00185C86"/>
    <w:rsid w:val="00185CA1"/>
    <w:rsid w:val="00185D63"/>
    <w:rsid w:val="00185E70"/>
    <w:rsid w:val="00185E77"/>
    <w:rsid w:val="00185F13"/>
    <w:rsid w:val="0018622A"/>
    <w:rsid w:val="0018630C"/>
    <w:rsid w:val="00186549"/>
    <w:rsid w:val="0018666C"/>
    <w:rsid w:val="001867E2"/>
    <w:rsid w:val="00186A23"/>
    <w:rsid w:val="00186B8F"/>
    <w:rsid w:val="00186CFA"/>
    <w:rsid w:val="00186FC7"/>
    <w:rsid w:val="00187299"/>
    <w:rsid w:val="0018750F"/>
    <w:rsid w:val="0018762C"/>
    <w:rsid w:val="00187860"/>
    <w:rsid w:val="00187934"/>
    <w:rsid w:val="00187D96"/>
    <w:rsid w:val="001903BE"/>
    <w:rsid w:val="00190920"/>
    <w:rsid w:val="00190924"/>
    <w:rsid w:val="001909DA"/>
    <w:rsid w:val="00190AB1"/>
    <w:rsid w:val="00190B4D"/>
    <w:rsid w:val="00190BE0"/>
    <w:rsid w:val="00191100"/>
    <w:rsid w:val="00191235"/>
    <w:rsid w:val="0019164B"/>
    <w:rsid w:val="0019164E"/>
    <w:rsid w:val="00191901"/>
    <w:rsid w:val="00191977"/>
    <w:rsid w:val="00191F79"/>
    <w:rsid w:val="0019203E"/>
    <w:rsid w:val="00192041"/>
    <w:rsid w:val="00192072"/>
    <w:rsid w:val="001922DF"/>
    <w:rsid w:val="00192602"/>
    <w:rsid w:val="0019272C"/>
    <w:rsid w:val="00192873"/>
    <w:rsid w:val="00192CF1"/>
    <w:rsid w:val="00192E83"/>
    <w:rsid w:val="00192FE7"/>
    <w:rsid w:val="001935BA"/>
    <w:rsid w:val="0019362A"/>
    <w:rsid w:val="00193CFB"/>
    <w:rsid w:val="0019421E"/>
    <w:rsid w:val="0019424C"/>
    <w:rsid w:val="0019434C"/>
    <w:rsid w:val="0019442D"/>
    <w:rsid w:val="0019474E"/>
    <w:rsid w:val="001947BB"/>
    <w:rsid w:val="0019495D"/>
    <w:rsid w:val="00194E02"/>
    <w:rsid w:val="00194F93"/>
    <w:rsid w:val="00194FCE"/>
    <w:rsid w:val="00195027"/>
    <w:rsid w:val="00195061"/>
    <w:rsid w:val="00195229"/>
    <w:rsid w:val="00195651"/>
    <w:rsid w:val="00195728"/>
    <w:rsid w:val="0019574E"/>
    <w:rsid w:val="0019583B"/>
    <w:rsid w:val="00195C7F"/>
    <w:rsid w:val="00195FCC"/>
    <w:rsid w:val="00196005"/>
    <w:rsid w:val="00196901"/>
    <w:rsid w:val="00196F82"/>
    <w:rsid w:val="001970AF"/>
    <w:rsid w:val="001970C0"/>
    <w:rsid w:val="0019731C"/>
    <w:rsid w:val="00197962"/>
    <w:rsid w:val="00197BEF"/>
    <w:rsid w:val="00197E5E"/>
    <w:rsid w:val="00197EA2"/>
    <w:rsid w:val="001A0C94"/>
    <w:rsid w:val="001A0DB4"/>
    <w:rsid w:val="001A0F7C"/>
    <w:rsid w:val="001A0F9B"/>
    <w:rsid w:val="001A11FE"/>
    <w:rsid w:val="001A1247"/>
    <w:rsid w:val="001A1CB7"/>
    <w:rsid w:val="001A1D74"/>
    <w:rsid w:val="001A1D82"/>
    <w:rsid w:val="001A20B7"/>
    <w:rsid w:val="001A23AC"/>
    <w:rsid w:val="001A2480"/>
    <w:rsid w:val="001A28C3"/>
    <w:rsid w:val="001A2A42"/>
    <w:rsid w:val="001A30DF"/>
    <w:rsid w:val="001A3377"/>
    <w:rsid w:val="001A33B2"/>
    <w:rsid w:val="001A3517"/>
    <w:rsid w:val="001A35D9"/>
    <w:rsid w:val="001A367F"/>
    <w:rsid w:val="001A3BB6"/>
    <w:rsid w:val="001A3D44"/>
    <w:rsid w:val="001A4203"/>
    <w:rsid w:val="001A420B"/>
    <w:rsid w:val="001A48E6"/>
    <w:rsid w:val="001A4B97"/>
    <w:rsid w:val="001A4C09"/>
    <w:rsid w:val="001A4F73"/>
    <w:rsid w:val="001A4F7D"/>
    <w:rsid w:val="001A5171"/>
    <w:rsid w:val="001A51F4"/>
    <w:rsid w:val="001A5210"/>
    <w:rsid w:val="001A527F"/>
    <w:rsid w:val="001A5378"/>
    <w:rsid w:val="001A566B"/>
    <w:rsid w:val="001A59E7"/>
    <w:rsid w:val="001A5C14"/>
    <w:rsid w:val="001A5E83"/>
    <w:rsid w:val="001A5EE0"/>
    <w:rsid w:val="001A5F13"/>
    <w:rsid w:val="001A653B"/>
    <w:rsid w:val="001A6621"/>
    <w:rsid w:val="001A66EA"/>
    <w:rsid w:val="001A687B"/>
    <w:rsid w:val="001A6A5D"/>
    <w:rsid w:val="001A6BBA"/>
    <w:rsid w:val="001A6E5B"/>
    <w:rsid w:val="001A6EA7"/>
    <w:rsid w:val="001A742D"/>
    <w:rsid w:val="001A7486"/>
    <w:rsid w:val="001A7B42"/>
    <w:rsid w:val="001A7D8F"/>
    <w:rsid w:val="001B00C1"/>
    <w:rsid w:val="001B0139"/>
    <w:rsid w:val="001B0163"/>
    <w:rsid w:val="001B03E5"/>
    <w:rsid w:val="001B05C2"/>
    <w:rsid w:val="001B0CF1"/>
    <w:rsid w:val="001B0CF7"/>
    <w:rsid w:val="001B0E59"/>
    <w:rsid w:val="001B0EF6"/>
    <w:rsid w:val="001B116E"/>
    <w:rsid w:val="001B1671"/>
    <w:rsid w:val="001B1721"/>
    <w:rsid w:val="001B17D0"/>
    <w:rsid w:val="001B17D8"/>
    <w:rsid w:val="001B18B8"/>
    <w:rsid w:val="001B1C53"/>
    <w:rsid w:val="001B1D3B"/>
    <w:rsid w:val="001B2078"/>
    <w:rsid w:val="001B26B8"/>
    <w:rsid w:val="001B27D9"/>
    <w:rsid w:val="001B2A48"/>
    <w:rsid w:val="001B2A97"/>
    <w:rsid w:val="001B2CD4"/>
    <w:rsid w:val="001B2DE2"/>
    <w:rsid w:val="001B305B"/>
    <w:rsid w:val="001B34B7"/>
    <w:rsid w:val="001B351E"/>
    <w:rsid w:val="001B3639"/>
    <w:rsid w:val="001B369B"/>
    <w:rsid w:val="001B3C1E"/>
    <w:rsid w:val="001B3C7E"/>
    <w:rsid w:val="001B3D3F"/>
    <w:rsid w:val="001B3E5D"/>
    <w:rsid w:val="001B4421"/>
    <w:rsid w:val="001B4775"/>
    <w:rsid w:val="001B47B3"/>
    <w:rsid w:val="001B4AE3"/>
    <w:rsid w:val="001B4BE6"/>
    <w:rsid w:val="001B5064"/>
    <w:rsid w:val="001B5178"/>
    <w:rsid w:val="001B51AF"/>
    <w:rsid w:val="001B5250"/>
    <w:rsid w:val="001B5300"/>
    <w:rsid w:val="001B54EC"/>
    <w:rsid w:val="001B56C2"/>
    <w:rsid w:val="001B5733"/>
    <w:rsid w:val="001B580C"/>
    <w:rsid w:val="001B5CEB"/>
    <w:rsid w:val="001B6293"/>
    <w:rsid w:val="001B6369"/>
    <w:rsid w:val="001B6C0A"/>
    <w:rsid w:val="001B6D35"/>
    <w:rsid w:val="001B6D3B"/>
    <w:rsid w:val="001B70E6"/>
    <w:rsid w:val="001B7329"/>
    <w:rsid w:val="001B79EF"/>
    <w:rsid w:val="001B7C43"/>
    <w:rsid w:val="001B7F12"/>
    <w:rsid w:val="001B7F2C"/>
    <w:rsid w:val="001C0148"/>
    <w:rsid w:val="001C0289"/>
    <w:rsid w:val="001C079D"/>
    <w:rsid w:val="001C07F1"/>
    <w:rsid w:val="001C08B3"/>
    <w:rsid w:val="001C0B03"/>
    <w:rsid w:val="001C0B79"/>
    <w:rsid w:val="001C0C97"/>
    <w:rsid w:val="001C1678"/>
    <w:rsid w:val="001C174A"/>
    <w:rsid w:val="001C187C"/>
    <w:rsid w:val="001C1986"/>
    <w:rsid w:val="001C1B8B"/>
    <w:rsid w:val="001C1D05"/>
    <w:rsid w:val="001C260D"/>
    <w:rsid w:val="001C2A48"/>
    <w:rsid w:val="001C2B4F"/>
    <w:rsid w:val="001C2DF4"/>
    <w:rsid w:val="001C2DFD"/>
    <w:rsid w:val="001C2E0D"/>
    <w:rsid w:val="001C366A"/>
    <w:rsid w:val="001C371E"/>
    <w:rsid w:val="001C43D3"/>
    <w:rsid w:val="001C46F5"/>
    <w:rsid w:val="001C4846"/>
    <w:rsid w:val="001C4E58"/>
    <w:rsid w:val="001C4F6E"/>
    <w:rsid w:val="001C5294"/>
    <w:rsid w:val="001C56D5"/>
    <w:rsid w:val="001C60DF"/>
    <w:rsid w:val="001C6164"/>
    <w:rsid w:val="001C6185"/>
    <w:rsid w:val="001C6272"/>
    <w:rsid w:val="001C6530"/>
    <w:rsid w:val="001C696D"/>
    <w:rsid w:val="001C69E3"/>
    <w:rsid w:val="001C6A39"/>
    <w:rsid w:val="001C6B59"/>
    <w:rsid w:val="001C6BBD"/>
    <w:rsid w:val="001C6BD8"/>
    <w:rsid w:val="001C6DFD"/>
    <w:rsid w:val="001C6FC5"/>
    <w:rsid w:val="001C7072"/>
    <w:rsid w:val="001C7C4F"/>
    <w:rsid w:val="001D00F6"/>
    <w:rsid w:val="001D00FA"/>
    <w:rsid w:val="001D025B"/>
    <w:rsid w:val="001D0B0C"/>
    <w:rsid w:val="001D0CA8"/>
    <w:rsid w:val="001D0D34"/>
    <w:rsid w:val="001D10EB"/>
    <w:rsid w:val="001D15AF"/>
    <w:rsid w:val="001D17DB"/>
    <w:rsid w:val="001D1CF3"/>
    <w:rsid w:val="001D24DA"/>
    <w:rsid w:val="001D2657"/>
    <w:rsid w:val="001D2691"/>
    <w:rsid w:val="001D27E8"/>
    <w:rsid w:val="001D2838"/>
    <w:rsid w:val="001D2C7F"/>
    <w:rsid w:val="001D2F82"/>
    <w:rsid w:val="001D3075"/>
    <w:rsid w:val="001D3276"/>
    <w:rsid w:val="001D32C0"/>
    <w:rsid w:val="001D333D"/>
    <w:rsid w:val="001D3636"/>
    <w:rsid w:val="001D3692"/>
    <w:rsid w:val="001D3A23"/>
    <w:rsid w:val="001D3A64"/>
    <w:rsid w:val="001D3AC2"/>
    <w:rsid w:val="001D3B5B"/>
    <w:rsid w:val="001D3BC6"/>
    <w:rsid w:val="001D3DE7"/>
    <w:rsid w:val="001D4104"/>
    <w:rsid w:val="001D418F"/>
    <w:rsid w:val="001D4F89"/>
    <w:rsid w:val="001D536F"/>
    <w:rsid w:val="001D53FC"/>
    <w:rsid w:val="001D5793"/>
    <w:rsid w:val="001D59B1"/>
    <w:rsid w:val="001D59D1"/>
    <w:rsid w:val="001D5D11"/>
    <w:rsid w:val="001D5E31"/>
    <w:rsid w:val="001D622D"/>
    <w:rsid w:val="001D638B"/>
    <w:rsid w:val="001D643B"/>
    <w:rsid w:val="001D64F5"/>
    <w:rsid w:val="001D6707"/>
    <w:rsid w:val="001D6739"/>
    <w:rsid w:val="001D67F8"/>
    <w:rsid w:val="001D6A65"/>
    <w:rsid w:val="001D6BA3"/>
    <w:rsid w:val="001D7154"/>
    <w:rsid w:val="001D7288"/>
    <w:rsid w:val="001D74A7"/>
    <w:rsid w:val="001D7686"/>
    <w:rsid w:val="001D7A51"/>
    <w:rsid w:val="001D7B40"/>
    <w:rsid w:val="001D7DD5"/>
    <w:rsid w:val="001D7DFC"/>
    <w:rsid w:val="001E0494"/>
    <w:rsid w:val="001E04E6"/>
    <w:rsid w:val="001E099F"/>
    <w:rsid w:val="001E0B9A"/>
    <w:rsid w:val="001E0ED1"/>
    <w:rsid w:val="001E0F11"/>
    <w:rsid w:val="001E1008"/>
    <w:rsid w:val="001E107A"/>
    <w:rsid w:val="001E12BA"/>
    <w:rsid w:val="001E1319"/>
    <w:rsid w:val="001E14EB"/>
    <w:rsid w:val="001E15F2"/>
    <w:rsid w:val="001E193C"/>
    <w:rsid w:val="001E1A44"/>
    <w:rsid w:val="001E1BB3"/>
    <w:rsid w:val="001E1BC7"/>
    <w:rsid w:val="001E1EEF"/>
    <w:rsid w:val="001E1F17"/>
    <w:rsid w:val="001E1F97"/>
    <w:rsid w:val="001E1FD1"/>
    <w:rsid w:val="001E20D2"/>
    <w:rsid w:val="001E22F7"/>
    <w:rsid w:val="001E278B"/>
    <w:rsid w:val="001E2A19"/>
    <w:rsid w:val="001E2AC0"/>
    <w:rsid w:val="001E2AFE"/>
    <w:rsid w:val="001E2DDF"/>
    <w:rsid w:val="001E2EDD"/>
    <w:rsid w:val="001E302D"/>
    <w:rsid w:val="001E32C9"/>
    <w:rsid w:val="001E341F"/>
    <w:rsid w:val="001E370E"/>
    <w:rsid w:val="001E3889"/>
    <w:rsid w:val="001E3A4D"/>
    <w:rsid w:val="001E3BA0"/>
    <w:rsid w:val="001E3BEE"/>
    <w:rsid w:val="001E412F"/>
    <w:rsid w:val="001E42D0"/>
    <w:rsid w:val="001E45BA"/>
    <w:rsid w:val="001E465F"/>
    <w:rsid w:val="001E47F3"/>
    <w:rsid w:val="001E48AE"/>
    <w:rsid w:val="001E4B0F"/>
    <w:rsid w:val="001E57B1"/>
    <w:rsid w:val="001E5C9F"/>
    <w:rsid w:val="001E5D59"/>
    <w:rsid w:val="001E5DD6"/>
    <w:rsid w:val="001E62DF"/>
    <w:rsid w:val="001E6A77"/>
    <w:rsid w:val="001E6EF3"/>
    <w:rsid w:val="001E7420"/>
    <w:rsid w:val="001E752A"/>
    <w:rsid w:val="001E7561"/>
    <w:rsid w:val="001E7610"/>
    <w:rsid w:val="001E7966"/>
    <w:rsid w:val="001E79DF"/>
    <w:rsid w:val="001E7F8E"/>
    <w:rsid w:val="001F05A9"/>
    <w:rsid w:val="001F0944"/>
    <w:rsid w:val="001F0BBB"/>
    <w:rsid w:val="001F0BCA"/>
    <w:rsid w:val="001F0E9D"/>
    <w:rsid w:val="001F0ED6"/>
    <w:rsid w:val="001F143B"/>
    <w:rsid w:val="001F1A7F"/>
    <w:rsid w:val="001F21A5"/>
    <w:rsid w:val="001F2902"/>
    <w:rsid w:val="001F293F"/>
    <w:rsid w:val="001F2BCB"/>
    <w:rsid w:val="001F3004"/>
    <w:rsid w:val="001F32B0"/>
    <w:rsid w:val="001F33AD"/>
    <w:rsid w:val="001F35C0"/>
    <w:rsid w:val="001F3694"/>
    <w:rsid w:val="001F389E"/>
    <w:rsid w:val="001F39E7"/>
    <w:rsid w:val="001F3CE6"/>
    <w:rsid w:val="001F3DCD"/>
    <w:rsid w:val="001F3F36"/>
    <w:rsid w:val="001F41A7"/>
    <w:rsid w:val="001F4B72"/>
    <w:rsid w:val="001F4D25"/>
    <w:rsid w:val="001F4D63"/>
    <w:rsid w:val="001F4F76"/>
    <w:rsid w:val="001F52CE"/>
    <w:rsid w:val="001F54E3"/>
    <w:rsid w:val="001F574F"/>
    <w:rsid w:val="001F5FE1"/>
    <w:rsid w:val="001F6490"/>
    <w:rsid w:val="001F658C"/>
    <w:rsid w:val="001F675C"/>
    <w:rsid w:val="001F6905"/>
    <w:rsid w:val="001F6A49"/>
    <w:rsid w:val="001F6ABD"/>
    <w:rsid w:val="001F6BD1"/>
    <w:rsid w:val="001F6D16"/>
    <w:rsid w:val="001F6DD1"/>
    <w:rsid w:val="001F6F44"/>
    <w:rsid w:val="001F6F82"/>
    <w:rsid w:val="001F70D3"/>
    <w:rsid w:val="001F71BC"/>
    <w:rsid w:val="001F725D"/>
    <w:rsid w:val="001F72B7"/>
    <w:rsid w:val="001F7563"/>
    <w:rsid w:val="001F7F2D"/>
    <w:rsid w:val="0020043B"/>
    <w:rsid w:val="0020048D"/>
    <w:rsid w:val="00200503"/>
    <w:rsid w:val="00200540"/>
    <w:rsid w:val="00200B1E"/>
    <w:rsid w:val="00200BC9"/>
    <w:rsid w:val="00201128"/>
    <w:rsid w:val="002014DC"/>
    <w:rsid w:val="00201516"/>
    <w:rsid w:val="002016DE"/>
    <w:rsid w:val="00201903"/>
    <w:rsid w:val="00201E7A"/>
    <w:rsid w:val="0020217A"/>
    <w:rsid w:val="00202285"/>
    <w:rsid w:val="002022DD"/>
    <w:rsid w:val="002024EB"/>
    <w:rsid w:val="00202639"/>
    <w:rsid w:val="002027CF"/>
    <w:rsid w:val="0020288F"/>
    <w:rsid w:val="00202C78"/>
    <w:rsid w:val="00202F30"/>
    <w:rsid w:val="00203153"/>
    <w:rsid w:val="00203616"/>
    <w:rsid w:val="0020362D"/>
    <w:rsid w:val="00203BB5"/>
    <w:rsid w:val="00203BF1"/>
    <w:rsid w:val="0020401E"/>
    <w:rsid w:val="0020445D"/>
    <w:rsid w:val="002044E5"/>
    <w:rsid w:val="00204514"/>
    <w:rsid w:val="002046EF"/>
    <w:rsid w:val="0020478C"/>
    <w:rsid w:val="002047F3"/>
    <w:rsid w:val="00204818"/>
    <w:rsid w:val="002048B1"/>
    <w:rsid w:val="00204C2E"/>
    <w:rsid w:val="00204E9F"/>
    <w:rsid w:val="002055A0"/>
    <w:rsid w:val="00205A30"/>
    <w:rsid w:val="00205C07"/>
    <w:rsid w:val="00205DC9"/>
    <w:rsid w:val="00205F37"/>
    <w:rsid w:val="00205F9F"/>
    <w:rsid w:val="00206175"/>
    <w:rsid w:val="00206BD9"/>
    <w:rsid w:val="00206F63"/>
    <w:rsid w:val="0020710B"/>
    <w:rsid w:val="00207CC9"/>
    <w:rsid w:val="00207CD6"/>
    <w:rsid w:val="00207F59"/>
    <w:rsid w:val="00210060"/>
    <w:rsid w:val="00210416"/>
    <w:rsid w:val="00210780"/>
    <w:rsid w:val="00210A8A"/>
    <w:rsid w:val="00210B6A"/>
    <w:rsid w:val="00210C34"/>
    <w:rsid w:val="00210E97"/>
    <w:rsid w:val="00210F31"/>
    <w:rsid w:val="00210F88"/>
    <w:rsid w:val="00211106"/>
    <w:rsid w:val="00211205"/>
    <w:rsid w:val="002113F6"/>
    <w:rsid w:val="0021141F"/>
    <w:rsid w:val="0021158B"/>
    <w:rsid w:val="00211642"/>
    <w:rsid w:val="00211700"/>
    <w:rsid w:val="00211DC3"/>
    <w:rsid w:val="00211E69"/>
    <w:rsid w:val="00212895"/>
    <w:rsid w:val="00212F1C"/>
    <w:rsid w:val="00213707"/>
    <w:rsid w:val="00213769"/>
    <w:rsid w:val="002137A0"/>
    <w:rsid w:val="00213937"/>
    <w:rsid w:val="00213A44"/>
    <w:rsid w:val="00213AFC"/>
    <w:rsid w:val="00213B98"/>
    <w:rsid w:val="00213D0C"/>
    <w:rsid w:val="002142A9"/>
    <w:rsid w:val="002145AC"/>
    <w:rsid w:val="002146F4"/>
    <w:rsid w:val="002147E8"/>
    <w:rsid w:val="0021481B"/>
    <w:rsid w:val="00214B27"/>
    <w:rsid w:val="00214C08"/>
    <w:rsid w:val="00214CF3"/>
    <w:rsid w:val="0021527F"/>
    <w:rsid w:val="0021529C"/>
    <w:rsid w:val="002154BA"/>
    <w:rsid w:val="002155B6"/>
    <w:rsid w:val="00215790"/>
    <w:rsid w:val="002157E4"/>
    <w:rsid w:val="00215AFB"/>
    <w:rsid w:val="00215DEA"/>
    <w:rsid w:val="002160C1"/>
    <w:rsid w:val="00216592"/>
    <w:rsid w:val="0021661C"/>
    <w:rsid w:val="0021692B"/>
    <w:rsid w:val="00216981"/>
    <w:rsid w:val="00216987"/>
    <w:rsid w:val="00216A56"/>
    <w:rsid w:val="00216DA9"/>
    <w:rsid w:val="00216DB1"/>
    <w:rsid w:val="00216E0A"/>
    <w:rsid w:val="00217065"/>
    <w:rsid w:val="0021707F"/>
    <w:rsid w:val="0021718F"/>
    <w:rsid w:val="002178BC"/>
    <w:rsid w:val="002178D6"/>
    <w:rsid w:val="00217ED6"/>
    <w:rsid w:val="00217F86"/>
    <w:rsid w:val="002200A7"/>
    <w:rsid w:val="002200D8"/>
    <w:rsid w:val="00220117"/>
    <w:rsid w:val="00220140"/>
    <w:rsid w:val="002204B0"/>
    <w:rsid w:val="002207A0"/>
    <w:rsid w:val="002207D4"/>
    <w:rsid w:val="00220AED"/>
    <w:rsid w:val="0022103D"/>
    <w:rsid w:val="00221288"/>
    <w:rsid w:val="002218F6"/>
    <w:rsid w:val="002219EE"/>
    <w:rsid w:val="00221FC1"/>
    <w:rsid w:val="00221FF0"/>
    <w:rsid w:val="002226BF"/>
    <w:rsid w:val="002227DD"/>
    <w:rsid w:val="00222914"/>
    <w:rsid w:val="00222B1A"/>
    <w:rsid w:val="00222BA5"/>
    <w:rsid w:val="00222C3A"/>
    <w:rsid w:val="00222D3D"/>
    <w:rsid w:val="00222EC7"/>
    <w:rsid w:val="00222FFE"/>
    <w:rsid w:val="002230C2"/>
    <w:rsid w:val="002232E5"/>
    <w:rsid w:val="00223664"/>
    <w:rsid w:val="00223A56"/>
    <w:rsid w:val="00223BB0"/>
    <w:rsid w:val="0022405A"/>
    <w:rsid w:val="002242B2"/>
    <w:rsid w:val="00224428"/>
    <w:rsid w:val="00224453"/>
    <w:rsid w:val="0022464A"/>
    <w:rsid w:val="0022472E"/>
    <w:rsid w:val="0022484D"/>
    <w:rsid w:val="00224909"/>
    <w:rsid w:val="002252F8"/>
    <w:rsid w:val="0022561B"/>
    <w:rsid w:val="00225833"/>
    <w:rsid w:val="00225B71"/>
    <w:rsid w:val="00225C95"/>
    <w:rsid w:val="00226095"/>
    <w:rsid w:val="00226105"/>
    <w:rsid w:val="00226631"/>
    <w:rsid w:val="0022666E"/>
    <w:rsid w:val="00226899"/>
    <w:rsid w:val="002268E7"/>
    <w:rsid w:val="002268EF"/>
    <w:rsid w:val="00226C14"/>
    <w:rsid w:val="00226E30"/>
    <w:rsid w:val="00226F86"/>
    <w:rsid w:val="00226FE3"/>
    <w:rsid w:val="00227B89"/>
    <w:rsid w:val="00227F43"/>
    <w:rsid w:val="00230394"/>
    <w:rsid w:val="002306EC"/>
    <w:rsid w:val="00230774"/>
    <w:rsid w:val="002308D1"/>
    <w:rsid w:val="002309A4"/>
    <w:rsid w:val="00230B3E"/>
    <w:rsid w:val="00230E1D"/>
    <w:rsid w:val="00230EBB"/>
    <w:rsid w:val="00230F65"/>
    <w:rsid w:val="00231118"/>
    <w:rsid w:val="002314C1"/>
    <w:rsid w:val="00231542"/>
    <w:rsid w:val="00231C14"/>
    <w:rsid w:val="0023202E"/>
    <w:rsid w:val="002321B3"/>
    <w:rsid w:val="00232760"/>
    <w:rsid w:val="00232858"/>
    <w:rsid w:val="00232871"/>
    <w:rsid w:val="0023289F"/>
    <w:rsid w:val="00232E4A"/>
    <w:rsid w:val="00232E5E"/>
    <w:rsid w:val="00233170"/>
    <w:rsid w:val="002336A9"/>
    <w:rsid w:val="00233E87"/>
    <w:rsid w:val="00233FAE"/>
    <w:rsid w:val="00233FD1"/>
    <w:rsid w:val="002344A8"/>
    <w:rsid w:val="00234640"/>
    <w:rsid w:val="002346B1"/>
    <w:rsid w:val="00235164"/>
    <w:rsid w:val="002352B6"/>
    <w:rsid w:val="00235895"/>
    <w:rsid w:val="00235C52"/>
    <w:rsid w:val="00235CD2"/>
    <w:rsid w:val="00236098"/>
    <w:rsid w:val="00236696"/>
    <w:rsid w:val="00236885"/>
    <w:rsid w:val="00236B45"/>
    <w:rsid w:val="00236CC1"/>
    <w:rsid w:val="00236EDD"/>
    <w:rsid w:val="0023728A"/>
    <w:rsid w:val="00237317"/>
    <w:rsid w:val="0023781A"/>
    <w:rsid w:val="00237A6C"/>
    <w:rsid w:val="00237AD2"/>
    <w:rsid w:val="002398C6"/>
    <w:rsid w:val="00239D87"/>
    <w:rsid w:val="00240106"/>
    <w:rsid w:val="002401C5"/>
    <w:rsid w:val="00240295"/>
    <w:rsid w:val="002402FA"/>
    <w:rsid w:val="002403D2"/>
    <w:rsid w:val="00240400"/>
    <w:rsid w:val="002405B6"/>
    <w:rsid w:val="00240609"/>
    <w:rsid w:val="00240969"/>
    <w:rsid w:val="00240D3B"/>
    <w:rsid w:val="00240EA6"/>
    <w:rsid w:val="002411C7"/>
    <w:rsid w:val="00241328"/>
    <w:rsid w:val="002414BE"/>
    <w:rsid w:val="00241664"/>
    <w:rsid w:val="00241993"/>
    <w:rsid w:val="002419B6"/>
    <w:rsid w:val="00241A33"/>
    <w:rsid w:val="00241B7A"/>
    <w:rsid w:val="00241CA1"/>
    <w:rsid w:val="00241DFC"/>
    <w:rsid w:val="00241E4D"/>
    <w:rsid w:val="00241F38"/>
    <w:rsid w:val="0024210F"/>
    <w:rsid w:val="00242200"/>
    <w:rsid w:val="00242253"/>
    <w:rsid w:val="0024250B"/>
    <w:rsid w:val="00242798"/>
    <w:rsid w:val="00242F4E"/>
    <w:rsid w:val="0024310E"/>
    <w:rsid w:val="002432AA"/>
    <w:rsid w:val="002432ED"/>
    <w:rsid w:val="002433E1"/>
    <w:rsid w:val="00243789"/>
    <w:rsid w:val="00243AD6"/>
    <w:rsid w:val="00243D4B"/>
    <w:rsid w:val="00243F1A"/>
    <w:rsid w:val="002445F1"/>
    <w:rsid w:val="002446ED"/>
    <w:rsid w:val="002448A0"/>
    <w:rsid w:val="00244B9F"/>
    <w:rsid w:val="00244BBB"/>
    <w:rsid w:val="00244EBE"/>
    <w:rsid w:val="002452A0"/>
    <w:rsid w:val="00245309"/>
    <w:rsid w:val="002454EE"/>
    <w:rsid w:val="00245506"/>
    <w:rsid w:val="002456A4"/>
    <w:rsid w:val="00245776"/>
    <w:rsid w:val="002457CF"/>
    <w:rsid w:val="00245D21"/>
    <w:rsid w:val="00246091"/>
    <w:rsid w:val="002461F3"/>
    <w:rsid w:val="002463A6"/>
    <w:rsid w:val="00246ADB"/>
    <w:rsid w:val="00246B49"/>
    <w:rsid w:val="00246B6F"/>
    <w:rsid w:val="00246DFB"/>
    <w:rsid w:val="00246E00"/>
    <w:rsid w:val="00246F60"/>
    <w:rsid w:val="002474D2"/>
    <w:rsid w:val="00247696"/>
    <w:rsid w:val="002477E4"/>
    <w:rsid w:val="00247927"/>
    <w:rsid w:val="0024799A"/>
    <w:rsid w:val="00247A4B"/>
    <w:rsid w:val="00247A73"/>
    <w:rsid w:val="002501C9"/>
    <w:rsid w:val="002503A6"/>
    <w:rsid w:val="00250696"/>
    <w:rsid w:val="0025088D"/>
    <w:rsid w:val="00250A16"/>
    <w:rsid w:val="00250C59"/>
    <w:rsid w:val="002510BC"/>
    <w:rsid w:val="0025138C"/>
    <w:rsid w:val="002513C7"/>
    <w:rsid w:val="002517A5"/>
    <w:rsid w:val="00251A50"/>
    <w:rsid w:val="00251F6C"/>
    <w:rsid w:val="0025220B"/>
    <w:rsid w:val="0025221F"/>
    <w:rsid w:val="0025249C"/>
    <w:rsid w:val="00252A1F"/>
    <w:rsid w:val="00252A4B"/>
    <w:rsid w:val="00252A88"/>
    <w:rsid w:val="00253032"/>
    <w:rsid w:val="00253125"/>
    <w:rsid w:val="00253149"/>
    <w:rsid w:val="00253175"/>
    <w:rsid w:val="002533E3"/>
    <w:rsid w:val="002533F9"/>
    <w:rsid w:val="00253644"/>
    <w:rsid w:val="002537B7"/>
    <w:rsid w:val="00253863"/>
    <w:rsid w:val="00253900"/>
    <w:rsid w:val="002539ED"/>
    <w:rsid w:val="00253C1B"/>
    <w:rsid w:val="00253C73"/>
    <w:rsid w:val="00254106"/>
    <w:rsid w:val="0025440D"/>
    <w:rsid w:val="0025450C"/>
    <w:rsid w:val="0025450E"/>
    <w:rsid w:val="00254561"/>
    <w:rsid w:val="00254ACB"/>
    <w:rsid w:val="00254AEC"/>
    <w:rsid w:val="00254BB0"/>
    <w:rsid w:val="00254F98"/>
    <w:rsid w:val="00255152"/>
    <w:rsid w:val="0025554E"/>
    <w:rsid w:val="00255617"/>
    <w:rsid w:val="002558AC"/>
    <w:rsid w:val="00255A30"/>
    <w:rsid w:val="00256022"/>
    <w:rsid w:val="00256448"/>
    <w:rsid w:val="00256463"/>
    <w:rsid w:val="002564E1"/>
    <w:rsid w:val="0025656B"/>
    <w:rsid w:val="0025678E"/>
    <w:rsid w:val="00256991"/>
    <w:rsid w:val="002569C6"/>
    <w:rsid w:val="00256EBE"/>
    <w:rsid w:val="00256F6F"/>
    <w:rsid w:val="00257078"/>
    <w:rsid w:val="002573A9"/>
    <w:rsid w:val="0025740F"/>
    <w:rsid w:val="0025766B"/>
    <w:rsid w:val="00257D5D"/>
    <w:rsid w:val="002604E3"/>
    <w:rsid w:val="0026088B"/>
    <w:rsid w:val="00260A55"/>
    <w:rsid w:val="00260BCA"/>
    <w:rsid w:val="00260D6F"/>
    <w:rsid w:val="002612AA"/>
    <w:rsid w:val="00261497"/>
    <w:rsid w:val="00261B46"/>
    <w:rsid w:val="00261D14"/>
    <w:rsid w:val="002627E4"/>
    <w:rsid w:val="00262C89"/>
    <w:rsid w:val="00262CB1"/>
    <w:rsid w:val="00262EEC"/>
    <w:rsid w:val="0026301F"/>
    <w:rsid w:val="002631FC"/>
    <w:rsid w:val="002635F4"/>
    <w:rsid w:val="002638B7"/>
    <w:rsid w:val="002638F4"/>
    <w:rsid w:val="00263A52"/>
    <w:rsid w:val="00263BF0"/>
    <w:rsid w:val="00263C66"/>
    <w:rsid w:val="00264060"/>
    <w:rsid w:val="002640BC"/>
    <w:rsid w:val="0026437C"/>
    <w:rsid w:val="00264517"/>
    <w:rsid w:val="00264525"/>
    <w:rsid w:val="00264834"/>
    <w:rsid w:val="00264A29"/>
    <w:rsid w:val="00264BE5"/>
    <w:rsid w:val="00264EC4"/>
    <w:rsid w:val="00264F69"/>
    <w:rsid w:val="002651E0"/>
    <w:rsid w:val="0026523D"/>
    <w:rsid w:val="0026560B"/>
    <w:rsid w:val="00265BC9"/>
    <w:rsid w:val="00265FB0"/>
    <w:rsid w:val="002666D3"/>
    <w:rsid w:val="0026678C"/>
    <w:rsid w:val="00266A78"/>
    <w:rsid w:val="00266C63"/>
    <w:rsid w:val="00266D03"/>
    <w:rsid w:val="00267248"/>
    <w:rsid w:val="0026727A"/>
    <w:rsid w:val="0026728B"/>
    <w:rsid w:val="002674D1"/>
    <w:rsid w:val="002675D3"/>
    <w:rsid w:val="00267651"/>
    <w:rsid w:val="0026798C"/>
    <w:rsid w:val="00267A42"/>
    <w:rsid w:val="00267D87"/>
    <w:rsid w:val="00270160"/>
    <w:rsid w:val="00270213"/>
    <w:rsid w:val="00270671"/>
    <w:rsid w:val="00270D0F"/>
    <w:rsid w:val="00270DC5"/>
    <w:rsid w:val="00270EE3"/>
    <w:rsid w:val="002711BF"/>
    <w:rsid w:val="002713E4"/>
    <w:rsid w:val="002714CB"/>
    <w:rsid w:val="0027160C"/>
    <w:rsid w:val="002718D3"/>
    <w:rsid w:val="0027199D"/>
    <w:rsid w:val="00271AA1"/>
    <w:rsid w:val="00271ADA"/>
    <w:rsid w:val="00271FBC"/>
    <w:rsid w:val="00272245"/>
    <w:rsid w:val="0027246C"/>
    <w:rsid w:val="002726EC"/>
    <w:rsid w:val="002728C8"/>
    <w:rsid w:val="00272931"/>
    <w:rsid w:val="00272AA0"/>
    <w:rsid w:val="00272C1A"/>
    <w:rsid w:val="00272C79"/>
    <w:rsid w:val="00272D4F"/>
    <w:rsid w:val="00272EDC"/>
    <w:rsid w:val="00272F4F"/>
    <w:rsid w:val="00273197"/>
    <w:rsid w:val="00273351"/>
    <w:rsid w:val="00273580"/>
    <w:rsid w:val="002737FC"/>
    <w:rsid w:val="00273EF5"/>
    <w:rsid w:val="00273F18"/>
    <w:rsid w:val="00273F1B"/>
    <w:rsid w:val="00273F1F"/>
    <w:rsid w:val="00273FD2"/>
    <w:rsid w:val="0027418E"/>
    <w:rsid w:val="002741DA"/>
    <w:rsid w:val="00274381"/>
    <w:rsid w:val="002745A9"/>
    <w:rsid w:val="00274804"/>
    <w:rsid w:val="00274ADF"/>
    <w:rsid w:val="00274B62"/>
    <w:rsid w:val="00274D3F"/>
    <w:rsid w:val="00274FCC"/>
    <w:rsid w:val="0027518F"/>
    <w:rsid w:val="002751D1"/>
    <w:rsid w:val="00275209"/>
    <w:rsid w:val="00275430"/>
    <w:rsid w:val="0027549A"/>
    <w:rsid w:val="002758A7"/>
    <w:rsid w:val="00275D09"/>
    <w:rsid w:val="00275ED8"/>
    <w:rsid w:val="0027621F"/>
    <w:rsid w:val="002762E4"/>
    <w:rsid w:val="002763E0"/>
    <w:rsid w:val="0027661A"/>
    <w:rsid w:val="0027688B"/>
    <w:rsid w:val="00276900"/>
    <w:rsid w:val="00276AAB"/>
    <w:rsid w:val="00276D9F"/>
    <w:rsid w:val="00276EC5"/>
    <w:rsid w:val="00276F51"/>
    <w:rsid w:val="002773CF"/>
    <w:rsid w:val="00277BFF"/>
    <w:rsid w:val="00277F1C"/>
    <w:rsid w:val="00280537"/>
    <w:rsid w:val="002805C2"/>
    <w:rsid w:val="00280AFB"/>
    <w:rsid w:val="00280C14"/>
    <w:rsid w:val="00281371"/>
    <w:rsid w:val="00281522"/>
    <w:rsid w:val="002816AC"/>
    <w:rsid w:val="00281B8C"/>
    <w:rsid w:val="00282053"/>
    <w:rsid w:val="002821E3"/>
    <w:rsid w:val="00282480"/>
    <w:rsid w:val="002826C7"/>
    <w:rsid w:val="00282AF1"/>
    <w:rsid w:val="00282B9F"/>
    <w:rsid w:val="00282C4C"/>
    <w:rsid w:val="00282E1B"/>
    <w:rsid w:val="00282E25"/>
    <w:rsid w:val="0028358F"/>
    <w:rsid w:val="00283BEA"/>
    <w:rsid w:val="00283CCD"/>
    <w:rsid w:val="00283DC4"/>
    <w:rsid w:val="00283ECD"/>
    <w:rsid w:val="002841F5"/>
    <w:rsid w:val="00284284"/>
    <w:rsid w:val="00284340"/>
    <w:rsid w:val="00284863"/>
    <w:rsid w:val="00284A5C"/>
    <w:rsid w:val="00284C4F"/>
    <w:rsid w:val="00284D00"/>
    <w:rsid w:val="002855EC"/>
    <w:rsid w:val="00285C84"/>
    <w:rsid w:val="00285D17"/>
    <w:rsid w:val="00285DE0"/>
    <w:rsid w:val="002862C6"/>
    <w:rsid w:val="00286426"/>
    <w:rsid w:val="002864E0"/>
    <w:rsid w:val="002868D4"/>
    <w:rsid w:val="00286980"/>
    <w:rsid w:val="00286CF0"/>
    <w:rsid w:val="00286F06"/>
    <w:rsid w:val="00287340"/>
    <w:rsid w:val="0028764B"/>
    <w:rsid w:val="00287681"/>
    <w:rsid w:val="002876B5"/>
    <w:rsid w:val="002878CF"/>
    <w:rsid w:val="00287919"/>
    <w:rsid w:val="00287A8B"/>
    <w:rsid w:val="00287A98"/>
    <w:rsid w:val="00287B84"/>
    <w:rsid w:val="00287B9F"/>
    <w:rsid w:val="00287C59"/>
    <w:rsid w:val="00287E78"/>
    <w:rsid w:val="00290506"/>
    <w:rsid w:val="00290676"/>
    <w:rsid w:val="0029083B"/>
    <w:rsid w:val="002909C6"/>
    <w:rsid w:val="00290B24"/>
    <w:rsid w:val="00290C96"/>
    <w:rsid w:val="00290D97"/>
    <w:rsid w:val="00290E45"/>
    <w:rsid w:val="0029105D"/>
    <w:rsid w:val="002910FF"/>
    <w:rsid w:val="00291183"/>
    <w:rsid w:val="00291462"/>
    <w:rsid w:val="00291515"/>
    <w:rsid w:val="00291572"/>
    <w:rsid w:val="00291BEE"/>
    <w:rsid w:val="00291D33"/>
    <w:rsid w:val="00291F78"/>
    <w:rsid w:val="002921BD"/>
    <w:rsid w:val="002924FA"/>
    <w:rsid w:val="002925A1"/>
    <w:rsid w:val="0029279E"/>
    <w:rsid w:val="00293446"/>
    <w:rsid w:val="00293469"/>
    <w:rsid w:val="002934BE"/>
    <w:rsid w:val="00293AED"/>
    <w:rsid w:val="00293CC2"/>
    <w:rsid w:val="00293E89"/>
    <w:rsid w:val="002941E9"/>
    <w:rsid w:val="00294211"/>
    <w:rsid w:val="002944D9"/>
    <w:rsid w:val="00294520"/>
    <w:rsid w:val="00294689"/>
    <w:rsid w:val="00294945"/>
    <w:rsid w:val="00294A85"/>
    <w:rsid w:val="00294CB5"/>
    <w:rsid w:val="00294D21"/>
    <w:rsid w:val="00294D4D"/>
    <w:rsid w:val="00295040"/>
    <w:rsid w:val="00295366"/>
    <w:rsid w:val="0029541A"/>
    <w:rsid w:val="002955A5"/>
    <w:rsid w:val="002958CF"/>
    <w:rsid w:val="00295FDE"/>
    <w:rsid w:val="00296034"/>
    <w:rsid w:val="002960D7"/>
    <w:rsid w:val="00296339"/>
    <w:rsid w:val="0029660C"/>
    <w:rsid w:val="00296ED8"/>
    <w:rsid w:val="00296F88"/>
    <w:rsid w:val="00296FDF"/>
    <w:rsid w:val="00297009"/>
    <w:rsid w:val="002970CB"/>
    <w:rsid w:val="00297247"/>
    <w:rsid w:val="002973F8"/>
    <w:rsid w:val="002975A8"/>
    <w:rsid w:val="00297603"/>
    <w:rsid w:val="00297911"/>
    <w:rsid w:val="00297B6C"/>
    <w:rsid w:val="00297BF6"/>
    <w:rsid w:val="00297D7F"/>
    <w:rsid w:val="00297F0E"/>
    <w:rsid w:val="002A00EC"/>
    <w:rsid w:val="002A01C5"/>
    <w:rsid w:val="002A04B4"/>
    <w:rsid w:val="002A0842"/>
    <w:rsid w:val="002A0B90"/>
    <w:rsid w:val="002A0CD0"/>
    <w:rsid w:val="002A145B"/>
    <w:rsid w:val="002A1461"/>
    <w:rsid w:val="002A18BE"/>
    <w:rsid w:val="002A1C37"/>
    <w:rsid w:val="002A1F23"/>
    <w:rsid w:val="002A2A41"/>
    <w:rsid w:val="002A2BD2"/>
    <w:rsid w:val="002A2C57"/>
    <w:rsid w:val="002A2DC8"/>
    <w:rsid w:val="002A2E7E"/>
    <w:rsid w:val="002A354F"/>
    <w:rsid w:val="002A36F6"/>
    <w:rsid w:val="002A4084"/>
    <w:rsid w:val="002A447C"/>
    <w:rsid w:val="002A4796"/>
    <w:rsid w:val="002A4A92"/>
    <w:rsid w:val="002A4AAD"/>
    <w:rsid w:val="002A4AD6"/>
    <w:rsid w:val="002A4AF3"/>
    <w:rsid w:val="002A4D4A"/>
    <w:rsid w:val="002A4D66"/>
    <w:rsid w:val="002A4DB2"/>
    <w:rsid w:val="002A4E7D"/>
    <w:rsid w:val="002A551A"/>
    <w:rsid w:val="002A5EA1"/>
    <w:rsid w:val="002A6094"/>
    <w:rsid w:val="002A60D8"/>
    <w:rsid w:val="002A6929"/>
    <w:rsid w:val="002A6956"/>
    <w:rsid w:val="002A69A5"/>
    <w:rsid w:val="002A6AC7"/>
    <w:rsid w:val="002A6E76"/>
    <w:rsid w:val="002A6FF4"/>
    <w:rsid w:val="002A7196"/>
    <w:rsid w:val="002A74CD"/>
    <w:rsid w:val="002A767F"/>
    <w:rsid w:val="002A76AE"/>
    <w:rsid w:val="002A79F8"/>
    <w:rsid w:val="002A7B36"/>
    <w:rsid w:val="002A7C41"/>
    <w:rsid w:val="002A7CFD"/>
    <w:rsid w:val="002A7D76"/>
    <w:rsid w:val="002A7E75"/>
    <w:rsid w:val="002A7FBB"/>
    <w:rsid w:val="002B01DD"/>
    <w:rsid w:val="002B0484"/>
    <w:rsid w:val="002B07FA"/>
    <w:rsid w:val="002B0804"/>
    <w:rsid w:val="002B0976"/>
    <w:rsid w:val="002B0A34"/>
    <w:rsid w:val="002B0FAA"/>
    <w:rsid w:val="002B0FD4"/>
    <w:rsid w:val="002B1384"/>
    <w:rsid w:val="002B1D92"/>
    <w:rsid w:val="002B21C7"/>
    <w:rsid w:val="002B269B"/>
    <w:rsid w:val="002B29BF"/>
    <w:rsid w:val="002B2A36"/>
    <w:rsid w:val="002B2ABE"/>
    <w:rsid w:val="002B2B3E"/>
    <w:rsid w:val="002B2C94"/>
    <w:rsid w:val="002B2D9B"/>
    <w:rsid w:val="002B2E2F"/>
    <w:rsid w:val="002B3099"/>
    <w:rsid w:val="002B3375"/>
    <w:rsid w:val="002B3681"/>
    <w:rsid w:val="002B36FE"/>
    <w:rsid w:val="002B38D9"/>
    <w:rsid w:val="002B3B4C"/>
    <w:rsid w:val="002B3BE8"/>
    <w:rsid w:val="002B3C5E"/>
    <w:rsid w:val="002B415F"/>
    <w:rsid w:val="002B41BD"/>
    <w:rsid w:val="002B436B"/>
    <w:rsid w:val="002B45D6"/>
    <w:rsid w:val="002B4978"/>
    <w:rsid w:val="002B4A76"/>
    <w:rsid w:val="002B4B87"/>
    <w:rsid w:val="002B4CD1"/>
    <w:rsid w:val="002B5120"/>
    <w:rsid w:val="002B52F5"/>
    <w:rsid w:val="002B53B6"/>
    <w:rsid w:val="002B5423"/>
    <w:rsid w:val="002B5597"/>
    <w:rsid w:val="002B55E0"/>
    <w:rsid w:val="002B55F5"/>
    <w:rsid w:val="002B57C6"/>
    <w:rsid w:val="002B5BB6"/>
    <w:rsid w:val="002B5FC4"/>
    <w:rsid w:val="002B6430"/>
    <w:rsid w:val="002B65DC"/>
    <w:rsid w:val="002B6604"/>
    <w:rsid w:val="002B6631"/>
    <w:rsid w:val="002B667C"/>
    <w:rsid w:val="002B66D7"/>
    <w:rsid w:val="002B6977"/>
    <w:rsid w:val="002B6C3F"/>
    <w:rsid w:val="002B6F67"/>
    <w:rsid w:val="002B6F9A"/>
    <w:rsid w:val="002B711A"/>
    <w:rsid w:val="002B7381"/>
    <w:rsid w:val="002B77C2"/>
    <w:rsid w:val="002B7E58"/>
    <w:rsid w:val="002B7FA5"/>
    <w:rsid w:val="002C01F5"/>
    <w:rsid w:val="002C07B3"/>
    <w:rsid w:val="002C0B75"/>
    <w:rsid w:val="002C0D1F"/>
    <w:rsid w:val="002C0DEC"/>
    <w:rsid w:val="002C0E2E"/>
    <w:rsid w:val="002C11CA"/>
    <w:rsid w:val="002C1726"/>
    <w:rsid w:val="002C17F3"/>
    <w:rsid w:val="002C1CC9"/>
    <w:rsid w:val="002C1ED3"/>
    <w:rsid w:val="002C1EEC"/>
    <w:rsid w:val="002C2037"/>
    <w:rsid w:val="002C20DA"/>
    <w:rsid w:val="002C2122"/>
    <w:rsid w:val="002C21E1"/>
    <w:rsid w:val="002C2259"/>
    <w:rsid w:val="002C225C"/>
    <w:rsid w:val="002C2F0A"/>
    <w:rsid w:val="002C33C8"/>
    <w:rsid w:val="002C34F5"/>
    <w:rsid w:val="002C3950"/>
    <w:rsid w:val="002C45E8"/>
    <w:rsid w:val="002C493D"/>
    <w:rsid w:val="002C4A85"/>
    <w:rsid w:val="002C4D7C"/>
    <w:rsid w:val="002C4E95"/>
    <w:rsid w:val="002C524E"/>
    <w:rsid w:val="002C525F"/>
    <w:rsid w:val="002C568A"/>
    <w:rsid w:val="002C56A3"/>
    <w:rsid w:val="002C5737"/>
    <w:rsid w:val="002C6019"/>
    <w:rsid w:val="002C6457"/>
    <w:rsid w:val="002C64CC"/>
    <w:rsid w:val="002C6730"/>
    <w:rsid w:val="002C6792"/>
    <w:rsid w:val="002C6998"/>
    <w:rsid w:val="002C6B26"/>
    <w:rsid w:val="002C6E4C"/>
    <w:rsid w:val="002C70CE"/>
    <w:rsid w:val="002C7404"/>
    <w:rsid w:val="002C7A83"/>
    <w:rsid w:val="002C7A85"/>
    <w:rsid w:val="002D0046"/>
    <w:rsid w:val="002D0145"/>
    <w:rsid w:val="002D04CD"/>
    <w:rsid w:val="002D052F"/>
    <w:rsid w:val="002D07B4"/>
    <w:rsid w:val="002D0919"/>
    <w:rsid w:val="002D0C9D"/>
    <w:rsid w:val="002D0E05"/>
    <w:rsid w:val="002D0F5C"/>
    <w:rsid w:val="002D0F89"/>
    <w:rsid w:val="002D14EE"/>
    <w:rsid w:val="002D1799"/>
    <w:rsid w:val="002D19AC"/>
    <w:rsid w:val="002D1E62"/>
    <w:rsid w:val="002D2187"/>
    <w:rsid w:val="002D21DB"/>
    <w:rsid w:val="002D29C7"/>
    <w:rsid w:val="002D2E34"/>
    <w:rsid w:val="002D2F2B"/>
    <w:rsid w:val="002D3117"/>
    <w:rsid w:val="002D3200"/>
    <w:rsid w:val="002D3611"/>
    <w:rsid w:val="002D3646"/>
    <w:rsid w:val="002D36E1"/>
    <w:rsid w:val="002D3C33"/>
    <w:rsid w:val="002D3C49"/>
    <w:rsid w:val="002D3D3E"/>
    <w:rsid w:val="002D3DF5"/>
    <w:rsid w:val="002D40F2"/>
    <w:rsid w:val="002D41BD"/>
    <w:rsid w:val="002D4297"/>
    <w:rsid w:val="002D4307"/>
    <w:rsid w:val="002D4497"/>
    <w:rsid w:val="002D4921"/>
    <w:rsid w:val="002D496D"/>
    <w:rsid w:val="002D4A04"/>
    <w:rsid w:val="002D4C2A"/>
    <w:rsid w:val="002D4CB8"/>
    <w:rsid w:val="002D4F30"/>
    <w:rsid w:val="002D4FE6"/>
    <w:rsid w:val="002D5097"/>
    <w:rsid w:val="002D5531"/>
    <w:rsid w:val="002D55E4"/>
    <w:rsid w:val="002D5618"/>
    <w:rsid w:val="002D57D8"/>
    <w:rsid w:val="002D59B7"/>
    <w:rsid w:val="002D5F55"/>
    <w:rsid w:val="002D60AB"/>
    <w:rsid w:val="002D61F8"/>
    <w:rsid w:val="002D67A0"/>
    <w:rsid w:val="002D690D"/>
    <w:rsid w:val="002D6CE7"/>
    <w:rsid w:val="002D6E4D"/>
    <w:rsid w:val="002D6EC6"/>
    <w:rsid w:val="002D6ED5"/>
    <w:rsid w:val="002D6F1E"/>
    <w:rsid w:val="002D730E"/>
    <w:rsid w:val="002D77CF"/>
    <w:rsid w:val="002D7964"/>
    <w:rsid w:val="002D79B2"/>
    <w:rsid w:val="002D7E22"/>
    <w:rsid w:val="002D7E74"/>
    <w:rsid w:val="002E023C"/>
    <w:rsid w:val="002E0FD1"/>
    <w:rsid w:val="002E11EF"/>
    <w:rsid w:val="002E1260"/>
    <w:rsid w:val="002E13AD"/>
    <w:rsid w:val="002E14AC"/>
    <w:rsid w:val="002E18BE"/>
    <w:rsid w:val="002E18C5"/>
    <w:rsid w:val="002E1E69"/>
    <w:rsid w:val="002E2106"/>
    <w:rsid w:val="002E21A0"/>
    <w:rsid w:val="002E24C4"/>
    <w:rsid w:val="002E25B0"/>
    <w:rsid w:val="002E2715"/>
    <w:rsid w:val="002E27AF"/>
    <w:rsid w:val="002E28D5"/>
    <w:rsid w:val="002E2C01"/>
    <w:rsid w:val="002E2C1A"/>
    <w:rsid w:val="002E2F1B"/>
    <w:rsid w:val="002E2FC6"/>
    <w:rsid w:val="002E31AC"/>
    <w:rsid w:val="002E32E5"/>
    <w:rsid w:val="002E3323"/>
    <w:rsid w:val="002E34ED"/>
    <w:rsid w:val="002E3660"/>
    <w:rsid w:val="002E3717"/>
    <w:rsid w:val="002E377D"/>
    <w:rsid w:val="002E3906"/>
    <w:rsid w:val="002E3BC1"/>
    <w:rsid w:val="002E3CDA"/>
    <w:rsid w:val="002E3D59"/>
    <w:rsid w:val="002E4050"/>
    <w:rsid w:val="002E43DD"/>
    <w:rsid w:val="002E4DD2"/>
    <w:rsid w:val="002E4DF6"/>
    <w:rsid w:val="002E4F06"/>
    <w:rsid w:val="002E539F"/>
    <w:rsid w:val="002E53B0"/>
    <w:rsid w:val="002E540B"/>
    <w:rsid w:val="002E55AD"/>
    <w:rsid w:val="002E55BA"/>
    <w:rsid w:val="002E5CF6"/>
    <w:rsid w:val="002E5D10"/>
    <w:rsid w:val="002E63BE"/>
    <w:rsid w:val="002E6461"/>
    <w:rsid w:val="002E67B9"/>
    <w:rsid w:val="002E6CD5"/>
    <w:rsid w:val="002E6EB9"/>
    <w:rsid w:val="002E6EE1"/>
    <w:rsid w:val="002E703F"/>
    <w:rsid w:val="002E72F4"/>
    <w:rsid w:val="002E7387"/>
    <w:rsid w:val="002E7750"/>
    <w:rsid w:val="002E7775"/>
    <w:rsid w:val="002E78C2"/>
    <w:rsid w:val="002E7AD2"/>
    <w:rsid w:val="002E7C3E"/>
    <w:rsid w:val="002F00D4"/>
    <w:rsid w:val="002F01E9"/>
    <w:rsid w:val="002F02A0"/>
    <w:rsid w:val="002F045D"/>
    <w:rsid w:val="002F04ED"/>
    <w:rsid w:val="002F07D8"/>
    <w:rsid w:val="002F0B54"/>
    <w:rsid w:val="002F1399"/>
    <w:rsid w:val="002F14F2"/>
    <w:rsid w:val="002F18A6"/>
    <w:rsid w:val="002F1ACE"/>
    <w:rsid w:val="002F1C00"/>
    <w:rsid w:val="002F1F75"/>
    <w:rsid w:val="002F2175"/>
    <w:rsid w:val="002F25C0"/>
    <w:rsid w:val="002F2855"/>
    <w:rsid w:val="002F2ED9"/>
    <w:rsid w:val="002F305F"/>
    <w:rsid w:val="002F32FB"/>
    <w:rsid w:val="002F35C3"/>
    <w:rsid w:val="002F3719"/>
    <w:rsid w:val="002F3C43"/>
    <w:rsid w:val="002F4683"/>
    <w:rsid w:val="002F48A7"/>
    <w:rsid w:val="002F4B17"/>
    <w:rsid w:val="002F4CDC"/>
    <w:rsid w:val="002F5611"/>
    <w:rsid w:val="002F5846"/>
    <w:rsid w:val="002F5AB7"/>
    <w:rsid w:val="002F5AD7"/>
    <w:rsid w:val="002F5F5E"/>
    <w:rsid w:val="002F5F85"/>
    <w:rsid w:val="002F6252"/>
    <w:rsid w:val="002F6328"/>
    <w:rsid w:val="002F6427"/>
    <w:rsid w:val="002F64BA"/>
    <w:rsid w:val="002F66F6"/>
    <w:rsid w:val="002F6709"/>
    <w:rsid w:val="002F693F"/>
    <w:rsid w:val="002F6C4D"/>
    <w:rsid w:val="002F7301"/>
    <w:rsid w:val="002F7359"/>
    <w:rsid w:val="002F74DA"/>
    <w:rsid w:val="002F7779"/>
    <w:rsid w:val="002F7997"/>
    <w:rsid w:val="002F7D4C"/>
    <w:rsid w:val="002F7F59"/>
    <w:rsid w:val="00300084"/>
    <w:rsid w:val="00300347"/>
    <w:rsid w:val="00300432"/>
    <w:rsid w:val="00300644"/>
    <w:rsid w:val="00300672"/>
    <w:rsid w:val="003007DE"/>
    <w:rsid w:val="00300852"/>
    <w:rsid w:val="003008CC"/>
    <w:rsid w:val="00300A5B"/>
    <w:rsid w:val="00301243"/>
    <w:rsid w:val="003014FA"/>
    <w:rsid w:val="00301763"/>
    <w:rsid w:val="00301837"/>
    <w:rsid w:val="00301950"/>
    <w:rsid w:val="0030196C"/>
    <w:rsid w:val="003019B4"/>
    <w:rsid w:val="00301A73"/>
    <w:rsid w:val="00301AB4"/>
    <w:rsid w:val="00301C45"/>
    <w:rsid w:val="003020E0"/>
    <w:rsid w:val="00302161"/>
    <w:rsid w:val="00302252"/>
    <w:rsid w:val="00302312"/>
    <w:rsid w:val="00302449"/>
    <w:rsid w:val="00302578"/>
    <w:rsid w:val="003025F9"/>
    <w:rsid w:val="00302677"/>
    <w:rsid w:val="00302846"/>
    <w:rsid w:val="00302BDD"/>
    <w:rsid w:val="00302D61"/>
    <w:rsid w:val="00302E8E"/>
    <w:rsid w:val="003031CC"/>
    <w:rsid w:val="00303301"/>
    <w:rsid w:val="003033C6"/>
    <w:rsid w:val="00303706"/>
    <w:rsid w:val="003038DC"/>
    <w:rsid w:val="00303932"/>
    <w:rsid w:val="00303C60"/>
    <w:rsid w:val="00304014"/>
    <w:rsid w:val="0030435E"/>
    <w:rsid w:val="00304805"/>
    <w:rsid w:val="00304B06"/>
    <w:rsid w:val="00304B7F"/>
    <w:rsid w:val="00304DA8"/>
    <w:rsid w:val="00304E16"/>
    <w:rsid w:val="00304F52"/>
    <w:rsid w:val="00304F63"/>
    <w:rsid w:val="00304FB8"/>
    <w:rsid w:val="0030557D"/>
    <w:rsid w:val="00305617"/>
    <w:rsid w:val="003058F7"/>
    <w:rsid w:val="00305F50"/>
    <w:rsid w:val="00305FE6"/>
    <w:rsid w:val="0030602C"/>
    <w:rsid w:val="003061D5"/>
    <w:rsid w:val="00306B64"/>
    <w:rsid w:val="00307126"/>
    <w:rsid w:val="00307299"/>
    <w:rsid w:val="003073D1"/>
    <w:rsid w:val="003074BD"/>
    <w:rsid w:val="00307939"/>
    <w:rsid w:val="00307997"/>
    <w:rsid w:val="003079E8"/>
    <w:rsid w:val="00307FDE"/>
    <w:rsid w:val="00310084"/>
    <w:rsid w:val="00310264"/>
    <w:rsid w:val="00310B9B"/>
    <w:rsid w:val="00310C3F"/>
    <w:rsid w:val="00310C9B"/>
    <w:rsid w:val="00310E6D"/>
    <w:rsid w:val="00310F8A"/>
    <w:rsid w:val="00311218"/>
    <w:rsid w:val="0031135D"/>
    <w:rsid w:val="0031136E"/>
    <w:rsid w:val="00311617"/>
    <w:rsid w:val="0031187D"/>
    <w:rsid w:val="00311FC0"/>
    <w:rsid w:val="00312194"/>
    <w:rsid w:val="00312470"/>
    <w:rsid w:val="00312719"/>
    <w:rsid w:val="00312724"/>
    <w:rsid w:val="00312826"/>
    <w:rsid w:val="00312BA2"/>
    <w:rsid w:val="00312BA8"/>
    <w:rsid w:val="00312BC9"/>
    <w:rsid w:val="00312CB3"/>
    <w:rsid w:val="00312EF0"/>
    <w:rsid w:val="00312EFD"/>
    <w:rsid w:val="00313385"/>
    <w:rsid w:val="003133D1"/>
    <w:rsid w:val="003134DD"/>
    <w:rsid w:val="00313993"/>
    <w:rsid w:val="00313BF3"/>
    <w:rsid w:val="00313CCE"/>
    <w:rsid w:val="00313D36"/>
    <w:rsid w:val="003140D2"/>
    <w:rsid w:val="00314149"/>
    <w:rsid w:val="003146CB"/>
    <w:rsid w:val="003146DE"/>
    <w:rsid w:val="00314BBA"/>
    <w:rsid w:val="00314F3A"/>
    <w:rsid w:val="00314F5F"/>
    <w:rsid w:val="003150B8"/>
    <w:rsid w:val="00315498"/>
    <w:rsid w:val="00315508"/>
    <w:rsid w:val="0031569B"/>
    <w:rsid w:val="00315743"/>
    <w:rsid w:val="00315AF5"/>
    <w:rsid w:val="00315D84"/>
    <w:rsid w:val="00315E59"/>
    <w:rsid w:val="00316084"/>
    <w:rsid w:val="003161A9"/>
    <w:rsid w:val="00316408"/>
    <w:rsid w:val="003165E8"/>
    <w:rsid w:val="00316D17"/>
    <w:rsid w:val="00316F4B"/>
    <w:rsid w:val="00316F87"/>
    <w:rsid w:val="00317570"/>
    <w:rsid w:val="00317714"/>
    <w:rsid w:val="003177F6"/>
    <w:rsid w:val="0031799A"/>
    <w:rsid w:val="00317AEA"/>
    <w:rsid w:val="00317B8B"/>
    <w:rsid w:val="00317D50"/>
    <w:rsid w:val="00317EDE"/>
    <w:rsid w:val="00320103"/>
    <w:rsid w:val="003202A2"/>
    <w:rsid w:val="00320449"/>
    <w:rsid w:val="003209D0"/>
    <w:rsid w:val="00320A17"/>
    <w:rsid w:val="00320AE0"/>
    <w:rsid w:val="00320E8D"/>
    <w:rsid w:val="0032154A"/>
    <w:rsid w:val="003216A6"/>
    <w:rsid w:val="0032170C"/>
    <w:rsid w:val="003217A5"/>
    <w:rsid w:val="00321827"/>
    <w:rsid w:val="0032197B"/>
    <w:rsid w:val="00321E2F"/>
    <w:rsid w:val="0032211A"/>
    <w:rsid w:val="003222E6"/>
    <w:rsid w:val="00322363"/>
    <w:rsid w:val="0032248F"/>
    <w:rsid w:val="00322886"/>
    <w:rsid w:val="0032296D"/>
    <w:rsid w:val="003229CD"/>
    <w:rsid w:val="00322DA9"/>
    <w:rsid w:val="00322E79"/>
    <w:rsid w:val="003231B0"/>
    <w:rsid w:val="003233AE"/>
    <w:rsid w:val="00323881"/>
    <w:rsid w:val="00323AA8"/>
    <w:rsid w:val="00323AF6"/>
    <w:rsid w:val="00323BE4"/>
    <w:rsid w:val="00323EEB"/>
    <w:rsid w:val="00323FE7"/>
    <w:rsid w:val="0032405D"/>
    <w:rsid w:val="00324311"/>
    <w:rsid w:val="00324CD0"/>
    <w:rsid w:val="00324E09"/>
    <w:rsid w:val="003251C2"/>
    <w:rsid w:val="0032598B"/>
    <w:rsid w:val="00325B4B"/>
    <w:rsid w:val="00325D02"/>
    <w:rsid w:val="00325FA0"/>
    <w:rsid w:val="003260EE"/>
    <w:rsid w:val="00326568"/>
    <w:rsid w:val="003265CF"/>
    <w:rsid w:val="00326624"/>
    <w:rsid w:val="00326697"/>
    <w:rsid w:val="003269B3"/>
    <w:rsid w:val="00326B5F"/>
    <w:rsid w:val="00326BD3"/>
    <w:rsid w:val="00326D6C"/>
    <w:rsid w:val="00326E43"/>
    <w:rsid w:val="00326F1C"/>
    <w:rsid w:val="00327162"/>
    <w:rsid w:val="00327258"/>
    <w:rsid w:val="0032733B"/>
    <w:rsid w:val="00327A33"/>
    <w:rsid w:val="00327EB0"/>
    <w:rsid w:val="003300E5"/>
    <w:rsid w:val="0033084F"/>
    <w:rsid w:val="00330A0A"/>
    <w:rsid w:val="00330A30"/>
    <w:rsid w:val="003310C8"/>
    <w:rsid w:val="0033132A"/>
    <w:rsid w:val="003313EE"/>
    <w:rsid w:val="003313F6"/>
    <w:rsid w:val="003313F9"/>
    <w:rsid w:val="0033169A"/>
    <w:rsid w:val="003318F6"/>
    <w:rsid w:val="00331938"/>
    <w:rsid w:val="00331FEE"/>
    <w:rsid w:val="003321CB"/>
    <w:rsid w:val="00332394"/>
    <w:rsid w:val="003323A7"/>
    <w:rsid w:val="00332867"/>
    <w:rsid w:val="003328A9"/>
    <w:rsid w:val="00332AF4"/>
    <w:rsid w:val="00332E37"/>
    <w:rsid w:val="0033312D"/>
    <w:rsid w:val="0033329F"/>
    <w:rsid w:val="00333431"/>
    <w:rsid w:val="003337E8"/>
    <w:rsid w:val="00333C5F"/>
    <w:rsid w:val="00333E44"/>
    <w:rsid w:val="00333EF2"/>
    <w:rsid w:val="00334164"/>
    <w:rsid w:val="0033435E"/>
    <w:rsid w:val="00334E89"/>
    <w:rsid w:val="00335292"/>
    <w:rsid w:val="0033538A"/>
    <w:rsid w:val="0033568C"/>
    <w:rsid w:val="003359ED"/>
    <w:rsid w:val="00335B6F"/>
    <w:rsid w:val="00335BFD"/>
    <w:rsid w:val="003361BA"/>
    <w:rsid w:val="0033626B"/>
    <w:rsid w:val="003363DF"/>
    <w:rsid w:val="00336870"/>
    <w:rsid w:val="003368E7"/>
    <w:rsid w:val="00336F74"/>
    <w:rsid w:val="00337072"/>
    <w:rsid w:val="003371B5"/>
    <w:rsid w:val="0033733A"/>
    <w:rsid w:val="00337598"/>
    <w:rsid w:val="0033761C"/>
    <w:rsid w:val="00337703"/>
    <w:rsid w:val="0033780D"/>
    <w:rsid w:val="003379B9"/>
    <w:rsid w:val="00337AC0"/>
    <w:rsid w:val="00337B89"/>
    <w:rsid w:val="00337BAF"/>
    <w:rsid w:val="00337D2F"/>
    <w:rsid w:val="00340341"/>
    <w:rsid w:val="0034045D"/>
    <w:rsid w:val="0034089A"/>
    <w:rsid w:val="00340CDC"/>
    <w:rsid w:val="00340D09"/>
    <w:rsid w:val="00340D3F"/>
    <w:rsid w:val="00341517"/>
    <w:rsid w:val="00341735"/>
    <w:rsid w:val="003417CB"/>
    <w:rsid w:val="0034185C"/>
    <w:rsid w:val="00341BEA"/>
    <w:rsid w:val="0034204D"/>
    <w:rsid w:val="003421F6"/>
    <w:rsid w:val="00342495"/>
    <w:rsid w:val="00342628"/>
    <w:rsid w:val="00342833"/>
    <w:rsid w:val="003429D5"/>
    <w:rsid w:val="003431B1"/>
    <w:rsid w:val="00343581"/>
    <w:rsid w:val="003435A9"/>
    <w:rsid w:val="00343955"/>
    <w:rsid w:val="00343C08"/>
    <w:rsid w:val="00343C59"/>
    <w:rsid w:val="00343E1F"/>
    <w:rsid w:val="00343E77"/>
    <w:rsid w:val="00343E85"/>
    <w:rsid w:val="00343F1E"/>
    <w:rsid w:val="003442FB"/>
    <w:rsid w:val="00344345"/>
    <w:rsid w:val="00344649"/>
    <w:rsid w:val="00344769"/>
    <w:rsid w:val="00344B35"/>
    <w:rsid w:val="00344EAB"/>
    <w:rsid w:val="00344F63"/>
    <w:rsid w:val="00345010"/>
    <w:rsid w:val="0034505D"/>
    <w:rsid w:val="00345496"/>
    <w:rsid w:val="003455F6"/>
    <w:rsid w:val="00345BCF"/>
    <w:rsid w:val="00346104"/>
    <w:rsid w:val="003461E9"/>
    <w:rsid w:val="003466F9"/>
    <w:rsid w:val="00346871"/>
    <w:rsid w:val="003468DA"/>
    <w:rsid w:val="003468F5"/>
    <w:rsid w:val="00346A0B"/>
    <w:rsid w:val="00346E9A"/>
    <w:rsid w:val="003470BA"/>
    <w:rsid w:val="00347144"/>
    <w:rsid w:val="003472F2"/>
    <w:rsid w:val="00347381"/>
    <w:rsid w:val="003478C2"/>
    <w:rsid w:val="003479EC"/>
    <w:rsid w:val="00347B69"/>
    <w:rsid w:val="00347DE9"/>
    <w:rsid w:val="00350092"/>
    <w:rsid w:val="003501AA"/>
    <w:rsid w:val="0035035C"/>
    <w:rsid w:val="00350389"/>
    <w:rsid w:val="00350406"/>
    <w:rsid w:val="00350706"/>
    <w:rsid w:val="003507FA"/>
    <w:rsid w:val="00350FCF"/>
    <w:rsid w:val="0035102A"/>
    <w:rsid w:val="00351106"/>
    <w:rsid w:val="003511C8"/>
    <w:rsid w:val="003513CE"/>
    <w:rsid w:val="00351401"/>
    <w:rsid w:val="00351768"/>
    <w:rsid w:val="003519AD"/>
    <w:rsid w:val="00351E0E"/>
    <w:rsid w:val="00351E32"/>
    <w:rsid w:val="003521FD"/>
    <w:rsid w:val="00352557"/>
    <w:rsid w:val="003528BF"/>
    <w:rsid w:val="00352A04"/>
    <w:rsid w:val="00352CAB"/>
    <w:rsid w:val="00352D8F"/>
    <w:rsid w:val="0035338F"/>
    <w:rsid w:val="003533E6"/>
    <w:rsid w:val="003533F1"/>
    <w:rsid w:val="0035340B"/>
    <w:rsid w:val="00353578"/>
    <w:rsid w:val="00353785"/>
    <w:rsid w:val="003537C2"/>
    <w:rsid w:val="00353941"/>
    <w:rsid w:val="00353DE0"/>
    <w:rsid w:val="00353EC0"/>
    <w:rsid w:val="00353F65"/>
    <w:rsid w:val="00354056"/>
    <w:rsid w:val="0035407E"/>
    <w:rsid w:val="00354406"/>
    <w:rsid w:val="00354416"/>
    <w:rsid w:val="003544B2"/>
    <w:rsid w:val="003544F4"/>
    <w:rsid w:val="00354673"/>
    <w:rsid w:val="003547E0"/>
    <w:rsid w:val="00354A4F"/>
    <w:rsid w:val="00354EB4"/>
    <w:rsid w:val="00355111"/>
    <w:rsid w:val="00355239"/>
    <w:rsid w:val="003554D8"/>
    <w:rsid w:val="003555B3"/>
    <w:rsid w:val="003555C8"/>
    <w:rsid w:val="0035596D"/>
    <w:rsid w:val="00355BE2"/>
    <w:rsid w:val="00355E1C"/>
    <w:rsid w:val="00356113"/>
    <w:rsid w:val="003565CB"/>
    <w:rsid w:val="00356899"/>
    <w:rsid w:val="00356B07"/>
    <w:rsid w:val="00356D29"/>
    <w:rsid w:val="003570CD"/>
    <w:rsid w:val="003571C2"/>
    <w:rsid w:val="00357389"/>
    <w:rsid w:val="003574BC"/>
    <w:rsid w:val="00357510"/>
    <w:rsid w:val="0035794F"/>
    <w:rsid w:val="00357B0C"/>
    <w:rsid w:val="00357E5A"/>
    <w:rsid w:val="00357F83"/>
    <w:rsid w:val="00360043"/>
    <w:rsid w:val="0036004B"/>
    <w:rsid w:val="00360380"/>
    <w:rsid w:val="003608D5"/>
    <w:rsid w:val="00360A8D"/>
    <w:rsid w:val="00360B1F"/>
    <w:rsid w:val="00360C9C"/>
    <w:rsid w:val="00360C9D"/>
    <w:rsid w:val="0036102B"/>
    <w:rsid w:val="003612A6"/>
    <w:rsid w:val="0036159A"/>
    <w:rsid w:val="003615DD"/>
    <w:rsid w:val="0036194C"/>
    <w:rsid w:val="00361FA5"/>
    <w:rsid w:val="00362454"/>
    <w:rsid w:val="003628AC"/>
    <w:rsid w:val="0036293B"/>
    <w:rsid w:val="00362988"/>
    <w:rsid w:val="00362F2F"/>
    <w:rsid w:val="00363187"/>
    <w:rsid w:val="003633C2"/>
    <w:rsid w:val="003633CC"/>
    <w:rsid w:val="003637B0"/>
    <w:rsid w:val="00363A6C"/>
    <w:rsid w:val="00363A79"/>
    <w:rsid w:val="0036407E"/>
    <w:rsid w:val="003640A7"/>
    <w:rsid w:val="003645C1"/>
    <w:rsid w:val="00364E99"/>
    <w:rsid w:val="00364ED6"/>
    <w:rsid w:val="00364F60"/>
    <w:rsid w:val="00365157"/>
    <w:rsid w:val="0036536A"/>
    <w:rsid w:val="003653E5"/>
    <w:rsid w:val="00365447"/>
    <w:rsid w:val="003654E0"/>
    <w:rsid w:val="00365676"/>
    <w:rsid w:val="00365907"/>
    <w:rsid w:val="00365984"/>
    <w:rsid w:val="00365A75"/>
    <w:rsid w:val="00365D1A"/>
    <w:rsid w:val="00365EBF"/>
    <w:rsid w:val="00366A57"/>
    <w:rsid w:val="00366D47"/>
    <w:rsid w:val="00367032"/>
    <w:rsid w:val="0036794E"/>
    <w:rsid w:val="00367ABE"/>
    <w:rsid w:val="00367B0C"/>
    <w:rsid w:val="00367E6C"/>
    <w:rsid w:val="00367F17"/>
    <w:rsid w:val="003700FB"/>
    <w:rsid w:val="003703C5"/>
    <w:rsid w:val="003705C6"/>
    <w:rsid w:val="0037067C"/>
    <w:rsid w:val="00370E14"/>
    <w:rsid w:val="00370EFF"/>
    <w:rsid w:val="003712AA"/>
    <w:rsid w:val="00371341"/>
    <w:rsid w:val="00371469"/>
    <w:rsid w:val="00371562"/>
    <w:rsid w:val="00371713"/>
    <w:rsid w:val="003717A7"/>
    <w:rsid w:val="00371E3F"/>
    <w:rsid w:val="00371F20"/>
    <w:rsid w:val="00371FA0"/>
    <w:rsid w:val="003723CA"/>
    <w:rsid w:val="003725EA"/>
    <w:rsid w:val="00372AD4"/>
    <w:rsid w:val="00373422"/>
    <w:rsid w:val="00373513"/>
    <w:rsid w:val="003736B1"/>
    <w:rsid w:val="00373A14"/>
    <w:rsid w:val="00373A62"/>
    <w:rsid w:val="00373A83"/>
    <w:rsid w:val="00373BB3"/>
    <w:rsid w:val="00374072"/>
    <w:rsid w:val="003743C8"/>
    <w:rsid w:val="00374B2E"/>
    <w:rsid w:val="00374C9E"/>
    <w:rsid w:val="00374ED0"/>
    <w:rsid w:val="003755C9"/>
    <w:rsid w:val="0037586C"/>
    <w:rsid w:val="0037593E"/>
    <w:rsid w:val="00375952"/>
    <w:rsid w:val="0037595C"/>
    <w:rsid w:val="003759B1"/>
    <w:rsid w:val="00375AE0"/>
    <w:rsid w:val="00375DCB"/>
    <w:rsid w:val="00375EEC"/>
    <w:rsid w:val="003766EA"/>
    <w:rsid w:val="0037674E"/>
    <w:rsid w:val="00376B28"/>
    <w:rsid w:val="00376E33"/>
    <w:rsid w:val="003772F5"/>
    <w:rsid w:val="00377465"/>
    <w:rsid w:val="00377487"/>
    <w:rsid w:val="003774BD"/>
    <w:rsid w:val="00377AB7"/>
    <w:rsid w:val="00377B68"/>
    <w:rsid w:val="00380135"/>
    <w:rsid w:val="0038027B"/>
    <w:rsid w:val="0038035B"/>
    <w:rsid w:val="00380695"/>
    <w:rsid w:val="00380CFD"/>
    <w:rsid w:val="00380E5C"/>
    <w:rsid w:val="00381129"/>
    <w:rsid w:val="0038146C"/>
    <w:rsid w:val="003814D7"/>
    <w:rsid w:val="003818A0"/>
    <w:rsid w:val="003819E1"/>
    <w:rsid w:val="00381B20"/>
    <w:rsid w:val="00381CA8"/>
    <w:rsid w:val="003820F7"/>
    <w:rsid w:val="00382360"/>
    <w:rsid w:val="003823BB"/>
    <w:rsid w:val="0038256D"/>
    <w:rsid w:val="00382609"/>
    <w:rsid w:val="00382990"/>
    <w:rsid w:val="00382A86"/>
    <w:rsid w:val="00382CB2"/>
    <w:rsid w:val="00382E3C"/>
    <w:rsid w:val="0038389B"/>
    <w:rsid w:val="00383975"/>
    <w:rsid w:val="003839B7"/>
    <w:rsid w:val="00383B23"/>
    <w:rsid w:val="00383B66"/>
    <w:rsid w:val="00383D3C"/>
    <w:rsid w:val="00383E6D"/>
    <w:rsid w:val="0038404F"/>
    <w:rsid w:val="003841AD"/>
    <w:rsid w:val="003848F1"/>
    <w:rsid w:val="00384CAC"/>
    <w:rsid w:val="00384CB3"/>
    <w:rsid w:val="003851D5"/>
    <w:rsid w:val="00385232"/>
    <w:rsid w:val="0038532E"/>
    <w:rsid w:val="00385755"/>
    <w:rsid w:val="0038598E"/>
    <w:rsid w:val="00386124"/>
    <w:rsid w:val="003864D5"/>
    <w:rsid w:val="0038666E"/>
    <w:rsid w:val="00386EE5"/>
    <w:rsid w:val="003871AB"/>
    <w:rsid w:val="00387CBC"/>
    <w:rsid w:val="00387CC5"/>
    <w:rsid w:val="00387DCA"/>
    <w:rsid w:val="00387EE8"/>
    <w:rsid w:val="003902E3"/>
    <w:rsid w:val="003904CD"/>
    <w:rsid w:val="00390567"/>
    <w:rsid w:val="0039057E"/>
    <w:rsid w:val="00390EE5"/>
    <w:rsid w:val="00390F00"/>
    <w:rsid w:val="00391103"/>
    <w:rsid w:val="0039144D"/>
    <w:rsid w:val="0039150B"/>
    <w:rsid w:val="003915B9"/>
    <w:rsid w:val="0039165B"/>
    <w:rsid w:val="0039188F"/>
    <w:rsid w:val="0039191A"/>
    <w:rsid w:val="00391BF8"/>
    <w:rsid w:val="00391CED"/>
    <w:rsid w:val="00391E10"/>
    <w:rsid w:val="003920D9"/>
    <w:rsid w:val="0039218A"/>
    <w:rsid w:val="00392E83"/>
    <w:rsid w:val="00393730"/>
    <w:rsid w:val="003939E6"/>
    <w:rsid w:val="00393AF2"/>
    <w:rsid w:val="00393E7E"/>
    <w:rsid w:val="003947D4"/>
    <w:rsid w:val="00394811"/>
    <w:rsid w:val="00394DB6"/>
    <w:rsid w:val="00394DFE"/>
    <w:rsid w:val="00394E8C"/>
    <w:rsid w:val="003950C8"/>
    <w:rsid w:val="00395501"/>
    <w:rsid w:val="0039552C"/>
    <w:rsid w:val="003955AE"/>
    <w:rsid w:val="00395993"/>
    <w:rsid w:val="00395D55"/>
    <w:rsid w:val="003966F6"/>
    <w:rsid w:val="0039677D"/>
    <w:rsid w:val="00396854"/>
    <w:rsid w:val="0039694C"/>
    <w:rsid w:val="00396B39"/>
    <w:rsid w:val="00396CC8"/>
    <w:rsid w:val="00396D60"/>
    <w:rsid w:val="00396D8A"/>
    <w:rsid w:val="003972D1"/>
    <w:rsid w:val="0039751A"/>
    <w:rsid w:val="00397813"/>
    <w:rsid w:val="003978E0"/>
    <w:rsid w:val="00397992"/>
    <w:rsid w:val="00397B04"/>
    <w:rsid w:val="003A0060"/>
    <w:rsid w:val="003A03E1"/>
    <w:rsid w:val="003A0660"/>
    <w:rsid w:val="003A0920"/>
    <w:rsid w:val="003A0B82"/>
    <w:rsid w:val="003A0C8E"/>
    <w:rsid w:val="003A0CAC"/>
    <w:rsid w:val="003A0D19"/>
    <w:rsid w:val="003A0D52"/>
    <w:rsid w:val="003A0EA4"/>
    <w:rsid w:val="003A0F89"/>
    <w:rsid w:val="003A120C"/>
    <w:rsid w:val="003A12C1"/>
    <w:rsid w:val="003A1386"/>
    <w:rsid w:val="003A1448"/>
    <w:rsid w:val="003A1574"/>
    <w:rsid w:val="003A17BF"/>
    <w:rsid w:val="003A1953"/>
    <w:rsid w:val="003A1960"/>
    <w:rsid w:val="003A196C"/>
    <w:rsid w:val="003A1A5E"/>
    <w:rsid w:val="003A1A92"/>
    <w:rsid w:val="003A1C0E"/>
    <w:rsid w:val="003A1D02"/>
    <w:rsid w:val="003A1DFE"/>
    <w:rsid w:val="003A1E0B"/>
    <w:rsid w:val="003A1EAB"/>
    <w:rsid w:val="003A2249"/>
    <w:rsid w:val="003A2278"/>
    <w:rsid w:val="003A244D"/>
    <w:rsid w:val="003A28B6"/>
    <w:rsid w:val="003A2BFA"/>
    <w:rsid w:val="003A2C56"/>
    <w:rsid w:val="003A2C5F"/>
    <w:rsid w:val="003A2E00"/>
    <w:rsid w:val="003A2ED1"/>
    <w:rsid w:val="003A2EDC"/>
    <w:rsid w:val="003A2F2D"/>
    <w:rsid w:val="003A3788"/>
    <w:rsid w:val="003A3823"/>
    <w:rsid w:val="003A38A3"/>
    <w:rsid w:val="003A3DE0"/>
    <w:rsid w:val="003A414C"/>
    <w:rsid w:val="003A42EE"/>
    <w:rsid w:val="003A4653"/>
    <w:rsid w:val="003A4663"/>
    <w:rsid w:val="003A4AEB"/>
    <w:rsid w:val="003A4C47"/>
    <w:rsid w:val="003A4CEF"/>
    <w:rsid w:val="003A5093"/>
    <w:rsid w:val="003A50B5"/>
    <w:rsid w:val="003A53FD"/>
    <w:rsid w:val="003A56F3"/>
    <w:rsid w:val="003A58A7"/>
    <w:rsid w:val="003A5DFF"/>
    <w:rsid w:val="003A6039"/>
    <w:rsid w:val="003A638C"/>
    <w:rsid w:val="003A6724"/>
    <w:rsid w:val="003A6CD0"/>
    <w:rsid w:val="003A6E1A"/>
    <w:rsid w:val="003A6E3A"/>
    <w:rsid w:val="003A6F04"/>
    <w:rsid w:val="003A71D1"/>
    <w:rsid w:val="003A71EE"/>
    <w:rsid w:val="003A72FA"/>
    <w:rsid w:val="003A7726"/>
    <w:rsid w:val="003A7985"/>
    <w:rsid w:val="003A7991"/>
    <w:rsid w:val="003A79AB"/>
    <w:rsid w:val="003A7C63"/>
    <w:rsid w:val="003A7D03"/>
    <w:rsid w:val="003A7DEF"/>
    <w:rsid w:val="003B085C"/>
    <w:rsid w:val="003B089D"/>
    <w:rsid w:val="003B0929"/>
    <w:rsid w:val="003B0A39"/>
    <w:rsid w:val="003B0BA1"/>
    <w:rsid w:val="003B0BA4"/>
    <w:rsid w:val="003B0F5C"/>
    <w:rsid w:val="003B0F8C"/>
    <w:rsid w:val="003B0FAA"/>
    <w:rsid w:val="003B108C"/>
    <w:rsid w:val="003B11CA"/>
    <w:rsid w:val="003B1615"/>
    <w:rsid w:val="003B1BE0"/>
    <w:rsid w:val="003B1C81"/>
    <w:rsid w:val="003B1FD8"/>
    <w:rsid w:val="003B2002"/>
    <w:rsid w:val="003B26DE"/>
    <w:rsid w:val="003B332A"/>
    <w:rsid w:val="003B3367"/>
    <w:rsid w:val="003B37BA"/>
    <w:rsid w:val="003B3D91"/>
    <w:rsid w:val="003B3EE5"/>
    <w:rsid w:val="003B42A3"/>
    <w:rsid w:val="003B4599"/>
    <w:rsid w:val="003B4733"/>
    <w:rsid w:val="003B48E3"/>
    <w:rsid w:val="003B4BF0"/>
    <w:rsid w:val="003B4EE0"/>
    <w:rsid w:val="003B525A"/>
    <w:rsid w:val="003B57A1"/>
    <w:rsid w:val="003B5CF1"/>
    <w:rsid w:val="003B5DEA"/>
    <w:rsid w:val="003B5E72"/>
    <w:rsid w:val="003B5FC1"/>
    <w:rsid w:val="003B61B7"/>
    <w:rsid w:val="003B680D"/>
    <w:rsid w:val="003B688E"/>
    <w:rsid w:val="003B695E"/>
    <w:rsid w:val="003B6C77"/>
    <w:rsid w:val="003B6CEA"/>
    <w:rsid w:val="003B6E2E"/>
    <w:rsid w:val="003B70E3"/>
    <w:rsid w:val="003B7180"/>
    <w:rsid w:val="003B7207"/>
    <w:rsid w:val="003B75C4"/>
    <w:rsid w:val="003B79CE"/>
    <w:rsid w:val="003B7A55"/>
    <w:rsid w:val="003B7D69"/>
    <w:rsid w:val="003C0174"/>
    <w:rsid w:val="003C01D5"/>
    <w:rsid w:val="003C0250"/>
    <w:rsid w:val="003C02C6"/>
    <w:rsid w:val="003C063F"/>
    <w:rsid w:val="003C06A3"/>
    <w:rsid w:val="003C088C"/>
    <w:rsid w:val="003C0BC0"/>
    <w:rsid w:val="003C1576"/>
    <w:rsid w:val="003C1AE2"/>
    <w:rsid w:val="003C2055"/>
    <w:rsid w:val="003C21AE"/>
    <w:rsid w:val="003C247A"/>
    <w:rsid w:val="003C257C"/>
    <w:rsid w:val="003C264F"/>
    <w:rsid w:val="003C2917"/>
    <w:rsid w:val="003C2BAC"/>
    <w:rsid w:val="003C2BFD"/>
    <w:rsid w:val="003C2C57"/>
    <w:rsid w:val="003C2D8E"/>
    <w:rsid w:val="003C2DB8"/>
    <w:rsid w:val="003C373F"/>
    <w:rsid w:val="003C38DC"/>
    <w:rsid w:val="003C3E81"/>
    <w:rsid w:val="003C419A"/>
    <w:rsid w:val="003C436B"/>
    <w:rsid w:val="003C452C"/>
    <w:rsid w:val="003C4582"/>
    <w:rsid w:val="003C49B1"/>
    <w:rsid w:val="003C4A01"/>
    <w:rsid w:val="003C4C78"/>
    <w:rsid w:val="003C4F8F"/>
    <w:rsid w:val="003C5ACB"/>
    <w:rsid w:val="003C5C5E"/>
    <w:rsid w:val="003C5E0D"/>
    <w:rsid w:val="003C5F45"/>
    <w:rsid w:val="003C607B"/>
    <w:rsid w:val="003C6127"/>
    <w:rsid w:val="003C6724"/>
    <w:rsid w:val="003C6A75"/>
    <w:rsid w:val="003C6B4F"/>
    <w:rsid w:val="003C6B59"/>
    <w:rsid w:val="003C6CB1"/>
    <w:rsid w:val="003C6D18"/>
    <w:rsid w:val="003C6D9F"/>
    <w:rsid w:val="003C6DAE"/>
    <w:rsid w:val="003C712F"/>
    <w:rsid w:val="003C721E"/>
    <w:rsid w:val="003C74C2"/>
    <w:rsid w:val="003C7655"/>
    <w:rsid w:val="003C7B9F"/>
    <w:rsid w:val="003C7D87"/>
    <w:rsid w:val="003D028E"/>
    <w:rsid w:val="003D040E"/>
    <w:rsid w:val="003D0526"/>
    <w:rsid w:val="003D05E1"/>
    <w:rsid w:val="003D0625"/>
    <w:rsid w:val="003D0635"/>
    <w:rsid w:val="003D063D"/>
    <w:rsid w:val="003D0C56"/>
    <w:rsid w:val="003D13C7"/>
    <w:rsid w:val="003D14EF"/>
    <w:rsid w:val="003D1A98"/>
    <w:rsid w:val="003D1E75"/>
    <w:rsid w:val="003D1E77"/>
    <w:rsid w:val="003D2031"/>
    <w:rsid w:val="003D23D4"/>
    <w:rsid w:val="003D299E"/>
    <w:rsid w:val="003D2A0D"/>
    <w:rsid w:val="003D2ADA"/>
    <w:rsid w:val="003D2EC6"/>
    <w:rsid w:val="003D2FA3"/>
    <w:rsid w:val="003D3595"/>
    <w:rsid w:val="003D3CFB"/>
    <w:rsid w:val="003D3D96"/>
    <w:rsid w:val="003D3DAF"/>
    <w:rsid w:val="003D3FC3"/>
    <w:rsid w:val="003D41BC"/>
    <w:rsid w:val="003D4A62"/>
    <w:rsid w:val="003D4B41"/>
    <w:rsid w:val="003D4DB2"/>
    <w:rsid w:val="003D4FF7"/>
    <w:rsid w:val="003D5026"/>
    <w:rsid w:val="003D5132"/>
    <w:rsid w:val="003D5170"/>
    <w:rsid w:val="003D5390"/>
    <w:rsid w:val="003D53CD"/>
    <w:rsid w:val="003D53FC"/>
    <w:rsid w:val="003D5574"/>
    <w:rsid w:val="003D55E1"/>
    <w:rsid w:val="003D570B"/>
    <w:rsid w:val="003D5A1B"/>
    <w:rsid w:val="003D641A"/>
    <w:rsid w:val="003D6423"/>
    <w:rsid w:val="003D6468"/>
    <w:rsid w:val="003D647D"/>
    <w:rsid w:val="003D656A"/>
    <w:rsid w:val="003D65FA"/>
    <w:rsid w:val="003D68D7"/>
    <w:rsid w:val="003D6BDF"/>
    <w:rsid w:val="003D6C18"/>
    <w:rsid w:val="003D6F37"/>
    <w:rsid w:val="003D6FA1"/>
    <w:rsid w:val="003D71EB"/>
    <w:rsid w:val="003D740A"/>
    <w:rsid w:val="003D746B"/>
    <w:rsid w:val="003D74D6"/>
    <w:rsid w:val="003D7954"/>
    <w:rsid w:val="003D795B"/>
    <w:rsid w:val="003D7B60"/>
    <w:rsid w:val="003E0018"/>
    <w:rsid w:val="003E005C"/>
    <w:rsid w:val="003E0202"/>
    <w:rsid w:val="003E04A5"/>
    <w:rsid w:val="003E0583"/>
    <w:rsid w:val="003E060C"/>
    <w:rsid w:val="003E06C7"/>
    <w:rsid w:val="003E0A6B"/>
    <w:rsid w:val="003E0BEF"/>
    <w:rsid w:val="003E0E43"/>
    <w:rsid w:val="003E1244"/>
    <w:rsid w:val="003E1270"/>
    <w:rsid w:val="003E145C"/>
    <w:rsid w:val="003E1F67"/>
    <w:rsid w:val="003E2052"/>
    <w:rsid w:val="003E22CB"/>
    <w:rsid w:val="003E2343"/>
    <w:rsid w:val="003E2413"/>
    <w:rsid w:val="003E271C"/>
    <w:rsid w:val="003E29B8"/>
    <w:rsid w:val="003E2B34"/>
    <w:rsid w:val="003E2BC5"/>
    <w:rsid w:val="003E2F6A"/>
    <w:rsid w:val="003E3137"/>
    <w:rsid w:val="003E3219"/>
    <w:rsid w:val="003E3320"/>
    <w:rsid w:val="003E341B"/>
    <w:rsid w:val="003E3493"/>
    <w:rsid w:val="003E36E6"/>
    <w:rsid w:val="003E3722"/>
    <w:rsid w:val="003E39CE"/>
    <w:rsid w:val="003E3A1C"/>
    <w:rsid w:val="003E3C37"/>
    <w:rsid w:val="003E3D9C"/>
    <w:rsid w:val="003E3EBF"/>
    <w:rsid w:val="003E3EE3"/>
    <w:rsid w:val="003E406A"/>
    <w:rsid w:val="003E406B"/>
    <w:rsid w:val="003E410B"/>
    <w:rsid w:val="003E468A"/>
    <w:rsid w:val="003E48AA"/>
    <w:rsid w:val="003E4BA4"/>
    <w:rsid w:val="003E4ED9"/>
    <w:rsid w:val="003E4EDC"/>
    <w:rsid w:val="003E4F96"/>
    <w:rsid w:val="003E51E4"/>
    <w:rsid w:val="003E5220"/>
    <w:rsid w:val="003E5476"/>
    <w:rsid w:val="003E595D"/>
    <w:rsid w:val="003E5CCA"/>
    <w:rsid w:val="003E6183"/>
    <w:rsid w:val="003E64EB"/>
    <w:rsid w:val="003E66FD"/>
    <w:rsid w:val="003E67EE"/>
    <w:rsid w:val="003E6E27"/>
    <w:rsid w:val="003E7037"/>
    <w:rsid w:val="003E7162"/>
    <w:rsid w:val="003E73C7"/>
    <w:rsid w:val="003E7428"/>
    <w:rsid w:val="003E76E9"/>
    <w:rsid w:val="003E7773"/>
    <w:rsid w:val="003E7B16"/>
    <w:rsid w:val="003E7C98"/>
    <w:rsid w:val="003F0497"/>
    <w:rsid w:val="003F0508"/>
    <w:rsid w:val="003F09C0"/>
    <w:rsid w:val="003F0C55"/>
    <w:rsid w:val="003F0D25"/>
    <w:rsid w:val="003F0D4A"/>
    <w:rsid w:val="003F115E"/>
    <w:rsid w:val="003F11F4"/>
    <w:rsid w:val="003F1464"/>
    <w:rsid w:val="003F14C2"/>
    <w:rsid w:val="003F168D"/>
    <w:rsid w:val="003F16D1"/>
    <w:rsid w:val="003F2210"/>
    <w:rsid w:val="003F2622"/>
    <w:rsid w:val="003F29B5"/>
    <w:rsid w:val="003F31C8"/>
    <w:rsid w:val="003F3529"/>
    <w:rsid w:val="003F39AD"/>
    <w:rsid w:val="003F422A"/>
    <w:rsid w:val="003F4253"/>
    <w:rsid w:val="003F46C0"/>
    <w:rsid w:val="003F4700"/>
    <w:rsid w:val="003F4909"/>
    <w:rsid w:val="003F4970"/>
    <w:rsid w:val="003F4AAA"/>
    <w:rsid w:val="003F4C8B"/>
    <w:rsid w:val="003F4D61"/>
    <w:rsid w:val="003F4F33"/>
    <w:rsid w:val="003F535C"/>
    <w:rsid w:val="003F5581"/>
    <w:rsid w:val="003F59C9"/>
    <w:rsid w:val="003F5AD0"/>
    <w:rsid w:val="003F5DBD"/>
    <w:rsid w:val="003F5DCF"/>
    <w:rsid w:val="003F613A"/>
    <w:rsid w:val="003F65B1"/>
    <w:rsid w:val="003F690F"/>
    <w:rsid w:val="003F6A44"/>
    <w:rsid w:val="003F7196"/>
    <w:rsid w:val="003F769B"/>
    <w:rsid w:val="003F79DE"/>
    <w:rsid w:val="003F7B6A"/>
    <w:rsid w:val="003F7E65"/>
    <w:rsid w:val="003F7E6F"/>
    <w:rsid w:val="00400668"/>
    <w:rsid w:val="0040087D"/>
    <w:rsid w:val="004008AF"/>
    <w:rsid w:val="00400A09"/>
    <w:rsid w:val="00400B5F"/>
    <w:rsid w:val="00400DC5"/>
    <w:rsid w:val="00400F5B"/>
    <w:rsid w:val="004017FE"/>
    <w:rsid w:val="00401DBF"/>
    <w:rsid w:val="00401EDD"/>
    <w:rsid w:val="00402267"/>
    <w:rsid w:val="00402320"/>
    <w:rsid w:val="004024FB"/>
    <w:rsid w:val="00402746"/>
    <w:rsid w:val="004030BA"/>
    <w:rsid w:val="00403116"/>
    <w:rsid w:val="004032FF"/>
    <w:rsid w:val="004033D9"/>
    <w:rsid w:val="004034CE"/>
    <w:rsid w:val="0040394F"/>
    <w:rsid w:val="004039BA"/>
    <w:rsid w:val="00403C36"/>
    <w:rsid w:val="00403DE9"/>
    <w:rsid w:val="0040415D"/>
    <w:rsid w:val="004042B4"/>
    <w:rsid w:val="0040432C"/>
    <w:rsid w:val="00404477"/>
    <w:rsid w:val="004044B3"/>
    <w:rsid w:val="00404552"/>
    <w:rsid w:val="004045FB"/>
    <w:rsid w:val="0040490B"/>
    <w:rsid w:val="00404A94"/>
    <w:rsid w:val="00404B6B"/>
    <w:rsid w:val="00404B74"/>
    <w:rsid w:val="00404EFD"/>
    <w:rsid w:val="00404FD1"/>
    <w:rsid w:val="00405378"/>
    <w:rsid w:val="0040538B"/>
    <w:rsid w:val="00405445"/>
    <w:rsid w:val="0040551F"/>
    <w:rsid w:val="004058B7"/>
    <w:rsid w:val="00405B42"/>
    <w:rsid w:val="00405EAF"/>
    <w:rsid w:val="004062D8"/>
    <w:rsid w:val="004063AF"/>
    <w:rsid w:val="00406784"/>
    <w:rsid w:val="00406DC5"/>
    <w:rsid w:val="0040718A"/>
    <w:rsid w:val="004072B5"/>
    <w:rsid w:val="00407500"/>
    <w:rsid w:val="0040771F"/>
    <w:rsid w:val="00407776"/>
    <w:rsid w:val="0040792A"/>
    <w:rsid w:val="00407B24"/>
    <w:rsid w:val="00407C40"/>
    <w:rsid w:val="00407C68"/>
    <w:rsid w:val="00407C7A"/>
    <w:rsid w:val="00407ED7"/>
    <w:rsid w:val="00407EEC"/>
    <w:rsid w:val="00407EF7"/>
    <w:rsid w:val="00407F54"/>
    <w:rsid w:val="00410401"/>
    <w:rsid w:val="00410481"/>
    <w:rsid w:val="004109C7"/>
    <w:rsid w:val="00410A9A"/>
    <w:rsid w:val="00410B87"/>
    <w:rsid w:val="00410BC4"/>
    <w:rsid w:val="00410C54"/>
    <w:rsid w:val="00411062"/>
    <w:rsid w:val="004111F7"/>
    <w:rsid w:val="004115FA"/>
    <w:rsid w:val="00411B19"/>
    <w:rsid w:val="00411B5E"/>
    <w:rsid w:val="00411DC7"/>
    <w:rsid w:val="0041217D"/>
    <w:rsid w:val="004122B2"/>
    <w:rsid w:val="004124AE"/>
    <w:rsid w:val="004124EC"/>
    <w:rsid w:val="004125C6"/>
    <w:rsid w:val="00412606"/>
    <w:rsid w:val="0041275F"/>
    <w:rsid w:val="00412D42"/>
    <w:rsid w:val="00412EA0"/>
    <w:rsid w:val="00413027"/>
    <w:rsid w:val="0041309C"/>
    <w:rsid w:val="00413218"/>
    <w:rsid w:val="004133A8"/>
    <w:rsid w:val="00413409"/>
    <w:rsid w:val="00413413"/>
    <w:rsid w:val="0041344E"/>
    <w:rsid w:val="004134E4"/>
    <w:rsid w:val="00413723"/>
    <w:rsid w:val="00413867"/>
    <w:rsid w:val="00413A7B"/>
    <w:rsid w:val="00413DCF"/>
    <w:rsid w:val="00413E1C"/>
    <w:rsid w:val="0041401D"/>
    <w:rsid w:val="0041438B"/>
    <w:rsid w:val="00414597"/>
    <w:rsid w:val="004147B6"/>
    <w:rsid w:val="004148F2"/>
    <w:rsid w:val="004149CC"/>
    <w:rsid w:val="00414C4C"/>
    <w:rsid w:val="00414C89"/>
    <w:rsid w:val="00414CA9"/>
    <w:rsid w:val="0041523B"/>
    <w:rsid w:val="00415293"/>
    <w:rsid w:val="00415415"/>
    <w:rsid w:val="00415735"/>
    <w:rsid w:val="004158CF"/>
    <w:rsid w:val="004159BB"/>
    <w:rsid w:val="00415AB0"/>
    <w:rsid w:val="00415C97"/>
    <w:rsid w:val="00415DAC"/>
    <w:rsid w:val="00415FCC"/>
    <w:rsid w:val="00416078"/>
    <w:rsid w:val="00416116"/>
    <w:rsid w:val="0041617E"/>
    <w:rsid w:val="0041630D"/>
    <w:rsid w:val="0041649E"/>
    <w:rsid w:val="0041659D"/>
    <w:rsid w:val="00416A51"/>
    <w:rsid w:val="00416C1E"/>
    <w:rsid w:val="00416D12"/>
    <w:rsid w:val="00416E2A"/>
    <w:rsid w:val="004172D0"/>
    <w:rsid w:val="004172D6"/>
    <w:rsid w:val="00417396"/>
    <w:rsid w:val="004174EC"/>
    <w:rsid w:val="00417546"/>
    <w:rsid w:val="004175CC"/>
    <w:rsid w:val="004176D8"/>
    <w:rsid w:val="00417892"/>
    <w:rsid w:val="00417A09"/>
    <w:rsid w:val="00417BA1"/>
    <w:rsid w:val="00417D40"/>
    <w:rsid w:val="00417E15"/>
    <w:rsid w:val="00417E2A"/>
    <w:rsid w:val="00417F5C"/>
    <w:rsid w:val="0042008A"/>
    <w:rsid w:val="00420602"/>
    <w:rsid w:val="00420A58"/>
    <w:rsid w:val="00421185"/>
    <w:rsid w:val="00421209"/>
    <w:rsid w:val="00421A89"/>
    <w:rsid w:val="00421E03"/>
    <w:rsid w:val="00421EBC"/>
    <w:rsid w:val="00421F12"/>
    <w:rsid w:val="004220A3"/>
    <w:rsid w:val="004221DD"/>
    <w:rsid w:val="00422221"/>
    <w:rsid w:val="00422297"/>
    <w:rsid w:val="00422584"/>
    <w:rsid w:val="004225EF"/>
    <w:rsid w:val="004226BB"/>
    <w:rsid w:val="00422782"/>
    <w:rsid w:val="00422941"/>
    <w:rsid w:val="0042298A"/>
    <w:rsid w:val="00422AD1"/>
    <w:rsid w:val="0042304B"/>
    <w:rsid w:val="0042313F"/>
    <w:rsid w:val="004232DA"/>
    <w:rsid w:val="00423333"/>
    <w:rsid w:val="00423346"/>
    <w:rsid w:val="00423537"/>
    <w:rsid w:val="004237A2"/>
    <w:rsid w:val="00424084"/>
    <w:rsid w:val="004241A2"/>
    <w:rsid w:val="00424CBD"/>
    <w:rsid w:val="00424ED1"/>
    <w:rsid w:val="00424FD9"/>
    <w:rsid w:val="004256C9"/>
    <w:rsid w:val="004258B5"/>
    <w:rsid w:val="00425B4B"/>
    <w:rsid w:val="00425B9B"/>
    <w:rsid w:val="00425DF9"/>
    <w:rsid w:val="004262EB"/>
    <w:rsid w:val="00426312"/>
    <w:rsid w:val="00426323"/>
    <w:rsid w:val="00426493"/>
    <w:rsid w:val="0042653B"/>
    <w:rsid w:val="00426735"/>
    <w:rsid w:val="00426986"/>
    <w:rsid w:val="004269F3"/>
    <w:rsid w:val="00426B8B"/>
    <w:rsid w:val="00426F0B"/>
    <w:rsid w:val="00426FA6"/>
    <w:rsid w:val="004270DD"/>
    <w:rsid w:val="004273AD"/>
    <w:rsid w:val="004275F5"/>
    <w:rsid w:val="004275FC"/>
    <w:rsid w:val="00427670"/>
    <w:rsid w:val="00427738"/>
    <w:rsid w:val="00427F73"/>
    <w:rsid w:val="004301CF"/>
    <w:rsid w:val="0043020F"/>
    <w:rsid w:val="00430246"/>
    <w:rsid w:val="004305AE"/>
    <w:rsid w:val="004305BE"/>
    <w:rsid w:val="00430647"/>
    <w:rsid w:val="00430723"/>
    <w:rsid w:val="00430753"/>
    <w:rsid w:val="00430A14"/>
    <w:rsid w:val="00430B2E"/>
    <w:rsid w:val="00430D3F"/>
    <w:rsid w:val="00430FEC"/>
    <w:rsid w:val="00431800"/>
    <w:rsid w:val="0043187D"/>
    <w:rsid w:val="004318F5"/>
    <w:rsid w:val="00431A2A"/>
    <w:rsid w:val="00431B1A"/>
    <w:rsid w:val="00431FF8"/>
    <w:rsid w:val="00432022"/>
    <w:rsid w:val="004320E8"/>
    <w:rsid w:val="0043216B"/>
    <w:rsid w:val="004325FA"/>
    <w:rsid w:val="0043269F"/>
    <w:rsid w:val="00432749"/>
    <w:rsid w:val="00432925"/>
    <w:rsid w:val="004329D0"/>
    <w:rsid w:val="0043329B"/>
    <w:rsid w:val="00433541"/>
    <w:rsid w:val="00433C40"/>
    <w:rsid w:val="00433EA5"/>
    <w:rsid w:val="0043428B"/>
    <w:rsid w:val="0043446D"/>
    <w:rsid w:val="004344AB"/>
    <w:rsid w:val="004345D8"/>
    <w:rsid w:val="004345E2"/>
    <w:rsid w:val="00434737"/>
    <w:rsid w:val="004347A6"/>
    <w:rsid w:val="00434AA9"/>
    <w:rsid w:val="00434AEA"/>
    <w:rsid w:val="00434DAB"/>
    <w:rsid w:val="00434ED6"/>
    <w:rsid w:val="00434F3E"/>
    <w:rsid w:val="0043504B"/>
    <w:rsid w:val="00435149"/>
    <w:rsid w:val="004351CA"/>
    <w:rsid w:val="004353AD"/>
    <w:rsid w:val="0043546E"/>
    <w:rsid w:val="00435716"/>
    <w:rsid w:val="0043571A"/>
    <w:rsid w:val="00435792"/>
    <w:rsid w:val="004358C2"/>
    <w:rsid w:val="00435B7A"/>
    <w:rsid w:val="00435CF3"/>
    <w:rsid w:val="00435EEE"/>
    <w:rsid w:val="0043615D"/>
    <w:rsid w:val="004362D2"/>
    <w:rsid w:val="00436514"/>
    <w:rsid w:val="004365DA"/>
    <w:rsid w:val="004366CB"/>
    <w:rsid w:val="00436A28"/>
    <w:rsid w:val="00436DB2"/>
    <w:rsid w:val="004373F1"/>
    <w:rsid w:val="00437421"/>
    <w:rsid w:val="00437620"/>
    <w:rsid w:val="0043763C"/>
    <w:rsid w:val="004376D3"/>
    <w:rsid w:val="00437733"/>
    <w:rsid w:val="00437924"/>
    <w:rsid w:val="0043796E"/>
    <w:rsid w:val="00437A6A"/>
    <w:rsid w:val="00440358"/>
    <w:rsid w:val="004407BA"/>
    <w:rsid w:val="004409D4"/>
    <w:rsid w:val="00440A20"/>
    <w:rsid w:val="00440ECF"/>
    <w:rsid w:val="004410DE"/>
    <w:rsid w:val="00441128"/>
    <w:rsid w:val="004412D2"/>
    <w:rsid w:val="0044174A"/>
    <w:rsid w:val="00441822"/>
    <w:rsid w:val="004419F6"/>
    <w:rsid w:val="00441ED4"/>
    <w:rsid w:val="0044200F"/>
    <w:rsid w:val="0044216D"/>
    <w:rsid w:val="004423F7"/>
    <w:rsid w:val="0044285C"/>
    <w:rsid w:val="00442A49"/>
    <w:rsid w:val="00442C77"/>
    <w:rsid w:val="004432CD"/>
    <w:rsid w:val="0044334A"/>
    <w:rsid w:val="00443476"/>
    <w:rsid w:val="00443516"/>
    <w:rsid w:val="0044394E"/>
    <w:rsid w:val="00443B0E"/>
    <w:rsid w:val="004440E2"/>
    <w:rsid w:val="004442F7"/>
    <w:rsid w:val="00444341"/>
    <w:rsid w:val="00444C28"/>
    <w:rsid w:val="00444D2B"/>
    <w:rsid w:val="0044526F"/>
    <w:rsid w:val="00445610"/>
    <w:rsid w:val="004456A3"/>
    <w:rsid w:val="00445B74"/>
    <w:rsid w:val="00445D7B"/>
    <w:rsid w:val="0044623C"/>
    <w:rsid w:val="004464EE"/>
    <w:rsid w:val="0044690B"/>
    <w:rsid w:val="00446BBE"/>
    <w:rsid w:val="00447372"/>
    <w:rsid w:val="00447427"/>
    <w:rsid w:val="00447775"/>
    <w:rsid w:val="004477F5"/>
    <w:rsid w:val="0044782C"/>
    <w:rsid w:val="00447AA5"/>
    <w:rsid w:val="00447C06"/>
    <w:rsid w:val="00450886"/>
    <w:rsid w:val="0045093D"/>
    <w:rsid w:val="00451151"/>
    <w:rsid w:val="004512B8"/>
    <w:rsid w:val="00451315"/>
    <w:rsid w:val="004513E7"/>
    <w:rsid w:val="00451645"/>
    <w:rsid w:val="004516E6"/>
    <w:rsid w:val="004517EB"/>
    <w:rsid w:val="00451AB0"/>
    <w:rsid w:val="00451B36"/>
    <w:rsid w:val="00451C9E"/>
    <w:rsid w:val="00451FC6"/>
    <w:rsid w:val="00452685"/>
    <w:rsid w:val="0045275E"/>
    <w:rsid w:val="00452960"/>
    <w:rsid w:val="00452B59"/>
    <w:rsid w:val="00452BE8"/>
    <w:rsid w:val="00452D5B"/>
    <w:rsid w:val="00452EE9"/>
    <w:rsid w:val="00452FFC"/>
    <w:rsid w:val="0045306F"/>
    <w:rsid w:val="004530BD"/>
    <w:rsid w:val="00453299"/>
    <w:rsid w:val="00453328"/>
    <w:rsid w:val="004538BE"/>
    <w:rsid w:val="00453D1C"/>
    <w:rsid w:val="00453DAF"/>
    <w:rsid w:val="00453F4C"/>
    <w:rsid w:val="0045482C"/>
    <w:rsid w:val="00454A05"/>
    <w:rsid w:val="00454AE4"/>
    <w:rsid w:val="00454C7B"/>
    <w:rsid w:val="00454F8E"/>
    <w:rsid w:val="0045502F"/>
    <w:rsid w:val="0045536F"/>
    <w:rsid w:val="004553A5"/>
    <w:rsid w:val="004556BA"/>
    <w:rsid w:val="00455825"/>
    <w:rsid w:val="00455A7F"/>
    <w:rsid w:val="00455B9D"/>
    <w:rsid w:val="00455BF6"/>
    <w:rsid w:val="00456009"/>
    <w:rsid w:val="00456438"/>
    <w:rsid w:val="0045648F"/>
    <w:rsid w:val="0045683C"/>
    <w:rsid w:val="00456860"/>
    <w:rsid w:val="004569F3"/>
    <w:rsid w:val="00456A13"/>
    <w:rsid w:val="00456F6A"/>
    <w:rsid w:val="004571B6"/>
    <w:rsid w:val="004573D9"/>
    <w:rsid w:val="00457A36"/>
    <w:rsid w:val="00457B17"/>
    <w:rsid w:val="00457BFD"/>
    <w:rsid w:val="00457D25"/>
    <w:rsid w:val="00457E67"/>
    <w:rsid w:val="004608B1"/>
    <w:rsid w:val="00460A9B"/>
    <w:rsid w:val="00460AC3"/>
    <w:rsid w:val="00460BF8"/>
    <w:rsid w:val="00460DCF"/>
    <w:rsid w:val="00460EB4"/>
    <w:rsid w:val="00461211"/>
    <w:rsid w:val="004613EB"/>
    <w:rsid w:val="00461495"/>
    <w:rsid w:val="00461526"/>
    <w:rsid w:val="004615FE"/>
    <w:rsid w:val="00461740"/>
    <w:rsid w:val="00461CFD"/>
    <w:rsid w:val="004623C6"/>
    <w:rsid w:val="00462558"/>
    <w:rsid w:val="0046265F"/>
    <w:rsid w:val="00462778"/>
    <w:rsid w:val="00462930"/>
    <w:rsid w:val="004629A7"/>
    <w:rsid w:val="00462A0E"/>
    <w:rsid w:val="00462B6D"/>
    <w:rsid w:val="00462D23"/>
    <w:rsid w:val="004633EF"/>
    <w:rsid w:val="00463413"/>
    <w:rsid w:val="0046341C"/>
    <w:rsid w:val="0046350D"/>
    <w:rsid w:val="00463568"/>
    <w:rsid w:val="00463693"/>
    <w:rsid w:val="004636AE"/>
    <w:rsid w:val="004639E3"/>
    <w:rsid w:val="00463E0B"/>
    <w:rsid w:val="00464084"/>
    <w:rsid w:val="004643AE"/>
    <w:rsid w:val="004643C2"/>
    <w:rsid w:val="00464574"/>
    <w:rsid w:val="004645CA"/>
    <w:rsid w:val="0046477C"/>
    <w:rsid w:val="00464C2A"/>
    <w:rsid w:val="00464ECA"/>
    <w:rsid w:val="00464F6C"/>
    <w:rsid w:val="004650CF"/>
    <w:rsid w:val="00465298"/>
    <w:rsid w:val="00465441"/>
    <w:rsid w:val="0046569E"/>
    <w:rsid w:val="004657F9"/>
    <w:rsid w:val="0046588E"/>
    <w:rsid w:val="004658CD"/>
    <w:rsid w:val="00465EAE"/>
    <w:rsid w:val="00466312"/>
    <w:rsid w:val="004663A8"/>
    <w:rsid w:val="00466516"/>
    <w:rsid w:val="00466FF8"/>
    <w:rsid w:val="0046710A"/>
    <w:rsid w:val="004671C4"/>
    <w:rsid w:val="00467328"/>
    <w:rsid w:val="00467386"/>
    <w:rsid w:val="00467404"/>
    <w:rsid w:val="004674A5"/>
    <w:rsid w:val="004676D5"/>
    <w:rsid w:val="004676F9"/>
    <w:rsid w:val="00467A9E"/>
    <w:rsid w:val="00467DAD"/>
    <w:rsid w:val="00470075"/>
    <w:rsid w:val="00470342"/>
    <w:rsid w:val="004703A8"/>
    <w:rsid w:val="00470440"/>
    <w:rsid w:val="0047053C"/>
    <w:rsid w:val="0047066B"/>
    <w:rsid w:val="00470A7F"/>
    <w:rsid w:val="00470AC7"/>
    <w:rsid w:val="004710E5"/>
    <w:rsid w:val="0047154A"/>
    <w:rsid w:val="00471626"/>
    <w:rsid w:val="004719F9"/>
    <w:rsid w:val="00471AAD"/>
    <w:rsid w:val="00471C78"/>
    <w:rsid w:val="00471C83"/>
    <w:rsid w:val="00471D0D"/>
    <w:rsid w:val="00471EC7"/>
    <w:rsid w:val="00471F2F"/>
    <w:rsid w:val="00471F5D"/>
    <w:rsid w:val="00471FC3"/>
    <w:rsid w:val="004723BD"/>
    <w:rsid w:val="00472572"/>
    <w:rsid w:val="004725C1"/>
    <w:rsid w:val="004727A1"/>
    <w:rsid w:val="00472A05"/>
    <w:rsid w:val="00472AEF"/>
    <w:rsid w:val="00472D46"/>
    <w:rsid w:val="00472E46"/>
    <w:rsid w:val="00472EE8"/>
    <w:rsid w:val="00472FA2"/>
    <w:rsid w:val="004737D7"/>
    <w:rsid w:val="00473915"/>
    <w:rsid w:val="004739F9"/>
    <w:rsid w:val="00473C97"/>
    <w:rsid w:val="00473FD0"/>
    <w:rsid w:val="0047441C"/>
    <w:rsid w:val="00474B50"/>
    <w:rsid w:val="00474E01"/>
    <w:rsid w:val="00474E17"/>
    <w:rsid w:val="0047501B"/>
    <w:rsid w:val="004751C6"/>
    <w:rsid w:val="004751E5"/>
    <w:rsid w:val="00475242"/>
    <w:rsid w:val="00475390"/>
    <w:rsid w:val="00475540"/>
    <w:rsid w:val="00475799"/>
    <w:rsid w:val="004758C6"/>
    <w:rsid w:val="004758E3"/>
    <w:rsid w:val="00475CC4"/>
    <w:rsid w:val="00475CCC"/>
    <w:rsid w:val="00475FEE"/>
    <w:rsid w:val="00476396"/>
    <w:rsid w:val="004763C5"/>
    <w:rsid w:val="0047642A"/>
    <w:rsid w:val="0047645B"/>
    <w:rsid w:val="004768C9"/>
    <w:rsid w:val="00476A21"/>
    <w:rsid w:val="00477480"/>
    <w:rsid w:val="00477608"/>
    <w:rsid w:val="00477640"/>
    <w:rsid w:val="00477D0D"/>
    <w:rsid w:val="00477D1B"/>
    <w:rsid w:val="00480A6B"/>
    <w:rsid w:val="00480ACE"/>
    <w:rsid w:val="00480AFB"/>
    <w:rsid w:val="00480B6D"/>
    <w:rsid w:val="00481192"/>
    <w:rsid w:val="004814DB"/>
    <w:rsid w:val="004819B4"/>
    <w:rsid w:val="00481A38"/>
    <w:rsid w:val="00481EDA"/>
    <w:rsid w:val="0048208A"/>
    <w:rsid w:val="00482804"/>
    <w:rsid w:val="00482B47"/>
    <w:rsid w:val="00482C06"/>
    <w:rsid w:val="00482CE9"/>
    <w:rsid w:val="00482D8A"/>
    <w:rsid w:val="00482DCE"/>
    <w:rsid w:val="00482DFF"/>
    <w:rsid w:val="00482E24"/>
    <w:rsid w:val="0048323E"/>
    <w:rsid w:val="004832F3"/>
    <w:rsid w:val="00483ACC"/>
    <w:rsid w:val="00483ADE"/>
    <w:rsid w:val="00483CD6"/>
    <w:rsid w:val="00483CD7"/>
    <w:rsid w:val="0048421B"/>
    <w:rsid w:val="00484357"/>
    <w:rsid w:val="004843E2"/>
    <w:rsid w:val="00484489"/>
    <w:rsid w:val="00484563"/>
    <w:rsid w:val="00484748"/>
    <w:rsid w:val="0048489C"/>
    <w:rsid w:val="004848B9"/>
    <w:rsid w:val="00484BC6"/>
    <w:rsid w:val="00484DC5"/>
    <w:rsid w:val="0048552C"/>
    <w:rsid w:val="00485675"/>
    <w:rsid w:val="00485A1A"/>
    <w:rsid w:val="00486079"/>
    <w:rsid w:val="0048628B"/>
    <w:rsid w:val="00486541"/>
    <w:rsid w:val="00486953"/>
    <w:rsid w:val="00486B5D"/>
    <w:rsid w:val="00486C91"/>
    <w:rsid w:val="00487052"/>
    <w:rsid w:val="004872E7"/>
    <w:rsid w:val="0048762B"/>
    <w:rsid w:val="004877A1"/>
    <w:rsid w:val="00487898"/>
    <w:rsid w:val="00487B53"/>
    <w:rsid w:val="00487C85"/>
    <w:rsid w:val="00487CEC"/>
    <w:rsid w:val="00487E53"/>
    <w:rsid w:val="0049074C"/>
    <w:rsid w:val="004909BA"/>
    <w:rsid w:val="00490B0A"/>
    <w:rsid w:val="00490BEC"/>
    <w:rsid w:val="00490DC4"/>
    <w:rsid w:val="00490EA5"/>
    <w:rsid w:val="00491418"/>
    <w:rsid w:val="00491B20"/>
    <w:rsid w:val="00491E29"/>
    <w:rsid w:val="0049208E"/>
    <w:rsid w:val="0049256F"/>
    <w:rsid w:val="00492AEC"/>
    <w:rsid w:val="00492B55"/>
    <w:rsid w:val="00492EE4"/>
    <w:rsid w:val="0049314E"/>
    <w:rsid w:val="004931E4"/>
    <w:rsid w:val="004933FE"/>
    <w:rsid w:val="0049341D"/>
    <w:rsid w:val="00493A58"/>
    <w:rsid w:val="00493E49"/>
    <w:rsid w:val="00494562"/>
    <w:rsid w:val="00494636"/>
    <w:rsid w:val="004948B8"/>
    <w:rsid w:val="00494A3D"/>
    <w:rsid w:val="00494F64"/>
    <w:rsid w:val="004950A4"/>
    <w:rsid w:val="0049516D"/>
    <w:rsid w:val="00495266"/>
    <w:rsid w:val="004952C7"/>
    <w:rsid w:val="00495443"/>
    <w:rsid w:val="00495594"/>
    <w:rsid w:val="00495CBE"/>
    <w:rsid w:val="00495CC2"/>
    <w:rsid w:val="00495F4C"/>
    <w:rsid w:val="00495F9A"/>
    <w:rsid w:val="00496194"/>
    <w:rsid w:val="00496948"/>
    <w:rsid w:val="00497373"/>
    <w:rsid w:val="00497714"/>
    <w:rsid w:val="00497908"/>
    <w:rsid w:val="0049794D"/>
    <w:rsid w:val="004979EE"/>
    <w:rsid w:val="00497B9F"/>
    <w:rsid w:val="00497EA4"/>
    <w:rsid w:val="00497F0E"/>
    <w:rsid w:val="004A0052"/>
    <w:rsid w:val="004A0658"/>
    <w:rsid w:val="004A09BC"/>
    <w:rsid w:val="004A0A68"/>
    <w:rsid w:val="004A0EAF"/>
    <w:rsid w:val="004A0ECD"/>
    <w:rsid w:val="004A0F71"/>
    <w:rsid w:val="004A15CB"/>
    <w:rsid w:val="004A1618"/>
    <w:rsid w:val="004A1644"/>
    <w:rsid w:val="004A179B"/>
    <w:rsid w:val="004A1B71"/>
    <w:rsid w:val="004A1EF4"/>
    <w:rsid w:val="004A1F56"/>
    <w:rsid w:val="004A2070"/>
    <w:rsid w:val="004A2084"/>
    <w:rsid w:val="004A23E2"/>
    <w:rsid w:val="004A25E3"/>
    <w:rsid w:val="004A273D"/>
    <w:rsid w:val="004A2D0A"/>
    <w:rsid w:val="004A30BB"/>
    <w:rsid w:val="004A3228"/>
    <w:rsid w:val="004A3300"/>
    <w:rsid w:val="004A334B"/>
    <w:rsid w:val="004A36B9"/>
    <w:rsid w:val="004A36F3"/>
    <w:rsid w:val="004A374C"/>
    <w:rsid w:val="004A3941"/>
    <w:rsid w:val="004A3B53"/>
    <w:rsid w:val="004A3D51"/>
    <w:rsid w:val="004A3E07"/>
    <w:rsid w:val="004A4430"/>
    <w:rsid w:val="004A4728"/>
    <w:rsid w:val="004A4908"/>
    <w:rsid w:val="004A4AFA"/>
    <w:rsid w:val="004A4ED9"/>
    <w:rsid w:val="004A4FB4"/>
    <w:rsid w:val="004A4FDF"/>
    <w:rsid w:val="004A5489"/>
    <w:rsid w:val="004A54EC"/>
    <w:rsid w:val="004A55CB"/>
    <w:rsid w:val="004A5663"/>
    <w:rsid w:val="004A566D"/>
    <w:rsid w:val="004A5742"/>
    <w:rsid w:val="004A5E73"/>
    <w:rsid w:val="004A625F"/>
    <w:rsid w:val="004A64D2"/>
    <w:rsid w:val="004A6B6A"/>
    <w:rsid w:val="004A6C6E"/>
    <w:rsid w:val="004A6F1F"/>
    <w:rsid w:val="004A7665"/>
    <w:rsid w:val="004A771D"/>
    <w:rsid w:val="004A7A49"/>
    <w:rsid w:val="004A7A52"/>
    <w:rsid w:val="004A7AB0"/>
    <w:rsid w:val="004A7C9A"/>
    <w:rsid w:val="004B02F2"/>
    <w:rsid w:val="004B05D4"/>
    <w:rsid w:val="004B09D2"/>
    <w:rsid w:val="004B0B68"/>
    <w:rsid w:val="004B0BEE"/>
    <w:rsid w:val="004B0E44"/>
    <w:rsid w:val="004B107C"/>
    <w:rsid w:val="004B1286"/>
    <w:rsid w:val="004B1379"/>
    <w:rsid w:val="004B143A"/>
    <w:rsid w:val="004B16D3"/>
    <w:rsid w:val="004B17ED"/>
    <w:rsid w:val="004B1955"/>
    <w:rsid w:val="004B19FE"/>
    <w:rsid w:val="004B1A03"/>
    <w:rsid w:val="004B1A23"/>
    <w:rsid w:val="004B1AA9"/>
    <w:rsid w:val="004B1E32"/>
    <w:rsid w:val="004B1E59"/>
    <w:rsid w:val="004B1F6D"/>
    <w:rsid w:val="004B2153"/>
    <w:rsid w:val="004B2841"/>
    <w:rsid w:val="004B2868"/>
    <w:rsid w:val="004B2A0B"/>
    <w:rsid w:val="004B2A4D"/>
    <w:rsid w:val="004B2CF1"/>
    <w:rsid w:val="004B2F45"/>
    <w:rsid w:val="004B31BE"/>
    <w:rsid w:val="004B31EC"/>
    <w:rsid w:val="004B33C2"/>
    <w:rsid w:val="004B3447"/>
    <w:rsid w:val="004B3758"/>
    <w:rsid w:val="004B387B"/>
    <w:rsid w:val="004B3D06"/>
    <w:rsid w:val="004B3D69"/>
    <w:rsid w:val="004B41AD"/>
    <w:rsid w:val="004B4212"/>
    <w:rsid w:val="004B4214"/>
    <w:rsid w:val="004B45B5"/>
    <w:rsid w:val="004B47B8"/>
    <w:rsid w:val="004B48CA"/>
    <w:rsid w:val="004B4990"/>
    <w:rsid w:val="004B4A77"/>
    <w:rsid w:val="004B4FD6"/>
    <w:rsid w:val="004B5048"/>
    <w:rsid w:val="004B51D9"/>
    <w:rsid w:val="004B521F"/>
    <w:rsid w:val="004B53DB"/>
    <w:rsid w:val="004B58A3"/>
    <w:rsid w:val="004B612A"/>
    <w:rsid w:val="004B64A3"/>
    <w:rsid w:val="004B689D"/>
    <w:rsid w:val="004B6BBE"/>
    <w:rsid w:val="004B6E00"/>
    <w:rsid w:val="004B703F"/>
    <w:rsid w:val="004B7066"/>
    <w:rsid w:val="004B7221"/>
    <w:rsid w:val="004B72D2"/>
    <w:rsid w:val="004B772A"/>
    <w:rsid w:val="004B78E7"/>
    <w:rsid w:val="004B7AB6"/>
    <w:rsid w:val="004B7CF4"/>
    <w:rsid w:val="004B7D58"/>
    <w:rsid w:val="004B7FDF"/>
    <w:rsid w:val="004C0115"/>
    <w:rsid w:val="004C02F5"/>
    <w:rsid w:val="004C0336"/>
    <w:rsid w:val="004C08A7"/>
    <w:rsid w:val="004C0A30"/>
    <w:rsid w:val="004C0AC6"/>
    <w:rsid w:val="004C0E97"/>
    <w:rsid w:val="004C0F80"/>
    <w:rsid w:val="004C1500"/>
    <w:rsid w:val="004C153B"/>
    <w:rsid w:val="004C16BB"/>
    <w:rsid w:val="004C1871"/>
    <w:rsid w:val="004C1900"/>
    <w:rsid w:val="004C1B62"/>
    <w:rsid w:val="004C1FC7"/>
    <w:rsid w:val="004C205C"/>
    <w:rsid w:val="004C205F"/>
    <w:rsid w:val="004C215A"/>
    <w:rsid w:val="004C222A"/>
    <w:rsid w:val="004C224F"/>
    <w:rsid w:val="004C2314"/>
    <w:rsid w:val="004C2348"/>
    <w:rsid w:val="004C2441"/>
    <w:rsid w:val="004C26F4"/>
    <w:rsid w:val="004C288F"/>
    <w:rsid w:val="004C291F"/>
    <w:rsid w:val="004C2A53"/>
    <w:rsid w:val="004C2AA7"/>
    <w:rsid w:val="004C2C8B"/>
    <w:rsid w:val="004C326E"/>
    <w:rsid w:val="004C36B0"/>
    <w:rsid w:val="004C3D28"/>
    <w:rsid w:val="004C3DF4"/>
    <w:rsid w:val="004C3E75"/>
    <w:rsid w:val="004C3E94"/>
    <w:rsid w:val="004C40AC"/>
    <w:rsid w:val="004C4187"/>
    <w:rsid w:val="004C4299"/>
    <w:rsid w:val="004C4373"/>
    <w:rsid w:val="004C46FB"/>
    <w:rsid w:val="004C48C8"/>
    <w:rsid w:val="004C4D4B"/>
    <w:rsid w:val="004C4DB5"/>
    <w:rsid w:val="004C4DF6"/>
    <w:rsid w:val="004C568A"/>
    <w:rsid w:val="004C598D"/>
    <w:rsid w:val="004C5FE3"/>
    <w:rsid w:val="004C6805"/>
    <w:rsid w:val="004C6A40"/>
    <w:rsid w:val="004C6A74"/>
    <w:rsid w:val="004C6CAF"/>
    <w:rsid w:val="004C6E89"/>
    <w:rsid w:val="004C7203"/>
    <w:rsid w:val="004C7271"/>
    <w:rsid w:val="004C75F3"/>
    <w:rsid w:val="004C77BF"/>
    <w:rsid w:val="004D01F0"/>
    <w:rsid w:val="004D0532"/>
    <w:rsid w:val="004D06B8"/>
    <w:rsid w:val="004D0A48"/>
    <w:rsid w:val="004D0E71"/>
    <w:rsid w:val="004D0E75"/>
    <w:rsid w:val="004D15B2"/>
    <w:rsid w:val="004D1985"/>
    <w:rsid w:val="004D19CA"/>
    <w:rsid w:val="004D1ABB"/>
    <w:rsid w:val="004D21AE"/>
    <w:rsid w:val="004D26A5"/>
    <w:rsid w:val="004D26B0"/>
    <w:rsid w:val="004D2B07"/>
    <w:rsid w:val="004D2D82"/>
    <w:rsid w:val="004D2E66"/>
    <w:rsid w:val="004D3102"/>
    <w:rsid w:val="004D3158"/>
    <w:rsid w:val="004D3204"/>
    <w:rsid w:val="004D3657"/>
    <w:rsid w:val="004D368E"/>
    <w:rsid w:val="004D36C8"/>
    <w:rsid w:val="004D378D"/>
    <w:rsid w:val="004D37C2"/>
    <w:rsid w:val="004D3897"/>
    <w:rsid w:val="004D3954"/>
    <w:rsid w:val="004D3B62"/>
    <w:rsid w:val="004D42DB"/>
    <w:rsid w:val="004D4383"/>
    <w:rsid w:val="004D4425"/>
    <w:rsid w:val="004D456B"/>
    <w:rsid w:val="004D45F8"/>
    <w:rsid w:val="004D4A4E"/>
    <w:rsid w:val="004D4BDE"/>
    <w:rsid w:val="004D4C65"/>
    <w:rsid w:val="004D4D74"/>
    <w:rsid w:val="004D5467"/>
    <w:rsid w:val="004D54B1"/>
    <w:rsid w:val="004D54F5"/>
    <w:rsid w:val="004D55E5"/>
    <w:rsid w:val="004D5739"/>
    <w:rsid w:val="004D5961"/>
    <w:rsid w:val="004D59D4"/>
    <w:rsid w:val="004D5A88"/>
    <w:rsid w:val="004D5ADD"/>
    <w:rsid w:val="004D5B0B"/>
    <w:rsid w:val="004D5C76"/>
    <w:rsid w:val="004D65C6"/>
    <w:rsid w:val="004D680E"/>
    <w:rsid w:val="004D6834"/>
    <w:rsid w:val="004D6A5B"/>
    <w:rsid w:val="004D6E76"/>
    <w:rsid w:val="004D6EC4"/>
    <w:rsid w:val="004D75EB"/>
    <w:rsid w:val="004D780C"/>
    <w:rsid w:val="004D7A47"/>
    <w:rsid w:val="004D7DD5"/>
    <w:rsid w:val="004D7DF2"/>
    <w:rsid w:val="004D7E17"/>
    <w:rsid w:val="004D7EB4"/>
    <w:rsid w:val="004D7EFD"/>
    <w:rsid w:val="004E098D"/>
    <w:rsid w:val="004E1081"/>
    <w:rsid w:val="004E1280"/>
    <w:rsid w:val="004E14F6"/>
    <w:rsid w:val="004E17C7"/>
    <w:rsid w:val="004E18EA"/>
    <w:rsid w:val="004E1A39"/>
    <w:rsid w:val="004E1DEF"/>
    <w:rsid w:val="004E1E98"/>
    <w:rsid w:val="004E208D"/>
    <w:rsid w:val="004E20D0"/>
    <w:rsid w:val="004E26C2"/>
    <w:rsid w:val="004E2740"/>
    <w:rsid w:val="004E2934"/>
    <w:rsid w:val="004E2BD6"/>
    <w:rsid w:val="004E32C5"/>
    <w:rsid w:val="004E3968"/>
    <w:rsid w:val="004E3DC1"/>
    <w:rsid w:val="004E47B0"/>
    <w:rsid w:val="004E4CE8"/>
    <w:rsid w:val="004E53DE"/>
    <w:rsid w:val="004E57B0"/>
    <w:rsid w:val="004E5848"/>
    <w:rsid w:val="004E5920"/>
    <w:rsid w:val="004E59C9"/>
    <w:rsid w:val="004E5AD6"/>
    <w:rsid w:val="004E602C"/>
    <w:rsid w:val="004E68C5"/>
    <w:rsid w:val="004E699C"/>
    <w:rsid w:val="004E6CC2"/>
    <w:rsid w:val="004E71ED"/>
    <w:rsid w:val="004E74D2"/>
    <w:rsid w:val="004E74D6"/>
    <w:rsid w:val="004E782A"/>
    <w:rsid w:val="004E798B"/>
    <w:rsid w:val="004E7BEE"/>
    <w:rsid w:val="004E7DA4"/>
    <w:rsid w:val="004E7DF1"/>
    <w:rsid w:val="004E7FA7"/>
    <w:rsid w:val="004E7FBF"/>
    <w:rsid w:val="004F0078"/>
    <w:rsid w:val="004F049C"/>
    <w:rsid w:val="004F04B5"/>
    <w:rsid w:val="004F084D"/>
    <w:rsid w:val="004F1128"/>
    <w:rsid w:val="004F1227"/>
    <w:rsid w:val="004F1316"/>
    <w:rsid w:val="004F1458"/>
    <w:rsid w:val="004F147E"/>
    <w:rsid w:val="004F1787"/>
    <w:rsid w:val="004F1B27"/>
    <w:rsid w:val="004F2115"/>
    <w:rsid w:val="004F24C0"/>
    <w:rsid w:val="004F24C6"/>
    <w:rsid w:val="004F25B9"/>
    <w:rsid w:val="004F26A1"/>
    <w:rsid w:val="004F2BDF"/>
    <w:rsid w:val="004F2F2A"/>
    <w:rsid w:val="004F2F9B"/>
    <w:rsid w:val="004F3A78"/>
    <w:rsid w:val="004F3D54"/>
    <w:rsid w:val="004F3D8E"/>
    <w:rsid w:val="004F3ECB"/>
    <w:rsid w:val="004F3F80"/>
    <w:rsid w:val="004F44F0"/>
    <w:rsid w:val="004F4B1E"/>
    <w:rsid w:val="004F5E03"/>
    <w:rsid w:val="004F5EFD"/>
    <w:rsid w:val="004F60E3"/>
    <w:rsid w:val="004F6101"/>
    <w:rsid w:val="004F65A1"/>
    <w:rsid w:val="004F664A"/>
    <w:rsid w:val="004F6655"/>
    <w:rsid w:val="004F6685"/>
    <w:rsid w:val="004F6851"/>
    <w:rsid w:val="004F685B"/>
    <w:rsid w:val="004F6AD3"/>
    <w:rsid w:val="004F6B12"/>
    <w:rsid w:val="004F7005"/>
    <w:rsid w:val="004F70C7"/>
    <w:rsid w:val="004F7157"/>
    <w:rsid w:val="004F7542"/>
    <w:rsid w:val="004F7587"/>
    <w:rsid w:val="004F7A6D"/>
    <w:rsid w:val="004F7BE1"/>
    <w:rsid w:val="004F7E82"/>
    <w:rsid w:val="004F7F52"/>
    <w:rsid w:val="004F7F6E"/>
    <w:rsid w:val="00500043"/>
    <w:rsid w:val="00500672"/>
    <w:rsid w:val="00500922"/>
    <w:rsid w:val="00500A47"/>
    <w:rsid w:val="00500AD4"/>
    <w:rsid w:val="00500C70"/>
    <w:rsid w:val="00500CC2"/>
    <w:rsid w:val="00500D6A"/>
    <w:rsid w:val="00500DDF"/>
    <w:rsid w:val="00501166"/>
    <w:rsid w:val="00501386"/>
    <w:rsid w:val="005018A3"/>
    <w:rsid w:val="00501AED"/>
    <w:rsid w:val="00501BD9"/>
    <w:rsid w:val="00501C25"/>
    <w:rsid w:val="00501C70"/>
    <w:rsid w:val="00501E53"/>
    <w:rsid w:val="00501FDA"/>
    <w:rsid w:val="0050238C"/>
    <w:rsid w:val="00502390"/>
    <w:rsid w:val="005027A6"/>
    <w:rsid w:val="0050284F"/>
    <w:rsid w:val="00502DAE"/>
    <w:rsid w:val="00502FFB"/>
    <w:rsid w:val="00503164"/>
    <w:rsid w:val="0050319F"/>
    <w:rsid w:val="005035CB"/>
    <w:rsid w:val="005038A0"/>
    <w:rsid w:val="00503B7B"/>
    <w:rsid w:val="00503C28"/>
    <w:rsid w:val="00503C55"/>
    <w:rsid w:val="00503D18"/>
    <w:rsid w:val="00503E36"/>
    <w:rsid w:val="005040A7"/>
    <w:rsid w:val="0050423B"/>
    <w:rsid w:val="005042B0"/>
    <w:rsid w:val="00504362"/>
    <w:rsid w:val="005045C5"/>
    <w:rsid w:val="005048D4"/>
    <w:rsid w:val="00504A5F"/>
    <w:rsid w:val="00504A82"/>
    <w:rsid w:val="00504B11"/>
    <w:rsid w:val="00504C8F"/>
    <w:rsid w:val="00504D2A"/>
    <w:rsid w:val="00504F5C"/>
    <w:rsid w:val="00505593"/>
    <w:rsid w:val="005058B8"/>
    <w:rsid w:val="00505A6B"/>
    <w:rsid w:val="00505D2D"/>
    <w:rsid w:val="00505E19"/>
    <w:rsid w:val="005063BD"/>
    <w:rsid w:val="00506688"/>
    <w:rsid w:val="005067F2"/>
    <w:rsid w:val="00506861"/>
    <w:rsid w:val="00506E96"/>
    <w:rsid w:val="00506E9E"/>
    <w:rsid w:val="00507184"/>
    <w:rsid w:val="005079AC"/>
    <w:rsid w:val="00507C6D"/>
    <w:rsid w:val="00507D88"/>
    <w:rsid w:val="00507D9C"/>
    <w:rsid w:val="00507E06"/>
    <w:rsid w:val="00510221"/>
    <w:rsid w:val="005102A9"/>
    <w:rsid w:val="00510386"/>
    <w:rsid w:val="005103C5"/>
    <w:rsid w:val="00510677"/>
    <w:rsid w:val="005106E0"/>
    <w:rsid w:val="00510893"/>
    <w:rsid w:val="00510BD3"/>
    <w:rsid w:val="0051100D"/>
    <w:rsid w:val="005112B5"/>
    <w:rsid w:val="005112CD"/>
    <w:rsid w:val="005112D5"/>
    <w:rsid w:val="00511641"/>
    <w:rsid w:val="00511CFB"/>
    <w:rsid w:val="00511E3A"/>
    <w:rsid w:val="005124B6"/>
    <w:rsid w:val="00512521"/>
    <w:rsid w:val="00512690"/>
    <w:rsid w:val="00512AD4"/>
    <w:rsid w:val="00512B19"/>
    <w:rsid w:val="00512BCC"/>
    <w:rsid w:val="00512D9C"/>
    <w:rsid w:val="00512EF1"/>
    <w:rsid w:val="0051313A"/>
    <w:rsid w:val="005131D3"/>
    <w:rsid w:val="005134B8"/>
    <w:rsid w:val="0051352C"/>
    <w:rsid w:val="00513B05"/>
    <w:rsid w:val="00513B37"/>
    <w:rsid w:val="00513C7E"/>
    <w:rsid w:val="00513D04"/>
    <w:rsid w:val="00513E12"/>
    <w:rsid w:val="005140A5"/>
    <w:rsid w:val="0051457D"/>
    <w:rsid w:val="00514699"/>
    <w:rsid w:val="00514892"/>
    <w:rsid w:val="00514A98"/>
    <w:rsid w:val="00514BC7"/>
    <w:rsid w:val="00514FBB"/>
    <w:rsid w:val="00514FC2"/>
    <w:rsid w:val="00515230"/>
    <w:rsid w:val="00515497"/>
    <w:rsid w:val="00515745"/>
    <w:rsid w:val="00515853"/>
    <w:rsid w:val="005159C2"/>
    <w:rsid w:val="00515B32"/>
    <w:rsid w:val="00515BFA"/>
    <w:rsid w:val="00515CE3"/>
    <w:rsid w:val="00515CED"/>
    <w:rsid w:val="00515DC2"/>
    <w:rsid w:val="00515F82"/>
    <w:rsid w:val="00516334"/>
    <w:rsid w:val="00516466"/>
    <w:rsid w:val="005164B9"/>
    <w:rsid w:val="00516505"/>
    <w:rsid w:val="0051686B"/>
    <w:rsid w:val="00516C87"/>
    <w:rsid w:val="00516CCE"/>
    <w:rsid w:val="00516D92"/>
    <w:rsid w:val="00516DAA"/>
    <w:rsid w:val="0051707F"/>
    <w:rsid w:val="00517661"/>
    <w:rsid w:val="00517A86"/>
    <w:rsid w:val="00517AFF"/>
    <w:rsid w:val="00517E0A"/>
    <w:rsid w:val="0052012F"/>
    <w:rsid w:val="005207C7"/>
    <w:rsid w:val="00520ED4"/>
    <w:rsid w:val="00521038"/>
    <w:rsid w:val="005210E3"/>
    <w:rsid w:val="005210F8"/>
    <w:rsid w:val="005213D6"/>
    <w:rsid w:val="0052152A"/>
    <w:rsid w:val="00521708"/>
    <w:rsid w:val="00521DC3"/>
    <w:rsid w:val="00522690"/>
    <w:rsid w:val="00522950"/>
    <w:rsid w:val="00522EA3"/>
    <w:rsid w:val="00523311"/>
    <w:rsid w:val="00523367"/>
    <w:rsid w:val="005233B6"/>
    <w:rsid w:val="0052349D"/>
    <w:rsid w:val="00523630"/>
    <w:rsid w:val="005236B1"/>
    <w:rsid w:val="00523911"/>
    <w:rsid w:val="00523B09"/>
    <w:rsid w:val="00523F04"/>
    <w:rsid w:val="00524BE8"/>
    <w:rsid w:val="00524CEE"/>
    <w:rsid w:val="00524E23"/>
    <w:rsid w:val="00524E39"/>
    <w:rsid w:val="005252E1"/>
    <w:rsid w:val="005255A7"/>
    <w:rsid w:val="005256DB"/>
    <w:rsid w:val="0052575D"/>
    <w:rsid w:val="0052592F"/>
    <w:rsid w:val="005259F4"/>
    <w:rsid w:val="00525A0A"/>
    <w:rsid w:val="00525BA3"/>
    <w:rsid w:val="00526163"/>
    <w:rsid w:val="0052616D"/>
    <w:rsid w:val="00526204"/>
    <w:rsid w:val="0052625B"/>
    <w:rsid w:val="00526288"/>
    <w:rsid w:val="00526311"/>
    <w:rsid w:val="005268AF"/>
    <w:rsid w:val="0052694B"/>
    <w:rsid w:val="00526C92"/>
    <w:rsid w:val="00526D24"/>
    <w:rsid w:val="00526DC3"/>
    <w:rsid w:val="00526EC1"/>
    <w:rsid w:val="0052710F"/>
    <w:rsid w:val="005273C7"/>
    <w:rsid w:val="00527489"/>
    <w:rsid w:val="005275FC"/>
    <w:rsid w:val="00527629"/>
    <w:rsid w:val="0052768C"/>
    <w:rsid w:val="00527EB8"/>
    <w:rsid w:val="005300A1"/>
    <w:rsid w:val="00530183"/>
    <w:rsid w:val="005305E5"/>
    <w:rsid w:val="00530889"/>
    <w:rsid w:val="00530896"/>
    <w:rsid w:val="005308DF"/>
    <w:rsid w:val="005308EF"/>
    <w:rsid w:val="00530A76"/>
    <w:rsid w:val="00530D82"/>
    <w:rsid w:val="00530DB4"/>
    <w:rsid w:val="00530EBC"/>
    <w:rsid w:val="005310AF"/>
    <w:rsid w:val="005312EC"/>
    <w:rsid w:val="0053199F"/>
    <w:rsid w:val="005319EB"/>
    <w:rsid w:val="00531C21"/>
    <w:rsid w:val="00531E73"/>
    <w:rsid w:val="00531FC6"/>
    <w:rsid w:val="0053210F"/>
    <w:rsid w:val="005322B5"/>
    <w:rsid w:val="005322FE"/>
    <w:rsid w:val="00532398"/>
    <w:rsid w:val="005323D6"/>
    <w:rsid w:val="00532440"/>
    <w:rsid w:val="00532584"/>
    <w:rsid w:val="005325A4"/>
    <w:rsid w:val="005329AC"/>
    <w:rsid w:val="00532D1C"/>
    <w:rsid w:val="00532E7D"/>
    <w:rsid w:val="00533B35"/>
    <w:rsid w:val="00533B39"/>
    <w:rsid w:val="00533CB1"/>
    <w:rsid w:val="0053414C"/>
    <w:rsid w:val="00534194"/>
    <w:rsid w:val="005342C3"/>
    <w:rsid w:val="005342CC"/>
    <w:rsid w:val="00534459"/>
    <w:rsid w:val="00534816"/>
    <w:rsid w:val="005348BE"/>
    <w:rsid w:val="00534BCF"/>
    <w:rsid w:val="00535039"/>
    <w:rsid w:val="00535479"/>
    <w:rsid w:val="00535760"/>
    <w:rsid w:val="00535A52"/>
    <w:rsid w:val="00535B3A"/>
    <w:rsid w:val="00535E2E"/>
    <w:rsid w:val="00535E5C"/>
    <w:rsid w:val="00535F9C"/>
    <w:rsid w:val="005362F5"/>
    <w:rsid w:val="0053681B"/>
    <w:rsid w:val="00536882"/>
    <w:rsid w:val="005368E1"/>
    <w:rsid w:val="00536D71"/>
    <w:rsid w:val="005370AA"/>
    <w:rsid w:val="00537227"/>
    <w:rsid w:val="0053725B"/>
    <w:rsid w:val="005374CA"/>
    <w:rsid w:val="0053754B"/>
    <w:rsid w:val="00537600"/>
    <w:rsid w:val="00537606"/>
    <w:rsid w:val="0053768D"/>
    <w:rsid w:val="0053790A"/>
    <w:rsid w:val="005379AC"/>
    <w:rsid w:val="00537E22"/>
    <w:rsid w:val="005400FB"/>
    <w:rsid w:val="005401FA"/>
    <w:rsid w:val="00540393"/>
    <w:rsid w:val="005409A8"/>
    <w:rsid w:val="00540C57"/>
    <w:rsid w:val="0054102F"/>
    <w:rsid w:val="005411FB"/>
    <w:rsid w:val="0054124A"/>
    <w:rsid w:val="005412D8"/>
    <w:rsid w:val="00541A70"/>
    <w:rsid w:val="00541ABB"/>
    <w:rsid w:val="00541B58"/>
    <w:rsid w:val="00542137"/>
    <w:rsid w:val="005422F8"/>
    <w:rsid w:val="0054254B"/>
    <w:rsid w:val="00542569"/>
    <w:rsid w:val="00542792"/>
    <w:rsid w:val="005427F0"/>
    <w:rsid w:val="005430E1"/>
    <w:rsid w:val="005431B5"/>
    <w:rsid w:val="005437A4"/>
    <w:rsid w:val="005437D5"/>
    <w:rsid w:val="00543FBC"/>
    <w:rsid w:val="00544587"/>
    <w:rsid w:val="00544708"/>
    <w:rsid w:val="005449FB"/>
    <w:rsid w:val="00544A57"/>
    <w:rsid w:val="00544C23"/>
    <w:rsid w:val="00544EEA"/>
    <w:rsid w:val="00545431"/>
    <w:rsid w:val="00545685"/>
    <w:rsid w:val="00545E79"/>
    <w:rsid w:val="00545EE7"/>
    <w:rsid w:val="005460A9"/>
    <w:rsid w:val="005463C7"/>
    <w:rsid w:val="00546652"/>
    <w:rsid w:val="00546924"/>
    <w:rsid w:val="00546D29"/>
    <w:rsid w:val="00546E7B"/>
    <w:rsid w:val="00547387"/>
    <w:rsid w:val="005477D2"/>
    <w:rsid w:val="00547A0F"/>
    <w:rsid w:val="00547BCB"/>
    <w:rsid w:val="0054E1CE"/>
    <w:rsid w:val="005500ED"/>
    <w:rsid w:val="005501D1"/>
    <w:rsid w:val="005502AD"/>
    <w:rsid w:val="0055030A"/>
    <w:rsid w:val="00550460"/>
    <w:rsid w:val="00550591"/>
    <w:rsid w:val="005507A1"/>
    <w:rsid w:val="005507AC"/>
    <w:rsid w:val="00550877"/>
    <w:rsid w:val="0055110B"/>
    <w:rsid w:val="00551274"/>
    <w:rsid w:val="0055155B"/>
    <w:rsid w:val="00551999"/>
    <w:rsid w:val="0055255F"/>
    <w:rsid w:val="0055256C"/>
    <w:rsid w:val="00552AE3"/>
    <w:rsid w:val="00552E59"/>
    <w:rsid w:val="00553192"/>
    <w:rsid w:val="005531BD"/>
    <w:rsid w:val="005531C5"/>
    <w:rsid w:val="005531FC"/>
    <w:rsid w:val="005532F0"/>
    <w:rsid w:val="0055333A"/>
    <w:rsid w:val="00553759"/>
    <w:rsid w:val="00553893"/>
    <w:rsid w:val="00553914"/>
    <w:rsid w:val="00553B3C"/>
    <w:rsid w:val="00553B81"/>
    <w:rsid w:val="00553E75"/>
    <w:rsid w:val="00553EC9"/>
    <w:rsid w:val="0055410E"/>
    <w:rsid w:val="005542B8"/>
    <w:rsid w:val="00554374"/>
    <w:rsid w:val="005545B1"/>
    <w:rsid w:val="0055462A"/>
    <w:rsid w:val="00554AB8"/>
    <w:rsid w:val="00554B43"/>
    <w:rsid w:val="00555563"/>
    <w:rsid w:val="005555ED"/>
    <w:rsid w:val="00555821"/>
    <w:rsid w:val="0055589E"/>
    <w:rsid w:val="0055590C"/>
    <w:rsid w:val="00555924"/>
    <w:rsid w:val="00556703"/>
    <w:rsid w:val="005567B2"/>
    <w:rsid w:val="005568C0"/>
    <w:rsid w:val="00556A96"/>
    <w:rsid w:val="00556B0E"/>
    <w:rsid w:val="00556B21"/>
    <w:rsid w:val="00556C1E"/>
    <w:rsid w:val="00556D19"/>
    <w:rsid w:val="00556F80"/>
    <w:rsid w:val="0055750D"/>
    <w:rsid w:val="00557870"/>
    <w:rsid w:val="00557C56"/>
    <w:rsid w:val="00560262"/>
    <w:rsid w:val="00560277"/>
    <w:rsid w:val="005604F1"/>
    <w:rsid w:val="005606F4"/>
    <w:rsid w:val="00560938"/>
    <w:rsid w:val="00560AB8"/>
    <w:rsid w:val="00560AF1"/>
    <w:rsid w:val="00560CB0"/>
    <w:rsid w:val="0056122D"/>
    <w:rsid w:val="0056129C"/>
    <w:rsid w:val="00561562"/>
    <w:rsid w:val="00561B71"/>
    <w:rsid w:val="00561C4B"/>
    <w:rsid w:val="00561C6B"/>
    <w:rsid w:val="00561F4F"/>
    <w:rsid w:val="00562376"/>
    <w:rsid w:val="0056248F"/>
    <w:rsid w:val="0056265D"/>
    <w:rsid w:val="00562679"/>
    <w:rsid w:val="0056268A"/>
    <w:rsid w:val="00562904"/>
    <w:rsid w:val="00562A13"/>
    <w:rsid w:val="00562C43"/>
    <w:rsid w:val="00562EA6"/>
    <w:rsid w:val="005630B3"/>
    <w:rsid w:val="00563A04"/>
    <w:rsid w:val="00563DE6"/>
    <w:rsid w:val="00563E9F"/>
    <w:rsid w:val="00564580"/>
    <w:rsid w:val="00564930"/>
    <w:rsid w:val="00564B66"/>
    <w:rsid w:val="00564B83"/>
    <w:rsid w:val="00564EA5"/>
    <w:rsid w:val="00565045"/>
    <w:rsid w:val="005650EA"/>
    <w:rsid w:val="005651A9"/>
    <w:rsid w:val="0056528D"/>
    <w:rsid w:val="00565312"/>
    <w:rsid w:val="00565373"/>
    <w:rsid w:val="00565404"/>
    <w:rsid w:val="005654B7"/>
    <w:rsid w:val="00565673"/>
    <w:rsid w:val="00565A6E"/>
    <w:rsid w:val="00565B47"/>
    <w:rsid w:val="00565BFE"/>
    <w:rsid w:val="00565C76"/>
    <w:rsid w:val="00565EBC"/>
    <w:rsid w:val="00566192"/>
    <w:rsid w:val="0056628B"/>
    <w:rsid w:val="00566298"/>
    <w:rsid w:val="0056637C"/>
    <w:rsid w:val="0056667E"/>
    <w:rsid w:val="005667C3"/>
    <w:rsid w:val="005668F4"/>
    <w:rsid w:val="00566986"/>
    <w:rsid w:val="00566D2E"/>
    <w:rsid w:val="00566F1A"/>
    <w:rsid w:val="005670DF"/>
    <w:rsid w:val="00567626"/>
    <w:rsid w:val="005676FE"/>
    <w:rsid w:val="00567729"/>
    <w:rsid w:val="00567BD1"/>
    <w:rsid w:val="00567D41"/>
    <w:rsid w:val="00567DC6"/>
    <w:rsid w:val="0057008F"/>
    <w:rsid w:val="0057063D"/>
    <w:rsid w:val="0057064C"/>
    <w:rsid w:val="00570770"/>
    <w:rsid w:val="0057091E"/>
    <w:rsid w:val="00570AE3"/>
    <w:rsid w:val="00571E5F"/>
    <w:rsid w:val="00571EB6"/>
    <w:rsid w:val="005723D6"/>
    <w:rsid w:val="005723E1"/>
    <w:rsid w:val="00572476"/>
    <w:rsid w:val="00572767"/>
    <w:rsid w:val="005728DA"/>
    <w:rsid w:val="00572BAE"/>
    <w:rsid w:val="00572D2B"/>
    <w:rsid w:val="00572E37"/>
    <w:rsid w:val="00572F6C"/>
    <w:rsid w:val="00572FB7"/>
    <w:rsid w:val="00572FFE"/>
    <w:rsid w:val="005730F8"/>
    <w:rsid w:val="00573815"/>
    <w:rsid w:val="00573B65"/>
    <w:rsid w:val="00573D2D"/>
    <w:rsid w:val="00573EE7"/>
    <w:rsid w:val="00574063"/>
    <w:rsid w:val="005740F8"/>
    <w:rsid w:val="00574105"/>
    <w:rsid w:val="00574425"/>
    <w:rsid w:val="005745D1"/>
    <w:rsid w:val="005747C0"/>
    <w:rsid w:val="00574A6E"/>
    <w:rsid w:val="00574F99"/>
    <w:rsid w:val="00575030"/>
    <w:rsid w:val="00575109"/>
    <w:rsid w:val="00575201"/>
    <w:rsid w:val="005752CA"/>
    <w:rsid w:val="0057537F"/>
    <w:rsid w:val="00575413"/>
    <w:rsid w:val="0057545A"/>
    <w:rsid w:val="00575C08"/>
    <w:rsid w:val="00575D5B"/>
    <w:rsid w:val="0057601C"/>
    <w:rsid w:val="0057601D"/>
    <w:rsid w:val="00576053"/>
    <w:rsid w:val="0057643A"/>
    <w:rsid w:val="00576620"/>
    <w:rsid w:val="00576B99"/>
    <w:rsid w:val="00576E6C"/>
    <w:rsid w:val="00577145"/>
    <w:rsid w:val="00577219"/>
    <w:rsid w:val="005773AE"/>
    <w:rsid w:val="005773BE"/>
    <w:rsid w:val="005775B5"/>
    <w:rsid w:val="00577A9C"/>
    <w:rsid w:val="00577C6D"/>
    <w:rsid w:val="00580061"/>
    <w:rsid w:val="00580105"/>
    <w:rsid w:val="0058070D"/>
    <w:rsid w:val="005808F5"/>
    <w:rsid w:val="005809A3"/>
    <w:rsid w:val="00580AF7"/>
    <w:rsid w:val="00580C66"/>
    <w:rsid w:val="00580D44"/>
    <w:rsid w:val="0058159A"/>
    <w:rsid w:val="0058185E"/>
    <w:rsid w:val="0058190B"/>
    <w:rsid w:val="00581CDA"/>
    <w:rsid w:val="00581FA6"/>
    <w:rsid w:val="00582213"/>
    <w:rsid w:val="00582365"/>
    <w:rsid w:val="005824BF"/>
    <w:rsid w:val="00582B0D"/>
    <w:rsid w:val="00582C6A"/>
    <w:rsid w:val="005833AA"/>
    <w:rsid w:val="0058394C"/>
    <w:rsid w:val="00583BA0"/>
    <w:rsid w:val="00583E6D"/>
    <w:rsid w:val="00583F1A"/>
    <w:rsid w:val="0058401A"/>
    <w:rsid w:val="005843D9"/>
    <w:rsid w:val="005848DD"/>
    <w:rsid w:val="00584AD3"/>
    <w:rsid w:val="00584C8B"/>
    <w:rsid w:val="00584CF7"/>
    <w:rsid w:val="00584ECB"/>
    <w:rsid w:val="0058538D"/>
    <w:rsid w:val="0058541E"/>
    <w:rsid w:val="00585628"/>
    <w:rsid w:val="00585702"/>
    <w:rsid w:val="00585778"/>
    <w:rsid w:val="00585779"/>
    <w:rsid w:val="0058592A"/>
    <w:rsid w:val="00585B0D"/>
    <w:rsid w:val="00585C1B"/>
    <w:rsid w:val="00585DED"/>
    <w:rsid w:val="00585E9C"/>
    <w:rsid w:val="00585F84"/>
    <w:rsid w:val="00586287"/>
    <w:rsid w:val="0058688E"/>
    <w:rsid w:val="00586AE9"/>
    <w:rsid w:val="00586D32"/>
    <w:rsid w:val="00586D9C"/>
    <w:rsid w:val="00586F61"/>
    <w:rsid w:val="005870C1"/>
    <w:rsid w:val="005872DF"/>
    <w:rsid w:val="00587582"/>
    <w:rsid w:val="00587639"/>
    <w:rsid w:val="0058769D"/>
    <w:rsid w:val="00587FDE"/>
    <w:rsid w:val="00590054"/>
    <w:rsid w:val="0059046D"/>
    <w:rsid w:val="00590A4F"/>
    <w:rsid w:val="00590ABF"/>
    <w:rsid w:val="00590F33"/>
    <w:rsid w:val="00590FE2"/>
    <w:rsid w:val="005912E1"/>
    <w:rsid w:val="00591382"/>
    <w:rsid w:val="0059157B"/>
    <w:rsid w:val="005915B1"/>
    <w:rsid w:val="005916CC"/>
    <w:rsid w:val="005916D9"/>
    <w:rsid w:val="005917A8"/>
    <w:rsid w:val="00591981"/>
    <w:rsid w:val="005922DB"/>
    <w:rsid w:val="00592306"/>
    <w:rsid w:val="00592551"/>
    <w:rsid w:val="00592638"/>
    <w:rsid w:val="0059280A"/>
    <w:rsid w:val="00592A50"/>
    <w:rsid w:val="00592AA1"/>
    <w:rsid w:val="00592B87"/>
    <w:rsid w:val="00592D07"/>
    <w:rsid w:val="00592D9A"/>
    <w:rsid w:val="00593014"/>
    <w:rsid w:val="005930A0"/>
    <w:rsid w:val="00593138"/>
    <w:rsid w:val="00593161"/>
    <w:rsid w:val="0059345E"/>
    <w:rsid w:val="0059370C"/>
    <w:rsid w:val="00593A33"/>
    <w:rsid w:val="00593A45"/>
    <w:rsid w:val="00593CA3"/>
    <w:rsid w:val="00593D7D"/>
    <w:rsid w:val="00593F2A"/>
    <w:rsid w:val="005947B5"/>
    <w:rsid w:val="005948D2"/>
    <w:rsid w:val="005949BD"/>
    <w:rsid w:val="00594F63"/>
    <w:rsid w:val="0059534A"/>
    <w:rsid w:val="00595AEF"/>
    <w:rsid w:val="005960BB"/>
    <w:rsid w:val="005969A0"/>
    <w:rsid w:val="00596A3B"/>
    <w:rsid w:val="00596D31"/>
    <w:rsid w:val="00596DF0"/>
    <w:rsid w:val="00597083"/>
    <w:rsid w:val="00597134"/>
    <w:rsid w:val="00597383"/>
    <w:rsid w:val="00597407"/>
    <w:rsid w:val="00597939"/>
    <w:rsid w:val="0059799A"/>
    <w:rsid w:val="00597E6E"/>
    <w:rsid w:val="00597EC8"/>
    <w:rsid w:val="00597EE9"/>
    <w:rsid w:val="005A0121"/>
    <w:rsid w:val="005A0496"/>
    <w:rsid w:val="005A06DE"/>
    <w:rsid w:val="005A072A"/>
    <w:rsid w:val="005A08D5"/>
    <w:rsid w:val="005A0D24"/>
    <w:rsid w:val="005A11A8"/>
    <w:rsid w:val="005A1489"/>
    <w:rsid w:val="005A16F1"/>
    <w:rsid w:val="005A1749"/>
    <w:rsid w:val="005A18EB"/>
    <w:rsid w:val="005A1B4D"/>
    <w:rsid w:val="005A20FE"/>
    <w:rsid w:val="005A25DB"/>
    <w:rsid w:val="005A2660"/>
    <w:rsid w:val="005A2D9E"/>
    <w:rsid w:val="005A3835"/>
    <w:rsid w:val="005A3989"/>
    <w:rsid w:val="005A3C4E"/>
    <w:rsid w:val="005A3C8E"/>
    <w:rsid w:val="005A3D1E"/>
    <w:rsid w:val="005A4047"/>
    <w:rsid w:val="005A4384"/>
    <w:rsid w:val="005A4601"/>
    <w:rsid w:val="005A47EE"/>
    <w:rsid w:val="005A4831"/>
    <w:rsid w:val="005A48D3"/>
    <w:rsid w:val="005A4A86"/>
    <w:rsid w:val="005A4B7C"/>
    <w:rsid w:val="005A4D56"/>
    <w:rsid w:val="005A4F7C"/>
    <w:rsid w:val="005A5426"/>
    <w:rsid w:val="005A55AA"/>
    <w:rsid w:val="005A57EB"/>
    <w:rsid w:val="005A583B"/>
    <w:rsid w:val="005A5A1A"/>
    <w:rsid w:val="005A5C8A"/>
    <w:rsid w:val="005A63CE"/>
    <w:rsid w:val="005A653E"/>
    <w:rsid w:val="005A65CB"/>
    <w:rsid w:val="005A695B"/>
    <w:rsid w:val="005A697F"/>
    <w:rsid w:val="005A6C3C"/>
    <w:rsid w:val="005A6CF8"/>
    <w:rsid w:val="005A6DD7"/>
    <w:rsid w:val="005A6FFF"/>
    <w:rsid w:val="005A7012"/>
    <w:rsid w:val="005A7969"/>
    <w:rsid w:val="005A79E1"/>
    <w:rsid w:val="005A7A5E"/>
    <w:rsid w:val="005B03A7"/>
    <w:rsid w:val="005B03B0"/>
    <w:rsid w:val="005B0659"/>
    <w:rsid w:val="005B07E7"/>
    <w:rsid w:val="005B0A8B"/>
    <w:rsid w:val="005B1B24"/>
    <w:rsid w:val="005B1C07"/>
    <w:rsid w:val="005B1EED"/>
    <w:rsid w:val="005B1F56"/>
    <w:rsid w:val="005B200D"/>
    <w:rsid w:val="005B20FE"/>
    <w:rsid w:val="005B2133"/>
    <w:rsid w:val="005B2177"/>
    <w:rsid w:val="005B24BB"/>
    <w:rsid w:val="005B25D1"/>
    <w:rsid w:val="005B2758"/>
    <w:rsid w:val="005B2B29"/>
    <w:rsid w:val="005B2EF2"/>
    <w:rsid w:val="005B3311"/>
    <w:rsid w:val="005B3432"/>
    <w:rsid w:val="005B3636"/>
    <w:rsid w:val="005B3951"/>
    <w:rsid w:val="005B3A6D"/>
    <w:rsid w:val="005B3BD6"/>
    <w:rsid w:val="005B3D22"/>
    <w:rsid w:val="005B3F0C"/>
    <w:rsid w:val="005B411A"/>
    <w:rsid w:val="005B4315"/>
    <w:rsid w:val="005B4620"/>
    <w:rsid w:val="005B4700"/>
    <w:rsid w:val="005B4B60"/>
    <w:rsid w:val="005B4BD3"/>
    <w:rsid w:val="005B4D28"/>
    <w:rsid w:val="005B4D91"/>
    <w:rsid w:val="005B4EAD"/>
    <w:rsid w:val="005B4EBB"/>
    <w:rsid w:val="005B4FB5"/>
    <w:rsid w:val="005B527D"/>
    <w:rsid w:val="005B54A4"/>
    <w:rsid w:val="005B5532"/>
    <w:rsid w:val="005B5616"/>
    <w:rsid w:val="005B5618"/>
    <w:rsid w:val="005B569D"/>
    <w:rsid w:val="005B5B88"/>
    <w:rsid w:val="005B633F"/>
    <w:rsid w:val="005B6781"/>
    <w:rsid w:val="005B6F13"/>
    <w:rsid w:val="005B6F9E"/>
    <w:rsid w:val="005B722B"/>
    <w:rsid w:val="005B768A"/>
    <w:rsid w:val="005B7856"/>
    <w:rsid w:val="005B7879"/>
    <w:rsid w:val="005B78F1"/>
    <w:rsid w:val="005B7D6C"/>
    <w:rsid w:val="005C02B4"/>
    <w:rsid w:val="005C0580"/>
    <w:rsid w:val="005C07AA"/>
    <w:rsid w:val="005C0882"/>
    <w:rsid w:val="005C1155"/>
    <w:rsid w:val="005C11D5"/>
    <w:rsid w:val="005C11EA"/>
    <w:rsid w:val="005C147B"/>
    <w:rsid w:val="005C1674"/>
    <w:rsid w:val="005C1AAA"/>
    <w:rsid w:val="005C1EA9"/>
    <w:rsid w:val="005C2122"/>
    <w:rsid w:val="005C21BF"/>
    <w:rsid w:val="005C225C"/>
    <w:rsid w:val="005C2294"/>
    <w:rsid w:val="005C22F9"/>
    <w:rsid w:val="005C242A"/>
    <w:rsid w:val="005C277D"/>
    <w:rsid w:val="005C28CC"/>
    <w:rsid w:val="005C29D6"/>
    <w:rsid w:val="005C29F7"/>
    <w:rsid w:val="005C2C20"/>
    <w:rsid w:val="005C2EE0"/>
    <w:rsid w:val="005C2FB7"/>
    <w:rsid w:val="005C332B"/>
    <w:rsid w:val="005C364C"/>
    <w:rsid w:val="005C3F9C"/>
    <w:rsid w:val="005C4574"/>
    <w:rsid w:val="005C48B3"/>
    <w:rsid w:val="005C4A6A"/>
    <w:rsid w:val="005C4FDE"/>
    <w:rsid w:val="005C553E"/>
    <w:rsid w:val="005C608A"/>
    <w:rsid w:val="005C62B0"/>
    <w:rsid w:val="005C65AA"/>
    <w:rsid w:val="005C66A3"/>
    <w:rsid w:val="005C6B2B"/>
    <w:rsid w:val="005C6E1F"/>
    <w:rsid w:val="005C70F6"/>
    <w:rsid w:val="005C7215"/>
    <w:rsid w:val="005C72AA"/>
    <w:rsid w:val="005C73C4"/>
    <w:rsid w:val="005C73FA"/>
    <w:rsid w:val="005C7600"/>
    <w:rsid w:val="005C782B"/>
    <w:rsid w:val="005C7A9F"/>
    <w:rsid w:val="005C7D72"/>
    <w:rsid w:val="005C7E11"/>
    <w:rsid w:val="005C7E6F"/>
    <w:rsid w:val="005D00EA"/>
    <w:rsid w:val="005D023B"/>
    <w:rsid w:val="005D02C4"/>
    <w:rsid w:val="005D0533"/>
    <w:rsid w:val="005D0562"/>
    <w:rsid w:val="005D05FC"/>
    <w:rsid w:val="005D0C6D"/>
    <w:rsid w:val="005D136A"/>
    <w:rsid w:val="005D13A1"/>
    <w:rsid w:val="005D13C5"/>
    <w:rsid w:val="005D1840"/>
    <w:rsid w:val="005D1B90"/>
    <w:rsid w:val="005D1FCE"/>
    <w:rsid w:val="005D20B0"/>
    <w:rsid w:val="005D2177"/>
    <w:rsid w:val="005D2235"/>
    <w:rsid w:val="005D2304"/>
    <w:rsid w:val="005D253B"/>
    <w:rsid w:val="005D2642"/>
    <w:rsid w:val="005D26BF"/>
    <w:rsid w:val="005D2769"/>
    <w:rsid w:val="005D2A45"/>
    <w:rsid w:val="005D2FCE"/>
    <w:rsid w:val="005D35B4"/>
    <w:rsid w:val="005D3640"/>
    <w:rsid w:val="005D3A04"/>
    <w:rsid w:val="005D3A7E"/>
    <w:rsid w:val="005D3CAD"/>
    <w:rsid w:val="005D3F13"/>
    <w:rsid w:val="005D3FDE"/>
    <w:rsid w:val="005D47F2"/>
    <w:rsid w:val="005D48FE"/>
    <w:rsid w:val="005D4945"/>
    <w:rsid w:val="005D4A30"/>
    <w:rsid w:val="005D4D9E"/>
    <w:rsid w:val="005D503A"/>
    <w:rsid w:val="005D546A"/>
    <w:rsid w:val="005D5711"/>
    <w:rsid w:val="005D5E07"/>
    <w:rsid w:val="005D601C"/>
    <w:rsid w:val="005D6385"/>
    <w:rsid w:val="005D640B"/>
    <w:rsid w:val="005D67F4"/>
    <w:rsid w:val="005D681A"/>
    <w:rsid w:val="005D6A9F"/>
    <w:rsid w:val="005D708E"/>
    <w:rsid w:val="005D7471"/>
    <w:rsid w:val="005D749D"/>
    <w:rsid w:val="005D7E6D"/>
    <w:rsid w:val="005D7F06"/>
    <w:rsid w:val="005E027E"/>
    <w:rsid w:val="005E051C"/>
    <w:rsid w:val="005E0785"/>
    <w:rsid w:val="005E0882"/>
    <w:rsid w:val="005E1643"/>
    <w:rsid w:val="005E1653"/>
    <w:rsid w:val="005E1859"/>
    <w:rsid w:val="005E1F6C"/>
    <w:rsid w:val="005E2175"/>
    <w:rsid w:val="005E2253"/>
    <w:rsid w:val="005E25B2"/>
    <w:rsid w:val="005E2702"/>
    <w:rsid w:val="005E27A2"/>
    <w:rsid w:val="005E2B35"/>
    <w:rsid w:val="005E2B99"/>
    <w:rsid w:val="005E2BA3"/>
    <w:rsid w:val="005E2BAE"/>
    <w:rsid w:val="005E2E67"/>
    <w:rsid w:val="005E2E80"/>
    <w:rsid w:val="005E2E81"/>
    <w:rsid w:val="005E3035"/>
    <w:rsid w:val="005E3092"/>
    <w:rsid w:val="005E31B1"/>
    <w:rsid w:val="005E3382"/>
    <w:rsid w:val="005E3407"/>
    <w:rsid w:val="005E3BD5"/>
    <w:rsid w:val="005E4028"/>
    <w:rsid w:val="005E453B"/>
    <w:rsid w:val="005E4930"/>
    <w:rsid w:val="005E4C6E"/>
    <w:rsid w:val="005E5211"/>
    <w:rsid w:val="005E54FD"/>
    <w:rsid w:val="005E56D1"/>
    <w:rsid w:val="005E5874"/>
    <w:rsid w:val="005E5CDE"/>
    <w:rsid w:val="005E613B"/>
    <w:rsid w:val="005E6165"/>
    <w:rsid w:val="005E64E0"/>
    <w:rsid w:val="005E6A4B"/>
    <w:rsid w:val="005E6C95"/>
    <w:rsid w:val="005E7137"/>
    <w:rsid w:val="005E713C"/>
    <w:rsid w:val="005E71E6"/>
    <w:rsid w:val="005E75D5"/>
    <w:rsid w:val="005E7957"/>
    <w:rsid w:val="005E7999"/>
    <w:rsid w:val="005E7CD8"/>
    <w:rsid w:val="005E7EBB"/>
    <w:rsid w:val="005E7F55"/>
    <w:rsid w:val="005F009B"/>
    <w:rsid w:val="005F0652"/>
    <w:rsid w:val="005F06D8"/>
    <w:rsid w:val="005F077C"/>
    <w:rsid w:val="005F0D2F"/>
    <w:rsid w:val="005F0D6C"/>
    <w:rsid w:val="005F0ED2"/>
    <w:rsid w:val="005F1555"/>
    <w:rsid w:val="005F16DD"/>
    <w:rsid w:val="005F192F"/>
    <w:rsid w:val="005F1954"/>
    <w:rsid w:val="005F1B76"/>
    <w:rsid w:val="005F1BF3"/>
    <w:rsid w:val="005F211F"/>
    <w:rsid w:val="005F2484"/>
    <w:rsid w:val="005F24DD"/>
    <w:rsid w:val="005F27F7"/>
    <w:rsid w:val="005F2978"/>
    <w:rsid w:val="005F2C74"/>
    <w:rsid w:val="005F311E"/>
    <w:rsid w:val="005F330C"/>
    <w:rsid w:val="005F340A"/>
    <w:rsid w:val="005F3492"/>
    <w:rsid w:val="005F35CF"/>
    <w:rsid w:val="005F3608"/>
    <w:rsid w:val="005F3DF7"/>
    <w:rsid w:val="005F3E24"/>
    <w:rsid w:val="005F41B2"/>
    <w:rsid w:val="005F42FB"/>
    <w:rsid w:val="005F43EB"/>
    <w:rsid w:val="005F4667"/>
    <w:rsid w:val="005F46B2"/>
    <w:rsid w:val="005F4721"/>
    <w:rsid w:val="005F4B00"/>
    <w:rsid w:val="005F4C35"/>
    <w:rsid w:val="005F509A"/>
    <w:rsid w:val="005F55ED"/>
    <w:rsid w:val="005F57DB"/>
    <w:rsid w:val="005F5DDE"/>
    <w:rsid w:val="005F6456"/>
    <w:rsid w:val="005F6C81"/>
    <w:rsid w:val="005F6D71"/>
    <w:rsid w:val="005F7104"/>
    <w:rsid w:val="005F720A"/>
    <w:rsid w:val="005F7478"/>
    <w:rsid w:val="005F74EF"/>
    <w:rsid w:val="005F750F"/>
    <w:rsid w:val="005F7670"/>
    <w:rsid w:val="006001C2"/>
    <w:rsid w:val="006006F9"/>
    <w:rsid w:val="00600707"/>
    <w:rsid w:val="00600B5C"/>
    <w:rsid w:val="00600B65"/>
    <w:rsid w:val="00600D1B"/>
    <w:rsid w:val="00600D39"/>
    <w:rsid w:val="006010EB"/>
    <w:rsid w:val="00601290"/>
    <w:rsid w:val="00601877"/>
    <w:rsid w:val="00601D78"/>
    <w:rsid w:val="00601DC6"/>
    <w:rsid w:val="00601DE3"/>
    <w:rsid w:val="0060206B"/>
    <w:rsid w:val="006025B1"/>
    <w:rsid w:val="00602C4B"/>
    <w:rsid w:val="00602CDA"/>
    <w:rsid w:val="00602DC5"/>
    <w:rsid w:val="00602F43"/>
    <w:rsid w:val="00602FA2"/>
    <w:rsid w:val="00603048"/>
    <w:rsid w:val="00603237"/>
    <w:rsid w:val="00603A3C"/>
    <w:rsid w:val="00603B08"/>
    <w:rsid w:val="00603B79"/>
    <w:rsid w:val="00604329"/>
    <w:rsid w:val="00604409"/>
    <w:rsid w:val="00604435"/>
    <w:rsid w:val="0060455C"/>
    <w:rsid w:val="006045BC"/>
    <w:rsid w:val="00604744"/>
    <w:rsid w:val="0060483F"/>
    <w:rsid w:val="0060486E"/>
    <w:rsid w:val="00604E04"/>
    <w:rsid w:val="00605024"/>
    <w:rsid w:val="006056E7"/>
    <w:rsid w:val="00605776"/>
    <w:rsid w:val="00605DD4"/>
    <w:rsid w:val="00606079"/>
    <w:rsid w:val="00606248"/>
    <w:rsid w:val="00606AD3"/>
    <w:rsid w:val="00606F56"/>
    <w:rsid w:val="00607092"/>
    <w:rsid w:val="00607694"/>
    <w:rsid w:val="006078EE"/>
    <w:rsid w:val="00607C62"/>
    <w:rsid w:val="00610162"/>
    <w:rsid w:val="006109D5"/>
    <w:rsid w:val="00610A8A"/>
    <w:rsid w:val="00610ABA"/>
    <w:rsid w:val="0061122D"/>
    <w:rsid w:val="0061164D"/>
    <w:rsid w:val="00611C5E"/>
    <w:rsid w:val="00611E19"/>
    <w:rsid w:val="00611F77"/>
    <w:rsid w:val="0061230C"/>
    <w:rsid w:val="006128C0"/>
    <w:rsid w:val="0061298D"/>
    <w:rsid w:val="006129EA"/>
    <w:rsid w:val="00612E13"/>
    <w:rsid w:val="00612E41"/>
    <w:rsid w:val="00613037"/>
    <w:rsid w:val="00613086"/>
    <w:rsid w:val="006135AB"/>
    <w:rsid w:val="006135C6"/>
    <w:rsid w:val="006138E4"/>
    <w:rsid w:val="006139B9"/>
    <w:rsid w:val="00613D8F"/>
    <w:rsid w:val="006144F6"/>
    <w:rsid w:val="0061467B"/>
    <w:rsid w:val="00614712"/>
    <w:rsid w:val="00614896"/>
    <w:rsid w:val="006149B8"/>
    <w:rsid w:val="00614AEB"/>
    <w:rsid w:val="00614B7A"/>
    <w:rsid w:val="00614BC2"/>
    <w:rsid w:val="00614D09"/>
    <w:rsid w:val="00614E05"/>
    <w:rsid w:val="0061585A"/>
    <w:rsid w:val="00615952"/>
    <w:rsid w:val="00615963"/>
    <w:rsid w:val="00615A34"/>
    <w:rsid w:val="00615E7D"/>
    <w:rsid w:val="00616371"/>
    <w:rsid w:val="00616407"/>
    <w:rsid w:val="006164B3"/>
    <w:rsid w:val="00616574"/>
    <w:rsid w:val="006165F1"/>
    <w:rsid w:val="00616661"/>
    <w:rsid w:val="00616746"/>
    <w:rsid w:val="00616C19"/>
    <w:rsid w:val="00616C8B"/>
    <w:rsid w:val="00616DAA"/>
    <w:rsid w:val="00616F3C"/>
    <w:rsid w:val="00617087"/>
    <w:rsid w:val="006170E2"/>
    <w:rsid w:val="0061734D"/>
    <w:rsid w:val="0061789C"/>
    <w:rsid w:val="00617AB2"/>
    <w:rsid w:val="00617D67"/>
    <w:rsid w:val="00617DF3"/>
    <w:rsid w:val="00617F92"/>
    <w:rsid w:val="00617FEF"/>
    <w:rsid w:val="00620080"/>
    <w:rsid w:val="00620196"/>
    <w:rsid w:val="00620621"/>
    <w:rsid w:val="0062070D"/>
    <w:rsid w:val="0062077D"/>
    <w:rsid w:val="00620A0A"/>
    <w:rsid w:val="00620BAB"/>
    <w:rsid w:val="00620E5A"/>
    <w:rsid w:val="00620E81"/>
    <w:rsid w:val="006210D9"/>
    <w:rsid w:val="0062127B"/>
    <w:rsid w:val="00621321"/>
    <w:rsid w:val="0062132C"/>
    <w:rsid w:val="006213CF"/>
    <w:rsid w:val="00621675"/>
    <w:rsid w:val="0062186C"/>
    <w:rsid w:val="00621A61"/>
    <w:rsid w:val="00621AA7"/>
    <w:rsid w:val="006220BF"/>
    <w:rsid w:val="00622243"/>
    <w:rsid w:val="006224D6"/>
    <w:rsid w:val="006225FE"/>
    <w:rsid w:val="00622C5A"/>
    <w:rsid w:val="0062306E"/>
    <w:rsid w:val="00623095"/>
    <w:rsid w:val="006230F0"/>
    <w:rsid w:val="0062329F"/>
    <w:rsid w:val="006232E3"/>
    <w:rsid w:val="006233EC"/>
    <w:rsid w:val="006234F9"/>
    <w:rsid w:val="00623533"/>
    <w:rsid w:val="0062359F"/>
    <w:rsid w:val="00623740"/>
    <w:rsid w:val="00623837"/>
    <w:rsid w:val="00623ABF"/>
    <w:rsid w:val="00623CE5"/>
    <w:rsid w:val="00623F4D"/>
    <w:rsid w:val="00623FAD"/>
    <w:rsid w:val="0062413A"/>
    <w:rsid w:val="006241F2"/>
    <w:rsid w:val="006243C8"/>
    <w:rsid w:val="00624936"/>
    <w:rsid w:val="00624CA7"/>
    <w:rsid w:val="00624F25"/>
    <w:rsid w:val="00624FD1"/>
    <w:rsid w:val="006250E9"/>
    <w:rsid w:val="006251AF"/>
    <w:rsid w:val="006251CC"/>
    <w:rsid w:val="00625639"/>
    <w:rsid w:val="00625830"/>
    <w:rsid w:val="00625909"/>
    <w:rsid w:val="0062591C"/>
    <w:rsid w:val="00625CB7"/>
    <w:rsid w:val="00625DAC"/>
    <w:rsid w:val="00625DE6"/>
    <w:rsid w:val="00625E0C"/>
    <w:rsid w:val="00625F14"/>
    <w:rsid w:val="00625FD1"/>
    <w:rsid w:val="0062605A"/>
    <w:rsid w:val="00626351"/>
    <w:rsid w:val="00626884"/>
    <w:rsid w:val="006269B8"/>
    <w:rsid w:val="00626CA6"/>
    <w:rsid w:val="00627287"/>
    <w:rsid w:val="00627560"/>
    <w:rsid w:val="00627A73"/>
    <w:rsid w:val="00627A8B"/>
    <w:rsid w:val="00627B30"/>
    <w:rsid w:val="00627E0D"/>
    <w:rsid w:val="00627F05"/>
    <w:rsid w:val="00630131"/>
    <w:rsid w:val="00630405"/>
    <w:rsid w:val="00630508"/>
    <w:rsid w:val="006305FA"/>
    <w:rsid w:val="0063071C"/>
    <w:rsid w:val="00630AF2"/>
    <w:rsid w:val="00630C39"/>
    <w:rsid w:val="00630C59"/>
    <w:rsid w:val="006313E1"/>
    <w:rsid w:val="006314E0"/>
    <w:rsid w:val="00631D8F"/>
    <w:rsid w:val="006320E2"/>
    <w:rsid w:val="00632580"/>
    <w:rsid w:val="00632B06"/>
    <w:rsid w:val="00632C30"/>
    <w:rsid w:val="00633324"/>
    <w:rsid w:val="00633431"/>
    <w:rsid w:val="006334E1"/>
    <w:rsid w:val="006335D9"/>
    <w:rsid w:val="0063379B"/>
    <w:rsid w:val="00633B2F"/>
    <w:rsid w:val="00634232"/>
    <w:rsid w:val="00634BCD"/>
    <w:rsid w:val="00634BE2"/>
    <w:rsid w:val="00634D95"/>
    <w:rsid w:val="00634F2A"/>
    <w:rsid w:val="00635017"/>
    <w:rsid w:val="006350FE"/>
    <w:rsid w:val="006351BD"/>
    <w:rsid w:val="0063527F"/>
    <w:rsid w:val="006354C9"/>
    <w:rsid w:val="00635846"/>
    <w:rsid w:val="00635C3B"/>
    <w:rsid w:val="00635DA0"/>
    <w:rsid w:val="00635E90"/>
    <w:rsid w:val="00636086"/>
    <w:rsid w:val="00636357"/>
    <w:rsid w:val="00636455"/>
    <w:rsid w:val="0063678A"/>
    <w:rsid w:val="00636929"/>
    <w:rsid w:val="00636BB5"/>
    <w:rsid w:val="00636CAA"/>
    <w:rsid w:val="00636FD5"/>
    <w:rsid w:val="00637393"/>
    <w:rsid w:val="00637541"/>
    <w:rsid w:val="006375A2"/>
    <w:rsid w:val="0063762B"/>
    <w:rsid w:val="00637984"/>
    <w:rsid w:val="00637A45"/>
    <w:rsid w:val="00637E82"/>
    <w:rsid w:val="006402F3"/>
    <w:rsid w:val="006404B1"/>
    <w:rsid w:val="00640983"/>
    <w:rsid w:val="00640C31"/>
    <w:rsid w:val="00640C7C"/>
    <w:rsid w:val="0064118F"/>
    <w:rsid w:val="00641221"/>
    <w:rsid w:val="00641602"/>
    <w:rsid w:val="0064183D"/>
    <w:rsid w:val="00641929"/>
    <w:rsid w:val="00641B9D"/>
    <w:rsid w:val="00641CDC"/>
    <w:rsid w:val="00641D4A"/>
    <w:rsid w:val="00642218"/>
    <w:rsid w:val="00642253"/>
    <w:rsid w:val="00642299"/>
    <w:rsid w:val="006424F0"/>
    <w:rsid w:val="006428B9"/>
    <w:rsid w:val="00642A9C"/>
    <w:rsid w:val="00642C20"/>
    <w:rsid w:val="00643045"/>
    <w:rsid w:val="00643226"/>
    <w:rsid w:val="006432E2"/>
    <w:rsid w:val="006435FC"/>
    <w:rsid w:val="006436EB"/>
    <w:rsid w:val="00643919"/>
    <w:rsid w:val="006439E5"/>
    <w:rsid w:val="00643CF0"/>
    <w:rsid w:val="00643E3C"/>
    <w:rsid w:val="00644064"/>
    <w:rsid w:val="00644174"/>
    <w:rsid w:val="006441D2"/>
    <w:rsid w:val="0064448D"/>
    <w:rsid w:val="00644CFD"/>
    <w:rsid w:val="00644EA5"/>
    <w:rsid w:val="00644EF0"/>
    <w:rsid w:val="006451E1"/>
    <w:rsid w:val="006452DA"/>
    <w:rsid w:val="006453DE"/>
    <w:rsid w:val="0064544D"/>
    <w:rsid w:val="0064592A"/>
    <w:rsid w:val="006459EF"/>
    <w:rsid w:val="00645A55"/>
    <w:rsid w:val="00645DAF"/>
    <w:rsid w:val="00645DF9"/>
    <w:rsid w:val="00646061"/>
    <w:rsid w:val="006462B3"/>
    <w:rsid w:val="006463D8"/>
    <w:rsid w:val="006465F3"/>
    <w:rsid w:val="0064666E"/>
    <w:rsid w:val="00646703"/>
    <w:rsid w:val="006469F2"/>
    <w:rsid w:val="00646BAA"/>
    <w:rsid w:val="00646F38"/>
    <w:rsid w:val="00647481"/>
    <w:rsid w:val="006474E2"/>
    <w:rsid w:val="00647609"/>
    <w:rsid w:val="006476C5"/>
    <w:rsid w:val="00647750"/>
    <w:rsid w:val="00647CD7"/>
    <w:rsid w:val="00647CF5"/>
    <w:rsid w:val="00650739"/>
    <w:rsid w:val="0065073E"/>
    <w:rsid w:val="00650EB6"/>
    <w:rsid w:val="00651013"/>
    <w:rsid w:val="006510B5"/>
    <w:rsid w:val="0065114E"/>
    <w:rsid w:val="00651289"/>
    <w:rsid w:val="006519BA"/>
    <w:rsid w:val="00651E3C"/>
    <w:rsid w:val="00651E91"/>
    <w:rsid w:val="006521E4"/>
    <w:rsid w:val="00652293"/>
    <w:rsid w:val="00652488"/>
    <w:rsid w:val="006524A7"/>
    <w:rsid w:val="00652959"/>
    <w:rsid w:val="006529E3"/>
    <w:rsid w:val="00652FA0"/>
    <w:rsid w:val="00652FB4"/>
    <w:rsid w:val="00653269"/>
    <w:rsid w:val="0065330E"/>
    <w:rsid w:val="00653430"/>
    <w:rsid w:val="006534BF"/>
    <w:rsid w:val="006537D7"/>
    <w:rsid w:val="00654301"/>
    <w:rsid w:val="00654335"/>
    <w:rsid w:val="00654365"/>
    <w:rsid w:val="006543CF"/>
    <w:rsid w:val="0065444A"/>
    <w:rsid w:val="00654521"/>
    <w:rsid w:val="006546F7"/>
    <w:rsid w:val="0065490C"/>
    <w:rsid w:val="00654A26"/>
    <w:rsid w:val="00654A87"/>
    <w:rsid w:val="00654D5C"/>
    <w:rsid w:val="00654E13"/>
    <w:rsid w:val="00654F68"/>
    <w:rsid w:val="006551CE"/>
    <w:rsid w:val="006552E7"/>
    <w:rsid w:val="00655442"/>
    <w:rsid w:val="00655553"/>
    <w:rsid w:val="0065563B"/>
    <w:rsid w:val="00655CF9"/>
    <w:rsid w:val="00655D45"/>
    <w:rsid w:val="00655DA5"/>
    <w:rsid w:val="00655E44"/>
    <w:rsid w:val="0065676C"/>
    <w:rsid w:val="0065686B"/>
    <w:rsid w:val="006568A8"/>
    <w:rsid w:val="0065693D"/>
    <w:rsid w:val="00656BEC"/>
    <w:rsid w:val="00656D23"/>
    <w:rsid w:val="00656E3A"/>
    <w:rsid w:val="00656F69"/>
    <w:rsid w:val="0065714C"/>
    <w:rsid w:val="0065733C"/>
    <w:rsid w:val="00657429"/>
    <w:rsid w:val="00657452"/>
    <w:rsid w:val="006576CE"/>
    <w:rsid w:val="006579DA"/>
    <w:rsid w:val="00657A81"/>
    <w:rsid w:val="00657AB2"/>
    <w:rsid w:val="00657CEE"/>
    <w:rsid w:val="00660061"/>
    <w:rsid w:val="00660137"/>
    <w:rsid w:val="00660268"/>
    <w:rsid w:val="00660298"/>
    <w:rsid w:val="00660A74"/>
    <w:rsid w:val="00660D0C"/>
    <w:rsid w:val="00660EB2"/>
    <w:rsid w:val="006610E1"/>
    <w:rsid w:val="006611DF"/>
    <w:rsid w:val="006612B6"/>
    <w:rsid w:val="00661562"/>
    <w:rsid w:val="0066156D"/>
    <w:rsid w:val="006619FA"/>
    <w:rsid w:val="00661F5D"/>
    <w:rsid w:val="00662083"/>
    <w:rsid w:val="00662638"/>
    <w:rsid w:val="00662A50"/>
    <w:rsid w:val="00662D24"/>
    <w:rsid w:val="00662E5F"/>
    <w:rsid w:val="006632B5"/>
    <w:rsid w:val="00663609"/>
    <w:rsid w:val="00663756"/>
    <w:rsid w:val="006638CA"/>
    <w:rsid w:val="006639B9"/>
    <w:rsid w:val="00663ED6"/>
    <w:rsid w:val="00663FAF"/>
    <w:rsid w:val="006640C2"/>
    <w:rsid w:val="00664434"/>
    <w:rsid w:val="00664CE4"/>
    <w:rsid w:val="006651AE"/>
    <w:rsid w:val="00665330"/>
    <w:rsid w:val="006653D9"/>
    <w:rsid w:val="006655C4"/>
    <w:rsid w:val="006655FD"/>
    <w:rsid w:val="00665606"/>
    <w:rsid w:val="0066561F"/>
    <w:rsid w:val="00665693"/>
    <w:rsid w:val="006657F0"/>
    <w:rsid w:val="0066588E"/>
    <w:rsid w:val="00665AD5"/>
    <w:rsid w:val="00665D89"/>
    <w:rsid w:val="006664BD"/>
    <w:rsid w:val="00666533"/>
    <w:rsid w:val="006666B0"/>
    <w:rsid w:val="00666797"/>
    <w:rsid w:val="00666A58"/>
    <w:rsid w:val="00666B47"/>
    <w:rsid w:val="00666B8F"/>
    <w:rsid w:val="006671E6"/>
    <w:rsid w:val="00667303"/>
    <w:rsid w:val="0066768C"/>
    <w:rsid w:val="00667845"/>
    <w:rsid w:val="00667BB9"/>
    <w:rsid w:val="00667F02"/>
    <w:rsid w:val="006700CC"/>
    <w:rsid w:val="0067016C"/>
    <w:rsid w:val="006702F4"/>
    <w:rsid w:val="00670343"/>
    <w:rsid w:val="00670650"/>
    <w:rsid w:val="00670D06"/>
    <w:rsid w:val="00670FE3"/>
    <w:rsid w:val="006712C0"/>
    <w:rsid w:val="006712FA"/>
    <w:rsid w:val="0067169E"/>
    <w:rsid w:val="006719BA"/>
    <w:rsid w:val="00671E82"/>
    <w:rsid w:val="00671E96"/>
    <w:rsid w:val="00671FF4"/>
    <w:rsid w:val="00672169"/>
    <w:rsid w:val="006722A0"/>
    <w:rsid w:val="006724AD"/>
    <w:rsid w:val="006725EA"/>
    <w:rsid w:val="00672825"/>
    <w:rsid w:val="00672840"/>
    <w:rsid w:val="00672C9A"/>
    <w:rsid w:val="00673091"/>
    <w:rsid w:val="006735BE"/>
    <w:rsid w:val="0067361D"/>
    <w:rsid w:val="00673703"/>
    <w:rsid w:val="00673C43"/>
    <w:rsid w:val="00673E5D"/>
    <w:rsid w:val="00674012"/>
    <w:rsid w:val="006741A5"/>
    <w:rsid w:val="00674481"/>
    <w:rsid w:val="006744AC"/>
    <w:rsid w:val="006744D0"/>
    <w:rsid w:val="00674684"/>
    <w:rsid w:val="00674A00"/>
    <w:rsid w:val="00674C7D"/>
    <w:rsid w:val="00674DAD"/>
    <w:rsid w:val="00674DEB"/>
    <w:rsid w:val="00674DFD"/>
    <w:rsid w:val="00674FB8"/>
    <w:rsid w:val="00675966"/>
    <w:rsid w:val="0067596C"/>
    <w:rsid w:val="00675C47"/>
    <w:rsid w:val="00675F84"/>
    <w:rsid w:val="00675F91"/>
    <w:rsid w:val="006766DD"/>
    <w:rsid w:val="006772B0"/>
    <w:rsid w:val="0067751B"/>
    <w:rsid w:val="006775A4"/>
    <w:rsid w:val="0067777B"/>
    <w:rsid w:val="00677814"/>
    <w:rsid w:val="006779B9"/>
    <w:rsid w:val="00677DBE"/>
    <w:rsid w:val="006804B3"/>
    <w:rsid w:val="00680B40"/>
    <w:rsid w:val="00680E97"/>
    <w:rsid w:val="006810DF"/>
    <w:rsid w:val="0068131E"/>
    <w:rsid w:val="0068136E"/>
    <w:rsid w:val="0068159F"/>
    <w:rsid w:val="00681EC9"/>
    <w:rsid w:val="00681F08"/>
    <w:rsid w:val="006820F6"/>
    <w:rsid w:val="00682146"/>
    <w:rsid w:val="006821CF"/>
    <w:rsid w:val="00682242"/>
    <w:rsid w:val="006822B8"/>
    <w:rsid w:val="006822FA"/>
    <w:rsid w:val="00682327"/>
    <w:rsid w:val="0068259A"/>
    <w:rsid w:val="00682688"/>
    <w:rsid w:val="0068277D"/>
    <w:rsid w:val="0068288C"/>
    <w:rsid w:val="0068291C"/>
    <w:rsid w:val="00682C1F"/>
    <w:rsid w:val="00682D18"/>
    <w:rsid w:val="00682FD9"/>
    <w:rsid w:val="00683379"/>
    <w:rsid w:val="00683415"/>
    <w:rsid w:val="00683F36"/>
    <w:rsid w:val="00683FE6"/>
    <w:rsid w:val="006840EF"/>
    <w:rsid w:val="006841E7"/>
    <w:rsid w:val="006846FF"/>
    <w:rsid w:val="00684DA8"/>
    <w:rsid w:val="006851D3"/>
    <w:rsid w:val="00685251"/>
    <w:rsid w:val="00685589"/>
    <w:rsid w:val="00685B05"/>
    <w:rsid w:val="00685B74"/>
    <w:rsid w:val="00685C37"/>
    <w:rsid w:val="00685DCC"/>
    <w:rsid w:val="00685E12"/>
    <w:rsid w:val="00685F2E"/>
    <w:rsid w:val="00685F4B"/>
    <w:rsid w:val="0068682C"/>
    <w:rsid w:val="0068706E"/>
    <w:rsid w:val="006874A3"/>
    <w:rsid w:val="00687673"/>
    <w:rsid w:val="006876E4"/>
    <w:rsid w:val="00690128"/>
    <w:rsid w:val="0069026A"/>
    <w:rsid w:val="006903E1"/>
    <w:rsid w:val="006905F4"/>
    <w:rsid w:val="006907AD"/>
    <w:rsid w:val="006907D8"/>
    <w:rsid w:val="00690AA1"/>
    <w:rsid w:val="00690C77"/>
    <w:rsid w:val="00690E1F"/>
    <w:rsid w:val="00690EF5"/>
    <w:rsid w:val="00690FC8"/>
    <w:rsid w:val="0069134E"/>
    <w:rsid w:val="00691493"/>
    <w:rsid w:val="00691748"/>
    <w:rsid w:val="006918B3"/>
    <w:rsid w:val="00691A22"/>
    <w:rsid w:val="00691D60"/>
    <w:rsid w:val="006924FA"/>
    <w:rsid w:val="006926DA"/>
    <w:rsid w:val="00692724"/>
    <w:rsid w:val="006927E8"/>
    <w:rsid w:val="00692C70"/>
    <w:rsid w:val="00692C74"/>
    <w:rsid w:val="00692FC4"/>
    <w:rsid w:val="00693019"/>
    <w:rsid w:val="006938AA"/>
    <w:rsid w:val="006938BB"/>
    <w:rsid w:val="006938E8"/>
    <w:rsid w:val="006938F1"/>
    <w:rsid w:val="00693988"/>
    <w:rsid w:val="00693A7A"/>
    <w:rsid w:val="00693B73"/>
    <w:rsid w:val="00693CFD"/>
    <w:rsid w:val="00693FF0"/>
    <w:rsid w:val="006940F9"/>
    <w:rsid w:val="0069474B"/>
    <w:rsid w:val="0069475D"/>
    <w:rsid w:val="006948F7"/>
    <w:rsid w:val="00694CBD"/>
    <w:rsid w:val="00694D02"/>
    <w:rsid w:val="00694FC1"/>
    <w:rsid w:val="006950AF"/>
    <w:rsid w:val="006951B5"/>
    <w:rsid w:val="006955A0"/>
    <w:rsid w:val="00695F56"/>
    <w:rsid w:val="00695F89"/>
    <w:rsid w:val="006961E1"/>
    <w:rsid w:val="00696346"/>
    <w:rsid w:val="00696522"/>
    <w:rsid w:val="006969B9"/>
    <w:rsid w:val="00696AAB"/>
    <w:rsid w:val="00696DA6"/>
    <w:rsid w:val="00696E33"/>
    <w:rsid w:val="00696EEF"/>
    <w:rsid w:val="00696F48"/>
    <w:rsid w:val="00697084"/>
    <w:rsid w:val="006972B8"/>
    <w:rsid w:val="0069793D"/>
    <w:rsid w:val="00697966"/>
    <w:rsid w:val="00697994"/>
    <w:rsid w:val="00697ABF"/>
    <w:rsid w:val="00697B7D"/>
    <w:rsid w:val="00697CAE"/>
    <w:rsid w:val="00697D9D"/>
    <w:rsid w:val="00697E25"/>
    <w:rsid w:val="00697EF2"/>
    <w:rsid w:val="006A059A"/>
    <w:rsid w:val="006A0767"/>
    <w:rsid w:val="006A0B92"/>
    <w:rsid w:val="006A0D2D"/>
    <w:rsid w:val="006A0D8B"/>
    <w:rsid w:val="006A0DE4"/>
    <w:rsid w:val="006A102E"/>
    <w:rsid w:val="006A120A"/>
    <w:rsid w:val="006A1410"/>
    <w:rsid w:val="006A16B5"/>
    <w:rsid w:val="006A181C"/>
    <w:rsid w:val="006A1869"/>
    <w:rsid w:val="006A18FD"/>
    <w:rsid w:val="006A19BB"/>
    <w:rsid w:val="006A2048"/>
    <w:rsid w:val="006A239D"/>
    <w:rsid w:val="006A2B85"/>
    <w:rsid w:val="006A2E9F"/>
    <w:rsid w:val="006A32FD"/>
    <w:rsid w:val="006A3308"/>
    <w:rsid w:val="006A3427"/>
    <w:rsid w:val="006A36E5"/>
    <w:rsid w:val="006A37C7"/>
    <w:rsid w:val="006A3933"/>
    <w:rsid w:val="006A3A2B"/>
    <w:rsid w:val="006A3B98"/>
    <w:rsid w:val="006A3C59"/>
    <w:rsid w:val="006A3D09"/>
    <w:rsid w:val="006A464A"/>
    <w:rsid w:val="006A46A9"/>
    <w:rsid w:val="006A47B5"/>
    <w:rsid w:val="006A4A03"/>
    <w:rsid w:val="006A4D08"/>
    <w:rsid w:val="006A5046"/>
    <w:rsid w:val="006A5553"/>
    <w:rsid w:val="006A5C61"/>
    <w:rsid w:val="006A5D88"/>
    <w:rsid w:val="006A5F35"/>
    <w:rsid w:val="006A5FEB"/>
    <w:rsid w:val="006A624E"/>
    <w:rsid w:val="006A651B"/>
    <w:rsid w:val="006A6554"/>
    <w:rsid w:val="006A660B"/>
    <w:rsid w:val="006A67A0"/>
    <w:rsid w:val="006A69F0"/>
    <w:rsid w:val="006A6BF1"/>
    <w:rsid w:val="006A704F"/>
    <w:rsid w:val="006A7979"/>
    <w:rsid w:val="006A7984"/>
    <w:rsid w:val="006A7B65"/>
    <w:rsid w:val="006B03FF"/>
    <w:rsid w:val="006B0487"/>
    <w:rsid w:val="006B0856"/>
    <w:rsid w:val="006B0D82"/>
    <w:rsid w:val="006B1431"/>
    <w:rsid w:val="006B1B83"/>
    <w:rsid w:val="006B1F18"/>
    <w:rsid w:val="006B2012"/>
    <w:rsid w:val="006B20A5"/>
    <w:rsid w:val="006B2303"/>
    <w:rsid w:val="006B23EE"/>
    <w:rsid w:val="006B25A7"/>
    <w:rsid w:val="006B25FA"/>
    <w:rsid w:val="006B28A5"/>
    <w:rsid w:val="006B28BF"/>
    <w:rsid w:val="006B2A46"/>
    <w:rsid w:val="006B2C0A"/>
    <w:rsid w:val="006B2E59"/>
    <w:rsid w:val="006B3032"/>
    <w:rsid w:val="006B33A5"/>
    <w:rsid w:val="006B343A"/>
    <w:rsid w:val="006B3773"/>
    <w:rsid w:val="006B3A68"/>
    <w:rsid w:val="006B3F9B"/>
    <w:rsid w:val="006B4556"/>
    <w:rsid w:val="006B45DE"/>
    <w:rsid w:val="006B4866"/>
    <w:rsid w:val="006B48FF"/>
    <w:rsid w:val="006B4B13"/>
    <w:rsid w:val="006B4B4A"/>
    <w:rsid w:val="006B4C5C"/>
    <w:rsid w:val="006B4DD7"/>
    <w:rsid w:val="006B57EE"/>
    <w:rsid w:val="006B5B83"/>
    <w:rsid w:val="006B5B89"/>
    <w:rsid w:val="006B5C6C"/>
    <w:rsid w:val="006B6055"/>
    <w:rsid w:val="006B6154"/>
    <w:rsid w:val="006B61EE"/>
    <w:rsid w:val="006B64E9"/>
    <w:rsid w:val="006B668F"/>
    <w:rsid w:val="006B677A"/>
    <w:rsid w:val="006B68E0"/>
    <w:rsid w:val="006B75C6"/>
    <w:rsid w:val="006B79E5"/>
    <w:rsid w:val="006B7D71"/>
    <w:rsid w:val="006C0630"/>
    <w:rsid w:val="006C0815"/>
    <w:rsid w:val="006C0928"/>
    <w:rsid w:val="006C0988"/>
    <w:rsid w:val="006C0B27"/>
    <w:rsid w:val="006C0B36"/>
    <w:rsid w:val="006C1262"/>
    <w:rsid w:val="006C13A0"/>
    <w:rsid w:val="006C16DF"/>
    <w:rsid w:val="006C1814"/>
    <w:rsid w:val="006C1C41"/>
    <w:rsid w:val="006C1FE2"/>
    <w:rsid w:val="006C2072"/>
    <w:rsid w:val="006C20A9"/>
    <w:rsid w:val="006C218F"/>
    <w:rsid w:val="006C227E"/>
    <w:rsid w:val="006C22D8"/>
    <w:rsid w:val="006C2373"/>
    <w:rsid w:val="006C2459"/>
    <w:rsid w:val="006C25F8"/>
    <w:rsid w:val="006C282D"/>
    <w:rsid w:val="006C2903"/>
    <w:rsid w:val="006C292B"/>
    <w:rsid w:val="006C2BAF"/>
    <w:rsid w:val="006C2D51"/>
    <w:rsid w:val="006C2E16"/>
    <w:rsid w:val="006C30D1"/>
    <w:rsid w:val="006C32AD"/>
    <w:rsid w:val="006C354C"/>
    <w:rsid w:val="006C36D7"/>
    <w:rsid w:val="006C37CE"/>
    <w:rsid w:val="006C387F"/>
    <w:rsid w:val="006C39EB"/>
    <w:rsid w:val="006C3B76"/>
    <w:rsid w:val="006C3DEE"/>
    <w:rsid w:val="006C4245"/>
    <w:rsid w:val="006C44E2"/>
    <w:rsid w:val="006C4572"/>
    <w:rsid w:val="006C4631"/>
    <w:rsid w:val="006C47EF"/>
    <w:rsid w:val="006C4903"/>
    <w:rsid w:val="006C4AEA"/>
    <w:rsid w:val="006C4C48"/>
    <w:rsid w:val="006C4DB5"/>
    <w:rsid w:val="006C4DD0"/>
    <w:rsid w:val="006C502D"/>
    <w:rsid w:val="006C55F4"/>
    <w:rsid w:val="006C5640"/>
    <w:rsid w:val="006C591C"/>
    <w:rsid w:val="006C5C94"/>
    <w:rsid w:val="006C5EBD"/>
    <w:rsid w:val="006C5F3E"/>
    <w:rsid w:val="006C610A"/>
    <w:rsid w:val="006C63B6"/>
    <w:rsid w:val="006C6484"/>
    <w:rsid w:val="006C64FE"/>
    <w:rsid w:val="006C6684"/>
    <w:rsid w:val="006C676E"/>
    <w:rsid w:val="006C6A0F"/>
    <w:rsid w:val="006C6BA7"/>
    <w:rsid w:val="006C6C17"/>
    <w:rsid w:val="006C6C95"/>
    <w:rsid w:val="006C6D28"/>
    <w:rsid w:val="006C6DA6"/>
    <w:rsid w:val="006C6F0D"/>
    <w:rsid w:val="006C71CF"/>
    <w:rsid w:val="006C7527"/>
    <w:rsid w:val="006C76C3"/>
    <w:rsid w:val="006C7891"/>
    <w:rsid w:val="006C7B03"/>
    <w:rsid w:val="006C7D89"/>
    <w:rsid w:val="006C7DC3"/>
    <w:rsid w:val="006C7F62"/>
    <w:rsid w:val="006C7F85"/>
    <w:rsid w:val="006D03DC"/>
    <w:rsid w:val="006D0407"/>
    <w:rsid w:val="006D06E8"/>
    <w:rsid w:val="006D0A7A"/>
    <w:rsid w:val="006D0BFC"/>
    <w:rsid w:val="006D0E52"/>
    <w:rsid w:val="006D0EC2"/>
    <w:rsid w:val="006D0EE0"/>
    <w:rsid w:val="006D0F1B"/>
    <w:rsid w:val="006D0F22"/>
    <w:rsid w:val="006D0FEA"/>
    <w:rsid w:val="006D0FFC"/>
    <w:rsid w:val="006D1138"/>
    <w:rsid w:val="006D1309"/>
    <w:rsid w:val="006D1389"/>
    <w:rsid w:val="006D14AD"/>
    <w:rsid w:val="006D14F7"/>
    <w:rsid w:val="006D1BD3"/>
    <w:rsid w:val="006D1E1C"/>
    <w:rsid w:val="006D1FB8"/>
    <w:rsid w:val="006D2078"/>
    <w:rsid w:val="006D2401"/>
    <w:rsid w:val="006D24E5"/>
    <w:rsid w:val="006D2AB8"/>
    <w:rsid w:val="006D2C5B"/>
    <w:rsid w:val="006D2E94"/>
    <w:rsid w:val="006D319D"/>
    <w:rsid w:val="006D340D"/>
    <w:rsid w:val="006D3841"/>
    <w:rsid w:val="006D3C6A"/>
    <w:rsid w:val="006D4095"/>
    <w:rsid w:val="006D4156"/>
    <w:rsid w:val="006D4289"/>
    <w:rsid w:val="006D42B6"/>
    <w:rsid w:val="006D43D3"/>
    <w:rsid w:val="006D4456"/>
    <w:rsid w:val="006D458A"/>
    <w:rsid w:val="006D47A6"/>
    <w:rsid w:val="006D4BD5"/>
    <w:rsid w:val="006D4C72"/>
    <w:rsid w:val="006D4DF3"/>
    <w:rsid w:val="006D4E4C"/>
    <w:rsid w:val="006D507F"/>
    <w:rsid w:val="006D52FD"/>
    <w:rsid w:val="006D5304"/>
    <w:rsid w:val="006D5585"/>
    <w:rsid w:val="006D55EF"/>
    <w:rsid w:val="006D5936"/>
    <w:rsid w:val="006D5AC6"/>
    <w:rsid w:val="006D5C63"/>
    <w:rsid w:val="006D5C84"/>
    <w:rsid w:val="006D5D28"/>
    <w:rsid w:val="006D5F76"/>
    <w:rsid w:val="006D612A"/>
    <w:rsid w:val="006D6183"/>
    <w:rsid w:val="006D6337"/>
    <w:rsid w:val="006D637A"/>
    <w:rsid w:val="006D6738"/>
    <w:rsid w:val="006D6797"/>
    <w:rsid w:val="006D67FA"/>
    <w:rsid w:val="006D6CB4"/>
    <w:rsid w:val="006D6D96"/>
    <w:rsid w:val="006D70B4"/>
    <w:rsid w:val="006D7173"/>
    <w:rsid w:val="006D7211"/>
    <w:rsid w:val="006D7521"/>
    <w:rsid w:val="006D75C8"/>
    <w:rsid w:val="006D79BB"/>
    <w:rsid w:val="006D7BE4"/>
    <w:rsid w:val="006E008C"/>
    <w:rsid w:val="006E01D8"/>
    <w:rsid w:val="006E043C"/>
    <w:rsid w:val="006E0443"/>
    <w:rsid w:val="006E0734"/>
    <w:rsid w:val="006E0803"/>
    <w:rsid w:val="006E08E8"/>
    <w:rsid w:val="006E0A0A"/>
    <w:rsid w:val="006E0DE9"/>
    <w:rsid w:val="006E0DF5"/>
    <w:rsid w:val="006E1538"/>
    <w:rsid w:val="006E19C4"/>
    <w:rsid w:val="006E1C2B"/>
    <w:rsid w:val="006E1FD8"/>
    <w:rsid w:val="006E2344"/>
    <w:rsid w:val="006E26AF"/>
    <w:rsid w:val="006E2A2E"/>
    <w:rsid w:val="006E2DC2"/>
    <w:rsid w:val="006E32C4"/>
    <w:rsid w:val="006E34EE"/>
    <w:rsid w:val="006E3AB4"/>
    <w:rsid w:val="006E3CCF"/>
    <w:rsid w:val="006E3D3D"/>
    <w:rsid w:val="006E3E4F"/>
    <w:rsid w:val="006E4348"/>
    <w:rsid w:val="006E44C4"/>
    <w:rsid w:val="006E4574"/>
    <w:rsid w:val="006E4CF7"/>
    <w:rsid w:val="006E4E77"/>
    <w:rsid w:val="006E5426"/>
    <w:rsid w:val="006E565F"/>
    <w:rsid w:val="006E5895"/>
    <w:rsid w:val="006E5A8F"/>
    <w:rsid w:val="006E5EC9"/>
    <w:rsid w:val="006E623A"/>
    <w:rsid w:val="006E65CF"/>
    <w:rsid w:val="006E67C7"/>
    <w:rsid w:val="006E71DF"/>
    <w:rsid w:val="006E737B"/>
    <w:rsid w:val="006E767B"/>
    <w:rsid w:val="006F0261"/>
    <w:rsid w:val="006F02C2"/>
    <w:rsid w:val="006F04B7"/>
    <w:rsid w:val="006F0909"/>
    <w:rsid w:val="006F09B4"/>
    <w:rsid w:val="006F0D38"/>
    <w:rsid w:val="006F0D46"/>
    <w:rsid w:val="006F0DC2"/>
    <w:rsid w:val="006F0E69"/>
    <w:rsid w:val="006F10F5"/>
    <w:rsid w:val="006F11E2"/>
    <w:rsid w:val="006F136E"/>
    <w:rsid w:val="006F1405"/>
    <w:rsid w:val="006F1413"/>
    <w:rsid w:val="006F1447"/>
    <w:rsid w:val="006F1575"/>
    <w:rsid w:val="006F1583"/>
    <w:rsid w:val="006F191B"/>
    <w:rsid w:val="006F1CA1"/>
    <w:rsid w:val="006F2016"/>
    <w:rsid w:val="006F23DD"/>
    <w:rsid w:val="006F2479"/>
    <w:rsid w:val="006F25D5"/>
    <w:rsid w:val="006F2777"/>
    <w:rsid w:val="006F28A8"/>
    <w:rsid w:val="006F2FAC"/>
    <w:rsid w:val="006F31AF"/>
    <w:rsid w:val="006F33D8"/>
    <w:rsid w:val="006F34A0"/>
    <w:rsid w:val="006F3AA5"/>
    <w:rsid w:val="006F42A8"/>
    <w:rsid w:val="006F4527"/>
    <w:rsid w:val="006F4572"/>
    <w:rsid w:val="006F468B"/>
    <w:rsid w:val="006F46C1"/>
    <w:rsid w:val="006F49B5"/>
    <w:rsid w:val="006F4F36"/>
    <w:rsid w:val="006F5158"/>
    <w:rsid w:val="006F517E"/>
    <w:rsid w:val="006F5210"/>
    <w:rsid w:val="006F5227"/>
    <w:rsid w:val="006F5238"/>
    <w:rsid w:val="006F5514"/>
    <w:rsid w:val="006F564E"/>
    <w:rsid w:val="006F579B"/>
    <w:rsid w:val="006F5AB0"/>
    <w:rsid w:val="006F5C44"/>
    <w:rsid w:val="006F5E4F"/>
    <w:rsid w:val="006F6C4D"/>
    <w:rsid w:val="006F6F4E"/>
    <w:rsid w:val="006F7068"/>
    <w:rsid w:val="006F719A"/>
    <w:rsid w:val="006F7734"/>
    <w:rsid w:val="006F78EC"/>
    <w:rsid w:val="00700044"/>
    <w:rsid w:val="00700313"/>
    <w:rsid w:val="007006F6"/>
    <w:rsid w:val="007008DF"/>
    <w:rsid w:val="00700950"/>
    <w:rsid w:val="00700A71"/>
    <w:rsid w:val="00700F10"/>
    <w:rsid w:val="00701136"/>
    <w:rsid w:val="00701652"/>
    <w:rsid w:val="00701921"/>
    <w:rsid w:val="00701987"/>
    <w:rsid w:val="00701B23"/>
    <w:rsid w:val="00701B4D"/>
    <w:rsid w:val="00701BE1"/>
    <w:rsid w:val="00701C4B"/>
    <w:rsid w:val="00701D21"/>
    <w:rsid w:val="00701DBA"/>
    <w:rsid w:val="00701F81"/>
    <w:rsid w:val="007021CF"/>
    <w:rsid w:val="00702A0F"/>
    <w:rsid w:val="00702B0B"/>
    <w:rsid w:val="0070319A"/>
    <w:rsid w:val="00703263"/>
    <w:rsid w:val="007032DE"/>
    <w:rsid w:val="00703B3F"/>
    <w:rsid w:val="00703CB4"/>
    <w:rsid w:val="00703D2B"/>
    <w:rsid w:val="00704128"/>
    <w:rsid w:val="00704239"/>
    <w:rsid w:val="00704356"/>
    <w:rsid w:val="00704439"/>
    <w:rsid w:val="00704705"/>
    <w:rsid w:val="007048D2"/>
    <w:rsid w:val="00704980"/>
    <w:rsid w:val="00704BD2"/>
    <w:rsid w:val="00704DCB"/>
    <w:rsid w:val="007050CA"/>
    <w:rsid w:val="0070512B"/>
    <w:rsid w:val="00705460"/>
    <w:rsid w:val="00705A38"/>
    <w:rsid w:val="00705E49"/>
    <w:rsid w:val="0070628A"/>
    <w:rsid w:val="00706661"/>
    <w:rsid w:val="00706710"/>
    <w:rsid w:val="00706967"/>
    <w:rsid w:val="00706CEA"/>
    <w:rsid w:val="00706E59"/>
    <w:rsid w:val="00706FD5"/>
    <w:rsid w:val="0070717B"/>
    <w:rsid w:val="00707497"/>
    <w:rsid w:val="00707951"/>
    <w:rsid w:val="00707C18"/>
    <w:rsid w:val="00707F75"/>
    <w:rsid w:val="007101BE"/>
    <w:rsid w:val="00710334"/>
    <w:rsid w:val="007103A9"/>
    <w:rsid w:val="007103E2"/>
    <w:rsid w:val="0071062D"/>
    <w:rsid w:val="007108CF"/>
    <w:rsid w:val="0071094C"/>
    <w:rsid w:val="00710C4B"/>
    <w:rsid w:val="007110CB"/>
    <w:rsid w:val="007112D8"/>
    <w:rsid w:val="007113E4"/>
    <w:rsid w:val="00711738"/>
    <w:rsid w:val="00711A4C"/>
    <w:rsid w:val="00711AD6"/>
    <w:rsid w:val="00711B05"/>
    <w:rsid w:val="00711B24"/>
    <w:rsid w:val="00711C85"/>
    <w:rsid w:val="00711D52"/>
    <w:rsid w:val="00711E3C"/>
    <w:rsid w:val="007121CD"/>
    <w:rsid w:val="0071221F"/>
    <w:rsid w:val="007122F7"/>
    <w:rsid w:val="0071235A"/>
    <w:rsid w:val="007123EA"/>
    <w:rsid w:val="00712436"/>
    <w:rsid w:val="00712B5A"/>
    <w:rsid w:val="0071315A"/>
    <w:rsid w:val="0071319E"/>
    <w:rsid w:val="00713251"/>
    <w:rsid w:val="00713A39"/>
    <w:rsid w:val="00713A42"/>
    <w:rsid w:val="00713A73"/>
    <w:rsid w:val="00713B3D"/>
    <w:rsid w:val="00714364"/>
    <w:rsid w:val="0071446C"/>
    <w:rsid w:val="007149AF"/>
    <w:rsid w:val="00714B89"/>
    <w:rsid w:val="00715830"/>
    <w:rsid w:val="00715AF1"/>
    <w:rsid w:val="00715B9D"/>
    <w:rsid w:val="00715C10"/>
    <w:rsid w:val="00715D24"/>
    <w:rsid w:val="00715F0C"/>
    <w:rsid w:val="0071609E"/>
    <w:rsid w:val="007160DF"/>
    <w:rsid w:val="00716200"/>
    <w:rsid w:val="0071620D"/>
    <w:rsid w:val="007163BD"/>
    <w:rsid w:val="00716604"/>
    <w:rsid w:val="00716AD2"/>
    <w:rsid w:val="00716C27"/>
    <w:rsid w:val="00716DC7"/>
    <w:rsid w:val="00717301"/>
    <w:rsid w:val="0071765A"/>
    <w:rsid w:val="007176A7"/>
    <w:rsid w:val="0071776E"/>
    <w:rsid w:val="00717A16"/>
    <w:rsid w:val="00717A8B"/>
    <w:rsid w:val="00717F76"/>
    <w:rsid w:val="00720052"/>
    <w:rsid w:val="007201E7"/>
    <w:rsid w:val="00720327"/>
    <w:rsid w:val="007203CA"/>
    <w:rsid w:val="00720A1B"/>
    <w:rsid w:val="00720AB2"/>
    <w:rsid w:val="00720C62"/>
    <w:rsid w:val="00720ECF"/>
    <w:rsid w:val="007213BC"/>
    <w:rsid w:val="00721568"/>
    <w:rsid w:val="00721610"/>
    <w:rsid w:val="00721790"/>
    <w:rsid w:val="00721BA0"/>
    <w:rsid w:val="00721D5B"/>
    <w:rsid w:val="007221CF"/>
    <w:rsid w:val="007221DD"/>
    <w:rsid w:val="00722339"/>
    <w:rsid w:val="00722444"/>
    <w:rsid w:val="0072255F"/>
    <w:rsid w:val="007225C9"/>
    <w:rsid w:val="007226F5"/>
    <w:rsid w:val="0072277D"/>
    <w:rsid w:val="00722A27"/>
    <w:rsid w:val="00722B67"/>
    <w:rsid w:val="00722C32"/>
    <w:rsid w:val="00722ED0"/>
    <w:rsid w:val="0072301A"/>
    <w:rsid w:val="00723137"/>
    <w:rsid w:val="00723208"/>
    <w:rsid w:val="007235AB"/>
    <w:rsid w:val="007236ED"/>
    <w:rsid w:val="007239F9"/>
    <w:rsid w:val="00723B2C"/>
    <w:rsid w:val="00723E4B"/>
    <w:rsid w:val="00724246"/>
    <w:rsid w:val="0072436D"/>
    <w:rsid w:val="00724ED0"/>
    <w:rsid w:val="00724F92"/>
    <w:rsid w:val="0072521B"/>
    <w:rsid w:val="007253D6"/>
    <w:rsid w:val="0072578A"/>
    <w:rsid w:val="0072597A"/>
    <w:rsid w:val="00725A19"/>
    <w:rsid w:val="0072605D"/>
    <w:rsid w:val="00726075"/>
    <w:rsid w:val="0072689F"/>
    <w:rsid w:val="00726E5F"/>
    <w:rsid w:val="007272EC"/>
    <w:rsid w:val="0072783B"/>
    <w:rsid w:val="00727866"/>
    <w:rsid w:val="0072788C"/>
    <w:rsid w:val="00727994"/>
    <w:rsid w:val="00727AF8"/>
    <w:rsid w:val="00727C52"/>
    <w:rsid w:val="00730222"/>
    <w:rsid w:val="007303C8"/>
    <w:rsid w:val="00730979"/>
    <w:rsid w:val="00730992"/>
    <w:rsid w:val="007309CD"/>
    <w:rsid w:val="00730B8C"/>
    <w:rsid w:val="00730BDA"/>
    <w:rsid w:val="00730C0A"/>
    <w:rsid w:val="00730E8B"/>
    <w:rsid w:val="00730EC8"/>
    <w:rsid w:val="0073101A"/>
    <w:rsid w:val="007311FF"/>
    <w:rsid w:val="0073126A"/>
    <w:rsid w:val="007313D0"/>
    <w:rsid w:val="00731444"/>
    <w:rsid w:val="00731519"/>
    <w:rsid w:val="00731605"/>
    <w:rsid w:val="007316F7"/>
    <w:rsid w:val="00731A37"/>
    <w:rsid w:val="00731AD3"/>
    <w:rsid w:val="00731CE0"/>
    <w:rsid w:val="00731D51"/>
    <w:rsid w:val="00732221"/>
    <w:rsid w:val="0073227E"/>
    <w:rsid w:val="0073240E"/>
    <w:rsid w:val="00732ABF"/>
    <w:rsid w:val="00732C08"/>
    <w:rsid w:val="00732D06"/>
    <w:rsid w:val="00732DF6"/>
    <w:rsid w:val="007333EB"/>
    <w:rsid w:val="007337AD"/>
    <w:rsid w:val="007337CF"/>
    <w:rsid w:val="0073385D"/>
    <w:rsid w:val="0073398B"/>
    <w:rsid w:val="00733D58"/>
    <w:rsid w:val="00733E11"/>
    <w:rsid w:val="00734211"/>
    <w:rsid w:val="00734BA4"/>
    <w:rsid w:val="00734F22"/>
    <w:rsid w:val="00735180"/>
    <w:rsid w:val="00735411"/>
    <w:rsid w:val="00735626"/>
    <w:rsid w:val="007357EE"/>
    <w:rsid w:val="007357F1"/>
    <w:rsid w:val="007359E1"/>
    <w:rsid w:val="00735BA4"/>
    <w:rsid w:val="00735D72"/>
    <w:rsid w:val="00735F0F"/>
    <w:rsid w:val="00735FD2"/>
    <w:rsid w:val="0073630C"/>
    <w:rsid w:val="007366C4"/>
    <w:rsid w:val="007368B6"/>
    <w:rsid w:val="00736BA3"/>
    <w:rsid w:val="00736F47"/>
    <w:rsid w:val="00736FA1"/>
    <w:rsid w:val="007374AD"/>
    <w:rsid w:val="0073764D"/>
    <w:rsid w:val="00737694"/>
    <w:rsid w:val="007376B6"/>
    <w:rsid w:val="0073792C"/>
    <w:rsid w:val="00737D28"/>
    <w:rsid w:val="00740BDC"/>
    <w:rsid w:val="00740C2C"/>
    <w:rsid w:val="00740F29"/>
    <w:rsid w:val="00741022"/>
    <w:rsid w:val="00741123"/>
    <w:rsid w:val="00741161"/>
    <w:rsid w:val="00741634"/>
    <w:rsid w:val="00741675"/>
    <w:rsid w:val="0074189B"/>
    <w:rsid w:val="007418F1"/>
    <w:rsid w:val="007419B3"/>
    <w:rsid w:val="00742201"/>
    <w:rsid w:val="007424B1"/>
    <w:rsid w:val="0074257A"/>
    <w:rsid w:val="0074259B"/>
    <w:rsid w:val="00742660"/>
    <w:rsid w:val="0074272E"/>
    <w:rsid w:val="00742864"/>
    <w:rsid w:val="00742EF5"/>
    <w:rsid w:val="0074306B"/>
    <w:rsid w:val="00743173"/>
    <w:rsid w:val="007431CD"/>
    <w:rsid w:val="00743242"/>
    <w:rsid w:val="0074350C"/>
    <w:rsid w:val="00743527"/>
    <w:rsid w:val="007442D4"/>
    <w:rsid w:val="0074445B"/>
    <w:rsid w:val="007444C6"/>
    <w:rsid w:val="00744631"/>
    <w:rsid w:val="00744916"/>
    <w:rsid w:val="00744A0D"/>
    <w:rsid w:val="00744E64"/>
    <w:rsid w:val="0074508B"/>
    <w:rsid w:val="0074510B"/>
    <w:rsid w:val="0074517E"/>
    <w:rsid w:val="00745682"/>
    <w:rsid w:val="007456DC"/>
    <w:rsid w:val="0074575D"/>
    <w:rsid w:val="0074602C"/>
    <w:rsid w:val="007465D7"/>
    <w:rsid w:val="007466A8"/>
    <w:rsid w:val="00746DF5"/>
    <w:rsid w:val="00747045"/>
    <w:rsid w:val="00747081"/>
    <w:rsid w:val="00747390"/>
    <w:rsid w:val="00747434"/>
    <w:rsid w:val="007474EA"/>
    <w:rsid w:val="0074788B"/>
    <w:rsid w:val="00747C70"/>
    <w:rsid w:val="0075048B"/>
    <w:rsid w:val="007505FC"/>
    <w:rsid w:val="00750A8E"/>
    <w:rsid w:val="00750B19"/>
    <w:rsid w:val="00750C12"/>
    <w:rsid w:val="00750DF3"/>
    <w:rsid w:val="0075137C"/>
    <w:rsid w:val="0075138C"/>
    <w:rsid w:val="007514C0"/>
    <w:rsid w:val="007515FE"/>
    <w:rsid w:val="00752089"/>
    <w:rsid w:val="007521FC"/>
    <w:rsid w:val="00752463"/>
    <w:rsid w:val="007525BB"/>
    <w:rsid w:val="00753126"/>
    <w:rsid w:val="00753146"/>
    <w:rsid w:val="0075318A"/>
    <w:rsid w:val="007531E6"/>
    <w:rsid w:val="00753D1C"/>
    <w:rsid w:val="007540AE"/>
    <w:rsid w:val="007540E9"/>
    <w:rsid w:val="00754186"/>
    <w:rsid w:val="0075418A"/>
    <w:rsid w:val="0075431F"/>
    <w:rsid w:val="007543E5"/>
    <w:rsid w:val="00754566"/>
    <w:rsid w:val="00755454"/>
    <w:rsid w:val="00755465"/>
    <w:rsid w:val="00755A7A"/>
    <w:rsid w:val="00755FDB"/>
    <w:rsid w:val="007561A0"/>
    <w:rsid w:val="007561A7"/>
    <w:rsid w:val="0075626D"/>
    <w:rsid w:val="007563B5"/>
    <w:rsid w:val="007567B3"/>
    <w:rsid w:val="007569D6"/>
    <w:rsid w:val="00756A7A"/>
    <w:rsid w:val="00756BC9"/>
    <w:rsid w:val="00756CD3"/>
    <w:rsid w:val="00756F3B"/>
    <w:rsid w:val="00756F85"/>
    <w:rsid w:val="00757187"/>
    <w:rsid w:val="00757204"/>
    <w:rsid w:val="00757381"/>
    <w:rsid w:val="0075759F"/>
    <w:rsid w:val="007578A1"/>
    <w:rsid w:val="00757A83"/>
    <w:rsid w:val="00757AF7"/>
    <w:rsid w:val="00757CA6"/>
    <w:rsid w:val="00760122"/>
    <w:rsid w:val="0076026A"/>
    <w:rsid w:val="007603F3"/>
    <w:rsid w:val="00760409"/>
    <w:rsid w:val="00760543"/>
    <w:rsid w:val="007606D9"/>
    <w:rsid w:val="00760870"/>
    <w:rsid w:val="00760D7C"/>
    <w:rsid w:val="00760FC8"/>
    <w:rsid w:val="0076114F"/>
    <w:rsid w:val="007613C0"/>
    <w:rsid w:val="0076195F"/>
    <w:rsid w:val="00761A26"/>
    <w:rsid w:val="00761AC6"/>
    <w:rsid w:val="00761FA3"/>
    <w:rsid w:val="0076213D"/>
    <w:rsid w:val="00762173"/>
    <w:rsid w:val="0076260D"/>
    <w:rsid w:val="0076265C"/>
    <w:rsid w:val="007626B3"/>
    <w:rsid w:val="00762A66"/>
    <w:rsid w:val="00762C1E"/>
    <w:rsid w:val="00762D17"/>
    <w:rsid w:val="00762E74"/>
    <w:rsid w:val="00763288"/>
    <w:rsid w:val="007633F7"/>
    <w:rsid w:val="0076367B"/>
    <w:rsid w:val="00763A44"/>
    <w:rsid w:val="00763B77"/>
    <w:rsid w:val="00763CF3"/>
    <w:rsid w:val="0076419E"/>
    <w:rsid w:val="0076472B"/>
    <w:rsid w:val="0076497D"/>
    <w:rsid w:val="00764AED"/>
    <w:rsid w:val="00764B86"/>
    <w:rsid w:val="00764CAB"/>
    <w:rsid w:val="00764EA3"/>
    <w:rsid w:val="00764FC2"/>
    <w:rsid w:val="007650C8"/>
    <w:rsid w:val="0076527A"/>
    <w:rsid w:val="00765352"/>
    <w:rsid w:val="0076537B"/>
    <w:rsid w:val="0076556F"/>
    <w:rsid w:val="00765BD8"/>
    <w:rsid w:val="00765E22"/>
    <w:rsid w:val="00765F50"/>
    <w:rsid w:val="00766622"/>
    <w:rsid w:val="007666FE"/>
    <w:rsid w:val="00766AAB"/>
    <w:rsid w:val="00766DAA"/>
    <w:rsid w:val="00766E64"/>
    <w:rsid w:val="0076700B"/>
    <w:rsid w:val="0076702C"/>
    <w:rsid w:val="007671F3"/>
    <w:rsid w:val="00767BE6"/>
    <w:rsid w:val="00767C8F"/>
    <w:rsid w:val="00767D62"/>
    <w:rsid w:val="00767F6C"/>
    <w:rsid w:val="00770149"/>
    <w:rsid w:val="007703A5"/>
    <w:rsid w:val="0077041F"/>
    <w:rsid w:val="00770483"/>
    <w:rsid w:val="00770842"/>
    <w:rsid w:val="00770B40"/>
    <w:rsid w:val="00770B83"/>
    <w:rsid w:val="00770F3C"/>
    <w:rsid w:val="007711E7"/>
    <w:rsid w:val="007715F6"/>
    <w:rsid w:val="00771612"/>
    <w:rsid w:val="007716D1"/>
    <w:rsid w:val="00771740"/>
    <w:rsid w:val="00771B34"/>
    <w:rsid w:val="00771D5C"/>
    <w:rsid w:val="00771D67"/>
    <w:rsid w:val="00771EDA"/>
    <w:rsid w:val="00771EEC"/>
    <w:rsid w:val="007720B9"/>
    <w:rsid w:val="0077250D"/>
    <w:rsid w:val="007726FA"/>
    <w:rsid w:val="00772753"/>
    <w:rsid w:val="00772829"/>
    <w:rsid w:val="00772888"/>
    <w:rsid w:val="00772967"/>
    <w:rsid w:val="00772BF4"/>
    <w:rsid w:val="00772D6C"/>
    <w:rsid w:val="00772F39"/>
    <w:rsid w:val="007737D5"/>
    <w:rsid w:val="00773B9E"/>
    <w:rsid w:val="00773D8F"/>
    <w:rsid w:val="00773DA4"/>
    <w:rsid w:val="00774078"/>
    <w:rsid w:val="00774871"/>
    <w:rsid w:val="0077487A"/>
    <w:rsid w:val="007749F1"/>
    <w:rsid w:val="00774C9F"/>
    <w:rsid w:val="00774EBA"/>
    <w:rsid w:val="00775023"/>
    <w:rsid w:val="007750BE"/>
    <w:rsid w:val="00775917"/>
    <w:rsid w:val="00775996"/>
    <w:rsid w:val="00775B8D"/>
    <w:rsid w:val="00775EAA"/>
    <w:rsid w:val="00776131"/>
    <w:rsid w:val="0077620A"/>
    <w:rsid w:val="007767C0"/>
    <w:rsid w:val="0077690C"/>
    <w:rsid w:val="00776A49"/>
    <w:rsid w:val="00777458"/>
    <w:rsid w:val="00777826"/>
    <w:rsid w:val="00777848"/>
    <w:rsid w:val="00777893"/>
    <w:rsid w:val="00777E80"/>
    <w:rsid w:val="0078004D"/>
    <w:rsid w:val="007801A9"/>
    <w:rsid w:val="007808D5"/>
    <w:rsid w:val="00780CF6"/>
    <w:rsid w:val="00780D9F"/>
    <w:rsid w:val="00780F35"/>
    <w:rsid w:val="00780F8E"/>
    <w:rsid w:val="00781742"/>
    <w:rsid w:val="0078184A"/>
    <w:rsid w:val="00781971"/>
    <w:rsid w:val="00781A5C"/>
    <w:rsid w:val="00781EF6"/>
    <w:rsid w:val="007823B9"/>
    <w:rsid w:val="00782839"/>
    <w:rsid w:val="00782E06"/>
    <w:rsid w:val="00783035"/>
    <w:rsid w:val="00783036"/>
    <w:rsid w:val="007830A1"/>
    <w:rsid w:val="00783230"/>
    <w:rsid w:val="007832D3"/>
    <w:rsid w:val="0078339D"/>
    <w:rsid w:val="00783475"/>
    <w:rsid w:val="007834F6"/>
    <w:rsid w:val="00783AE0"/>
    <w:rsid w:val="00783CC4"/>
    <w:rsid w:val="00783D6B"/>
    <w:rsid w:val="00784045"/>
    <w:rsid w:val="00784222"/>
    <w:rsid w:val="00784341"/>
    <w:rsid w:val="007844AB"/>
    <w:rsid w:val="00784B45"/>
    <w:rsid w:val="00784D85"/>
    <w:rsid w:val="00784EB1"/>
    <w:rsid w:val="00784EBE"/>
    <w:rsid w:val="007852E9"/>
    <w:rsid w:val="007856CB"/>
    <w:rsid w:val="007857C8"/>
    <w:rsid w:val="00785941"/>
    <w:rsid w:val="0078598D"/>
    <w:rsid w:val="00785CE8"/>
    <w:rsid w:val="00785D42"/>
    <w:rsid w:val="00785E11"/>
    <w:rsid w:val="00785F4B"/>
    <w:rsid w:val="007860EA"/>
    <w:rsid w:val="007868D8"/>
    <w:rsid w:val="00786B5C"/>
    <w:rsid w:val="00786C0F"/>
    <w:rsid w:val="00786F67"/>
    <w:rsid w:val="0078727B"/>
    <w:rsid w:val="0078727F"/>
    <w:rsid w:val="0078737B"/>
    <w:rsid w:val="007873C0"/>
    <w:rsid w:val="0078770D"/>
    <w:rsid w:val="007877EB"/>
    <w:rsid w:val="007879EF"/>
    <w:rsid w:val="00787E0F"/>
    <w:rsid w:val="007903B4"/>
    <w:rsid w:val="00790AE5"/>
    <w:rsid w:val="00790B15"/>
    <w:rsid w:val="00790D49"/>
    <w:rsid w:val="00790F49"/>
    <w:rsid w:val="00790FE9"/>
    <w:rsid w:val="0079120B"/>
    <w:rsid w:val="00791212"/>
    <w:rsid w:val="0079161B"/>
    <w:rsid w:val="007916CB"/>
    <w:rsid w:val="00791A1B"/>
    <w:rsid w:val="00791A48"/>
    <w:rsid w:val="00791EA0"/>
    <w:rsid w:val="00791FE8"/>
    <w:rsid w:val="00792017"/>
    <w:rsid w:val="00792280"/>
    <w:rsid w:val="007925F2"/>
    <w:rsid w:val="00792735"/>
    <w:rsid w:val="0079283E"/>
    <w:rsid w:val="00792A1B"/>
    <w:rsid w:val="00792B34"/>
    <w:rsid w:val="00792B47"/>
    <w:rsid w:val="007930A0"/>
    <w:rsid w:val="007931CB"/>
    <w:rsid w:val="007933D2"/>
    <w:rsid w:val="00793467"/>
    <w:rsid w:val="00793509"/>
    <w:rsid w:val="0079355A"/>
    <w:rsid w:val="007936D8"/>
    <w:rsid w:val="007937C8"/>
    <w:rsid w:val="00793B88"/>
    <w:rsid w:val="00793C98"/>
    <w:rsid w:val="00793E3F"/>
    <w:rsid w:val="007941B3"/>
    <w:rsid w:val="00794204"/>
    <w:rsid w:val="00794570"/>
    <w:rsid w:val="00794671"/>
    <w:rsid w:val="00794A3D"/>
    <w:rsid w:val="007951D4"/>
    <w:rsid w:val="007951F2"/>
    <w:rsid w:val="0079568B"/>
    <w:rsid w:val="00795880"/>
    <w:rsid w:val="00795897"/>
    <w:rsid w:val="00795D8C"/>
    <w:rsid w:val="007960C9"/>
    <w:rsid w:val="00796412"/>
    <w:rsid w:val="007967B1"/>
    <w:rsid w:val="00796A12"/>
    <w:rsid w:val="0079730D"/>
    <w:rsid w:val="00797A25"/>
    <w:rsid w:val="00797C46"/>
    <w:rsid w:val="007A0153"/>
    <w:rsid w:val="007A0290"/>
    <w:rsid w:val="007A07B4"/>
    <w:rsid w:val="007A0AF0"/>
    <w:rsid w:val="007A1038"/>
    <w:rsid w:val="007A1755"/>
    <w:rsid w:val="007A1779"/>
    <w:rsid w:val="007A1969"/>
    <w:rsid w:val="007A19F6"/>
    <w:rsid w:val="007A1AAA"/>
    <w:rsid w:val="007A1D44"/>
    <w:rsid w:val="007A20ED"/>
    <w:rsid w:val="007A2297"/>
    <w:rsid w:val="007A27B6"/>
    <w:rsid w:val="007A2815"/>
    <w:rsid w:val="007A2914"/>
    <w:rsid w:val="007A29BA"/>
    <w:rsid w:val="007A2B65"/>
    <w:rsid w:val="007A2BB8"/>
    <w:rsid w:val="007A2EC6"/>
    <w:rsid w:val="007A2F59"/>
    <w:rsid w:val="007A2F7F"/>
    <w:rsid w:val="007A37D0"/>
    <w:rsid w:val="007A3EBF"/>
    <w:rsid w:val="007A3ED2"/>
    <w:rsid w:val="007A44B2"/>
    <w:rsid w:val="007A4F99"/>
    <w:rsid w:val="007A5042"/>
    <w:rsid w:val="007A51FE"/>
    <w:rsid w:val="007A521F"/>
    <w:rsid w:val="007A5617"/>
    <w:rsid w:val="007A594B"/>
    <w:rsid w:val="007A5A35"/>
    <w:rsid w:val="007A5DD4"/>
    <w:rsid w:val="007A5EB4"/>
    <w:rsid w:val="007A611D"/>
    <w:rsid w:val="007A61A0"/>
    <w:rsid w:val="007A62F6"/>
    <w:rsid w:val="007A6442"/>
    <w:rsid w:val="007A6596"/>
    <w:rsid w:val="007A6689"/>
    <w:rsid w:val="007A6CB7"/>
    <w:rsid w:val="007A70FF"/>
    <w:rsid w:val="007A73BE"/>
    <w:rsid w:val="007B0245"/>
    <w:rsid w:val="007B03B8"/>
    <w:rsid w:val="007B06FD"/>
    <w:rsid w:val="007B083F"/>
    <w:rsid w:val="007B0880"/>
    <w:rsid w:val="007B099F"/>
    <w:rsid w:val="007B0C38"/>
    <w:rsid w:val="007B0D01"/>
    <w:rsid w:val="007B0ED1"/>
    <w:rsid w:val="007B10E6"/>
    <w:rsid w:val="007B115B"/>
    <w:rsid w:val="007B14F7"/>
    <w:rsid w:val="007B170D"/>
    <w:rsid w:val="007B182E"/>
    <w:rsid w:val="007B1928"/>
    <w:rsid w:val="007B19A5"/>
    <w:rsid w:val="007B1C68"/>
    <w:rsid w:val="007B1DB3"/>
    <w:rsid w:val="007B1E12"/>
    <w:rsid w:val="007B2085"/>
    <w:rsid w:val="007B2288"/>
    <w:rsid w:val="007B22A8"/>
    <w:rsid w:val="007B22EC"/>
    <w:rsid w:val="007B22F0"/>
    <w:rsid w:val="007B25EE"/>
    <w:rsid w:val="007B271A"/>
    <w:rsid w:val="007B2954"/>
    <w:rsid w:val="007B2C86"/>
    <w:rsid w:val="007B2FDC"/>
    <w:rsid w:val="007B305B"/>
    <w:rsid w:val="007B3181"/>
    <w:rsid w:val="007B329F"/>
    <w:rsid w:val="007B3618"/>
    <w:rsid w:val="007B36B4"/>
    <w:rsid w:val="007B38A0"/>
    <w:rsid w:val="007B38A7"/>
    <w:rsid w:val="007B38B7"/>
    <w:rsid w:val="007B39F1"/>
    <w:rsid w:val="007B3B88"/>
    <w:rsid w:val="007B3ED2"/>
    <w:rsid w:val="007B3F40"/>
    <w:rsid w:val="007B422D"/>
    <w:rsid w:val="007B44B1"/>
    <w:rsid w:val="007B46B4"/>
    <w:rsid w:val="007B483A"/>
    <w:rsid w:val="007B48FD"/>
    <w:rsid w:val="007B4A22"/>
    <w:rsid w:val="007B4B34"/>
    <w:rsid w:val="007B4B6E"/>
    <w:rsid w:val="007B4D8C"/>
    <w:rsid w:val="007B4DCF"/>
    <w:rsid w:val="007B4F7B"/>
    <w:rsid w:val="007B53B6"/>
    <w:rsid w:val="007B583D"/>
    <w:rsid w:val="007B5D80"/>
    <w:rsid w:val="007B5FD3"/>
    <w:rsid w:val="007B60BD"/>
    <w:rsid w:val="007B60D7"/>
    <w:rsid w:val="007B6136"/>
    <w:rsid w:val="007B6138"/>
    <w:rsid w:val="007B6684"/>
    <w:rsid w:val="007B67C8"/>
    <w:rsid w:val="007B67D4"/>
    <w:rsid w:val="007B68F7"/>
    <w:rsid w:val="007B6B21"/>
    <w:rsid w:val="007B6CF0"/>
    <w:rsid w:val="007B6EB7"/>
    <w:rsid w:val="007B6EDD"/>
    <w:rsid w:val="007B7024"/>
    <w:rsid w:val="007B70AB"/>
    <w:rsid w:val="007B7257"/>
    <w:rsid w:val="007B7465"/>
    <w:rsid w:val="007B7911"/>
    <w:rsid w:val="007B7AB0"/>
    <w:rsid w:val="007B7B1C"/>
    <w:rsid w:val="007B7D45"/>
    <w:rsid w:val="007B7F1E"/>
    <w:rsid w:val="007C0390"/>
    <w:rsid w:val="007C089A"/>
    <w:rsid w:val="007C0AB2"/>
    <w:rsid w:val="007C0EA1"/>
    <w:rsid w:val="007C13C8"/>
    <w:rsid w:val="007C1470"/>
    <w:rsid w:val="007C14A2"/>
    <w:rsid w:val="007C1524"/>
    <w:rsid w:val="007C1C51"/>
    <w:rsid w:val="007C1FE5"/>
    <w:rsid w:val="007C2279"/>
    <w:rsid w:val="007C247F"/>
    <w:rsid w:val="007C25EC"/>
    <w:rsid w:val="007C27EC"/>
    <w:rsid w:val="007C2D5E"/>
    <w:rsid w:val="007C300E"/>
    <w:rsid w:val="007C328D"/>
    <w:rsid w:val="007C336F"/>
    <w:rsid w:val="007C33FF"/>
    <w:rsid w:val="007C37EB"/>
    <w:rsid w:val="007C3ABD"/>
    <w:rsid w:val="007C3AF2"/>
    <w:rsid w:val="007C3BC5"/>
    <w:rsid w:val="007C406E"/>
    <w:rsid w:val="007C4157"/>
    <w:rsid w:val="007C41B1"/>
    <w:rsid w:val="007C4413"/>
    <w:rsid w:val="007C4434"/>
    <w:rsid w:val="007C52A8"/>
    <w:rsid w:val="007C54F7"/>
    <w:rsid w:val="007C55EC"/>
    <w:rsid w:val="007C5774"/>
    <w:rsid w:val="007C58DB"/>
    <w:rsid w:val="007C5DDE"/>
    <w:rsid w:val="007C5E46"/>
    <w:rsid w:val="007C6012"/>
    <w:rsid w:val="007C6477"/>
    <w:rsid w:val="007C738A"/>
    <w:rsid w:val="007C750D"/>
    <w:rsid w:val="007C75B7"/>
    <w:rsid w:val="007C7817"/>
    <w:rsid w:val="007C7951"/>
    <w:rsid w:val="007C79DF"/>
    <w:rsid w:val="007C7B6F"/>
    <w:rsid w:val="007C7EB8"/>
    <w:rsid w:val="007C7F8E"/>
    <w:rsid w:val="007D0308"/>
    <w:rsid w:val="007D03EB"/>
    <w:rsid w:val="007D0794"/>
    <w:rsid w:val="007D1472"/>
    <w:rsid w:val="007D14E3"/>
    <w:rsid w:val="007D14EE"/>
    <w:rsid w:val="007D168A"/>
    <w:rsid w:val="007D1B49"/>
    <w:rsid w:val="007D1FFD"/>
    <w:rsid w:val="007D214B"/>
    <w:rsid w:val="007D2602"/>
    <w:rsid w:val="007D2897"/>
    <w:rsid w:val="007D2A33"/>
    <w:rsid w:val="007D2A49"/>
    <w:rsid w:val="007D2CB4"/>
    <w:rsid w:val="007D30B7"/>
    <w:rsid w:val="007D3593"/>
    <w:rsid w:val="007D39BA"/>
    <w:rsid w:val="007D3BE3"/>
    <w:rsid w:val="007D4257"/>
    <w:rsid w:val="007D44E5"/>
    <w:rsid w:val="007D4698"/>
    <w:rsid w:val="007D4A07"/>
    <w:rsid w:val="007D4B90"/>
    <w:rsid w:val="007D4BFE"/>
    <w:rsid w:val="007D4CCB"/>
    <w:rsid w:val="007D4CE7"/>
    <w:rsid w:val="007D4EAB"/>
    <w:rsid w:val="007D4F76"/>
    <w:rsid w:val="007D4FA5"/>
    <w:rsid w:val="007D50E5"/>
    <w:rsid w:val="007D54EB"/>
    <w:rsid w:val="007D560A"/>
    <w:rsid w:val="007D57A9"/>
    <w:rsid w:val="007D57CD"/>
    <w:rsid w:val="007D588C"/>
    <w:rsid w:val="007D5BDB"/>
    <w:rsid w:val="007D5BE9"/>
    <w:rsid w:val="007D5C34"/>
    <w:rsid w:val="007D5DC4"/>
    <w:rsid w:val="007D6430"/>
    <w:rsid w:val="007D6467"/>
    <w:rsid w:val="007D6959"/>
    <w:rsid w:val="007D6E57"/>
    <w:rsid w:val="007D7223"/>
    <w:rsid w:val="007D7831"/>
    <w:rsid w:val="007D79AB"/>
    <w:rsid w:val="007D7BA2"/>
    <w:rsid w:val="007D7D56"/>
    <w:rsid w:val="007D7ED4"/>
    <w:rsid w:val="007D7F74"/>
    <w:rsid w:val="007D9D7F"/>
    <w:rsid w:val="007E0026"/>
    <w:rsid w:val="007E00A2"/>
    <w:rsid w:val="007E03D7"/>
    <w:rsid w:val="007E044F"/>
    <w:rsid w:val="007E04AA"/>
    <w:rsid w:val="007E05C5"/>
    <w:rsid w:val="007E0780"/>
    <w:rsid w:val="007E09B8"/>
    <w:rsid w:val="007E0B3F"/>
    <w:rsid w:val="007E0FB7"/>
    <w:rsid w:val="007E13AA"/>
    <w:rsid w:val="007E15AD"/>
    <w:rsid w:val="007E16C1"/>
    <w:rsid w:val="007E1B76"/>
    <w:rsid w:val="007E1C7F"/>
    <w:rsid w:val="007E2076"/>
    <w:rsid w:val="007E227D"/>
    <w:rsid w:val="007E2441"/>
    <w:rsid w:val="007E25E1"/>
    <w:rsid w:val="007E25ED"/>
    <w:rsid w:val="007E28CA"/>
    <w:rsid w:val="007E2BC0"/>
    <w:rsid w:val="007E35F2"/>
    <w:rsid w:val="007E37EC"/>
    <w:rsid w:val="007E3895"/>
    <w:rsid w:val="007E3B9F"/>
    <w:rsid w:val="007E407C"/>
    <w:rsid w:val="007E46EC"/>
    <w:rsid w:val="007E4858"/>
    <w:rsid w:val="007E48D6"/>
    <w:rsid w:val="007E4A4D"/>
    <w:rsid w:val="007E4BED"/>
    <w:rsid w:val="007E4C59"/>
    <w:rsid w:val="007E4DDB"/>
    <w:rsid w:val="007E4F2E"/>
    <w:rsid w:val="007E5302"/>
    <w:rsid w:val="007E5518"/>
    <w:rsid w:val="007E5778"/>
    <w:rsid w:val="007E5AD2"/>
    <w:rsid w:val="007E5AFB"/>
    <w:rsid w:val="007E5F68"/>
    <w:rsid w:val="007E6275"/>
    <w:rsid w:val="007E6441"/>
    <w:rsid w:val="007E64BC"/>
    <w:rsid w:val="007E64D4"/>
    <w:rsid w:val="007E7578"/>
    <w:rsid w:val="007E7647"/>
    <w:rsid w:val="007E7720"/>
    <w:rsid w:val="007E7823"/>
    <w:rsid w:val="007E7A47"/>
    <w:rsid w:val="007E7B99"/>
    <w:rsid w:val="007E7FEE"/>
    <w:rsid w:val="007F01CC"/>
    <w:rsid w:val="007F040D"/>
    <w:rsid w:val="007F04CF"/>
    <w:rsid w:val="007F0508"/>
    <w:rsid w:val="007F0C7F"/>
    <w:rsid w:val="007F0E0B"/>
    <w:rsid w:val="007F185B"/>
    <w:rsid w:val="007F1929"/>
    <w:rsid w:val="007F1A5C"/>
    <w:rsid w:val="007F20CF"/>
    <w:rsid w:val="007F2115"/>
    <w:rsid w:val="007F21DA"/>
    <w:rsid w:val="007F2570"/>
    <w:rsid w:val="007F25CF"/>
    <w:rsid w:val="007F2ACD"/>
    <w:rsid w:val="007F2B15"/>
    <w:rsid w:val="007F2DA1"/>
    <w:rsid w:val="007F2FCD"/>
    <w:rsid w:val="007F3483"/>
    <w:rsid w:val="007F3508"/>
    <w:rsid w:val="007F364B"/>
    <w:rsid w:val="007F3890"/>
    <w:rsid w:val="007F3B09"/>
    <w:rsid w:val="007F3DD2"/>
    <w:rsid w:val="007F3E0C"/>
    <w:rsid w:val="007F3FBB"/>
    <w:rsid w:val="007F4596"/>
    <w:rsid w:val="007F467A"/>
    <w:rsid w:val="007F47A2"/>
    <w:rsid w:val="007F4A18"/>
    <w:rsid w:val="007F4A4A"/>
    <w:rsid w:val="007F4A6B"/>
    <w:rsid w:val="007F4C45"/>
    <w:rsid w:val="007F4D70"/>
    <w:rsid w:val="007F4DFD"/>
    <w:rsid w:val="007F5040"/>
    <w:rsid w:val="007F5162"/>
    <w:rsid w:val="007F518F"/>
    <w:rsid w:val="007F559A"/>
    <w:rsid w:val="007F55E4"/>
    <w:rsid w:val="007F5650"/>
    <w:rsid w:val="007F5B57"/>
    <w:rsid w:val="007F5B9B"/>
    <w:rsid w:val="007F6056"/>
    <w:rsid w:val="007F6281"/>
    <w:rsid w:val="007F67E9"/>
    <w:rsid w:val="007F6E9B"/>
    <w:rsid w:val="007F72FC"/>
    <w:rsid w:val="007F7468"/>
    <w:rsid w:val="007F7A02"/>
    <w:rsid w:val="007F7B82"/>
    <w:rsid w:val="007F7C7B"/>
    <w:rsid w:val="00801133"/>
    <w:rsid w:val="008014C0"/>
    <w:rsid w:val="00801803"/>
    <w:rsid w:val="00802328"/>
    <w:rsid w:val="0080267C"/>
    <w:rsid w:val="00802699"/>
    <w:rsid w:val="008029F6"/>
    <w:rsid w:val="00802D8C"/>
    <w:rsid w:val="00802F10"/>
    <w:rsid w:val="00803025"/>
    <w:rsid w:val="00803413"/>
    <w:rsid w:val="00803820"/>
    <w:rsid w:val="00803D7C"/>
    <w:rsid w:val="008040A2"/>
    <w:rsid w:val="0080416B"/>
    <w:rsid w:val="008041F1"/>
    <w:rsid w:val="008042BD"/>
    <w:rsid w:val="00804632"/>
    <w:rsid w:val="00804663"/>
    <w:rsid w:val="00804754"/>
    <w:rsid w:val="00804824"/>
    <w:rsid w:val="00804AC8"/>
    <w:rsid w:val="00804B62"/>
    <w:rsid w:val="00804D2A"/>
    <w:rsid w:val="00804ED6"/>
    <w:rsid w:val="00804F10"/>
    <w:rsid w:val="00804F72"/>
    <w:rsid w:val="008051D6"/>
    <w:rsid w:val="008051F4"/>
    <w:rsid w:val="00805443"/>
    <w:rsid w:val="008054D9"/>
    <w:rsid w:val="0080579E"/>
    <w:rsid w:val="00805AF3"/>
    <w:rsid w:val="00805DF8"/>
    <w:rsid w:val="0080611C"/>
    <w:rsid w:val="00806223"/>
    <w:rsid w:val="00806358"/>
    <w:rsid w:val="00806688"/>
    <w:rsid w:val="00806920"/>
    <w:rsid w:val="00806C13"/>
    <w:rsid w:val="00806EFF"/>
    <w:rsid w:val="0080702C"/>
    <w:rsid w:val="008071CB"/>
    <w:rsid w:val="0080747F"/>
    <w:rsid w:val="008074C1"/>
    <w:rsid w:val="00807721"/>
    <w:rsid w:val="00807A3E"/>
    <w:rsid w:val="00807C48"/>
    <w:rsid w:val="00807CCE"/>
    <w:rsid w:val="0081000E"/>
    <w:rsid w:val="008100C1"/>
    <w:rsid w:val="00810157"/>
    <w:rsid w:val="00810338"/>
    <w:rsid w:val="0081038C"/>
    <w:rsid w:val="00810599"/>
    <w:rsid w:val="008108A4"/>
    <w:rsid w:val="008108B6"/>
    <w:rsid w:val="00810AA3"/>
    <w:rsid w:val="00810D6E"/>
    <w:rsid w:val="0081123C"/>
    <w:rsid w:val="00811294"/>
    <w:rsid w:val="00811398"/>
    <w:rsid w:val="008118D5"/>
    <w:rsid w:val="00811AEA"/>
    <w:rsid w:val="00811F72"/>
    <w:rsid w:val="00812098"/>
    <w:rsid w:val="00812165"/>
    <w:rsid w:val="00812282"/>
    <w:rsid w:val="00812652"/>
    <w:rsid w:val="0081267C"/>
    <w:rsid w:val="008126A9"/>
    <w:rsid w:val="00812A56"/>
    <w:rsid w:val="00812C54"/>
    <w:rsid w:val="00812D40"/>
    <w:rsid w:val="00812EFC"/>
    <w:rsid w:val="00813003"/>
    <w:rsid w:val="00813174"/>
    <w:rsid w:val="008131DD"/>
    <w:rsid w:val="00813286"/>
    <w:rsid w:val="00813513"/>
    <w:rsid w:val="00813ABA"/>
    <w:rsid w:val="00813F2F"/>
    <w:rsid w:val="008140BC"/>
    <w:rsid w:val="0081427A"/>
    <w:rsid w:val="00814309"/>
    <w:rsid w:val="008143BD"/>
    <w:rsid w:val="008148E4"/>
    <w:rsid w:val="00814B6C"/>
    <w:rsid w:val="00814D56"/>
    <w:rsid w:val="00814F08"/>
    <w:rsid w:val="00815257"/>
    <w:rsid w:val="00815586"/>
    <w:rsid w:val="008157F1"/>
    <w:rsid w:val="008158D0"/>
    <w:rsid w:val="00815C16"/>
    <w:rsid w:val="00815DBB"/>
    <w:rsid w:val="00815E08"/>
    <w:rsid w:val="0081660D"/>
    <w:rsid w:val="00816677"/>
    <w:rsid w:val="008166BD"/>
    <w:rsid w:val="00816A57"/>
    <w:rsid w:val="00816CC0"/>
    <w:rsid w:val="00816EC2"/>
    <w:rsid w:val="0081716E"/>
    <w:rsid w:val="008174EA"/>
    <w:rsid w:val="00817BDC"/>
    <w:rsid w:val="008202B5"/>
    <w:rsid w:val="008202B9"/>
    <w:rsid w:val="008202DD"/>
    <w:rsid w:val="00820551"/>
    <w:rsid w:val="008205BB"/>
    <w:rsid w:val="008205D8"/>
    <w:rsid w:val="00820672"/>
    <w:rsid w:val="00820727"/>
    <w:rsid w:val="008208FF"/>
    <w:rsid w:val="008211BE"/>
    <w:rsid w:val="00821227"/>
    <w:rsid w:val="0082146E"/>
    <w:rsid w:val="0082176A"/>
    <w:rsid w:val="00821EE9"/>
    <w:rsid w:val="008221DE"/>
    <w:rsid w:val="0082223D"/>
    <w:rsid w:val="0082224E"/>
    <w:rsid w:val="008222A7"/>
    <w:rsid w:val="00822305"/>
    <w:rsid w:val="008226D5"/>
    <w:rsid w:val="00822F75"/>
    <w:rsid w:val="00823006"/>
    <w:rsid w:val="00823176"/>
    <w:rsid w:val="00823203"/>
    <w:rsid w:val="0082330B"/>
    <w:rsid w:val="008235FD"/>
    <w:rsid w:val="008236E1"/>
    <w:rsid w:val="00824458"/>
    <w:rsid w:val="00824509"/>
    <w:rsid w:val="008249F7"/>
    <w:rsid w:val="00824B74"/>
    <w:rsid w:val="00824C8C"/>
    <w:rsid w:val="00824E14"/>
    <w:rsid w:val="00824EC9"/>
    <w:rsid w:val="00824FAF"/>
    <w:rsid w:val="008252DC"/>
    <w:rsid w:val="0082539D"/>
    <w:rsid w:val="0082562D"/>
    <w:rsid w:val="008256D0"/>
    <w:rsid w:val="00825899"/>
    <w:rsid w:val="00825950"/>
    <w:rsid w:val="00825A15"/>
    <w:rsid w:val="00825AD8"/>
    <w:rsid w:val="00825DE5"/>
    <w:rsid w:val="00826012"/>
    <w:rsid w:val="008262B2"/>
    <w:rsid w:val="00826748"/>
    <w:rsid w:val="00826A50"/>
    <w:rsid w:val="00826B19"/>
    <w:rsid w:val="00826B50"/>
    <w:rsid w:val="00826D53"/>
    <w:rsid w:val="00827027"/>
    <w:rsid w:val="008273CF"/>
    <w:rsid w:val="008279DD"/>
    <w:rsid w:val="00827B9B"/>
    <w:rsid w:val="00827D64"/>
    <w:rsid w:val="00830330"/>
    <w:rsid w:val="008304B0"/>
    <w:rsid w:val="008313E3"/>
    <w:rsid w:val="008314D7"/>
    <w:rsid w:val="00831699"/>
    <w:rsid w:val="00831C1A"/>
    <w:rsid w:val="00831C4C"/>
    <w:rsid w:val="00831F19"/>
    <w:rsid w:val="00832201"/>
    <w:rsid w:val="00832237"/>
    <w:rsid w:val="008324E7"/>
    <w:rsid w:val="0083256B"/>
    <w:rsid w:val="00832695"/>
    <w:rsid w:val="00832795"/>
    <w:rsid w:val="00832851"/>
    <w:rsid w:val="00832951"/>
    <w:rsid w:val="00832B99"/>
    <w:rsid w:val="00832C3A"/>
    <w:rsid w:val="00833349"/>
    <w:rsid w:val="008333BF"/>
    <w:rsid w:val="00833666"/>
    <w:rsid w:val="00833712"/>
    <w:rsid w:val="00833B4C"/>
    <w:rsid w:val="00833DAB"/>
    <w:rsid w:val="0083400B"/>
    <w:rsid w:val="0083402E"/>
    <w:rsid w:val="00834147"/>
    <w:rsid w:val="008341D2"/>
    <w:rsid w:val="008341E7"/>
    <w:rsid w:val="0083443B"/>
    <w:rsid w:val="008347E1"/>
    <w:rsid w:val="008347F3"/>
    <w:rsid w:val="00834864"/>
    <w:rsid w:val="00834A0F"/>
    <w:rsid w:val="00834B5D"/>
    <w:rsid w:val="00834BDD"/>
    <w:rsid w:val="00834D8C"/>
    <w:rsid w:val="00834E37"/>
    <w:rsid w:val="00835B40"/>
    <w:rsid w:val="00835B9C"/>
    <w:rsid w:val="00835D32"/>
    <w:rsid w:val="00835E93"/>
    <w:rsid w:val="00835EC9"/>
    <w:rsid w:val="00836570"/>
    <w:rsid w:val="008365B7"/>
    <w:rsid w:val="008369E1"/>
    <w:rsid w:val="00836B02"/>
    <w:rsid w:val="00836B8E"/>
    <w:rsid w:val="008370F5"/>
    <w:rsid w:val="008376C7"/>
    <w:rsid w:val="008376E1"/>
    <w:rsid w:val="00837A47"/>
    <w:rsid w:val="00837BDC"/>
    <w:rsid w:val="00837C2A"/>
    <w:rsid w:val="00837EF0"/>
    <w:rsid w:val="00840482"/>
    <w:rsid w:val="0084063C"/>
    <w:rsid w:val="00840701"/>
    <w:rsid w:val="008408FE"/>
    <w:rsid w:val="0084099B"/>
    <w:rsid w:val="00840E1E"/>
    <w:rsid w:val="00840E6E"/>
    <w:rsid w:val="00840FE9"/>
    <w:rsid w:val="00841160"/>
    <w:rsid w:val="00841187"/>
    <w:rsid w:val="008411CF"/>
    <w:rsid w:val="00841388"/>
    <w:rsid w:val="00841613"/>
    <w:rsid w:val="00841841"/>
    <w:rsid w:val="00841E0C"/>
    <w:rsid w:val="00841EFB"/>
    <w:rsid w:val="00841F44"/>
    <w:rsid w:val="00842C0D"/>
    <w:rsid w:val="00842C82"/>
    <w:rsid w:val="00842F1D"/>
    <w:rsid w:val="0084326F"/>
    <w:rsid w:val="00843382"/>
    <w:rsid w:val="0084359E"/>
    <w:rsid w:val="008436D7"/>
    <w:rsid w:val="00843CC1"/>
    <w:rsid w:val="00844029"/>
    <w:rsid w:val="008440FE"/>
    <w:rsid w:val="008447FE"/>
    <w:rsid w:val="008449F2"/>
    <w:rsid w:val="00844E69"/>
    <w:rsid w:val="00844FA2"/>
    <w:rsid w:val="008452B9"/>
    <w:rsid w:val="0084540B"/>
    <w:rsid w:val="00845A05"/>
    <w:rsid w:val="00845B95"/>
    <w:rsid w:val="00845DEF"/>
    <w:rsid w:val="00846119"/>
    <w:rsid w:val="00846182"/>
    <w:rsid w:val="008464A1"/>
    <w:rsid w:val="0084654A"/>
    <w:rsid w:val="008465D4"/>
    <w:rsid w:val="0084688C"/>
    <w:rsid w:val="00846962"/>
    <w:rsid w:val="00846AC1"/>
    <w:rsid w:val="00846CAD"/>
    <w:rsid w:val="00846E55"/>
    <w:rsid w:val="00846F7F"/>
    <w:rsid w:val="00847095"/>
    <w:rsid w:val="008470B7"/>
    <w:rsid w:val="008474B9"/>
    <w:rsid w:val="008474BA"/>
    <w:rsid w:val="008474E3"/>
    <w:rsid w:val="0084763D"/>
    <w:rsid w:val="00847905"/>
    <w:rsid w:val="00847ADB"/>
    <w:rsid w:val="00847BC7"/>
    <w:rsid w:val="00847CDD"/>
    <w:rsid w:val="00847DB6"/>
    <w:rsid w:val="00847E70"/>
    <w:rsid w:val="00847F2B"/>
    <w:rsid w:val="008502FD"/>
    <w:rsid w:val="00850482"/>
    <w:rsid w:val="008504FB"/>
    <w:rsid w:val="0085094B"/>
    <w:rsid w:val="0085099A"/>
    <w:rsid w:val="00850B9B"/>
    <w:rsid w:val="00850E82"/>
    <w:rsid w:val="00851634"/>
    <w:rsid w:val="0085165C"/>
    <w:rsid w:val="008516EE"/>
    <w:rsid w:val="00851904"/>
    <w:rsid w:val="00851FBC"/>
    <w:rsid w:val="00852032"/>
    <w:rsid w:val="00852074"/>
    <w:rsid w:val="008520A8"/>
    <w:rsid w:val="00852741"/>
    <w:rsid w:val="008527ED"/>
    <w:rsid w:val="008529F7"/>
    <w:rsid w:val="00852D89"/>
    <w:rsid w:val="008530C6"/>
    <w:rsid w:val="0085343C"/>
    <w:rsid w:val="00853640"/>
    <w:rsid w:val="008537F7"/>
    <w:rsid w:val="0085384A"/>
    <w:rsid w:val="00853B27"/>
    <w:rsid w:val="00853B42"/>
    <w:rsid w:val="00853BF0"/>
    <w:rsid w:val="0085430A"/>
    <w:rsid w:val="0085458E"/>
    <w:rsid w:val="008546BE"/>
    <w:rsid w:val="0085491D"/>
    <w:rsid w:val="00854976"/>
    <w:rsid w:val="00855EB2"/>
    <w:rsid w:val="0085601E"/>
    <w:rsid w:val="00856074"/>
    <w:rsid w:val="00856140"/>
    <w:rsid w:val="0085621E"/>
    <w:rsid w:val="0085625C"/>
    <w:rsid w:val="0085636C"/>
    <w:rsid w:val="00856441"/>
    <w:rsid w:val="00856BEE"/>
    <w:rsid w:val="00856D6F"/>
    <w:rsid w:val="00856E33"/>
    <w:rsid w:val="00856EAE"/>
    <w:rsid w:val="00856F4F"/>
    <w:rsid w:val="008571AB"/>
    <w:rsid w:val="00857337"/>
    <w:rsid w:val="0085772D"/>
    <w:rsid w:val="0085774D"/>
    <w:rsid w:val="00857949"/>
    <w:rsid w:val="00857BAA"/>
    <w:rsid w:val="00857BF6"/>
    <w:rsid w:val="00857F80"/>
    <w:rsid w:val="00857FEC"/>
    <w:rsid w:val="0086025F"/>
    <w:rsid w:val="008602B5"/>
    <w:rsid w:val="0086050E"/>
    <w:rsid w:val="00860885"/>
    <w:rsid w:val="00860894"/>
    <w:rsid w:val="008609BC"/>
    <w:rsid w:val="00860EFE"/>
    <w:rsid w:val="0086103C"/>
    <w:rsid w:val="00861108"/>
    <w:rsid w:val="008612EE"/>
    <w:rsid w:val="00861494"/>
    <w:rsid w:val="00861499"/>
    <w:rsid w:val="008615FF"/>
    <w:rsid w:val="00861660"/>
    <w:rsid w:val="008617A6"/>
    <w:rsid w:val="00861874"/>
    <w:rsid w:val="00861958"/>
    <w:rsid w:val="00861A4D"/>
    <w:rsid w:val="00861ECA"/>
    <w:rsid w:val="0086222F"/>
    <w:rsid w:val="008623C9"/>
    <w:rsid w:val="008629E6"/>
    <w:rsid w:val="00862A1F"/>
    <w:rsid w:val="00862D01"/>
    <w:rsid w:val="008630BF"/>
    <w:rsid w:val="0086363E"/>
    <w:rsid w:val="00863D46"/>
    <w:rsid w:val="00864049"/>
    <w:rsid w:val="00864079"/>
    <w:rsid w:val="00864095"/>
    <w:rsid w:val="00864442"/>
    <w:rsid w:val="00864A24"/>
    <w:rsid w:val="00864DC9"/>
    <w:rsid w:val="00864F76"/>
    <w:rsid w:val="0086501C"/>
    <w:rsid w:val="008656B6"/>
    <w:rsid w:val="0086590B"/>
    <w:rsid w:val="00865E90"/>
    <w:rsid w:val="00866412"/>
    <w:rsid w:val="00866D26"/>
    <w:rsid w:val="00866E04"/>
    <w:rsid w:val="00866F87"/>
    <w:rsid w:val="00867047"/>
    <w:rsid w:val="0086714B"/>
    <w:rsid w:val="008671CC"/>
    <w:rsid w:val="008672FC"/>
    <w:rsid w:val="00867403"/>
    <w:rsid w:val="00867412"/>
    <w:rsid w:val="008676B6"/>
    <w:rsid w:val="00867751"/>
    <w:rsid w:val="008677C2"/>
    <w:rsid w:val="00867A14"/>
    <w:rsid w:val="00867AC2"/>
    <w:rsid w:val="00867CF1"/>
    <w:rsid w:val="00867FC2"/>
    <w:rsid w:val="0087025E"/>
    <w:rsid w:val="00870457"/>
    <w:rsid w:val="008704FE"/>
    <w:rsid w:val="008706AC"/>
    <w:rsid w:val="00870704"/>
    <w:rsid w:val="00870852"/>
    <w:rsid w:val="008708DB"/>
    <w:rsid w:val="0087097D"/>
    <w:rsid w:val="00870AFA"/>
    <w:rsid w:val="00870B56"/>
    <w:rsid w:val="00870E60"/>
    <w:rsid w:val="0087138C"/>
    <w:rsid w:val="008719C2"/>
    <w:rsid w:val="00871A6A"/>
    <w:rsid w:val="00871BBB"/>
    <w:rsid w:val="00871E73"/>
    <w:rsid w:val="008720F2"/>
    <w:rsid w:val="00872156"/>
    <w:rsid w:val="0087277A"/>
    <w:rsid w:val="00872897"/>
    <w:rsid w:val="008729B9"/>
    <w:rsid w:val="00872A47"/>
    <w:rsid w:val="00872BEA"/>
    <w:rsid w:val="00872D0B"/>
    <w:rsid w:val="0087322B"/>
    <w:rsid w:val="008733FB"/>
    <w:rsid w:val="00873590"/>
    <w:rsid w:val="008736E2"/>
    <w:rsid w:val="00873877"/>
    <w:rsid w:val="0087397A"/>
    <w:rsid w:val="00873B52"/>
    <w:rsid w:val="00873F6B"/>
    <w:rsid w:val="00873F8B"/>
    <w:rsid w:val="008742B0"/>
    <w:rsid w:val="00874390"/>
    <w:rsid w:val="00874565"/>
    <w:rsid w:val="00874CE6"/>
    <w:rsid w:val="00874F08"/>
    <w:rsid w:val="0087537A"/>
    <w:rsid w:val="008757B6"/>
    <w:rsid w:val="0087590A"/>
    <w:rsid w:val="00875D06"/>
    <w:rsid w:val="00875F72"/>
    <w:rsid w:val="008760FD"/>
    <w:rsid w:val="00876191"/>
    <w:rsid w:val="00876746"/>
    <w:rsid w:val="00876770"/>
    <w:rsid w:val="0087679A"/>
    <w:rsid w:val="0087688A"/>
    <w:rsid w:val="00876892"/>
    <w:rsid w:val="00876A60"/>
    <w:rsid w:val="00876A93"/>
    <w:rsid w:val="00876B68"/>
    <w:rsid w:val="008770C3"/>
    <w:rsid w:val="008770DC"/>
    <w:rsid w:val="00877178"/>
    <w:rsid w:val="00877201"/>
    <w:rsid w:val="00877247"/>
    <w:rsid w:val="00877D06"/>
    <w:rsid w:val="00877D42"/>
    <w:rsid w:val="00877E9D"/>
    <w:rsid w:val="008801AE"/>
    <w:rsid w:val="008801F5"/>
    <w:rsid w:val="00880338"/>
    <w:rsid w:val="0088043E"/>
    <w:rsid w:val="008804AF"/>
    <w:rsid w:val="008804FD"/>
    <w:rsid w:val="008806C1"/>
    <w:rsid w:val="008807A7"/>
    <w:rsid w:val="00880962"/>
    <w:rsid w:val="00880AA3"/>
    <w:rsid w:val="00880C02"/>
    <w:rsid w:val="0088137E"/>
    <w:rsid w:val="008816C1"/>
    <w:rsid w:val="00881D4E"/>
    <w:rsid w:val="00881FA4"/>
    <w:rsid w:val="00882112"/>
    <w:rsid w:val="00882374"/>
    <w:rsid w:val="00882394"/>
    <w:rsid w:val="008823A8"/>
    <w:rsid w:val="00882415"/>
    <w:rsid w:val="0088274B"/>
    <w:rsid w:val="008828C0"/>
    <w:rsid w:val="008828E9"/>
    <w:rsid w:val="00882ACA"/>
    <w:rsid w:val="00882E58"/>
    <w:rsid w:val="008831E7"/>
    <w:rsid w:val="00883404"/>
    <w:rsid w:val="008835C4"/>
    <w:rsid w:val="00883B42"/>
    <w:rsid w:val="00883B43"/>
    <w:rsid w:val="00883FE0"/>
    <w:rsid w:val="0088404A"/>
    <w:rsid w:val="0088404D"/>
    <w:rsid w:val="0088421C"/>
    <w:rsid w:val="0088445B"/>
    <w:rsid w:val="008846AB"/>
    <w:rsid w:val="0088485D"/>
    <w:rsid w:val="00884D43"/>
    <w:rsid w:val="00885049"/>
    <w:rsid w:val="008850AC"/>
    <w:rsid w:val="008852C0"/>
    <w:rsid w:val="0088559E"/>
    <w:rsid w:val="00885C21"/>
    <w:rsid w:val="00885E3D"/>
    <w:rsid w:val="00885F41"/>
    <w:rsid w:val="00886085"/>
    <w:rsid w:val="00886966"/>
    <w:rsid w:val="00886BBC"/>
    <w:rsid w:val="00886D99"/>
    <w:rsid w:val="0088707F"/>
    <w:rsid w:val="00887096"/>
    <w:rsid w:val="008870A5"/>
    <w:rsid w:val="008870BA"/>
    <w:rsid w:val="00887446"/>
    <w:rsid w:val="00887813"/>
    <w:rsid w:val="008879DF"/>
    <w:rsid w:val="00887AFB"/>
    <w:rsid w:val="008904BC"/>
    <w:rsid w:val="008909DA"/>
    <w:rsid w:val="00890B18"/>
    <w:rsid w:val="00890B8B"/>
    <w:rsid w:val="00890C86"/>
    <w:rsid w:val="008910B6"/>
    <w:rsid w:val="00891AEB"/>
    <w:rsid w:val="00891AF6"/>
    <w:rsid w:val="00891BC3"/>
    <w:rsid w:val="00892490"/>
    <w:rsid w:val="00892876"/>
    <w:rsid w:val="00893221"/>
    <w:rsid w:val="0089329C"/>
    <w:rsid w:val="008933F0"/>
    <w:rsid w:val="00893566"/>
    <w:rsid w:val="008937C8"/>
    <w:rsid w:val="00893A98"/>
    <w:rsid w:val="00893CCD"/>
    <w:rsid w:val="00893CF7"/>
    <w:rsid w:val="00893D30"/>
    <w:rsid w:val="00893E6E"/>
    <w:rsid w:val="00893EBE"/>
    <w:rsid w:val="00894082"/>
    <w:rsid w:val="0089413E"/>
    <w:rsid w:val="0089428B"/>
    <w:rsid w:val="00894312"/>
    <w:rsid w:val="008944C0"/>
    <w:rsid w:val="0089495E"/>
    <w:rsid w:val="00894F89"/>
    <w:rsid w:val="0089517E"/>
    <w:rsid w:val="008953AA"/>
    <w:rsid w:val="008955D5"/>
    <w:rsid w:val="00895735"/>
    <w:rsid w:val="00895804"/>
    <w:rsid w:val="00895A73"/>
    <w:rsid w:val="00895EFE"/>
    <w:rsid w:val="008960B4"/>
    <w:rsid w:val="008961B6"/>
    <w:rsid w:val="008967C4"/>
    <w:rsid w:val="00896817"/>
    <w:rsid w:val="00896C6C"/>
    <w:rsid w:val="00897467"/>
    <w:rsid w:val="008974A5"/>
    <w:rsid w:val="00897665"/>
    <w:rsid w:val="00897741"/>
    <w:rsid w:val="008977DF"/>
    <w:rsid w:val="0089788D"/>
    <w:rsid w:val="00897AFC"/>
    <w:rsid w:val="00897C64"/>
    <w:rsid w:val="00897D8B"/>
    <w:rsid w:val="00897FAD"/>
    <w:rsid w:val="008A0007"/>
    <w:rsid w:val="008A0021"/>
    <w:rsid w:val="008A0144"/>
    <w:rsid w:val="008A0801"/>
    <w:rsid w:val="008A0ADE"/>
    <w:rsid w:val="008A0CF4"/>
    <w:rsid w:val="008A0D2A"/>
    <w:rsid w:val="008A0E63"/>
    <w:rsid w:val="008A109F"/>
    <w:rsid w:val="008A1258"/>
    <w:rsid w:val="008A12DE"/>
    <w:rsid w:val="008A1693"/>
    <w:rsid w:val="008A1766"/>
    <w:rsid w:val="008A17B8"/>
    <w:rsid w:val="008A18F8"/>
    <w:rsid w:val="008A1960"/>
    <w:rsid w:val="008A198F"/>
    <w:rsid w:val="008A1A88"/>
    <w:rsid w:val="008A1B0B"/>
    <w:rsid w:val="008A1B6E"/>
    <w:rsid w:val="008A1D15"/>
    <w:rsid w:val="008A1F3E"/>
    <w:rsid w:val="008A230D"/>
    <w:rsid w:val="008A254F"/>
    <w:rsid w:val="008A2630"/>
    <w:rsid w:val="008A26E0"/>
    <w:rsid w:val="008A2846"/>
    <w:rsid w:val="008A2CD7"/>
    <w:rsid w:val="008A2DE1"/>
    <w:rsid w:val="008A2EB4"/>
    <w:rsid w:val="008A30F7"/>
    <w:rsid w:val="008A3414"/>
    <w:rsid w:val="008A3ACB"/>
    <w:rsid w:val="008A3B7E"/>
    <w:rsid w:val="008A3D1A"/>
    <w:rsid w:val="008A420B"/>
    <w:rsid w:val="008A44F8"/>
    <w:rsid w:val="008A4A3D"/>
    <w:rsid w:val="008A4BEB"/>
    <w:rsid w:val="008A4E4D"/>
    <w:rsid w:val="008A509F"/>
    <w:rsid w:val="008A547E"/>
    <w:rsid w:val="008A556B"/>
    <w:rsid w:val="008A5833"/>
    <w:rsid w:val="008A5FA6"/>
    <w:rsid w:val="008A65B1"/>
    <w:rsid w:val="008A692C"/>
    <w:rsid w:val="008A7C35"/>
    <w:rsid w:val="008B004A"/>
    <w:rsid w:val="008B0061"/>
    <w:rsid w:val="008B00C5"/>
    <w:rsid w:val="008B0829"/>
    <w:rsid w:val="008B08F2"/>
    <w:rsid w:val="008B0A75"/>
    <w:rsid w:val="008B0B71"/>
    <w:rsid w:val="008B0D9E"/>
    <w:rsid w:val="008B0F11"/>
    <w:rsid w:val="008B1340"/>
    <w:rsid w:val="008B1690"/>
    <w:rsid w:val="008B1767"/>
    <w:rsid w:val="008B17CF"/>
    <w:rsid w:val="008B1C97"/>
    <w:rsid w:val="008B1CB1"/>
    <w:rsid w:val="008B1D7C"/>
    <w:rsid w:val="008B1F22"/>
    <w:rsid w:val="008B1FC4"/>
    <w:rsid w:val="008B2169"/>
    <w:rsid w:val="008B21A0"/>
    <w:rsid w:val="008B23EC"/>
    <w:rsid w:val="008B29B2"/>
    <w:rsid w:val="008B308E"/>
    <w:rsid w:val="008B34E7"/>
    <w:rsid w:val="008B3680"/>
    <w:rsid w:val="008B3A88"/>
    <w:rsid w:val="008B3B60"/>
    <w:rsid w:val="008B3D07"/>
    <w:rsid w:val="008B3E28"/>
    <w:rsid w:val="008B4A08"/>
    <w:rsid w:val="008B4BFC"/>
    <w:rsid w:val="008B51B4"/>
    <w:rsid w:val="008B51B5"/>
    <w:rsid w:val="008B538F"/>
    <w:rsid w:val="008B570A"/>
    <w:rsid w:val="008B5856"/>
    <w:rsid w:val="008B5B67"/>
    <w:rsid w:val="008B5D7A"/>
    <w:rsid w:val="008B5D7C"/>
    <w:rsid w:val="008B6101"/>
    <w:rsid w:val="008B6327"/>
    <w:rsid w:val="008B63FF"/>
    <w:rsid w:val="008B64F5"/>
    <w:rsid w:val="008B66E3"/>
    <w:rsid w:val="008B6851"/>
    <w:rsid w:val="008B6DE1"/>
    <w:rsid w:val="008B72CE"/>
    <w:rsid w:val="008B747A"/>
    <w:rsid w:val="008B76F6"/>
    <w:rsid w:val="008B7848"/>
    <w:rsid w:val="008B7BD1"/>
    <w:rsid w:val="008B7C4A"/>
    <w:rsid w:val="008C00DA"/>
    <w:rsid w:val="008C0483"/>
    <w:rsid w:val="008C0528"/>
    <w:rsid w:val="008C05E9"/>
    <w:rsid w:val="008C08B6"/>
    <w:rsid w:val="008C0BD2"/>
    <w:rsid w:val="008C0CD5"/>
    <w:rsid w:val="008C0D85"/>
    <w:rsid w:val="008C12D6"/>
    <w:rsid w:val="008C137D"/>
    <w:rsid w:val="008C14D3"/>
    <w:rsid w:val="008C15FB"/>
    <w:rsid w:val="008C1BC1"/>
    <w:rsid w:val="008C1E05"/>
    <w:rsid w:val="008C1ECA"/>
    <w:rsid w:val="008C22C6"/>
    <w:rsid w:val="008C22FB"/>
    <w:rsid w:val="008C2956"/>
    <w:rsid w:val="008C2957"/>
    <w:rsid w:val="008C2969"/>
    <w:rsid w:val="008C2D3B"/>
    <w:rsid w:val="008C31EA"/>
    <w:rsid w:val="008C31F4"/>
    <w:rsid w:val="008C3209"/>
    <w:rsid w:val="008C328C"/>
    <w:rsid w:val="008C332A"/>
    <w:rsid w:val="008C3384"/>
    <w:rsid w:val="008C33B0"/>
    <w:rsid w:val="008C345D"/>
    <w:rsid w:val="008C34BB"/>
    <w:rsid w:val="008C3742"/>
    <w:rsid w:val="008C3BBE"/>
    <w:rsid w:val="008C3D94"/>
    <w:rsid w:val="008C3FA0"/>
    <w:rsid w:val="008C42B7"/>
    <w:rsid w:val="008C45E2"/>
    <w:rsid w:val="008C4772"/>
    <w:rsid w:val="008C4814"/>
    <w:rsid w:val="008C4B01"/>
    <w:rsid w:val="008C4DE2"/>
    <w:rsid w:val="008C4FB0"/>
    <w:rsid w:val="008C5293"/>
    <w:rsid w:val="008C56D5"/>
    <w:rsid w:val="008C575C"/>
    <w:rsid w:val="008C5806"/>
    <w:rsid w:val="008C5902"/>
    <w:rsid w:val="008C5C3D"/>
    <w:rsid w:val="008C624B"/>
    <w:rsid w:val="008C6921"/>
    <w:rsid w:val="008C6983"/>
    <w:rsid w:val="008C69BE"/>
    <w:rsid w:val="008C6B87"/>
    <w:rsid w:val="008C6C63"/>
    <w:rsid w:val="008C6E4A"/>
    <w:rsid w:val="008C714C"/>
    <w:rsid w:val="008C7153"/>
    <w:rsid w:val="008C71CB"/>
    <w:rsid w:val="008C71D0"/>
    <w:rsid w:val="008C733B"/>
    <w:rsid w:val="008C7477"/>
    <w:rsid w:val="008C74F1"/>
    <w:rsid w:val="008C7574"/>
    <w:rsid w:val="008C7A20"/>
    <w:rsid w:val="008C7CF7"/>
    <w:rsid w:val="008C7F35"/>
    <w:rsid w:val="008D0FF3"/>
    <w:rsid w:val="008D117B"/>
    <w:rsid w:val="008D13E8"/>
    <w:rsid w:val="008D1967"/>
    <w:rsid w:val="008D1B5B"/>
    <w:rsid w:val="008D1B63"/>
    <w:rsid w:val="008D1D3E"/>
    <w:rsid w:val="008D1DD7"/>
    <w:rsid w:val="008D1FCA"/>
    <w:rsid w:val="008D23EB"/>
    <w:rsid w:val="008D290B"/>
    <w:rsid w:val="008D2B78"/>
    <w:rsid w:val="008D2C6D"/>
    <w:rsid w:val="008D2CC4"/>
    <w:rsid w:val="008D2E6D"/>
    <w:rsid w:val="008D2F85"/>
    <w:rsid w:val="008D3097"/>
    <w:rsid w:val="008D3318"/>
    <w:rsid w:val="008D355F"/>
    <w:rsid w:val="008D35AE"/>
    <w:rsid w:val="008D36A2"/>
    <w:rsid w:val="008D370C"/>
    <w:rsid w:val="008D3726"/>
    <w:rsid w:val="008D376F"/>
    <w:rsid w:val="008D3909"/>
    <w:rsid w:val="008D3BB2"/>
    <w:rsid w:val="008D3C53"/>
    <w:rsid w:val="008D3D2C"/>
    <w:rsid w:val="008D421C"/>
    <w:rsid w:val="008D42BB"/>
    <w:rsid w:val="008D42F3"/>
    <w:rsid w:val="008D4560"/>
    <w:rsid w:val="008D456A"/>
    <w:rsid w:val="008D46E5"/>
    <w:rsid w:val="008D479B"/>
    <w:rsid w:val="008D4811"/>
    <w:rsid w:val="008D49D7"/>
    <w:rsid w:val="008D4CB0"/>
    <w:rsid w:val="008D4DAA"/>
    <w:rsid w:val="008D4DCD"/>
    <w:rsid w:val="008D4E7A"/>
    <w:rsid w:val="008D4E95"/>
    <w:rsid w:val="008D52EA"/>
    <w:rsid w:val="008D5425"/>
    <w:rsid w:val="008D55A1"/>
    <w:rsid w:val="008D564B"/>
    <w:rsid w:val="008D56CB"/>
    <w:rsid w:val="008D5771"/>
    <w:rsid w:val="008D6099"/>
    <w:rsid w:val="008D62BA"/>
    <w:rsid w:val="008D62D3"/>
    <w:rsid w:val="008D6397"/>
    <w:rsid w:val="008D6469"/>
    <w:rsid w:val="008D6487"/>
    <w:rsid w:val="008D6F42"/>
    <w:rsid w:val="008D70BF"/>
    <w:rsid w:val="008D7117"/>
    <w:rsid w:val="008D7304"/>
    <w:rsid w:val="008D73C9"/>
    <w:rsid w:val="008D75A4"/>
    <w:rsid w:val="008D770D"/>
    <w:rsid w:val="008D798D"/>
    <w:rsid w:val="008D7C36"/>
    <w:rsid w:val="008D7C76"/>
    <w:rsid w:val="008D7D9C"/>
    <w:rsid w:val="008E02E5"/>
    <w:rsid w:val="008E02F1"/>
    <w:rsid w:val="008E03E4"/>
    <w:rsid w:val="008E04B0"/>
    <w:rsid w:val="008E04C8"/>
    <w:rsid w:val="008E07F3"/>
    <w:rsid w:val="008E0BC8"/>
    <w:rsid w:val="008E10D6"/>
    <w:rsid w:val="008E16BF"/>
    <w:rsid w:val="008E1C00"/>
    <w:rsid w:val="008E1CDA"/>
    <w:rsid w:val="008E23F0"/>
    <w:rsid w:val="008E254D"/>
    <w:rsid w:val="008E25BE"/>
    <w:rsid w:val="008E25E9"/>
    <w:rsid w:val="008E25ED"/>
    <w:rsid w:val="008E2659"/>
    <w:rsid w:val="008E2784"/>
    <w:rsid w:val="008E28D4"/>
    <w:rsid w:val="008E2A0D"/>
    <w:rsid w:val="008E2B5A"/>
    <w:rsid w:val="008E3049"/>
    <w:rsid w:val="008E3234"/>
    <w:rsid w:val="008E3274"/>
    <w:rsid w:val="008E35A3"/>
    <w:rsid w:val="008E386D"/>
    <w:rsid w:val="008E3A30"/>
    <w:rsid w:val="008E3D45"/>
    <w:rsid w:val="008E3DEE"/>
    <w:rsid w:val="008E3F70"/>
    <w:rsid w:val="008E4368"/>
    <w:rsid w:val="008E4435"/>
    <w:rsid w:val="008E4858"/>
    <w:rsid w:val="008E4DF9"/>
    <w:rsid w:val="008E4F48"/>
    <w:rsid w:val="008E50DF"/>
    <w:rsid w:val="008E5127"/>
    <w:rsid w:val="008E54C0"/>
    <w:rsid w:val="008E5682"/>
    <w:rsid w:val="008E5724"/>
    <w:rsid w:val="008E5896"/>
    <w:rsid w:val="008E58B1"/>
    <w:rsid w:val="008E5B54"/>
    <w:rsid w:val="008E5BF5"/>
    <w:rsid w:val="008E5DBB"/>
    <w:rsid w:val="008E5E3F"/>
    <w:rsid w:val="008E5F18"/>
    <w:rsid w:val="008E6369"/>
    <w:rsid w:val="008E6AEB"/>
    <w:rsid w:val="008E7215"/>
    <w:rsid w:val="008E7274"/>
    <w:rsid w:val="008E77D5"/>
    <w:rsid w:val="008E7859"/>
    <w:rsid w:val="008E7E40"/>
    <w:rsid w:val="008F0076"/>
    <w:rsid w:val="008F009A"/>
    <w:rsid w:val="008F00A8"/>
    <w:rsid w:val="008F02AC"/>
    <w:rsid w:val="008F0463"/>
    <w:rsid w:val="008F0562"/>
    <w:rsid w:val="008F05CF"/>
    <w:rsid w:val="008F0B69"/>
    <w:rsid w:val="008F0C27"/>
    <w:rsid w:val="008F0E5B"/>
    <w:rsid w:val="008F1219"/>
    <w:rsid w:val="008F1C0F"/>
    <w:rsid w:val="008F25EE"/>
    <w:rsid w:val="008F260B"/>
    <w:rsid w:val="008F2797"/>
    <w:rsid w:val="008F292E"/>
    <w:rsid w:val="008F361F"/>
    <w:rsid w:val="008F3F40"/>
    <w:rsid w:val="008F40F3"/>
    <w:rsid w:val="008F46D1"/>
    <w:rsid w:val="008F4B67"/>
    <w:rsid w:val="008F4E57"/>
    <w:rsid w:val="008F4F34"/>
    <w:rsid w:val="008F4FCC"/>
    <w:rsid w:val="008F52E3"/>
    <w:rsid w:val="008F530D"/>
    <w:rsid w:val="008F53DD"/>
    <w:rsid w:val="008F5493"/>
    <w:rsid w:val="008F5731"/>
    <w:rsid w:val="008F582E"/>
    <w:rsid w:val="008F5B1F"/>
    <w:rsid w:val="008F5CB6"/>
    <w:rsid w:val="008F5E4C"/>
    <w:rsid w:val="008F5F3C"/>
    <w:rsid w:val="008F62E4"/>
    <w:rsid w:val="008F6441"/>
    <w:rsid w:val="008F65EA"/>
    <w:rsid w:val="008F6663"/>
    <w:rsid w:val="008F66B3"/>
    <w:rsid w:val="008F6AB8"/>
    <w:rsid w:val="008F6E02"/>
    <w:rsid w:val="008F7028"/>
    <w:rsid w:val="008F70FA"/>
    <w:rsid w:val="008F7C0C"/>
    <w:rsid w:val="00900163"/>
    <w:rsid w:val="00900376"/>
    <w:rsid w:val="009006E8"/>
    <w:rsid w:val="00900B5A"/>
    <w:rsid w:val="00900DBB"/>
    <w:rsid w:val="00900E0C"/>
    <w:rsid w:val="009013C0"/>
    <w:rsid w:val="00901521"/>
    <w:rsid w:val="009016D5"/>
    <w:rsid w:val="0090175F"/>
    <w:rsid w:val="00901801"/>
    <w:rsid w:val="00901AD8"/>
    <w:rsid w:val="00901CDA"/>
    <w:rsid w:val="00901FAC"/>
    <w:rsid w:val="0090207B"/>
    <w:rsid w:val="009021E5"/>
    <w:rsid w:val="0090290A"/>
    <w:rsid w:val="0090292F"/>
    <w:rsid w:val="00902A2E"/>
    <w:rsid w:val="00902E55"/>
    <w:rsid w:val="00903372"/>
    <w:rsid w:val="00903487"/>
    <w:rsid w:val="009036A4"/>
    <w:rsid w:val="009039EE"/>
    <w:rsid w:val="00903E70"/>
    <w:rsid w:val="0090451B"/>
    <w:rsid w:val="00904B42"/>
    <w:rsid w:val="00904D98"/>
    <w:rsid w:val="00904E85"/>
    <w:rsid w:val="00905011"/>
    <w:rsid w:val="00905128"/>
    <w:rsid w:val="00905346"/>
    <w:rsid w:val="009057CF"/>
    <w:rsid w:val="0090615F"/>
    <w:rsid w:val="009063CF"/>
    <w:rsid w:val="0090656F"/>
    <w:rsid w:val="00906719"/>
    <w:rsid w:val="00906821"/>
    <w:rsid w:val="009069E5"/>
    <w:rsid w:val="00906D20"/>
    <w:rsid w:val="00906E65"/>
    <w:rsid w:val="00906F1A"/>
    <w:rsid w:val="00907131"/>
    <w:rsid w:val="00907A16"/>
    <w:rsid w:val="00907BCE"/>
    <w:rsid w:val="00907C56"/>
    <w:rsid w:val="00907CAD"/>
    <w:rsid w:val="00907FA3"/>
    <w:rsid w:val="00910AA1"/>
    <w:rsid w:val="00910ACC"/>
    <w:rsid w:val="00910ADD"/>
    <w:rsid w:val="00910B85"/>
    <w:rsid w:val="0091106D"/>
    <w:rsid w:val="00911189"/>
    <w:rsid w:val="009111EF"/>
    <w:rsid w:val="0091130B"/>
    <w:rsid w:val="00911390"/>
    <w:rsid w:val="009114EE"/>
    <w:rsid w:val="009115B3"/>
    <w:rsid w:val="009115DF"/>
    <w:rsid w:val="0091196D"/>
    <w:rsid w:val="00911B88"/>
    <w:rsid w:val="009121EE"/>
    <w:rsid w:val="009122EB"/>
    <w:rsid w:val="00912805"/>
    <w:rsid w:val="00912C8B"/>
    <w:rsid w:val="00913059"/>
    <w:rsid w:val="00913E5F"/>
    <w:rsid w:val="00914183"/>
    <w:rsid w:val="009144D5"/>
    <w:rsid w:val="0091465E"/>
    <w:rsid w:val="0091468E"/>
    <w:rsid w:val="00914792"/>
    <w:rsid w:val="00914D83"/>
    <w:rsid w:val="00915006"/>
    <w:rsid w:val="009151D7"/>
    <w:rsid w:val="00915587"/>
    <w:rsid w:val="009155F5"/>
    <w:rsid w:val="00915658"/>
    <w:rsid w:val="009159E1"/>
    <w:rsid w:val="00915E06"/>
    <w:rsid w:val="00915F98"/>
    <w:rsid w:val="00915FA3"/>
    <w:rsid w:val="00915FED"/>
    <w:rsid w:val="0091620B"/>
    <w:rsid w:val="009162C7"/>
    <w:rsid w:val="0091635F"/>
    <w:rsid w:val="00916372"/>
    <w:rsid w:val="009165C6"/>
    <w:rsid w:val="009166A4"/>
    <w:rsid w:val="009169D5"/>
    <w:rsid w:val="00916FEA"/>
    <w:rsid w:val="00917580"/>
    <w:rsid w:val="00917762"/>
    <w:rsid w:val="00920358"/>
    <w:rsid w:val="00920512"/>
    <w:rsid w:val="0092062E"/>
    <w:rsid w:val="00920876"/>
    <w:rsid w:val="009209E6"/>
    <w:rsid w:val="00920C0A"/>
    <w:rsid w:val="00921302"/>
    <w:rsid w:val="009217F8"/>
    <w:rsid w:val="00921A66"/>
    <w:rsid w:val="00921A8D"/>
    <w:rsid w:val="00921D1B"/>
    <w:rsid w:val="00921DCF"/>
    <w:rsid w:val="00921F92"/>
    <w:rsid w:val="009222D5"/>
    <w:rsid w:val="0092242A"/>
    <w:rsid w:val="009226AC"/>
    <w:rsid w:val="009226D4"/>
    <w:rsid w:val="009228FB"/>
    <w:rsid w:val="00922B24"/>
    <w:rsid w:val="00922E9F"/>
    <w:rsid w:val="0092331C"/>
    <w:rsid w:val="0092359E"/>
    <w:rsid w:val="00923654"/>
    <w:rsid w:val="00923867"/>
    <w:rsid w:val="00923893"/>
    <w:rsid w:val="00923E67"/>
    <w:rsid w:val="009240A5"/>
    <w:rsid w:val="00924114"/>
    <w:rsid w:val="00924270"/>
    <w:rsid w:val="0092470E"/>
    <w:rsid w:val="00924835"/>
    <w:rsid w:val="009248EB"/>
    <w:rsid w:val="0092498B"/>
    <w:rsid w:val="00924A7A"/>
    <w:rsid w:val="00924B55"/>
    <w:rsid w:val="00925187"/>
    <w:rsid w:val="009256C7"/>
    <w:rsid w:val="00925CE9"/>
    <w:rsid w:val="00925E48"/>
    <w:rsid w:val="0092611A"/>
    <w:rsid w:val="00926305"/>
    <w:rsid w:val="00926344"/>
    <w:rsid w:val="00926425"/>
    <w:rsid w:val="009265F1"/>
    <w:rsid w:val="0092675E"/>
    <w:rsid w:val="00926B1B"/>
    <w:rsid w:val="00926B8F"/>
    <w:rsid w:val="00926C36"/>
    <w:rsid w:val="00926C95"/>
    <w:rsid w:val="00926E8E"/>
    <w:rsid w:val="0092709C"/>
    <w:rsid w:val="0092717F"/>
    <w:rsid w:val="00927744"/>
    <w:rsid w:val="009277DA"/>
    <w:rsid w:val="00927B05"/>
    <w:rsid w:val="00927C7F"/>
    <w:rsid w:val="00927D4B"/>
    <w:rsid w:val="00927D50"/>
    <w:rsid w:val="00927E7A"/>
    <w:rsid w:val="00930908"/>
    <w:rsid w:val="00930B8E"/>
    <w:rsid w:val="00930EDC"/>
    <w:rsid w:val="00930F4E"/>
    <w:rsid w:val="00930FC3"/>
    <w:rsid w:val="00930FEB"/>
    <w:rsid w:val="00931007"/>
    <w:rsid w:val="00931185"/>
    <w:rsid w:val="00931782"/>
    <w:rsid w:val="00931A6B"/>
    <w:rsid w:val="00931A87"/>
    <w:rsid w:val="00931BC8"/>
    <w:rsid w:val="00931EE8"/>
    <w:rsid w:val="00931FDE"/>
    <w:rsid w:val="00932071"/>
    <w:rsid w:val="00932483"/>
    <w:rsid w:val="0093272F"/>
    <w:rsid w:val="00932775"/>
    <w:rsid w:val="00932814"/>
    <w:rsid w:val="0093336F"/>
    <w:rsid w:val="00933C83"/>
    <w:rsid w:val="00933D77"/>
    <w:rsid w:val="009340C1"/>
    <w:rsid w:val="00934185"/>
    <w:rsid w:val="0093462F"/>
    <w:rsid w:val="009347C6"/>
    <w:rsid w:val="00934886"/>
    <w:rsid w:val="00934E01"/>
    <w:rsid w:val="00935377"/>
    <w:rsid w:val="00935536"/>
    <w:rsid w:val="0093576D"/>
    <w:rsid w:val="009358E5"/>
    <w:rsid w:val="00935AD9"/>
    <w:rsid w:val="00935AEA"/>
    <w:rsid w:val="00935B65"/>
    <w:rsid w:val="00935C6D"/>
    <w:rsid w:val="00935D3B"/>
    <w:rsid w:val="00935D5C"/>
    <w:rsid w:val="00935EEE"/>
    <w:rsid w:val="00935FEC"/>
    <w:rsid w:val="00936062"/>
    <w:rsid w:val="00936085"/>
    <w:rsid w:val="0093698E"/>
    <w:rsid w:val="00936CB0"/>
    <w:rsid w:val="00936D0F"/>
    <w:rsid w:val="00937004"/>
    <w:rsid w:val="00937650"/>
    <w:rsid w:val="00937657"/>
    <w:rsid w:val="00937AD3"/>
    <w:rsid w:val="00937B16"/>
    <w:rsid w:val="00937C65"/>
    <w:rsid w:val="00937CBE"/>
    <w:rsid w:val="00937F56"/>
    <w:rsid w:val="00937FDE"/>
    <w:rsid w:val="009402F3"/>
    <w:rsid w:val="009404EE"/>
    <w:rsid w:val="00940689"/>
    <w:rsid w:val="009406A8"/>
    <w:rsid w:val="00940D3F"/>
    <w:rsid w:val="00940D42"/>
    <w:rsid w:val="00940E6D"/>
    <w:rsid w:val="00940F70"/>
    <w:rsid w:val="0094137E"/>
    <w:rsid w:val="00941647"/>
    <w:rsid w:val="00941920"/>
    <w:rsid w:val="00941931"/>
    <w:rsid w:val="009419A0"/>
    <w:rsid w:val="00941A02"/>
    <w:rsid w:val="00941B27"/>
    <w:rsid w:val="00941C51"/>
    <w:rsid w:val="0094227F"/>
    <w:rsid w:val="00942314"/>
    <w:rsid w:val="00942568"/>
    <w:rsid w:val="00942981"/>
    <w:rsid w:val="00942D42"/>
    <w:rsid w:val="00942E2E"/>
    <w:rsid w:val="00942F36"/>
    <w:rsid w:val="00943975"/>
    <w:rsid w:val="00943B2F"/>
    <w:rsid w:val="00943B57"/>
    <w:rsid w:val="00943E9A"/>
    <w:rsid w:val="00943F02"/>
    <w:rsid w:val="00944087"/>
    <w:rsid w:val="00944193"/>
    <w:rsid w:val="009449FC"/>
    <w:rsid w:val="00944CB7"/>
    <w:rsid w:val="00944E74"/>
    <w:rsid w:val="009452CB"/>
    <w:rsid w:val="009456B7"/>
    <w:rsid w:val="009457B4"/>
    <w:rsid w:val="00945D8C"/>
    <w:rsid w:val="00945FE1"/>
    <w:rsid w:val="00946029"/>
    <w:rsid w:val="009460AC"/>
    <w:rsid w:val="00946171"/>
    <w:rsid w:val="00946204"/>
    <w:rsid w:val="00946243"/>
    <w:rsid w:val="00946269"/>
    <w:rsid w:val="0094677E"/>
    <w:rsid w:val="00946831"/>
    <w:rsid w:val="009468FD"/>
    <w:rsid w:val="00946A35"/>
    <w:rsid w:val="00946B47"/>
    <w:rsid w:val="00946B66"/>
    <w:rsid w:val="00946EF3"/>
    <w:rsid w:val="00947049"/>
    <w:rsid w:val="009470D5"/>
    <w:rsid w:val="009473B0"/>
    <w:rsid w:val="0094741D"/>
    <w:rsid w:val="00947B08"/>
    <w:rsid w:val="00947F90"/>
    <w:rsid w:val="009500DC"/>
    <w:rsid w:val="0095012E"/>
    <w:rsid w:val="009503AC"/>
    <w:rsid w:val="00950435"/>
    <w:rsid w:val="0095072F"/>
    <w:rsid w:val="00950758"/>
    <w:rsid w:val="00950AC5"/>
    <w:rsid w:val="00950F26"/>
    <w:rsid w:val="00951097"/>
    <w:rsid w:val="00951146"/>
    <w:rsid w:val="009511F0"/>
    <w:rsid w:val="009512C5"/>
    <w:rsid w:val="0095156E"/>
    <w:rsid w:val="00951780"/>
    <w:rsid w:val="0095182F"/>
    <w:rsid w:val="00951934"/>
    <w:rsid w:val="00951B5B"/>
    <w:rsid w:val="00951C53"/>
    <w:rsid w:val="0095207B"/>
    <w:rsid w:val="00952246"/>
    <w:rsid w:val="009522FA"/>
    <w:rsid w:val="009523DA"/>
    <w:rsid w:val="00952593"/>
    <w:rsid w:val="00952ACF"/>
    <w:rsid w:val="00952B02"/>
    <w:rsid w:val="00952BEE"/>
    <w:rsid w:val="00953399"/>
    <w:rsid w:val="009533A3"/>
    <w:rsid w:val="00953604"/>
    <w:rsid w:val="0095366E"/>
    <w:rsid w:val="009538E1"/>
    <w:rsid w:val="00953D8C"/>
    <w:rsid w:val="00953F55"/>
    <w:rsid w:val="0095456F"/>
    <w:rsid w:val="00954734"/>
    <w:rsid w:val="00954BD9"/>
    <w:rsid w:val="00954C8C"/>
    <w:rsid w:val="00954CD7"/>
    <w:rsid w:val="00954D7F"/>
    <w:rsid w:val="0095565E"/>
    <w:rsid w:val="00955784"/>
    <w:rsid w:val="00955813"/>
    <w:rsid w:val="00955AAF"/>
    <w:rsid w:val="00955D8F"/>
    <w:rsid w:val="00955F94"/>
    <w:rsid w:val="009561C8"/>
    <w:rsid w:val="0095669D"/>
    <w:rsid w:val="00956805"/>
    <w:rsid w:val="0095691A"/>
    <w:rsid w:val="009569FD"/>
    <w:rsid w:val="00956ACE"/>
    <w:rsid w:val="00956B1D"/>
    <w:rsid w:val="00956C84"/>
    <w:rsid w:val="00956CB0"/>
    <w:rsid w:val="00956E89"/>
    <w:rsid w:val="0095711F"/>
    <w:rsid w:val="009572A0"/>
    <w:rsid w:val="009578DB"/>
    <w:rsid w:val="0095796B"/>
    <w:rsid w:val="00957A27"/>
    <w:rsid w:val="00957B26"/>
    <w:rsid w:val="00957C73"/>
    <w:rsid w:val="00957C7F"/>
    <w:rsid w:val="00957D24"/>
    <w:rsid w:val="00957DBF"/>
    <w:rsid w:val="0095829F"/>
    <w:rsid w:val="009604AB"/>
    <w:rsid w:val="00960521"/>
    <w:rsid w:val="00960745"/>
    <w:rsid w:val="00960903"/>
    <w:rsid w:val="00960DCF"/>
    <w:rsid w:val="00960E22"/>
    <w:rsid w:val="00960FDB"/>
    <w:rsid w:val="00961292"/>
    <w:rsid w:val="009615F9"/>
    <w:rsid w:val="00961B53"/>
    <w:rsid w:val="00961FD0"/>
    <w:rsid w:val="009623BB"/>
    <w:rsid w:val="009624BF"/>
    <w:rsid w:val="00962AB2"/>
    <w:rsid w:val="00963008"/>
    <w:rsid w:val="00963048"/>
    <w:rsid w:val="00963163"/>
    <w:rsid w:val="00963264"/>
    <w:rsid w:val="009634F8"/>
    <w:rsid w:val="0096372D"/>
    <w:rsid w:val="0096389D"/>
    <w:rsid w:val="00963918"/>
    <w:rsid w:val="0096398B"/>
    <w:rsid w:val="00963A15"/>
    <w:rsid w:val="00963B07"/>
    <w:rsid w:val="00963D95"/>
    <w:rsid w:val="00963E06"/>
    <w:rsid w:val="0096414F"/>
    <w:rsid w:val="0096441D"/>
    <w:rsid w:val="00964423"/>
    <w:rsid w:val="0096495E"/>
    <w:rsid w:val="00964D10"/>
    <w:rsid w:val="009651EE"/>
    <w:rsid w:val="00965898"/>
    <w:rsid w:val="00965F3E"/>
    <w:rsid w:val="0096654F"/>
    <w:rsid w:val="0096662A"/>
    <w:rsid w:val="0096669F"/>
    <w:rsid w:val="0096674A"/>
    <w:rsid w:val="00966827"/>
    <w:rsid w:val="00966BB6"/>
    <w:rsid w:val="00966F74"/>
    <w:rsid w:val="009671F0"/>
    <w:rsid w:val="0096727B"/>
    <w:rsid w:val="009673EB"/>
    <w:rsid w:val="009674FE"/>
    <w:rsid w:val="009676C0"/>
    <w:rsid w:val="00967BA2"/>
    <w:rsid w:val="00967D06"/>
    <w:rsid w:val="00967E23"/>
    <w:rsid w:val="00967ECD"/>
    <w:rsid w:val="00967FAF"/>
    <w:rsid w:val="0097084F"/>
    <w:rsid w:val="00970862"/>
    <w:rsid w:val="00970977"/>
    <w:rsid w:val="00970B7F"/>
    <w:rsid w:val="00971088"/>
    <w:rsid w:val="00971125"/>
    <w:rsid w:val="00971654"/>
    <w:rsid w:val="00971A08"/>
    <w:rsid w:val="00971CF3"/>
    <w:rsid w:val="00971DBE"/>
    <w:rsid w:val="00971F20"/>
    <w:rsid w:val="0097223E"/>
    <w:rsid w:val="00972261"/>
    <w:rsid w:val="009723C3"/>
    <w:rsid w:val="0097259C"/>
    <w:rsid w:val="0097292C"/>
    <w:rsid w:val="00972AB9"/>
    <w:rsid w:val="00972D21"/>
    <w:rsid w:val="00973359"/>
    <w:rsid w:val="009738C7"/>
    <w:rsid w:val="00973A94"/>
    <w:rsid w:val="00973DDC"/>
    <w:rsid w:val="009740C5"/>
    <w:rsid w:val="009742DC"/>
    <w:rsid w:val="00974682"/>
    <w:rsid w:val="009748A4"/>
    <w:rsid w:val="0097494C"/>
    <w:rsid w:val="00974C4B"/>
    <w:rsid w:val="00974DD8"/>
    <w:rsid w:val="009750DB"/>
    <w:rsid w:val="009751B4"/>
    <w:rsid w:val="00975433"/>
    <w:rsid w:val="00975505"/>
    <w:rsid w:val="00975735"/>
    <w:rsid w:val="00975A7D"/>
    <w:rsid w:val="009762EE"/>
    <w:rsid w:val="00976358"/>
    <w:rsid w:val="00976A50"/>
    <w:rsid w:val="00976D25"/>
    <w:rsid w:val="00976EAB"/>
    <w:rsid w:val="00976F21"/>
    <w:rsid w:val="00977754"/>
    <w:rsid w:val="009778AD"/>
    <w:rsid w:val="00977ABD"/>
    <w:rsid w:val="00977D74"/>
    <w:rsid w:val="009800FD"/>
    <w:rsid w:val="009801FC"/>
    <w:rsid w:val="009802D7"/>
    <w:rsid w:val="009803A9"/>
    <w:rsid w:val="009803CB"/>
    <w:rsid w:val="009803D4"/>
    <w:rsid w:val="009807A2"/>
    <w:rsid w:val="00980800"/>
    <w:rsid w:val="00980E5C"/>
    <w:rsid w:val="00981197"/>
    <w:rsid w:val="009811DC"/>
    <w:rsid w:val="00981234"/>
    <w:rsid w:val="009812D8"/>
    <w:rsid w:val="009813A8"/>
    <w:rsid w:val="009813BC"/>
    <w:rsid w:val="00981732"/>
    <w:rsid w:val="0098199C"/>
    <w:rsid w:val="00981CD9"/>
    <w:rsid w:val="00981FF1"/>
    <w:rsid w:val="0098211C"/>
    <w:rsid w:val="009822E2"/>
    <w:rsid w:val="00982441"/>
    <w:rsid w:val="0098248B"/>
    <w:rsid w:val="009824A8"/>
    <w:rsid w:val="0098264E"/>
    <w:rsid w:val="0098273F"/>
    <w:rsid w:val="00982CA5"/>
    <w:rsid w:val="00983314"/>
    <w:rsid w:val="0098333F"/>
    <w:rsid w:val="0098374A"/>
    <w:rsid w:val="009837F7"/>
    <w:rsid w:val="009837FC"/>
    <w:rsid w:val="00983D2C"/>
    <w:rsid w:val="00984294"/>
    <w:rsid w:val="009843CB"/>
    <w:rsid w:val="009844C4"/>
    <w:rsid w:val="0098468C"/>
    <w:rsid w:val="00984772"/>
    <w:rsid w:val="00984913"/>
    <w:rsid w:val="00984BAE"/>
    <w:rsid w:val="00984C2D"/>
    <w:rsid w:val="00984DAB"/>
    <w:rsid w:val="0098521E"/>
    <w:rsid w:val="00985259"/>
    <w:rsid w:val="0098539A"/>
    <w:rsid w:val="00985B3D"/>
    <w:rsid w:val="00985DCC"/>
    <w:rsid w:val="00985EF7"/>
    <w:rsid w:val="00986485"/>
    <w:rsid w:val="00986507"/>
    <w:rsid w:val="009866FE"/>
    <w:rsid w:val="00986770"/>
    <w:rsid w:val="00986A2F"/>
    <w:rsid w:val="00986AEF"/>
    <w:rsid w:val="00986C33"/>
    <w:rsid w:val="00986D76"/>
    <w:rsid w:val="00987203"/>
    <w:rsid w:val="009873F3"/>
    <w:rsid w:val="00987416"/>
    <w:rsid w:val="009875BD"/>
    <w:rsid w:val="00987820"/>
    <w:rsid w:val="0098793C"/>
    <w:rsid w:val="00987B8D"/>
    <w:rsid w:val="00987D41"/>
    <w:rsid w:val="00987D8D"/>
    <w:rsid w:val="00990245"/>
    <w:rsid w:val="0099028C"/>
    <w:rsid w:val="0099049C"/>
    <w:rsid w:val="0099083B"/>
    <w:rsid w:val="00990E4D"/>
    <w:rsid w:val="00991126"/>
    <w:rsid w:val="00991301"/>
    <w:rsid w:val="0099165B"/>
    <w:rsid w:val="00991872"/>
    <w:rsid w:val="00991881"/>
    <w:rsid w:val="009918B5"/>
    <w:rsid w:val="00991A5A"/>
    <w:rsid w:val="00991E71"/>
    <w:rsid w:val="0099214D"/>
    <w:rsid w:val="00992685"/>
    <w:rsid w:val="00992BB1"/>
    <w:rsid w:val="00992D65"/>
    <w:rsid w:val="00992FC1"/>
    <w:rsid w:val="0099305A"/>
    <w:rsid w:val="0099324D"/>
    <w:rsid w:val="00993454"/>
    <w:rsid w:val="009936C9"/>
    <w:rsid w:val="00993773"/>
    <w:rsid w:val="00993A85"/>
    <w:rsid w:val="00993B43"/>
    <w:rsid w:val="00993BA2"/>
    <w:rsid w:val="00993BAE"/>
    <w:rsid w:val="00993EF2"/>
    <w:rsid w:val="0099418C"/>
    <w:rsid w:val="00994319"/>
    <w:rsid w:val="00994330"/>
    <w:rsid w:val="0099435E"/>
    <w:rsid w:val="00994C01"/>
    <w:rsid w:val="0099501C"/>
    <w:rsid w:val="009950E7"/>
    <w:rsid w:val="009950F1"/>
    <w:rsid w:val="00995349"/>
    <w:rsid w:val="009953B7"/>
    <w:rsid w:val="00995C9F"/>
    <w:rsid w:val="00995E98"/>
    <w:rsid w:val="00995EBE"/>
    <w:rsid w:val="00995FBB"/>
    <w:rsid w:val="00996320"/>
    <w:rsid w:val="00996396"/>
    <w:rsid w:val="0099653A"/>
    <w:rsid w:val="00996BCD"/>
    <w:rsid w:val="00996F15"/>
    <w:rsid w:val="00996FFA"/>
    <w:rsid w:val="009970B7"/>
    <w:rsid w:val="009971D0"/>
    <w:rsid w:val="00997443"/>
    <w:rsid w:val="00997547"/>
    <w:rsid w:val="00997620"/>
    <w:rsid w:val="009977DC"/>
    <w:rsid w:val="009978EF"/>
    <w:rsid w:val="0099790F"/>
    <w:rsid w:val="009979E8"/>
    <w:rsid w:val="00997BA8"/>
    <w:rsid w:val="009A0262"/>
    <w:rsid w:val="009A04C5"/>
    <w:rsid w:val="009A06F4"/>
    <w:rsid w:val="009A0873"/>
    <w:rsid w:val="009A08BE"/>
    <w:rsid w:val="009A11BC"/>
    <w:rsid w:val="009A1286"/>
    <w:rsid w:val="009A1320"/>
    <w:rsid w:val="009A1539"/>
    <w:rsid w:val="009A1564"/>
    <w:rsid w:val="009A162B"/>
    <w:rsid w:val="009A16D6"/>
    <w:rsid w:val="009A1CAB"/>
    <w:rsid w:val="009A2026"/>
    <w:rsid w:val="009A27BA"/>
    <w:rsid w:val="009A2D42"/>
    <w:rsid w:val="009A2F32"/>
    <w:rsid w:val="009A3241"/>
    <w:rsid w:val="009A3295"/>
    <w:rsid w:val="009A33BD"/>
    <w:rsid w:val="009A3778"/>
    <w:rsid w:val="009A386D"/>
    <w:rsid w:val="009A38A2"/>
    <w:rsid w:val="009A3A60"/>
    <w:rsid w:val="009A3C86"/>
    <w:rsid w:val="009A3E2E"/>
    <w:rsid w:val="009A4176"/>
    <w:rsid w:val="009A45B9"/>
    <w:rsid w:val="009A4746"/>
    <w:rsid w:val="009A4AB3"/>
    <w:rsid w:val="009A4E35"/>
    <w:rsid w:val="009A50DA"/>
    <w:rsid w:val="009A52A5"/>
    <w:rsid w:val="009A5332"/>
    <w:rsid w:val="009A541E"/>
    <w:rsid w:val="009A56EC"/>
    <w:rsid w:val="009A5856"/>
    <w:rsid w:val="009A5D77"/>
    <w:rsid w:val="009A5DBD"/>
    <w:rsid w:val="009A5F44"/>
    <w:rsid w:val="009A6801"/>
    <w:rsid w:val="009A6D65"/>
    <w:rsid w:val="009A74A7"/>
    <w:rsid w:val="009A7E59"/>
    <w:rsid w:val="009A7F34"/>
    <w:rsid w:val="009B08AC"/>
    <w:rsid w:val="009B08F9"/>
    <w:rsid w:val="009B0CB9"/>
    <w:rsid w:val="009B11A9"/>
    <w:rsid w:val="009B147C"/>
    <w:rsid w:val="009B1B4D"/>
    <w:rsid w:val="009B1B88"/>
    <w:rsid w:val="009B1CE2"/>
    <w:rsid w:val="009B1D18"/>
    <w:rsid w:val="009B1D6B"/>
    <w:rsid w:val="009B216D"/>
    <w:rsid w:val="009B2245"/>
    <w:rsid w:val="009B2428"/>
    <w:rsid w:val="009B251E"/>
    <w:rsid w:val="009B258E"/>
    <w:rsid w:val="009B27A7"/>
    <w:rsid w:val="009B28B0"/>
    <w:rsid w:val="009B2A16"/>
    <w:rsid w:val="009B2A44"/>
    <w:rsid w:val="009B2B25"/>
    <w:rsid w:val="009B2D1C"/>
    <w:rsid w:val="009B2F2D"/>
    <w:rsid w:val="009B3242"/>
    <w:rsid w:val="009B36C6"/>
    <w:rsid w:val="009B39FF"/>
    <w:rsid w:val="009B3BDD"/>
    <w:rsid w:val="009B3C5F"/>
    <w:rsid w:val="009B3FF1"/>
    <w:rsid w:val="009B4066"/>
    <w:rsid w:val="009B42B4"/>
    <w:rsid w:val="009B4490"/>
    <w:rsid w:val="009B454B"/>
    <w:rsid w:val="009B475F"/>
    <w:rsid w:val="009B4BD7"/>
    <w:rsid w:val="009B4C63"/>
    <w:rsid w:val="009B5997"/>
    <w:rsid w:val="009B59FD"/>
    <w:rsid w:val="009B5DE6"/>
    <w:rsid w:val="009B5F77"/>
    <w:rsid w:val="009B5FDB"/>
    <w:rsid w:val="009B6326"/>
    <w:rsid w:val="009B6681"/>
    <w:rsid w:val="009B6ADE"/>
    <w:rsid w:val="009B6B23"/>
    <w:rsid w:val="009B6D44"/>
    <w:rsid w:val="009B6E22"/>
    <w:rsid w:val="009B6F22"/>
    <w:rsid w:val="009B7213"/>
    <w:rsid w:val="009B724B"/>
    <w:rsid w:val="009B770D"/>
    <w:rsid w:val="009B772C"/>
    <w:rsid w:val="009B7ABD"/>
    <w:rsid w:val="009B7D31"/>
    <w:rsid w:val="009B7E16"/>
    <w:rsid w:val="009B7F31"/>
    <w:rsid w:val="009C00D0"/>
    <w:rsid w:val="009C0127"/>
    <w:rsid w:val="009C01F5"/>
    <w:rsid w:val="009C0271"/>
    <w:rsid w:val="009C0616"/>
    <w:rsid w:val="009C08C9"/>
    <w:rsid w:val="009C0A85"/>
    <w:rsid w:val="009C0DF1"/>
    <w:rsid w:val="009C1191"/>
    <w:rsid w:val="009C11FE"/>
    <w:rsid w:val="009C1519"/>
    <w:rsid w:val="009C1959"/>
    <w:rsid w:val="009C196F"/>
    <w:rsid w:val="009C1A7E"/>
    <w:rsid w:val="009C1D27"/>
    <w:rsid w:val="009C1DAF"/>
    <w:rsid w:val="009C2034"/>
    <w:rsid w:val="009C24DC"/>
    <w:rsid w:val="009C2BF3"/>
    <w:rsid w:val="009C2D3B"/>
    <w:rsid w:val="009C300B"/>
    <w:rsid w:val="009C374A"/>
    <w:rsid w:val="009C396B"/>
    <w:rsid w:val="009C398A"/>
    <w:rsid w:val="009C3B24"/>
    <w:rsid w:val="009C3BD9"/>
    <w:rsid w:val="009C3E55"/>
    <w:rsid w:val="009C3F2E"/>
    <w:rsid w:val="009C42AF"/>
    <w:rsid w:val="009C431B"/>
    <w:rsid w:val="009C43C7"/>
    <w:rsid w:val="009C451A"/>
    <w:rsid w:val="009C454D"/>
    <w:rsid w:val="009C4903"/>
    <w:rsid w:val="009C4B5C"/>
    <w:rsid w:val="009C4D39"/>
    <w:rsid w:val="009C52AF"/>
    <w:rsid w:val="009C55B2"/>
    <w:rsid w:val="009C5687"/>
    <w:rsid w:val="009C5933"/>
    <w:rsid w:val="009C5AF3"/>
    <w:rsid w:val="009C5B82"/>
    <w:rsid w:val="009C5D7F"/>
    <w:rsid w:val="009C5F52"/>
    <w:rsid w:val="009C5F8E"/>
    <w:rsid w:val="009C6007"/>
    <w:rsid w:val="009C63CF"/>
    <w:rsid w:val="009C6438"/>
    <w:rsid w:val="009C64B7"/>
    <w:rsid w:val="009C6903"/>
    <w:rsid w:val="009C6CE2"/>
    <w:rsid w:val="009C6F7B"/>
    <w:rsid w:val="009C706D"/>
    <w:rsid w:val="009C7139"/>
    <w:rsid w:val="009C756E"/>
    <w:rsid w:val="009C7683"/>
    <w:rsid w:val="009D0487"/>
    <w:rsid w:val="009D057D"/>
    <w:rsid w:val="009D061B"/>
    <w:rsid w:val="009D080F"/>
    <w:rsid w:val="009D0C10"/>
    <w:rsid w:val="009D166E"/>
    <w:rsid w:val="009D1717"/>
    <w:rsid w:val="009D1739"/>
    <w:rsid w:val="009D19D9"/>
    <w:rsid w:val="009D19E4"/>
    <w:rsid w:val="009D2179"/>
    <w:rsid w:val="009D2191"/>
    <w:rsid w:val="009D21BE"/>
    <w:rsid w:val="009D23A4"/>
    <w:rsid w:val="009D267E"/>
    <w:rsid w:val="009D271F"/>
    <w:rsid w:val="009D2BD4"/>
    <w:rsid w:val="009D2D2A"/>
    <w:rsid w:val="009D2D6B"/>
    <w:rsid w:val="009D2DCF"/>
    <w:rsid w:val="009D2E20"/>
    <w:rsid w:val="009D2FA3"/>
    <w:rsid w:val="009D317C"/>
    <w:rsid w:val="009D3249"/>
    <w:rsid w:val="009D32D1"/>
    <w:rsid w:val="009D3668"/>
    <w:rsid w:val="009D39D7"/>
    <w:rsid w:val="009D3A38"/>
    <w:rsid w:val="009D3A63"/>
    <w:rsid w:val="009D3B77"/>
    <w:rsid w:val="009D3C3D"/>
    <w:rsid w:val="009D3E1A"/>
    <w:rsid w:val="009D3E74"/>
    <w:rsid w:val="009D430A"/>
    <w:rsid w:val="009D4374"/>
    <w:rsid w:val="009D43A5"/>
    <w:rsid w:val="009D45E4"/>
    <w:rsid w:val="009D47A5"/>
    <w:rsid w:val="009D4D05"/>
    <w:rsid w:val="009D5288"/>
    <w:rsid w:val="009D5724"/>
    <w:rsid w:val="009D5744"/>
    <w:rsid w:val="009D5867"/>
    <w:rsid w:val="009D5B57"/>
    <w:rsid w:val="009D5CB5"/>
    <w:rsid w:val="009D6132"/>
    <w:rsid w:val="009D62BA"/>
    <w:rsid w:val="009D65B1"/>
    <w:rsid w:val="009D6AAE"/>
    <w:rsid w:val="009D738E"/>
    <w:rsid w:val="009D765C"/>
    <w:rsid w:val="009D79A4"/>
    <w:rsid w:val="009D7A38"/>
    <w:rsid w:val="009D7C2A"/>
    <w:rsid w:val="009D7F3C"/>
    <w:rsid w:val="009E0165"/>
    <w:rsid w:val="009E01F3"/>
    <w:rsid w:val="009E05AA"/>
    <w:rsid w:val="009E0A3B"/>
    <w:rsid w:val="009E1010"/>
    <w:rsid w:val="009E113B"/>
    <w:rsid w:val="009E15AF"/>
    <w:rsid w:val="009E15FB"/>
    <w:rsid w:val="009E1A69"/>
    <w:rsid w:val="009E1C1A"/>
    <w:rsid w:val="009E1C7C"/>
    <w:rsid w:val="009E1EFE"/>
    <w:rsid w:val="009E2055"/>
    <w:rsid w:val="009E222F"/>
    <w:rsid w:val="009E273C"/>
    <w:rsid w:val="009E27D6"/>
    <w:rsid w:val="009E2A4E"/>
    <w:rsid w:val="009E2AD3"/>
    <w:rsid w:val="009E2B20"/>
    <w:rsid w:val="009E2D34"/>
    <w:rsid w:val="009E2E90"/>
    <w:rsid w:val="009E2EC8"/>
    <w:rsid w:val="009E30CE"/>
    <w:rsid w:val="009E324F"/>
    <w:rsid w:val="009E32D8"/>
    <w:rsid w:val="009E33A9"/>
    <w:rsid w:val="009E3AA8"/>
    <w:rsid w:val="009E3E19"/>
    <w:rsid w:val="009E409A"/>
    <w:rsid w:val="009E4337"/>
    <w:rsid w:val="009E44D1"/>
    <w:rsid w:val="009E47E5"/>
    <w:rsid w:val="009E4952"/>
    <w:rsid w:val="009E4A7C"/>
    <w:rsid w:val="009E55D4"/>
    <w:rsid w:val="009E59A6"/>
    <w:rsid w:val="009E5A31"/>
    <w:rsid w:val="009E5C2B"/>
    <w:rsid w:val="009E5E4A"/>
    <w:rsid w:val="009E6139"/>
    <w:rsid w:val="009E66A3"/>
    <w:rsid w:val="009E6930"/>
    <w:rsid w:val="009E69D0"/>
    <w:rsid w:val="009E6B40"/>
    <w:rsid w:val="009E77FF"/>
    <w:rsid w:val="009E7E23"/>
    <w:rsid w:val="009F0136"/>
    <w:rsid w:val="009F0140"/>
    <w:rsid w:val="009F0722"/>
    <w:rsid w:val="009F0887"/>
    <w:rsid w:val="009F0C35"/>
    <w:rsid w:val="009F0DA9"/>
    <w:rsid w:val="009F1006"/>
    <w:rsid w:val="009F102B"/>
    <w:rsid w:val="009F146F"/>
    <w:rsid w:val="009F16FE"/>
    <w:rsid w:val="009F18D5"/>
    <w:rsid w:val="009F1AC5"/>
    <w:rsid w:val="009F2349"/>
    <w:rsid w:val="009F23E9"/>
    <w:rsid w:val="009F2423"/>
    <w:rsid w:val="009F25B2"/>
    <w:rsid w:val="009F2717"/>
    <w:rsid w:val="009F2BED"/>
    <w:rsid w:val="009F2C58"/>
    <w:rsid w:val="009F331D"/>
    <w:rsid w:val="009F360C"/>
    <w:rsid w:val="009F3B7D"/>
    <w:rsid w:val="009F3C75"/>
    <w:rsid w:val="009F3E4E"/>
    <w:rsid w:val="009F3F37"/>
    <w:rsid w:val="009F4415"/>
    <w:rsid w:val="009F4445"/>
    <w:rsid w:val="009F45CD"/>
    <w:rsid w:val="009F488C"/>
    <w:rsid w:val="009F49F8"/>
    <w:rsid w:val="009F4A12"/>
    <w:rsid w:val="009F4DAA"/>
    <w:rsid w:val="009F4E37"/>
    <w:rsid w:val="009F50DE"/>
    <w:rsid w:val="009F5715"/>
    <w:rsid w:val="009F5754"/>
    <w:rsid w:val="009F5CCA"/>
    <w:rsid w:val="009F611D"/>
    <w:rsid w:val="009F6406"/>
    <w:rsid w:val="009F647A"/>
    <w:rsid w:val="009F652F"/>
    <w:rsid w:val="009F672B"/>
    <w:rsid w:val="009F6B2B"/>
    <w:rsid w:val="009F6C21"/>
    <w:rsid w:val="009F6C86"/>
    <w:rsid w:val="009F6CD2"/>
    <w:rsid w:val="009F708B"/>
    <w:rsid w:val="009F745D"/>
    <w:rsid w:val="009F76F9"/>
    <w:rsid w:val="009F77BC"/>
    <w:rsid w:val="009F7C2B"/>
    <w:rsid w:val="009F7C99"/>
    <w:rsid w:val="009F7F9F"/>
    <w:rsid w:val="00A00077"/>
    <w:rsid w:val="00A000CD"/>
    <w:rsid w:val="00A00147"/>
    <w:rsid w:val="00A0037E"/>
    <w:rsid w:val="00A00703"/>
    <w:rsid w:val="00A00B16"/>
    <w:rsid w:val="00A00C6B"/>
    <w:rsid w:val="00A00D53"/>
    <w:rsid w:val="00A00E8E"/>
    <w:rsid w:val="00A01303"/>
    <w:rsid w:val="00A0131F"/>
    <w:rsid w:val="00A01381"/>
    <w:rsid w:val="00A01391"/>
    <w:rsid w:val="00A0140D"/>
    <w:rsid w:val="00A014F0"/>
    <w:rsid w:val="00A01CEC"/>
    <w:rsid w:val="00A0209D"/>
    <w:rsid w:val="00A021FF"/>
    <w:rsid w:val="00A0245F"/>
    <w:rsid w:val="00A028E7"/>
    <w:rsid w:val="00A02B69"/>
    <w:rsid w:val="00A02C4F"/>
    <w:rsid w:val="00A02CBD"/>
    <w:rsid w:val="00A02E47"/>
    <w:rsid w:val="00A033F0"/>
    <w:rsid w:val="00A03791"/>
    <w:rsid w:val="00A041F4"/>
    <w:rsid w:val="00A04941"/>
    <w:rsid w:val="00A04A09"/>
    <w:rsid w:val="00A04EF0"/>
    <w:rsid w:val="00A050AC"/>
    <w:rsid w:val="00A055F4"/>
    <w:rsid w:val="00A05821"/>
    <w:rsid w:val="00A05C10"/>
    <w:rsid w:val="00A05D1D"/>
    <w:rsid w:val="00A05EA2"/>
    <w:rsid w:val="00A061A0"/>
    <w:rsid w:val="00A06480"/>
    <w:rsid w:val="00A06531"/>
    <w:rsid w:val="00A065DF"/>
    <w:rsid w:val="00A06657"/>
    <w:rsid w:val="00A06D83"/>
    <w:rsid w:val="00A0708D"/>
    <w:rsid w:val="00A07266"/>
    <w:rsid w:val="00A073F1"/>
    <w:rsid w:val="00A074E4"/>
    <w:rsid w:val="00A074F4"/>
    <w:rsid w:val="00A076CC"/>
    <w:rsid w:val="00A076F7"/>
    <w:rsid w:val="00A0770E"/>
    <w:rsid w:val="00A07DD5"/>
    <w:rsid w:val="00A07F42"/>
    <w:rsid w:val="00A104EB"/>
    <w:rsid w:val="00A10CBF"/>
    <w:rsid w:val="00A10D03"/>
    <w:rsid w:val="00A10F03"/>
    <w:rsid w:val="00A1165C"/>
    <w:rsid w:val="00A11910"/>
    <w:rsid w:val="00A11A87"/>
    <w:rsid w:val="00A11BF9"/>
    <w:rsid w:val="00A11BFE"/>
    <w:rsid w:val="00A11F44"/>
    <w:rsid w:val="00A125D6"/>
    <w:rsid w:val="00A126AC"/>
    <w:rsid w:val="00A12990"/>
    <w:rsid w:val="00A129AD"/>
    <w:rsid w:val="00A12BEB"/>
    <w:rsid w:val="00A12C7E"/>
    <w:rsid w:val="00A12D4A"/>
    <w:rsid w:val="00A12EE4"/>
    <w:rsid w:val="00A12FCD"/>
    <w:rsid w:val="00A13313"/>
    <w:rsid w:val="00A135EF"/>
    <w:rsid w:val="00A137B0"/>
    <w:rsid w:val="00A139F3"/>
    <w:rsid w:val="00A13B35"/>
    <w:rsid w:val="00A13C28"/>
    <w:rsid w:val="00A13C4B"/>
    <w:rsid w:val="00A13E84"/>
    <w:rsid w:val="00A141B9"/>
    <w:rsid w:val="00A143E5"/>
    <w:rsid w:val="00A1468B"/>
    <w:rsid w:val="00A14B5C"/>
    <w:rsid w:val="00A14E53"/>
    <w:rsid w:val="00A14E8B"/>
    <w:rsid w:val="00A14ED5"/>
    <w:rsid w:val="00A14FFB"/>
    <w:rsid w:val="00A15211"/>
    <w:rsid w:val="00A1551F"/>
    <w:rsid w:val="00A15580"/>
    <w:rsid w:val="00A16270"/>
    <w:rsid w:val="00A162C0"/>
    <w:rsid w:val="00A16449"/>
    <w:rsid w:val="00A16522"/>
    <w:rsid w:val="00A166B4"/>
    <w:rsid w:val="00A167DB"/>
    <w:rsid w:val="00A1680F"/>
    <w:rsid w:val="00A16BCE"/>
    <w:rsid w:val="00A17683"/>
    <w:rsid w:val="00A178F5"/>
    <w:rsid w:val="00A178FF"/>
    <w:rsid w:val="00A17A8D"/>
    <w:rsid w:val="00A17D55"/>
    <w:rsid w:val="00A1CFE0"/>
    <w:rsid w:val="00A201A9"/>
    <w:rsid w:val="00A20516"/>
    <w:rsid w:val="00A205CC"/>
    <w:rsid w:val="00A20BB2"/>
    <w:rsid w:val="00A20CCB"/>
    <w:rsid w:val="00A20D21"/>
    <w:rsid w:val="00A21153"/>
    <w:rsid w:val="00A212E7"/>
    <w:rsid w:val="00A21388"/>
    <w:rsid w:val="00A21584"/>
    <w:rsid w:val="00A21590"/>
    <w:rsid w:val="00A2189B"/>
    <w:rsid w:val="00A218D8"/>
    <w:rsid w:val="00A21B06"/>
    <w:rsid w:val="00A21E35"/>
    <w:rsid w:val="00A22363"/>
    <w:rsid w:val="00A22411"/>
    <w:rsid w:val="00A2264B"/>
    <w:rsid w:val="00A226DF"/>
    <w:rsid w:val="00A22A9B"/>
    <w:rsid w:val="00A22EFC"/>
    <w:rsid w:val="00A23097"/>
    <w:rsid w:val="00A230B1"/>
    <w:rsid w:val="00A230FF"/>
    <w:rsid w:val="00A23275"/>
    <w:rsid w:val="00A23383"/>
    <w:rsid w:val="00A23499"/>
    <w:rsid w:val="00A235D1"/>
    <w:rsid w:val="00A237AB"/>
    <w:rsid w:val="00A23C66"/>
    <w:rsid w:val="00A242EC"/>
    <w:rsid w:val="00A2436D"/>
    <w:rsid w:val="00A245F0"/>
    <w:rsid w:val="00A2463A"/>
    <w:rsid w:val="00A24704"/>
    <w:rsid w:val="00A247F3"/>
    <w:rsid w:val="00A2484A"/>
    <w:rsid w:val="00A24C27"/>
    <w:rsid w:val="00A24CE9"/>
    <w:rsid w:val="00A24D62"/>
    <w:rsid w:val="00A24DF0"/>
    <w:rsid w:val="00A24ECF"/>
    <w:rsid w:val="00A251E7"/>
    <w:rsid w:val="00A2533D"/>
    <w:rsid w:val="00A25347"/>
    <w:rsid w:val="00A253B7"/>
    <w:rsid w:val="00A255C0"/>
    <w:rsid w:val="00A2589D"/>
    <w:rsid w:val="00A26389"/>
    <w:rsid w:val="00A2641D"/>
    <w:rsid w:val="00A26891"/>
    <w:rsid w:val="00A26A7C"/>
    <w:rsid w:val="00A26D73"/>
    <w:rsid w:val="00A26D76"/>
    <w:rsid w:val="00A26DAF"/>
    <w:rsid w:val="00A27298"/>
    <w:rsid w:val="00A27857"/>
    <w:rsid w:val="00A27943"/>
    <w:rsid w:val="00A279B9"/>
    <w:rsid w:val="00A27B1E"/>
    <w:rsid w:val="00A27BF2"/>
    <w:rsid w:val="00A30148"/>
    <w:rsid w:val="00A303B8"/>
    <w:rsid w:val="00A3071F"/>
    <w:rsid w:val="00A30BC0"/>
    <w:rsid w:val="00A30E64"/>
    <w:rsid w:val="00A31058"/>
    <w:rsid w:val="00A315CC"/>
    <w:rsid w:val="00A3165E"/>
    <w:rsid w:val="00A3186D"/>
    <w:rsid w:val="00A3217C"/>
    <w:rsid w:val="00A3256D"/>
    <w:rsid w:val="00A325ED"/>
    <w:rsid w:val="00A3260E"/>
    <w:rsid w:val="00A32EF2"/>
    <w:rsid w:val="00A332EF"/>
    <w:rsid w:val="00A33684"/>
    <w:rsid w:val="00A33AA8"/>
    <w:rsid w:val="00A33F1B"/>
    <w:rsid w:val="00A33FEB"/>
    <w:rsid w:val="00A34032"/>
    <w:rsid w:val="00A3426F"/>
    <w:rsid w:val="00A3432F"/>
    <w:rsid w:val="00A34735"/>
    <w:rsid w:val="00A3474A"/>
    <w:rsid w:val="00A3478B"/>
    <w:rsid w:val="00A34849"/>
    <w:rsid w:val="00A34ADF"/>
    <w:rsid w:val="00A34ED8"/>
    <w:rsid w:val="00A34FB2"/>
    <w:rsid w:val="00A3567B"/>
    <w:rsid w:val="00A35962"/>
    <w:rsid w:val="00A35DAB"/>
    <w:rsid w:val="00A35DB7"/>
    <w:rsid w:val="00A35E25"/>
    <w:rsid w:val="00A35F65"/>
    <w:rsid w:val="00A361C3"/>
    <w:rsid w:val="00A3630F"/>
    <w:rsid w:val="00A363CE"/>
    <w:rsid w:val="00A369EC"/>
    <w:rsid w:val="00A3702D"/>
    <w:rsid w:val="00A371CE"/>
    <w:rsid w:val="00A373B1"/>
    <w:rsid w:val="00A375CD"/>
    <w:rsid w:val="00A37739"/>
    <w:rsid w:val="00A37AB9"/>
    <w:rsid w:val="00A4074B"/>
    <w:rsid w:val="00A40752"/>
    <w:rsid w:val="00A40F10"/>
    <w:rsid w:val="00A411AE"/>
    <w:rsid w:val="00A411FA"/>
    <w:rsid w:val="00A41286"/>
    <w:rsid w:val="00A412C9"/>
    <w:rsid w:val="00A4153B"/>
    <w:rsid w:val="00A41809"/>
    <w:rsid w:val="00A41992"/>
    <w:rsid w:val="00A41AD1"/>
    <w:rsid w:val="00A42098"/>
    <w:rsid w:val="00A42251"/>
    <w:rsid w:val="00A42709"/>
    <w:rsid w:val="00A42C38"/>
    <w:rsid w:val="00A42FF3"/>
    <w:rsid w:val="00A42FF8"/>
    <w:rsid w:val="00A430FF"/>
    <w:rsid w:val="00A431F9"/>
    <w:rsid w:val="00A432A4"/>
    <w:rsid w:val="00A432BB"/>
    <w:rsid w:val="00A43319"/>
    <w:rsid w:val="00A4336C"/>
    <w:rsid w:val="00A434D3"/>
    <w:rsid w:val="00A43575"/>
    <w:rsid w:val="00A435E3"/>
    <w:rsid w:val="00A435F5"/>
    <w:rsid w:val="00A4363B"/>
    <w:rsid w:val="00A43755"/>
    <w:rsid w:val="00A44045"/>
    <w:rsid w:val="00A44153"/>
    <w:rsid w:val="00A446A5"/>
    <w:rsid w:val="00A447CF"/>
    <w:rsid w:val="00A44AEC"/>
    <w:rsid w:val="00A44B63"/>
    <w:rsid w:val="00A44BC5"/>
    <w:rsid w:val="00A44C12"/>
    <w:rsid w:val="00A44C30"/>
    <w:rsid w:val="00A44EC1"/>
    <w:rsid w:val="00A44ED3"/>
    <w:rsid w:val="00A4517A"/>
    <w:rsid w:val="00A4535C"/>
    <w:rsid w:val="00A454B3"/>
    <w:rsid w:val="00A45866"/>
    <w:rsid w:val="00A45D33"/>
    <w:rsid w:val="00A45E52"/>
    <w:rsid w:val="00A45F4D"/>
    <w:rsid w:val="00A460F0"/>
    <w:rsid w:val="00A4617B"/>
    <w:rsid w:val="00A46652"/>
    <w:rsid w:val="00A468E5"/>
    <w:rsid w:val="00A46D15"/>
    <w:rsid w:val="00A46F73"/>
    <w:rsid w:val="00A46F9F"/>
    <w:rsid w:val="00A4713D"/>
    <w:rsid w:val="00A47140"/>
    <w:rsid w:val="00A47543"/>
    <w:rsid w:val="00A47585"/>
    <w:rsid w:val="00A47C69"/>
    <w:rsid w:val="00A47EDD"/>
    <w:rsid w:val="00A50017"/>
    <w:rsid w:val="00A50088"/>
    <w:rsid w:val="00A50149"/>
    <w:rsid w:val="00A5050D"/>
    <w:rsid w:val="00A507F0"/>
    <w:rsid w:val="00A509AB"/>
    <w:rsid w:val="00A50C65"/>
    <w:rsid w:val="00A50E94"/>
    <w:rsid w:val="00A51603"/>
    <w:rsid w:val="00A51717"/>
    <w:rsid w:val="00A519E3"/>
    <w:rsid w:val="00A51A7D"/>
    <w:rsid w:val="00A51B26"/>
    <w:rsid w:val="00A51F17"/>
    <w:rsid w:val="00A52041"/>
    <w:rsid w:val="00A52144"/>
    <w:rsid w:val="00A5225D"/>
    <w:rsid w:val="00A52491"/>
    <w:rsid w:val="00A52702"/>
    <w:rsid w:val="00A528B0"/>
    <w:rsid w:val="00A52A78"/>
    <w:rsid w:val="00A52D0B"/>
    <w:rsid w:val="00A52E6D"/>
    <w:rsid w:val="00A52FC3"/>
    <w:rsid w:val="00A53020"/>
    <w:rsid w:val="00A5323B"/>
    <w:rsid w:val="00A5354A"/>
    <w:rsid w:val="00A5380F"/>
    <w:rsid w:val="00A53915"/>
    <w:rsid w:val="00A53E42"/>
    <w:rsid w:val="00A53E98"/>
    <w:rsid w:val="00A543F0"/>
    <w:rsid w:val="00A5447F"/>
    <w:rsid w:val="00A54748"/>
    <w:rsid w:val="00A54A63"/>
    <w:rsid w:val="00A54D4A"/>
    <w:rsid w:val="00A54D93"/>
    <w:rsid w:val="00A54F8B"/>
    <w:rsid w:val="00A54FB4"/>
    <w:rsid w:val="00A550E7"/>
    <w:rsid w:val="00A553F6"/>
    <w:rsid w:val="00A55937"/>
    <w:rsid w:val="00A559F9"/>
    <w:rsid w:val="00A55B09"/>
    <w:rsid w:val="00A55C6A"/>
    <w:rsid w:val="00A55E33"/>
    <w:rsid w:val="00A55FE6"/>
    <w:rsid w:val="00A560FD"/>
    <w:rsid w:val="00A56B57"/>
    <w:rsid w:val="00A56C99"/>
    <w:rsid w:val="00A56DE0"/>
    <w:rsid w:val="00A56DF5"/>
    <w:rsid w:val="00A57125"/>
    <w:rsid w:val="00A57356"/>
    <w:rsid w:val="00A5742D"/>
    <w:rsid w:val="00A574B2"/>
    <w:rsid w:val="00A57564"/>
    <w:rsid w:val="00A578C8"/>
    <w:rsid w:val="00A578FC"/>
    <w:rsid w:val="00A57C01"/>
    <w:rsid w:val="00A57C98"/>
    <w:rsid w:val="00A57CC4"/>
    <w:rsid w:val="00A57DDB"/>
    <w:rsid w:val="00A57EB9"/>
    <w:rsid w:val="00A57FF1"/>
    <w:rsid w:val="00A60A29"/>
    <w:rsid w:val="00A60AEF"/>
    <w:rsid w:val="00A60F8A"/>
    <w:rsid w:val="00A61081"/>
    <w:rsid w:val="00A61220"/>
    <w:rsid w:val="00A61354"/>
    <w:rsid w:val="00A6140D"/>
    <w:rsid w:val="00A61567"/>
    <w:rsid w:val="00A616F8"/>
    <w:rsid w:val="00A6189A"/>
    <w:rsid w:val="00A624C9"/>
    <w:rsid w:val="00A624FF"/>
    <w:rsid w:val="00A62549"/>
    <w:rsid w:val="00A6287A"/>
    <w:rsid w:val="00A62890"/>
    <w:rsid w:val="00A62BD0"/>
    <w:rsid w:val="00A62DCF"/>
    <w:rsid w:val="00A631CE"/>
    <w:rsid w:val="00A632EA"/>
    <w:rsid w:val="00A63649"/>
    <w:rsid w:val="00A63C18"/>
    <w:rsid w:val="00A63DD9"/>
    <w:rsid w:val="00A641F4"/>
    <w:rsid w:val="00A6451C"/>
    <w:rsid w:val="00A64852"/>
    <w:rsid w:val="00A64D7E"/>
    <w:rsid w:val="00A64E68"/>
    <w:rsid w:val="00A64F0F"/>
    <w:rsid w:val="00A650C8"/>
    <w:rsid w:val="00A651AD"/>
    <w:rsid w:val="00A651CA"/>
    <w:rsid w:val="00A652CF"/>
    <w:rsid w:val="00A6532D"/>
    <w:rsid w:val="00A65421"/>
    <w:rsid w:val="00A655B5"/>
    <w:rsid w:val="00A656F5"/>
    <w:rsid w:val="00A658DC"/>
    <w:rsid w:val="00A65B58"/>
    <w:rsid w:val="00A65C16"/>
    <w:rsid w:val="00A65D75"/>
    <w:rsid w:val="00A662DC"/>
    <w:rsid w:val="00A668CB"/>
    <w:rsid w:val="00A66E1D"/>
    <w:rsid w:val="00A66F81"/>
    <w:rsid w:val="00A67042"/>
    <w:rsid w:val="00A6705C"/>
    <w:rsid w:val="00A671A3"/>
    <w:rsid w:val="00A6741B"/>
    <w:rsid w:val="00A67706"/>
    <w:rsid w:val="00A6785A"/>
    <w:rsid w:val="00A67FD2"/>
    <w:rsid w:val="00A70891"/>
    <w:rsid w:val="00A710B8"/>
    <w:rsid w:val="00A71380"/>
    <w:rsid w:val="00A7146A"/>
    <w:rsid w:val="00A71745"/>
    <w:rsid w:val="00A7181F"/>
    <w:rsid w:val="00A71AD5"/>
    <w:rsid w:val="00A71E07"/>
    <w:rsid w:val="00A71E3A"/>
    <w:rsid w:val="00A7208C"/>
    <w:rsid w:val="00A72506"/>
    <w:rsid w:val="00A72A60"/>
    <w:rsid w:val="00A72B46"/>
    <w:rsid w:val="00A72D4C"/>
    <w:rsid w:val="00A72F3E"/>
    <w:rsid w:val="00A734F5"/>
    <w:rsid w:val="00A73743"/>
    <w:rsid w:val="00A737E2"/>
    <w:rsid w:val="00A73830"/>
    <w:rsid w:val="00A7388A"/>
    <w:rsid w:val="00A73D82"/>
    <w:rsid w:val="00A73E26"/>
    <w:rsid w:val="00A74226"/>
    <w:rsid w:val="00A74340"/>
    <w:rsid w:val="00A745A2"/>
    <w:rsid w:val="00A74846"/>
    <w:rsid w:val="00A74981"/>
    <w:rsid w:val="00A74CD7"/>
    <w:rsid w:val="00A74F24"/>
    <w:rsid w:val="00A75177"/>
    <w:rsid w:val="00A75213"/>
    <w:rsid w:val="00A752AC"/>
    <w:rsid w:val="00A7537E"/>
    <w:rsid w:val="00A75546"/>
    <w:rsid w:val="00A757B0"/>
    <w:rsid w:val="00A75FD4"/>
    <w:rsid w:val="00A7614D"/>
    <w:rsid w:val="00A7619B"/>
    <w:rsid w:val="00A761CF"/>
    <w:rsid w:val="00A76599"/>
    <w:rsid w:val="00A767EF"/>
    <w:rsid w:val="00A7685E"/>
    <w:rsid w:val="00A7710C"/>
    <w:rsid w:val="00A771C8"/>
    <w:rsid w:val="00A7725A"/>
    <w:rsid w:val="00A77526"/>
    <w:rsid w:val="00A7757F"/>
    <w:rsid w:val="00A77649"/>
    <w:rsid w:val="00A776A4"/>
    <w:rsid w:val="00A77A61"/>
    <w:rsid w:val="00A77C82"/>
    <w:rsid w:val="00A77CB7"/>
    <w:rsid w:val="00A77DC8"/>
    <w:rsid w:val="00A80050"/>
    <w:rsid w:val="00A80079"/>
    <w:rsid w:val="00A8016B"/>
    <w:rsid w:val="00A8029A"/>
    <w:rsid w:val="00A8049D"/>
    <w:rsid w:val="00A805E9"/>
    <w:rsid w:val="00A80B19"/>
    <w:rsid w:val="00A80DAB"/>
    <w:rsid w:val="00A80DDD"/>
    <w:rsid w:val="00A80DE7"/>
    <w:rsid w:val="00A80ED6"/>
    <w:rsid w:val="00A81087"/>
    <w:rsid w:val="00A81257"/>
    <w:rsid w:val="00A81457"/>
    <w:rsid w:val="00A815F0"/>
    <w:rsid w:val="00A81753"/>
    <w:rsid w:val="00A81B45"/>
    <w:rsid w:val="00A81C63"/>
    <w:rsid w:val="00A82289"/>
    <w:rsid w:val="00A822C2"/>
    <w:rsid w:val="00A827D0"/>
    <w:rsid w:val="00A82990"/>
    <w:rsid w:val="00A829B9"/>
    <w:rsid w:val="00A82C56"/>
    <w:rsid w:val="00A830E7"/>
    <w:rsid w:val="00A83432"/>
    <w:rsid w:val="00A8349B"/>
    <w:rsid w:val="00A834C9"/>
    <w:rsid w:val="00A83727"/>
    <w:rsid w:val="00A83738"/>
    <w:rsid w:val="00A83CDB"/>
    <w:rsid w:val="00A83E3C"/>
    <w:rsid w:val="00A83F62"/>
    <w:rsid w:val="00A84076"/>
    <w:rsid w:val="00A84136"/>
    <w:rsid w:val="00A8415A"/>
    <w:rsid w:val="00A84179"/>
    <w:rsid w:val="00A841D1"/>
    <w:rsid w:val="00A843D0"/>
    <w:rsid w:val="00A844B1"/>
    <w:rsid w:val="00A8469F"/>
    <w:rsid w:val="00A85476"/>
    <w:rsid w:val="00A855BD"/>
    <w:rsid w:val="00A85738"/>
    <w:rsid w:val="00A862A5"/>
    <w:rsid w:val="00A86379"/>
    <w:rsid w:val="00A86389"/>
    <w:rsid w:val="00A863A6"/>
    <w:rsid w:val="00A86415"/>
    <w:rsid w:val="00A86DCA"/>
    <w:rsid w:val="00A86FDC"/>
    <w:rsid w:val="00A87149"/>
    <w:rsid w:val="00A877C9"/>
    <w:rsid w:val="00A879DD"/>
    <w:rsid w:val="00A87B6C"/>
    <w:rsid w:val="00A87BC7"/>
    <w:rsid w:val="00A87D9A"/>
    <w:rsid w:val="00A87DB4"/>
    <w:rsid w:val="00A87EED"/>
    <w:rsid w:val="00A90401"/>
    <w:rsid w:val="00A90502"/>
    <w:rsid w:val="00A906B1"/>
    <w:rsid w:val="00A90737"/>
    <w:rsid w:val="00A90D31"/>
    <w:rsid w:val="00A911D5"/>
    <w:rsid w:val="00A911E7"/>
    <w:rsid w:val="00A91615"/>
    <w:rsid w:val="00A91646"/>
    <w:rsid w:val="00A91890"/>
    <w:rsid w:val="00A91BCB"/>
    <w:rsid w:val="00A91CA3"/>
    <w:rsid w:val="00A91F80"/>
    <w:rsid w:val="00A91F8E"/>
    <w:rsid w:val="00A92015"/>
    <w:rsid w:val="00A92067"/>
    <w:rsid w:val="00A921E3"/>
    <w:rsid w:val="00A921FE"/>
    <w:rsid w:val="00A92476"/>
    <w:rsid w:val="00A92581"/>
    <w:rsid w:val="00A9287F"/>
    <w:rsid w:val="00A92897"/>
    <w:rsid w:val="00A92C6E"/>
    <w:rsid w:val="00A93421"/>
    <w:rsid w:val="00A934E1"/>
    <w:rsid w:val="00A936B8"/>
    <w:rsid w:val="00A93773"/>
    <w:rsid w:val="00A93F78"/>
    <w:rsid w:val="00A93F9B"/>
    <w:rsid w:val="00A93FC3"/>
    <w:rsid w:val="00A9423D"/>
    <w:rsid w:val="00A94336"/>
    <w:rsid w:val="00A943C1"/>
    <w:rsid w:val="00A94578"/>
    <w:rsid w:val="00A945B9"/>
    <w:rsid w:val="00A94713"/>
    <w:rsid w:val="00A94D20"/>
    <w:rsid w:val="00A94DD6"/>
    <w:rsid w:val="00A95389"/>
    <w:rsid w:val="00A95409"/>
    <w:rsid w:val="00A95700"/>
    <w:rsid w:val="00A959AC"/>
    <w:rsid w:val="00A95A30"/>
    <w:rsid w:val="00A95A7D"/>
    <w:rsid w:val="00A96162"/>
    <w:rsid w:val="00A963A0"/>
    <w:rsid w:val="00A96499"/>
    <w:rsid w:val="00A966DA"/>
    <w:rsid w:val="00A96B7D"/>
    <w:rsid w:val="00A96BAF"/>
    <w:rsid w:val="00A96DBB"/>
    <w:rsid w:val="00A96EA9"/>
    <w:rsid w:val="00A9752B"/>
    <w:rsid w:val="00A97709"/>
    <w:rsid w:val="00A978F4"/>
    <w:rsid w:val="00A97C74"/>
    <w:rsid w:val="00AA02F1"/>
    <w:rsid w:val="00AA099A"/>
    <w:rsid w:val="00AA0A2B"/>
    <w:rsid w:val="00AA0A8F"/>
    <w:rsid w:val="00AA0D20"/>
    <w:rsid w:val="00AA1561"/>
    <w:rsid w:val="00AA1865"/>
    <w:rsid w:val="00AA1F5C"/>
    <w:rsid w:val="00AA221C"/>
    <w:rsid w:val="00AA2461"/>
    <w:rsid w:val="00AA26CB"/>
    <w:rsid w:val="00AA2865"/>
    <w:rsid w:val="00AA2A41"/>
    <w:rsid w:val="00AA2ECD"/>
    <w:rsid w:val="00AA3151"/>
    <w:rsid w:val="00AA35C8"/>
    <w:rsid w:val="00AA3A9B"/>
    <w:rsid w:val="00AA3B30"/>
    <w:rsid w:val="00AA3BF1"/>
    <w:rsid w:val="00AA3C23"/>
    <w:rsid w:val="00AA3CBA"/>
    <w:rsid w:val="00AA443B"/>
    <w:rsid w:val="00AA4447"/>
    <w:rsid w:val="00AA46C5"/>
    <w:rsid w:val="00AA47B2"/>
    <w:rsid w:val="00AA4842"/>
    <w:rsid w:val="00AA49B2"/>
    <w:rsid w:val="00AA4E4C"/>
    <w:rsid w:val="00AA50D2"/>
    <w:rsid w:val="00AA51C4"/>
    <w:rsid w:val="00AA532E"/>
    <w:rsid w:val="00AA5410"/>
    <w:rsid w:val="00AA5503"/>
    <w:rsid w:val="00AA55EE"/>
    <w:rsid w:val="00AA5779"/>
    <w:rsid w:val="00AA584C"/>
    <w:rsid w:val="00AA592C"/>
    <w:rsid w:val="00AA59FC"/>
    <w:rsid w:val="00AA5A59"/>
    <w:rsid w:val="00AA5A7A"/>
    <w:rsid w:val="00AA5D95"/>
    <w:rsid w:val="00AA6010"/>
    <w:rsid w:val="00AA62C7"/>
    <w:rsid w:val="00AA63D2"/>
    <w:rsid w:val="00AA6604"/>
    <w:rsid w:val="00AA68A7"/>
    <w:rsid w:val="00AA6BAC"/>
    <w:rsid w:val="00AA6D3B"/>
    <w:rsid w:val="00AA6FA7"/>
    <w:rsid w:val="00AA7206"/>
    <w:rsid w:val="00AA728D"/>
    <w:rsid w:val="00AA74E8"/>
    <w:rsid w:val="00AA77F7"/>
    <w:rsid w:val="00AA78DE"/>
    <w:rsid w:val="00AB0100"/>
    <w:rsid w:val="00AB02DF"/>
    <w:rsid w:val="00AB060B"/>
    <w:rsid w:val="00AB0684"/>
    <w:rsid w:val="00AB0710"/>
    <w:rsid w:val="00AB0A99"/>
    <w:rsid w:val="00AB0C26"/>
    <w:rsid w:val="00AB0F46"/>
    <w:rsid w:val="00AB108E"/>
    <w:rsid w:val="00AB1174"/>
    <w:rsid w:val="00AB123E"/>
    <w:rsid w:val="00AB13EC"/>
    <w:rsid w:val="00AB1462"/>
    <w:rsid w:val="00AB146B"/>
    <w:rsid w:val="00AB149F"/>
    <w:rsid w:val="00AB17CA"/>
    <w:rsid w:val="00AB19D0"/>
    <w:rsid w:val="00AB1B5B"/>
    <w:rsid w:val="00AB1C09"/>
    <w:rsid w:val="00AB21C6"/>
    <w:rsid w:val="00AB22F1"/>
    <w:rsid w:val="00AB2841"/>
    <w:rsid w:val="00AB2AAB"/>
    <w:rsid w:val="00AB2D48"/>
    <w:rsid w:val="00AB2E10"/>
    <w:rsid w:val="00AB313D"/>
    <w:rsid w:val="00AB3416"/>
    <w:rsid w:val="00AB366E"/>
    <w:rsid w:val="00AB3C91"/>
    <w:rsid w:val="00AB3DE8"/>
    <w:rsid w:val="00AB437F"/>
    <w:rsid w:val="00AB43B4"/>
    <w:rsid w:val="00AB43EF"/>
    <w:rsid w:val="00AB4793"/>
    <w:rsid w:val="00AB49E4"/>
    <w:rsid w:val="00AB4C9F"/>
    <w:rsid w:val="00AB4DE1"/>
    <w:rsid w:val="00AB4FFB"/>
    <w:rsid w:val="00AB51A9"/>
    <w:rsid w:val="00AB531E"/>
    <w:rsid w:val="00AB595E"/>
    <w:rsid w:val="00AB5CBA"/>
    <w:rsid w:val="00AB5F8E"/>
    <w:rsid w:val="00AB61AE"/>
    <w:rsid w:val="00AB69A9"/>
    <w:rsid w:val="00AB6B1F"/>
    <w:rsid w:val="00AB6B52"/>
    <w:rsid w:val="00AB6C65"/>
    <w:rsid w:val="00AB704F"/>
    <w:rsid w:val="00AB716E"/>
    <w:rsid w:val="00AB72EE"/>
    <w:rsid w:val="00AB7AD2"/>
    <w:rsid w:val="00AB7E32"/>
    <w:rsid w:val="00AC008B"/>
    <w:rsid w:val="00AC090A"/>
    <w:rsid w:val="00AC096B"/>
    <w:rsid w:val="00AC0BDC"/>
    <w:rsid w:val="00AC10D8"/>
    <w:rsid w:val="00AC1108"/>
    <w:rsid w:val="00AC1177"/>
    <w:rsid w:val="00AC145A"/>
    <w:rsid w:val="00AC1765"/>
    <w:rsid w:val="00AC193C"/>
    <w:rsid w:val="00AC1BC9"/>
    <w:rsid w:val="00AC1C44"/>
    <w:rsid w:val="00AC1E43"/>
    <w:rsid w:val="00AC21B7"/>
    <w:rsid w:val="00AC253B"/>
    <w:rsid w:val="00AC2669"/>
    <w:rsid w:val="00AC28DC"/>
    <w:rsid w:val="00AC298E"/>
    <w:rsid w:val="00AC2DDA"/>
    <w:rsid w:val="00AC355E"/>
    <w:rsid w:val="00AC3F57"/>
    <w:rsid w:val="00AC4245"/>
    <w:rsid w:val="00AC46F8"/>
    <w:rsid w:val="00AC4769"/>
    <w:rsid w:val="00AC485D"/>
    <w:rsid w:val="00AC4C65"/>
    <w:rsid w:val="00AC4D60"/>
    <w:rsid w:val="00AC5390"/>
    <w:rsid w:val="00AC5699"/>
    <w:rsid w:val="00AC56F6"/>
    <w:rsid w:val="00AC5916"/>
    <w:rsid w:val="00AC5BC1"/>
    <w:rsid w:val="00AC6299"/>
    <w:rsid w:val="00AC63F0"/>
    <w:rsid w:val="00AC6405"/>
    <w:rsid w:val="00AC6CC0"/>
    <w:rsid w:val="00AC6D3B"/>
    <w:rsid w:val="00AC6D41"/>
    <w:rsid w:val="00AC6E38"/>
    <w:rsid w:val="00AC6E53"/>
    <w:rsid w:val="00AC6F7D"/>
    <w:rsid w:val="00AC6FBB"/>
    <w:rsid w:val="00AC720A"/>
    <w:rsid w:val="00AC7470"/>
    <w:rsid w:val="00AC76CC"/>
    <w:rsid w:val="00AC7DD5"/>
    <w:rsid w:val="00AD03DD"/>
    <w:rsid w:val="00AD06FF"/>
    <w:rsid w:val="00AD0988"/>
    <w:rsid w:val="00AD0F3D"/>
    <w:rsid w:val="00AD12F7"/>
    <w:rsid w:val="00AD16D5"/>
    <w:rsid w:val="00AD1BB1"/>
    <w:rsid w:val="00AD2058"/>
    <w:rsid w:val="00AD2734"/>
    <w:rsid w:val="00AD2908"/>
    <w:rsid w:val="00AD2991"/>
    <w:rsid w:val="00AD2A30"/>
    <w:rsid w:val="00AD2AC1"/>
    <w:rsid w:val="00AD2AE7"/>
    <w:rsid w:val="00AD2B85"/>
    <w:rsid w:val="00AD2C9A"/>
    <w:rsid w:val="00AD2D49"/>
    <w:rsid w:val="00AD2DBD"/>
    <w:rsid w:val="00AD3304"/>
    <w:rsid w:val="00AD34D0"/>
    <w:rsid w:val="00AD3630"/>
    <w:rsid w:val="00AD36F2"/>
    <w:rsid w:val="00AD374A"/>
    <w:rsid w:val="00AD379F"/>
    <w:rsid w:val="00AD37D0"/>
    <w:rsid w:val="00AD3994"/>
    <w:rsid w:val="00AD3CB6"/>
    <w:rsid w:val="00AD3CC5"/>
    <w:rsid w:val="00AD3F9B"/>
    <w:rsid w:val="00AD4066"/>
    <w:rsid w:val="00AD4095"/>
    <w:rsid w:val="00AD432A"/>
    <w:rsid w:val="00AD48F3"/>
    <w:rsid w:val="00AD4B9A"/>
    <w:rsid w:val="00AD4C0C"/>
    <w:rsid w:val="00AD4F83"/>
    <w:rsid w:val="00AD5177"/>
    <w:rsid w:val="00AD531A"/>
    <w:rsid w:val="00AD591A"/>
    <w:rsid w:val="00AD5935"/>
    <w:rsid w:val="00AD5B51"/>
    <w:rsid w:val="00AD5D87"/>
    <w:rsid w:val="00AD5E66"/>
    <w:rsid w:val="00AD5F7B"/>
    <w:rsid w:val="00AD60EA"/>
    <w:rsid w:val="00AD66DD"/>
    <w:rsid w:val="00AD67D4"/>
    <w:rsid w:val="00AD6800"/>
    <w:rsid w:val="00AD6A2E"/>
    <w:rsid w:val="00AD6AD1"/>
    <w:rsid w:val="00AD6B9F"/>
    <w:rsid w:val="00AD6DE3"/>
    <w:rsid w:val="00AD76B5"/>
    <w:rsid w:val="00AD77AF"/>
    <w:rsid w:val="00AD79E0"/>
    <w:rsid w:val="00AE0211"/>
    <w:rsid w:val="00AE0233"/>
    <w:rsid w:val="00AE034E"/>
    <w:rsid w:val="00AE0724"/>
    <w:rsid w:val="00AE0B9C"/>
    <w:rsid w:val="00AE15F9"/>
    <w:rsid w:val="00AE170E"/>
    <w:rsid w:val="00AE1D53"/>
    <w:rsid w:val="00AE239B"/>
    <w:rsid w:val="00AE2A85"/>
    <w:rsid w:val="00AE33AE"/>
    <w:rsid w:val="00AE34D4"/>
    <w:rsid w:val="00AE3A84"/>
    <w:rsid w:val="00AE3F0C"/>
    <w:rsid w:val="00AE4331"/>
    <w:rsid w:val="00AE4E62"/>
    <w:rsid w:val="00AE5374"/>
    <w:rsid w:val="00AE54E4"/>
    <w:rsid w:val="00AE614D"/>
    <w:rsid w:val="00AE6461"/>
    <w:rsid w:val="00AE66A9"/>
    <w:rsid w:val="00AE68D3"/>
    <w:rsid w:val="00AE6921"/>
    <w:rsid w:val="00AE6955"/>
    <w:rsid w:val="00AE6A29"/>
    <w:rsid w:val="00AE6A83"/>
    <w:rsid w:val="00AE6D2E"/>
    <w:rsid w:val="00AE6D31"/>
    <w:rsid w:val="00AE6D3B"/>
    <w:rsid w:val="00AE6E46"/>
    <w:rsid w:val="00AE6E7F"/>
    <w:rsid w:val="00AE6F10"/>
    <w:rsid w:val="00AE77B3"/>
    <w:rsid w:val="00AE77EA"/>
    <w:rsid w:val="00AE7849"/>
    <w:rsid w:val="00AE7977"/>
    <w:rsid w:val="00AE79CC"/>
    <w:rsid w:val="00AF0383"/>
    <w:rsid w:val="00AF04E6"/>
    <w:rsid w:val="00AF08F2"/>
    <w:rsid w:val="00AF127C"/>
    <w:rsid w:val="00AF14DD"/>
    <w:rsid w:val="00AF1615"/>
    <w:rsid w:val="00AF161B"/>
    <w:rsid w:val="00AF192B"/>
    <w:rsid w:val="00AF197B"/>
    <w:rsid w:val="00AF1AEE"/>
    <w:rsid w:val="00AF1F10"/>
    <w:rsid w:val="00AF208C"/>
    <w:rsid w:val="00AF25E5"/>
    <w:rsid w:val="00AF264E"/>
    <w:rsid w:val="00AF293E"/>
    <w:rsid w:val="00AF2996"/>
    <w:rsid w:val="00AF2A0A"/>
    <w:rsid w:val="00AF2AB4"/>
    <w:rsid w:val="00AF2D3B"/>
    <w:rsid w:val="00AF353C"/>
    <w:rsid w:val="00AF3603"/>
    <w:rsid w:val="00AF393D"/>
    <w:rsid w:val="00AF3D39"/>
    <w:rsid w:val="00AF3F4D"/>
    <w:rsid w:val="00AF456C"/>
    <w:rsid w:val="00AF4614"/>
    <w:rsid w:val="00AF4843"/>
    <w:rsid w:val="00AF497B"/>
    <w:rsid w:val="00AF4B7D"/>
    <w:rsid w:val="00AF4E37"/>
    <w:rsid w:val="00AF586C"/>
    <w:rsid w:val="00AF5B1E"/>
    <w:rsid w:val="00AF5CE1"/>
    <w:rsid w:val="00AF5EAA"/>
    <w:rsid w:val="00AF610D"/>
    <w:rsid w:val="00AF64DF"/>
    <w:rsid w:val="00AF66BB"/>
    <w:rsid w:val="00AF67FD"/>
    <w:rsid w:val="00AF6A4C"/>
    <w:rsid w:val="00AF6B84"/>
    <w:rsid w:val="00AF6BB3"/>
    <w:rsid w:val="00AF6C8B"/>
    <w:rsid w:val="00AF7104"/>
    <w:rsid w:val="00AF7398"/>
    <w:rsid w:val="00AF74C5"/>
    <w:rsid w:val="00AF771C"/>
    <w:rsid w:val="00AF79B4"/>
    <w:rsid w:val="00AF7F31"/>
    <w:rsid w:val="00B00542"/>
    <w:rsid w:val="00B006FD"/>
    <w:rsid w:val="00B00AE8"/>
    <w:rsid w:val="00B0172A"/>
    <w:rsid w:val="00B017A6"/>
    <w:rsid w:val="00B01DBD"/>
    <w:rsid w:val="00B0208D"/>
    <w:rsid w:val="00B02183"/>
    <w:rsid w:val="00B0257A"/>
    <w:rsid w:val="00B0275D"/>
    <w:rsid w:val="00B029F8"/>
    <w:rsid w:val="00B02D7E"/>
    <w:rsid w:val="00B02DD1"/>
    <w:rsid w:val="00B03167"/>
    <w:rsid w:val="00B032C4"/>
    <w:rsid w:val="00B03497"/>
    <w:rsid w:val="00B03567"/>
    <w:rsid w:val="00B036A5"/>
    <w:rsid w:val="00B0382F"/>
    <w:rsid w:val="00B03954"/>
    <w:rsid w:val="00B03A17"/>
    <w:rsid w:val="00B03BE7"/>
    <w:rsid w:val="00B03C72"/>
    <w:rsid w:val="00B04111"/>
    <w:rsid w:val="00B04136"/>
    <w:rsid w:val="00B04346"/>
    <w:rsid w:val="00B045D8"/>
    <w:rsid w:val="00B047C2"/>
    <w:rsid w:val="00B04CB1"/>
    <w:rsid w:val="00B04EE8"/>
    <w:rsid w:val="00B05293"/>
    <w:rsid w:val="00B052E4"/>
    <w:rsid w:val="00B05409"/>
    <w:rsid w:val="00B05586"/>
    <w:rsid w:val="00B05635"/>
    <w:rsid w:val="00B05823"/>
    <w:rsid w:val="00B05871"/>
    <w:rsid w:val="00B05969"/>
    <w:rsid w:val="00B05C0A"/>
    <w:rsid w:val="00B05C30"/>
    <w:rsid w:val="00B05C96"/>
    <w:rsid w:val="00B05CC5"/>
    <w:rsid w:val="00B0620D"/>
    <w:rsid w:val="00B063B1"/>
    <w:rsid w:val="00B0645B"/>
    <w:rsid w:val="00B06722"/>
    <w:rsid w:val="00B06F97"/>
    <w:rsid w:val="00B07417"/>
    <w:rsid w:val="00B07620"/>
    <w:rsid w:val="00B077F7"/>
    <w:rsid w:val="00B0796A"/>
    <w:rsid w:val="00B07A9A"/>
    <w:rsid w:val="00B07B11"/>
    <w:rsid w:val="00B07BF1"/>
    <w:rsid w:val="00B07D84"/>
    <w:rsid w:val="00B10001"/>
    <w:rsid w:val="00B10658"/>
    <w:rsid w:val="00B106A4"/>
    <w:rsid w:val="00B109DC"/>
    <w:rsid w:val="00B111C5"/>
    <w:rsid w:val="00B1156A"/>
    <w:rsid w:val="00B11621"/>
    <w:rsid w:val="00B118A7"/>
    <w:rsid w:val="00B11AE9"/>
    <w:rsid w:val="00B11E9D"/>
    <w:rsid w:val="00B12167"/>
    <w:rsid w:val="00B12308"/>
    <w:rsid w:val="00B125CA"/>
    <w:rsid w:val="00B12BD0"/>
    <w:rsid w:val="00B1301B"/>
    <w:rsid w:val="00B1314F"/>
    <w:rsid w:val="00B1332A"/>
    <w:rsid w:val="00B13637"/>
    <w:rsid w:val="00B1370F"/>
    <w:rsid w:val="00B13715"/>
    <w:rsid w:val="00B13BE0"/>
    <w:rsid w:val="00B13C7B"/>
    <w:rsid w:val="00B13E56"/>
    <w:rsid w:val="00B14302"/>
    <w:rsid w:val="00B143C2"/>
    <w:rsid w:val="00B14520"/>
    <w:rsid w:val="00B14898"/>
    <w:rsid w:val="00B14DA2"/>
    <w:rsid w:val="00B151CF"/>
    <w:rsid w:val="00B1567B"/>
    <w:rsid w:val="00B15690"/>
    <w:rsid w:val="00B15AC1"/>
    <w:rsid w:val="00B15B5D"/>
    <w:rsid w:val="00B15C0F"/>
    <w:rsid w:val="00B15CCA"/>
    <w:rsid w:val="00B1619B"/>
    <w:rsid w:val="00B16360"/>
    <w:rsid w:val="00B16369"/>
    <w:rsid w:val="00B164F2"/>
    <w:rsid w:val="00B17368"/>
    <w:rsid w:val="00B1747E"/>
    <w:rsid w:val="00B1756F"/>
    <w:rsid w:val="00B1766A"/>
    <w:rsid w:val="00B17775"/>
    <w:rsid w:val="00B17899"/>
    <w:rsid w:val="00B17920"/>
    <w:rsid w:val="00B17DE5"/>
    <w:rsid w:val="00B17E7A"/>
    <w:rsid w:val="00B17FD1"/>
    <w:rsid w:val="00B20084"/>
    <w:rsid w:val="00B202E6"/>
    <w:rsid w:val="00B2033A"/>
    <w:rsid w:val="00B20445"/>
    <w:rsid w:val="00B20497"/>
    <w:rsid w:val="00B207AC"/>
    <w:rsid w:val="00B20923"/>
    <w:rsid w:val="00B20BE9"/>
    <w:rsid w:val="00B20E05"/>
    <w:rsid w:val="00B210E2"/>
    <w:rsid w:val="00B211EC"/>
    <w:rsid w:val="00B2128E"/>
    <w:rsid w:val="00B2148D"/>
    <w:rsid w:val="00B21593"/>
    <w:rsid w:val="00B2168F"/>
    <w:rsid w:val="00B216F9"/>
    <w:rsid w:val="00B21857"/>
    <w:rsid w:val="00B22157"/>
    <w:rsid w:val="00B2215F"/>
    <w:rsid w:val="00B22671"/>
    <w:rsid w:val="00B22964"/>
    <w:rsid w:val="00B22A58"/>
    <w:rsid w:val="00B232B5"/>
    <w:rsid w:val="00B232D2"/>
    <w:rsid w:val="00B238A3"/>
    <w:rsid w:val="00B2426D"/>
    <w:rsid w:val="00B2433A"/>
    <w:rsid w:val="00B243C6"/>
    <w:rsid w:val="00B24416"/>
    <w:rsid w:val="00B247AD"/>
    <w:rsid w:val="00B247F7"/>
    <w:rsid w:val="00B24812"/>
    <w:rsid w:val="00B24C67"/>
    <w:rsid w:val="00B24CE3"/>
    <w:rsid w:val="00B24DBD"/>
    <w:rsid w:val="00B24FAB"/>
    <w:rsid w:val="00B24FB7"/>
    <w:rsid w:val="00B25119"/>
    <w:rsid w:val="00B25205"/>
    <w:rsid w:val="00B25418"/>
    <w:rsid w:val="00B25C92"/>
    <w:rsid w:val="00B25D05"/>
    <w:rsid w:val="00B25ECA"/>
    <w:rsid w:val="00B25FD5"/>
    <w:rsid w:val="00B26449"/>
    <w:rsid w:val="00B264DD"/>
    <w:rsid w:val="00B2653E"/>
    <w:rsid w:val="00B26622"/>
    <w:rsid w:val="00B26669"/>
    <w:rsid w:val="00B26688"/>
    <w:rsid w:val="00B26803"/>
    <w:rsid w:val="00B26AE4"/>
    <w:rsid w:val="00B26D82"/>
    <w:rsid w:val="00B27002"/>
    <w:rsid w:val="00B2718D"/>
    <w:rsid w:val="00B27249"/>
    <w:rsid w:val="00B276B4"/>
    <w:rsid w:val="00B301E6"/>
    <w:rsid w:val="00B303F6"/>
    <w:rsid w:val="00B307B7"/>
    <w:rsid w:val="00B30DAF"/>
    <w:rsid w:val="00B31053"/>
    <w:rsid w:val="00B312F3"/>
    <w:rsid w:val="00B3133A"/>
    <w:rsid w:val="00B315D5"/>
    <w:rsid w:val="00B31601"/>
    <w:rsid w:val="00B3182B"/>
    <w:rsid w:val="00B31BD7"/>
    <w:rsid w:val="00B31DC4"/>
    <w:rsid w:val="00B3201E"/>
    <w:rsid w:val="00B32216"/>
    <w:rsid w:val="00B3281D"/>
    <w:rsid w:val="00B3285B"/>
    <w:rsid w:val="00B32A5C"/>
    <w:rsid w:val="00B32AD8"/>
    <w:rsid w:val="00B32D50"/>
    <w:rsid w:val="00B32D87"/>
    <w:rsid w:val="00B330D8"/>
    <w:rsid w:val="00B331D3"/>
    <w:rsid w:val="00B331E5"/>
    <w:rsid w:val="00B33CF0"/>
    <w:rsid w:val="00B33D3E"/>
    <w:rsid w:val="00B33E63"/>
    <w:rsid w:val="00B33EA2"/>
    <w:rsid w:val="00B34378"/>
    <w:rsid w:val="00B349ED"/>
    <w:rsid w:val="00B34FF8"/>
    <w:rsid w:val="00B35139"/>
    <w:rsid w:val="00B35151"/>
    <w:rsid w:val="00B3549A"/>
    <w:rsid w:val="00B356C3"/>
    <w:rsid w:val="00B35709"/>
    <w:rsid w:val="00B35744"/>
    <w:rsid w:val="00B35B72"/>
    <w:rsid w:val="00B35C34"/>
    <w:rsid w:val="00B35D21"/>
    <w:rsid w:val="00B35FF6"/>
    <w:rsid w:val="00B36028"/>
    <w:rsid w:val="00B361C2"/>
    <w:rsid w:val="00B3622C"/>
    <w:rsid w:val="00B367F8"/>
    <w:rsid w:val="00B36917"/>
    <w:rsid w:val="00B369C1"/>
    <w:rsid w:val="00B36E06"/>
    <w:rsid w:val="00B36E88"/>
    <w:rsid w:val="00B36F62"/>
    <w:rsid w:val="00B37012"/>
    <w:rsid w:val="00B37335"/>
    <w:rsid w:val="00B37896"/>
    <w:rsid w:val="00B379E5"/>
    <w:rsid w:val="00B37C98"/>
    <w:rsid w:val="00B37CCB"/>
    <w:rsid w:val="00B37F7E"/>
    <w:rsid w:val="00B40064"/>
    <w:rsid w:val="00B4010B"/>
    <w:rsid w:val="00B40683"/>
    <w:rsid w:val="00B4087C"/>
    <w:rsid w:val="00B40DB2"/>
    <w:rsid w:val="00B40E51"/>
    <w:rsid w:val="00B4101D"/>
    <w:rsid w:val="00B41B8F"/>
    <w:rsid w:val="00B41BD3"/>
    <w:rsid w:val="00B41CD2"/>
    <w:rsid w:val="00B41FA8"/>
    <w:rsid w:val="00B42AB8"/>
    <w:rsid w:val="00B42F75"/>
    <w:rsid w:val="00B431EB"/>
    <w:rsid w:val="00B433ED"/>
    <w:rsid w:val="00B4346D"/>
    <w:rsid w:val="00B435AB"/>
    <w:rsid w:val="00B43D37"/>
    <w:rsid w:val="00B4465A"/>
    <w:rsid w:val="00B447A2"/>
    <w:rsid w:val="00B447DC"/>
    <w:rsid w:val="00B44990"/>
    <w:rsid w:val="00B449AF"/>
    <w:rsid w:val="00B44A6B"/>
    <w:rsid w:val="00B44D8B"/>
    <w:rsid w:val="00B450B0"/>
    <w:rsid w:val="00B451F9"/>
    <w:rsid w:val="00B453D6"/>
    <w:rsid w:val="00B458C6"/>
    <w:rsid w:val="00B46019"/>
    <w:rsid w:val="00B4624A"/>
    <w:rsid w:val="00B464FA"/>
    <w:rsid w:val="00B4695F"/>
    <w:rsid w:val="00B46E54"/>
    <w:rsid w:val="00B470AE"/>
    <w:rsid w:val="00B47232"/>
    <w:rsid w:val="00B4723B"/>
    <w:rsid w:val="00B47294"/>
    <w:rsid w:val="00B473D3"/>
    <w:rsid w:val="00B47C28"/>
    <w:rsid w:val="00B47C9A"/>
    <w:rsid w:val="00B47F0E"/>
    <w:rsid w:val="00B47F17"/>
    <w:rsid w:val="00B5001D"/>
    <w:rsid w:val="00B50547"/>
    <w:rsid w:val="00B5059A"/>
    <w:rsid w:val="00B505A1"/>
    <w:rsid w:val="00B50A44"/>
    <w:rsid w:val="00B50BA2"/>
    <w:rsid w:val="00B50C1B"/>
    <w:rsid w:val="00B51726"/>
    <w:rsid w:val="00B51A99"/>
    <w:rsid w:val="00B51E47"/>
    <w:rsid w:val="00B51FB4"/>
    <w:rsid w:val="00B52290"/>
    <w:rsid w:val="00B522AF"/>
    <w:rsid w:val="00B52843"/>
    <w:rsid w:val="00B528AB"/>
    <w:rsid w:val="00B52F4C"/>
    <w:rsid w:val="00B532D4"/>
    <w:rsid w:val="00B53452"/>
    <w:rsid w:val="00B5353A"/>
    <w:rsid w:val="00B53A08"/>
    <w:rsid w:val="00B53BB2"/>
    <w:rsid w:val="00B53C76"/>
    <w:rsid w:val="00B53D31"/>
    <w:rsid w:val="00B53F9E"/>
    <w:rsid w:val="00B541F1"/>
    <w:rsid w:val="00B54282"/>
    <w:rsid w:val="00B54358"/>
    <w:rsid w:val="00B54503"/>
    <w:rsid w:val="00B54C0F"/>
    <w:rsid w:val="00B54F11"/>
    <w:rsid w:val="00B55085"/>
    <w:rsid w:val="00B5524E"/>
    <w:rsid w:val="00B55524"/>
    <w:rsid w:val="00B558D2"/>
    <w:rsid w:val="00B55DB2"/>
    <w:rsid w:val="00B55F19"/>
    <w:rsid w:val="00B56270"/>
    <w:rsid w:val="00B566F8"/>
    <w:rsid w:val="00B56848"/>
    <w:rsid w:val="00B568A9"/>
    <w:rsid w:val="00B568AA"/>
    <w:rsid w:val="00B56A87"/>
    <w:rsid w:val="00B56A9D"/>
    <w:rsid w:val="00B56CC6"/>
    <w:rsid w:val="00B56E27"/>
    <w:rsid w:val="00B56EB2"/>
    <w:rsid w:val="00B57082"/>
    <w:rsid w:val="00B5713D"/>
    <w:rsid w:val="00B572EF"/>
    <w:rsid w:val="00B572F6"/>
    <w:rsid w:val="00B575BF"/>
    <w:rsid w:val="00B575CA"/>
    <w:rsid w:val="00B57735"/>
    <w:rsid w:val="00B57981"/>
    <w:rsid w:val="00B57D0F"/>
    <w:rsid w:val="00B57EE6"/>
    <w:rsid w:val="00B60552"/>
    <w:rsid w:val="00B60FB4"/>
    <w:rsid w:val="00B60FFD"/>
    <w:rsid w:val="00B611D8"/>
    <w:rsid w:val="00B612EA"/>
    <w:rsid w:val="00B6182E"/>
    <w:rsid w:val="00B618E4"/>
    <w:rsid w:val="00B61BEF"/>
    <w:rsid w:val="00B61C66"/>
    <w:rsid w:val="00B61D52"/>
    <w:rsid w:val="00B61F79"/>
    <w:rsid w:val="00B62195"/>
    <w:rsid w:val="00B624F7"/>
    <w:rsid w:val="00B62604"/>
    <w:rsid w:val="00B62673"/>
    <w:rsid w:val="00B6277F"/>
    <w:rsid w:val="00B62848"/>
    <w:rsid w:val="00B62B33"/>
    <w:rsid w:val="00B62C24"/>
    <w:rsid w:val="00B62C80"/>
    <w:rsid w:val="00B62DBD"/>
    <w:rsid w:val="00B62DF2"/>
    <w:rsid w:val="00B63276"/>
    <w:rsid w:val="00B6359E"/>
    <w:rsid w:val="00B63B5C"/>
    <w:rsid w:val="00B63E06"/>
    <w:rsid w:val="00B6439B"/>
    <w:rsid w:val="00B6454C"/>
    <w:rsid w:val="00B647CD"/>
    <w:rsid w:val="00B64CC9"/>
    <w:rsid w:val="00B6541E"/>
    <w:rsid w:val="00B65808"/>
    <w:rsid w:val="00B65ACA"/>
    <w:rsid w:val="00B65B43"/>
    <w:rsid w:val="00B65B8E"/>
    <w:rsid w:val="00B66162"/>
    <w:rsid w:val="00B661EF"/>
    <w:rsid w:val="00B6620C"/>
    <w:rsid w:val="00B665D2"/>
    <w:rsid w:val="00B66668"/>
    <w:rsid w:val="00B666F8"/>
    <w:rsid w:val="00B66A87"/>
    <w:rsid w:val="00B6784B"/>
    <w:rsid w:val="00B67BC8"/>
    <w:rsid w:val="00B67D53"/>
    <w:rsid w:val="00B700E1"/>
    <w:rsid w:val="00B7042D"/>
    <w:rsid w:val="00B70702"/>
    <w:rsid w:val="00B710BD"/>
    <w:rsid w:val="00B711A9"/>
    <w:rsid w:val="00B71240"/>
    <w:rsid w:val="00B712D0"/>
    <w:rsid w:val="00B71473"/>
    <w:rsid w:val="00B71592"/>
    <w:rsid w:val="00B715A6"/>
    <w:rsid w:val="00B715CB"/>
    <w:rsid w:val="00B719D6"/>
    <w:rsid w:val="00B71DB3"/>
    <w:rsid w:val="00B71EC9"/>
    <w:rsid w:val="00B72249"/>
    <w:rsid w:val="00B724D8"/>
    <w:rsid w:val="00B726A4"/>
    <w:rsid w:val="00B72EAC"/>
    <w:rsid w:val="00B737DF"/>
    <w:rsid w:val="00B73896"/>
    <w:rsid w:val="00B7389B"/>
    <w:rsid w:val="00B73C3C"/>
    <w:rsid w:val="00B73D8C"/>
    <w:rsid w:val="00B73FA2"/>
    <w:rsid w:val="00B74102"/>
    <w:rsid w:val="00B741A9"/>
    <w:rsid w:val="00B74270"/>
    <w:rsid w:val="00B74596"/>
    <w:rsid w:val="00B7495F"/>
    <w:rsid w:val="00B74962"/>
    <w:rsid w:val="00B74CAC"/>
    <w:rsid w:val="00B74D47"/>
    <w:rsid w:val="00B74E8E"/>
    <w:rsid w:val="00B75016"/>
    <w:rsid w:val="00B752D1"/>
    <w:rsid w:val="00B7538F"/>
    <w:rsid w:val="00B75540"/>
    <w:rsid w:val="00B757E5"/>
    <w:rsid w:val="00B75995"/>
    <w:rsid w:val="00B75C22"/>
    <w:rsid w:val="00B75D69"/>
    <w:rsid w:val="00B75EA5"/>
    <w:rsid w:val="00B7651E"/>
    <w:rsid w:val="00B7674A"/>
    <w:rsid w:val="00B76866"/>
    <w:rsid w:val="00B7690E"/>
    <w:rsid w:val="00B76D85"/>
    <w:rsid w:val="00B76FEC"/>
    <w:rsid w:val="00B7716B"/>
    <w:rsid w:val="00B772D7"/>
    <w:rsid w:val="00B776DC"/>
    <w:rsid w:val="00B77AE0"/>
    <w:rsid w:val="00B80057"/>
    <w:rsid w:val="00B80860"/>
    <w:rsid w:val="00B80962"/>
    <w:rsid w:val="00B809C2"/>
    <w:rsid w:val="00B80B2B"/>
    <w:rsid w:val="00B81248"/>
    <w:rsid w:val="00B8149A"/>
    <w:rsid w:val="00B81519"/>
    <w:rsid w:val="00B815CC"/>
    <w:rsid w:val="00B818B8"/>
    <w:rsid w:val="00B81C6F"/>
    <w:rsid w:val="00B81D65"/>
    <w:rsid w:val="00B81F38"/>
    <w:rsid w:val="00B8242F"/>
    <w:rsid w:val="00B824CE"/>
    <w:rsid w:val="00B8283A"/>
    <w:rsid w:val="00B828DD"/>
    <w:rsid w:val="00B82C95"/>
    <w:rsid w:val="00B82E14"/>
    <w:rsid w:val="00B83019"/>
    <w:rsid w:val="00B83783"/>
    <w:rsid w:val="00B83970"/>
    <w:rsid w:val="00B83B62"/>
    <w:rsid w:val="00B840EC"/>
    <w:rsid w:val="00B84331"/>
    <w:rsid w:val="00B8461B"/>
    <w:rsid w:val="00B84D51"/>
    <w:rsid w:val="00B84FE1"/>
    <w:rsid w:val="00B8516D"/>
    <w:rsid w:val="00B8527D"/>
    <w:rsid w:val="00B8535F"/>
    <w:rsid w:val="00B85476"/>
    <w:rsid w:val="00B85573"/>
    <w:rsid w:val="00B855EC"/>
    <w:rsid w:val="00B856C2"/>
    <w:rsid w:val="00B857B7"/>
    <w:rsid w:val="00B8582F"/>
    <w:rsid w:val="00B85AD1"/>
    <w:rsid w:val="00B85C65"/>
    <w:rsid w:val="00B85D9C"/>
    <w:rsid w:val="00B85E17"/>
    <w:rsid w:val="00B85F66"/>
    <w:rsid w:val="00B8658F"/>
    <w:rsid w:val="00B8660B"/>
    <w:rsid w:val="00B867B4"/>
    <w:rsid w:val="00B86921"/>
    <w:rsid w:val="00B86A55"/>
    <w:rsid w:val="00B86B99"/>
    <w:rsid w:val="00B86B9A"/>
    <w:rsid w:val="00B86C57"/>
    <w:rsid w:val="00B86D25"/>
    <w:rsid w:val="00B873C2"/>
    <w:rsid w:val="00B873DF"/>
    <w:rsid w:val="00B8741A"/>
    <w:rsid w:val="00B87543"/>
    <w:rsid w:val="00B878CD"/>
    <w:rsid w:val="00B87A46"/>
    <w:rsid w:val="00B87C38"/>
    <w:rsid w:val="00B87C4B"/>
    <w:rsid w:val="00B90163"/>
    <w:rsid w:val="00B902F5"/>
    <w:rsid w:val="00B9039F"/>
    <w:rsid w:val="00B905D0"/>
    <w:rsid w:val="00B906E7"/>
    <w:rsid w:val="00B9096A"/>
    <w:rsid w:val="00B90AEB"/>
    <w:rsid w:val="00B91112"/>
    <w:rsid w:val="00B915DB"/>
    <w:rsid w:val="00B91977"/>
    <w:rsid w:val="00B91A65"/>
    <w:rsid w:val="00B91B9A"/>
    <w:rsid w:val="00B91C17"/>
    <w:rsid w:val="00B91CB1"/>
    <w:rsid w:val="00B91E51"/>
    <w:rsid w:val="00B92120"/>
    <w:rsid w:val="00B9249B"/>
    <w:rsid w:val="00B92775"/>
    <w:rsid w:val="00B928C2"/>
    <w:rsid w:val="00B92E15"/>
    <w:rsid w:val="00B93505"/>
    <w:rsid w:val="00B93599"/>
    <w:rsid w:val="00B93B3A"/>
    <w:rsid w:val="00B93D3A"/>
    <w:rsid w:val="00B942FE"/>
    <w:rsid w:val="00B9438D"/>
    <w:rsid w:val="00B9453F"/>
    <w:rsid w:val="00B94566"/>
    <w:rsid w:val="00B94744"/>
    <w:rsid w:val="00B94786"/>
    <w:rsid w:val="00B94C20"/>
    <w:rsid w:val="00B94D07"/>
    <w:rsid w:val="00B95068"/>
    <w:rsid w:val="00B95194"/>
    <w:rsid w:val="00B95287"/>
    <w:rsid w:val="00B95339"/>
    <w:rsid w:val="00B9536C"/>
    <w:rsid w:val="00B957F3"/>
    <w:rsid w:val="00B959F5"/>
    <w:rsid w:val="00B959FD"/>
    <w:rsid w:val="00B95A11"/>
    <w:rsid w:val="00B95ED7"/>
    <w:rsid w:val="00B95FBE"/>
    <w:rsid w:val="00B9657E"/>
    <w:rsid w:val="00B9662F"/>
    <w:rsid w:val="00B96D88"/>
    <w:rsid w:val="00B97146"/>
    <w:rsid w:val="00B97383"/>
    <w:rsid w:val="00B97543"/>
    <w:rsid w:val="00BA02A7"/>
    <w:rsid w:val="00BA0371"/>
    <w:rsid w:val="00BA05BE"/>
    <w:rsid w:val="00BA061D"/>
    <w:rsid w:val="00BA0A4F"/>
    <w:rsid w:val="00BA0A98"/>
    <w:rsid w:val="00BA0D42"/>
    <w:rsid w:val="00BA129C"/>
    <w:rsid w:val="00BA12DD"/>
    <w:rsid w:val="00BA15B5"/>
    <w:rsid w:val="00BA1B45"/>
    <w:rsid w:val="00BA1FFB"/>
    <w:rsid w:val="00BA2455"/>
    <w:rsid w:val="00BA27DF"/>
    <w:rsid w:val="00BA2B3F"/>
    <w:rsid w:val="00BA2D4F"/>
    <w:rsid w:val="00BA2F7A"/>
    <w:rsid w:val="00BA30CF"/>
    <w:rsid w:val="00BA3C80"/>
    <w:rsid w:val="00BA3CEF"/>
    <w:rsid w:val="00BA40D0"/>
    <w:rsid w:val="00BA4308"/>
    <w:rsid w:val="00BA461C"/>
    <w:rsid w:val="00BA476A"/>
    <w:rsid w:val="00BA4A63"/>
    <w:rsid w:val="00BA4AC1"/>
    <w:rsid w:val="00BA4B5E"/>
    <w:rsid w:val="00BA4D1C"/>
    <w:rsid w:val="00BA4E45"/>
    <w:rsid w:val="00BA4FE2"/>
    <w:rsid w:val="00BA56BE"/>
    <w:rsid w:val="00BA57BD"/>
    <w:rsid w:val="00BA59FB"/>
    <w:rsid w:val="00BA6A55"/>
    <w:rsid w:val="00BA6B44"/>
    <w:rsid w:val="00BA6F74"/>
    <w:rsid w:val="00BA7384"/>
    <w:rsid w:val="00BA7748"/>
    <w:rsid w:val="00BA77D4"/>
    <w:rsid w:val="00BA7B10"/>
    <w:rsid w:val="00BA7C59"/>
    <w:rsid w:val="00BA7D88"/>
    <w:rsid w:val="00BB0311"/>
    <w:rsid w:val="00BB0621"/>
    <w:rsid w:val="00BB06EA"/>
    <w:rsid w:val="00BB09E7"/>
    <w:rsid w:val="00BB0ACC"/>
    <w:rsid w:val="00BB0CCC"/>
    <w:rsid w:val="00BB0FF0"/>
    <w:rsid w:val="00BB1124"/>
    <w:rsid w:val="00BB1464"/>
    <w:rsid w:val="00BB14A3"/>
    <w:rsid w:val="00BB1657"/>
    <w:rsid w:val="00BB1C6B"/>
    <w:rsid w:val="00BB2221"/>
    <w:rsid w:val="00BB22A9"/>
    <w:rsid w:val="00BB248E"/>
    <w:rsid w:val="00BB2557"/>
    <w:rsid w:val="00BB26CA"/>
    <w:rsid w:val="00BB2B9C"/>
    <w:rsid w:val="00BB2D26"/>
    <w:rsid w:val="00BB2E53"/>
    <w:rsid w:val="00BB2E61"/>
    <w:rsid w:val="00BB2FAF"/>
    <w:rsid w:val="00BB303D"/>
    <w:rsid w:val="00BB31D6"/>
    <w:rsid w:val="00BB31FB"/>
    <w:rsid w:val="00BB3212"/>
    <w:rsid w:val="00BB339D"/>
    <w:rsid w:val="00BB39E8"/>
    <w:rsid w:val="00BB3C52"/>
    <w:rsid w:val="00BB435F"/>
    <w:rsid w:val="00BB4372"/>
    <w:rsid w:val="00BB4AE6"/>
    <w:rsid w:val="00BB4CE8"/>
    <w:rsid w:val="00BB4F53"/>
    <w:rsid w:val="00BB509A"/>
    <w:rsid w:val="00BB5444"/>
    <w:rsid w:val="00BB5458"/>
    <w:rsid w:val="00BB550A"/>
    <w:rsid w:val="00BB5528"/>
    <w:rsid w:val="00BB5540"/>
    <w:rsid w:val="00BB5586"/>
    <w:rsid w:val="00BB587C"/>
    <w:rsid w:val="00BB6256"/>
    <w:rsid w:val="00BB6303"/>
    <w:rsid w:val="00BB649A"/>
    <w:rsid w:val="00BB6593"/>
    <w:rsid w:val="00BB6717"/>
    <w:rsid w:val="00BB6736"/>
    <w:rsid w:val="00BB67FF"/>
    <w:rsid w:val="00BB6F4E"/>
    <w:rsid w:val="00BB74C8"/>
    <w:rsid w:val="00BB765B"/>
    <w:rsid w:val="00BB798A"/>
    <w:rsid w:val="00BC032F"/>
    <w:rsid w:val="00BC04D8"/>
    <w:rsid w:val="00BC0520"/>
    <w:rsid w:val="00BC06BB"/>
    <w:rsid w:val="00BC07EF"/>
    <w:rsid w:val="00BC0852"/>
    <w:rsid w:val="00BC08CC"/>
    <w:rsid w:val="00BC0A60"/>
    <w:rsid w:val="00BC0E50"/>
    <w:rsid w:val="00BC0F2F"/>
    <w:rsid w:val="00BC0FEE"/>
    <w:rsid w:val="00BC119F"/>
    <w:rsid w:val="00BC15DE"/>
    <w:rsid w:val="00BC1687"/>
    <w:rsid w:val="00BC171D"/>
    <w:rsid w:val="00BC1780"/>
    <w:rsid w:val="00BC17C8"/>
    <w:rsid w:val="00BC18CA"/>
    <w:rsid w:val="00BC18DA"/>
    <w:rsid w:val="00BC1AC8"/>
    <w:rsid w:val="00BC1AEA"/>
    <w:rsid w:val="00BC1F2E"/>
    <w:rsid w:val="00BC21AE"/>
    <w:rsid w:val="00BC2216"/>
    <w:rsid w:val="00BC27F2"/>
    <w:rsid w:val="00BC2B57"/>
    <w:rsid w:val="00BC2DB5"/>
    <w:rsid w:val="00BC2FFE"/>
    <w:rsid w:val="00BC34B8"/>
    <w:rsid w:val="00BC3664"/>
    <w:rsid w:val="00BC369C"/>
    <w:rsid w:val="00BC3799"/>
    <w:rsid w:val="00BC3CC7"/>
    <w:rsid w:val="00BC3D0B"/>
    <w:rsid w:val="00BC4391"/>
    <w:rsid w:val="00BC4850"/>
    <w:rsid w:val="00BC4972"/>
    <w:rsid w:val="00BC4A61"/>
    <w:rsid w:val="00BC546D"/>
    <w:rsid w:val="00BC5724"/>
    <w:rsid w:val="00BC5983"/>
    <w:rsid w:val="00BC5DE4"/>
    <w:rsid w:val="00BC5E38"/>
    <w:rsid w:val="00BC5E70"/>
    <w:rsid w:val="00BC6081"/>
    <w:rsid w:val="00BC6082"/>
    <w:rsid w:val="00BC6241"/>
    <w:rsid w:val="00BC67D6"/>
    <w:rsid w:val="00BC6897"/>
    <w:rsid w:val="00BC72E2"/>
    <w:rsid w:val="00BC7D0A"/>
    <w:rsid w:val="00BC7F0F"/>
    <w:rsid w:val="00BD010A"/>
    <w:rsid w:val="00BD0606"/>
    <w:rsid w:val="00BD0657"/>
    <w:rsid w:val="00BD0822"/>
    <w:rsid w:val="00BD0A00"/>
    <w:rsid w:val="00BD1420"/>
    <w:rsid w:val="00BD1A37"/>
    <w:rsid w:val="00BD1B8D"/>
    <w:rsid w:val="00BD22F4"/>
    <w:rsid w:val="00BD2AF1"/>
    <w:rsid w:val="00BD2B0F"/>
    <w:rsid w:val="00BD30D3"/>
    <w:rsid w:val="00BD33D4"/>
    <w:rsid w:val="00BD3482"/>
    <w:rsid w:val="00BD3624"/>
    <w:rsid w:val="00BD3737"/>
    <w:rsid w:val="00BD383D"/>
    <w:rsid w:val="00BD38EF"/>
    <w:rsid w:val="00BD40B1"/>
    <w:rsid w:val="00BD4226"/>
    <w:rsid w:val="00BD422F"/>
    <w:rsid w:val="00BD44AA"/>
    <w:rsid w:val="00BD531E"/>
    <w:rsid w:val="00BD5369"/>
    <w:rsid w:val="00BD542C"/>
    <w:rsid w:val="00BD5702"/>
    <w:rsid w:val="00BD5750"/>
    <w:rsid w:val="00BD576E"/>
    <w:rsid w:val="00BD58DD"/>
    <w:rsid w:val="00BD58F6"/>
    <w:rsid w:val="00BD5B2D"/>
    <w:rsid w:val="00BD5B58"/>
    <w:rsid w:val="00BD60DC"/>
    <w:rsid w:val="00BD61BE"/>
    <w:rsid w:val="00BD6218"/>
    <w:rsid w:val="00BD624C"/>
    <w:rsid w:val="00BD64FE"/>
    <w:rsid w:val="00BD6883"/>
    <w:rsid w:val="00BD6895"/>
    <w:rsid w:val="00BD690E"/>
    <w:rsid w:val="00BD6B59"/>
    <w:rsid w:val="00BD6B78"/>
    <w:rsid w:val="00BD6E7A"/>
    <w:rsid w:val="00BD74ED"/>
    <w:rsid w:val="00BD783B"/>
    <w:rsid w:val="00BD7A35"/>
    <w:rsid w:val="00BDBAC4"/>
    <w:rsid w:val="00BE0280"/>
    <w:rsid w:val="00BE0659"/>
    <w:rsid w:val="00BE0C27"/>
    <w:rsid w:val="00BE13C5"/>
    <w:rsid w:val="00BE156A"/>
    <w:rsid w:val="00BE1633"/>
    <w:rsid w:val="00BE17D9"/>
    <w:rsid w:val="00BE18D1"/>
    <w:rsid w:val="00BE1FD5"/>
    <w:rsid w:val="00BE21F6"/>
    <w:rsid w:val="00BE2413"/>
    <w:rsid w:val="00BE256B"/>
    <w:rsid w:val="00BE26A7"/>
    <w:rsid w:val="00BE26D7"/>
    <w:rsid w:val="00BE2A17"/>
    <w:rsid w:val="00BE32C8"/>
    <w:rsid w:val="00BE3305"/>
    <w:rsid w:val="00BE375E"/>
    <w:rsid w:val="00BE3BFA"/>
    <w:rsid w:val="00BE3CE9"/>
    <w:rsid w:val="00BE4046"/>
    <w:rsid w:val="00BE47BF"/>
    <w:rsid w:val="00BE4833"/>
    <w:rsid w:val="00BE49D0"/>
    <w:rsid w:val="00BE4BE2"/>
    <w:rsid w:val="00BE5374"/>
    <w:rsid w:val="00BE5834"/>
    <w:rsid w:val="00BE59A9"/>
    <w:rsid w:val="00BE5A13"/>
    <w:rsid w:val="00BE5AEE"/>
    <w:rsid w:val="00BE5C9B"/>
    <w:rsid w:val="00BE5DD0"/>
    <w:rsid w:val="00BE5F3A"/>
    <w:rsid w:val="00BE5F6F"/>
    <w:rsid w:val="00BE627A"/>
    <w:rsid w:val="00BE66A6"/>
    <w:rsid w:val="00BE680B"/>
    <w:rsid w:val="00BE6AF1"/>
    <w:rsid w:val="00BE6CE8"/>
    <w:rsid w:val="00BE6EA9"/>
    <w:rsid w:val="00BE7530"/>
    <w:rsid w:val="00BE753F"/>
    <w:rsid w:val="00BE762B"/>
    <w:rsid w:val="00BE7B5A"/>
    <w:rsid w:val="00BE7DF6"/>
    <w:rsid w:val="00BE7F24"/>
    <w:rsid w:val="00BE7F62"/>
    <w:rsid w:val="00BF0563"/>
    <w:rsid w:val="00BF0DB7"/>
    <w:rsid w:val="00BF0E88"/>
    <w:rsid w:val="00BF0F10"/>
    <w:rsid w:val="00BF11E3"/>
    <w:rsid w:val="00BF17B7"/>
    <w:rsid w:val="00BF1930"/>
    <w:rsid w:val="00BF1B8C"/>
    <w:rsid w:val="00BF203C"/>
    <w:rsid w:val="00BF22F7"/>
    <w:rsid w:val="00BF244A"/>
    <w:rsid w:val="00BF27D1"/>
    <w:rsid w:val="00BF27DD"/>
    <w:rsid w:val="00BF2D5B"/>
    <w:rsid w:val="00BF2DB3"/>
    <w:rsid w:val="00BF2E09"/>
    <w:rsid w:val="00BF2EB3"/>
    <w:rsid w:val="00BF30E2"/>
    <w:rsid w:val="00BF3BCF"/>
    <w:rsid w:val="00BF3F66"/>
    <w:rsid w:val="00BF3FCB"/>
    <w:rsid w:val="00BF41D8"/>
    <w:rsid w:val="00BF422F"/>
    <w:rsid w:val="00BF4500"/>
    <w:rsid w:val="00BF4524"/>
    <w:rsid w:val="00BF4593"/>
    <w:rsid w:val="00BF45DD"/>
    <w:rsid w:val="00BF4642"/>
    <w:rsid w:val="00BF4762"/>
    <w:rsid w:val="00BF476C"/>
    <w:rsid w:val="00BF497D"/>
    <w:rsid w:val="00BF49EA"/>
    <w:rsid w:val="00BF4E05"/>
    <w:rsid w:val="00BF4E0B"/>
    <w:rsid w:val="00BF5304"/>
    <w:rsid w:val="00BF59B3"/>
    <w:rsid w:val="00BF5A0E"/>
    <w:rsid w:val="00BF5C05"/>
    <w:rsid w:val="00BF5DEF"/>
    <w:rsid w:val="00BF5F78"/>
    <w:rsid w:val="00BF5FEC"/>
    <w:rsid w:val="00BF62CC"/>
    <w:rsid w:val="00BF637A"/>
    <w:rsid w:val="00BF642D"/>
    <w:rsid w:val="00BF6978"/>
    <w:rsid w:val="00BF6BCA"/>
    <w:rsid w:val="00BF6BE3"/>
    <w:rsid w:val="00BF6E01"/>
    <w:rsid w:val="00BF6F5F"/>
    <w:rsid w:val="00BF706E"/>
    <w:rsid w:val="00BF72A4"/>
    <w:rsid w:val="00BF7801"/>
    <w:rsid w:val="00BF797E"/>
    <w:rsid w:val="00BF7A52"/>
    <w:rsid w:val="00BF7C54"/>
    <w:rsid w:val="00C0023D"/>
    <w:rsid w:val="00C003AC"/>
    <w:rsid w:val="00C005F6"/>
    <w:rsid w:val="00C00A59"/>
    <w:rsid w:val="00C00C07"/>
    <w:rsid w:val="00C00C1A"/>
    <w:rsid w:val="00C00DD2"/>
    <w:rsid w:val="00C01268"/>
    <w:rsid w:val="00C01382"/>
    <w:rsid w:val="00C0142A"/>
    <w:rsid w:val="00C015C6"/>
    <w:rsid w:val="00C016C7"/>
    <w:rsid w:val="00C017B7"/>
    <w:rsid w:val="00C017EC"/>
    <w:rsid w:val="00C0182F"/>
    <w:rsid w:val="00C018C8"/>
    <w:rsid w:val="00C019F6"/>
    <w:rsid w:val="00C01A9E"/>
    <w:rsid w:val="00C01B04"/>
    <w:rsid w:val="00C01B87"/>
    <w:rsid w:val="00C01BC7"/>
    <w:rsid w:val="00C01D5F"/>
    <w:rsid w:val="00C02173"/>
    <w:rsid w:val="00C0286E"/>
    <w:rsid w:val="00C02916"/>
    <w:rsid w:val="00C02A34"/>
    <w:rsid w:val="00C0345A"/>
    <w:rsid w:val="00C03495"/>
    <w:rsid w:val="00C0349C"/>
    <w:rsid w:val="00C03511"/>
    <w:rsid w:val="00C036B7"/>
    <w:rsid w:val="00C038B1"/>
    <w:rsid w:val="00C03AA1"/>
    <w:rsid w:val="00C03BC9"/>
    <w:rsid w:val="00C03FE3"/>
    <w:rsid w:val="00C04180"/>
    <w:rsid w:val="00C041AA"/>
    <w:rsid w:val="00C043BF"/>
    <w:rsid w:val="00C04545"/>
    <w:rsid w:val="00C046EB"/>
    <w:rsid w:val="00C04C3A"/>
    <w:rsid w:val="00C0536A"/>
    <w:rsid w:val="00C05429"/>
    <w:rsid w:val="00C05668"/>
    <w:rsid w:val="00C05700"/>
    <w:rsid w:val="00C0600A"/>
    <w:rsid w:val="00C06106"/>
    <w:rsid w:val="00C066CF"/>
    <w:rsid w:val="00C06ABF"/>
    <w:rsid w:val="00C06B87"/>
    <w:rsid w:val="00C07138"/>
    <w:rsid w:val="00C071F2"/>
    <w:rsid w:val="00C074CD"/>
    <w:rsid w:val="00C07779"/>
    <w:rsid w:val="00C07E8A"/>
    <w:rsid w:val="00C07FE2"/>
    <w:rsid w:val="00C1045A"/>
    <w:rsid w:val="00C107C3"/>
    <w:rsid w:val="00C10C63"/>
    <w:rsid w:val="00C112D4"/>
    <w:rsid w:val="00C11674"/>
    <w:rsid w:val="00C11B60"/>
    <w:rsid w:val="00C11C7B"/>
    <w:rsid w:val="00C11E85"/>
    <w:rsid w:val="00C12021"/>
    <w:rsid w:val="00C125FC"/>
    <w:rsid w:val="00C1294A"/>
    <w:rsid w:val="00C12A9B"/>
    <w:rsid w:val="00C12C72"/>
    <w:rsid w:val="00C12F0B"/>
    <w:rsid w:val="00C12FB5"/>
    <w:rsid w:val="00C13520"/>
    <w:rsid w:val="00C1358E"/>
    <w:rsid w:val="00C135E9"/>
    <w:rsid w:val="00C137EA"/>
    <w:rsid w:val="00C140D2"/>
    <w:rsid w:val="00C142C1"/>
    <w:rsid w:val="00C14488"/>
    <w:rsid w:val="00C14597"/>
    <w:rsid w:val="00C14913"/>
    <w:rsid w:val="00C14984"/>
    <w:rsid w:val="00C14F9B"/>
    <w:rsid w:val="00C14FAB"/>
    <w:rsid w:val="00C15135"/>
    <w:rsid w:val="00C15286"/>
    <w:rsid w:val="00C15656"/>
    <w:rsid w:val="00C156B5"/>
    <w:rsid w:val="00C157CC"/>
    <w:rsid w:val="00C158E9"/>
    <w:rsid w:val="00C15E47"/>
    <w:rsid w:val="00C15EC1"/>
    <w:rsid w:val="00C15F42"/>
    <w:rsid w:val="00C1610B"/>
    <w:rsid w:val="00C1611D"/>
    <w:rsid w:val="00C16121"/>
    <w:rsid w:val="00C163F6"/>
    <w:rsid w:val="00C166C2"/>
    <w:rsid w:val="00C169D7"/>
    <w:rsid w:val="00C16AFC"/>
    <w:rsid w:val="00C16B89"/>
    <w:rsid w:val="00C16C9A"/>
    <w:rsid w:val="00C16E3F"/>
    <w:rsid w:val="00C17134"/>
    <w:rsid w:val="00C1724E"/>
    <w:rsid w:val="00C17276"/>
    <w:rsid w:val="00C172F2"/>
    <w:rsid w:val="00C173A3"/>
    <w:rsid w:val="00C173FD"/>
    <w:rsid w:val="00C175E4"/>
    <w:rsid w:val="00C1795C"/>
    <w:rsid w:val="00C20391"/>
    <w:rsid w:val="00C203B7"/>
    <w:rsid w:val="00C2043C"/>
    <w:rsid w:val="00C20620"/>
    <w:rsid w:val="00C2079F"/>
    <w:rsid w:val="00C2088B"/>
    <w:rsid w:val="00C20B3F"/>
    <w:rsid w:val="00C20E15"/>
    <w:rsid w:val="00C20E94"/>
    <w:rsid w:val="00C2112A"/>
    <w:rsid w:val="00C214A6"/>
    <w:rsid w:val="00C2190D"/>
    <w:rsid w:val="00C21BA8"/>
    <w:rsid w:val="00C220BC"/>
    <w:rsid w:val="00C22E70"/>
    <w:rsid w:val="00C22F15"/>
    <w:rsid w:val="00C22F70"/>
    <w:rsid w:val="00C2322D"/>
    <w:rsid w:val="00C232E0"/>
    <w:rsid w:val="00C23555"/>
    <w:rsid w:val="00C23666"/>
    <w:rsid w:val="00C23856"/>
    <w:rsid w:val="00C23877"/>
    <w:rsid w:val="00C2398B"/>
    <w:rsid w:val="00C23A1E"/>
    <w:rsid w:val="00C23EB9"/>
    <w:rsid w:val="00C23F4A"/>
    <w:rsid w:val="00C2407F"/>
    <w:rsid w:val="00C240E6"/>
    <w:rsid w:val="00C24648"/>
    <w:rsid w:val="00C246C3"/>
    <w:rsid w:val="00C24B5E"/>
    <w:rsid w:val="00C24D12"/>
    <w:rsid w:val="00C24D5E"/>
    <w:rsid w:val="00C24E66"/>
    <w:rsid w:val="00C25008"/>
    <w:rsid w:val="00C2507C"/>
    <w:rsid w:val="00C251B6"/>
    <w:rsid w:val="00C2534F"/>
    <w:rsid w:val="00C2555E"/>
    <w:rsid w:val="00C2572C"/>
    <w:rsid w:val="00C257DA"/>
    <w:rsid w:val="00C25E97"/>
    <w:rsid w:val="00C26095"/>
    <w:rsid w:val="00C261BE"/>
    <w:rsid w:val="00C26BA9"/>
    <w:rsid w:val="00C26C39"/>
    <w:rsid w:val="00C26D5D"/>
    <w:rsid w:val="00C26E52"/>
    <w:rsid w:val="00C26F43"/>
    <w:rsid w:val="00C26F51"/>
    <w:rsid w:val="00C26FBD"/>
    <w:rsid w:val="00C26FD2"/>
    <w:rsid w:val="00C2768A"/>
    <w:rsid w:val="00C27780"/>
    <w:rsid w:val="00C27BAE"/>
    <w:rsid w:val="00C30058"/>
    <w:rsid w:val="00C30373"/>
    <w:rsid w:val="00C30B25"/>
    <w:rsid w:val="00C30D77"/>
    <w:rsid w:val="00C30DF1"/>
    <w:rsid w:val="00C31443"/>
    <w:rsid w:val="00C316D9"/>
    <w:rsid w:val="00C317A2"/>
    <w:rsid w:val="00C319B0"/>
    <w:rsid w:val="00C31A18"/>
    <w:rsid w:val="00C31C08"/>
    <w:rsid w:val="00C31CFE"/>
    <w:rsid w:val="00C31DA7"/>
    <w:rsid w:val="00C31DCA"/>
    <w:rsid w:val="00C31EA5"/>
    <w:rsid w:val="00C325BC"/>
    <w:rsid w:val="00C326EE"/>
    <w:rsid w:val="00C328AA"/>
    <w:rsid w:val="00C32AF6"/>
    <w:rsid w:val="00C32C8E"/>
    <w:rsid w:val="00C32E02"/>
    <w:rsid w:val="00C32EAF"/>
    <w:rsid w:val="00C32FBC"/>
    <w:rsid w:val="00C32FDE"/>
    <w:rsid w:val="00C33109"/>
    <w:rsid w:val="00C338E3"/>
    <w:rsid w:val="00C33C6D"/>
    <w:rsid w:val="00C33DAB"/>
    <w:rsid w:val="00C33DDF"/>
    <w:rsid w:val="00C33F30"/>
    <w:rsid w:val="00C33FB0"/>
    <w:rsid w:val="00C34191"/>
    <w:rsid w:val="00C342E8"/>
    <w:rsid w:val="00C343FC"/>
    <w:rsid w:val="00C347B2"/>
    <w:rsid w:val="00C34C74"/>
    <w:rsid w:val="00C34EE1"/>
    <w:rsid w:val="00C35632"/>
    <w:rsid w:val="00C35959"/>
    <w:rsid w:val="00C35E8B"/>
    <w:rsid w:val="00C35F45"/>
    <w:rsid w:val="00C36028"/>
    <w:rsid w:val="00C360A7"/>
    <w:rsid w:val="00C361F3"/>
    <w:rsid w:val="00C3651F"/>
    <w:rsid w:val="00C36633"/>
    <w:rsid w:val="00C367B6"/>
    <w:rsid w:val="00C36B51"/>
    <w:rsid w:val="00C36E9D"/>
    <w:rsid w:val="00C36F8E"/>
    <w:rsid w:val="00C370DE"/>
    <w:rsid w:val="00C37205"/>
    <w:rsid w:val="00C37512"/>
    <w:rsid w:val="00C3790D"/>
    <w:rsid w:val="00C37962"/>
    <w:rsid w:val="00C37C86"/>
    <w:rsid w:val="00C4001E"/>
    <w:rsid w:val="00C40193"/>
    <w:rsid w:val="00C402D3"/>
    <w:rsid w:val="00C40617"/>
    <w:rsid w:val="00C40714"/>
    <w:rsid w:val="00C4073C"/>
    <w:rsid w:val="00C408D4"/>
    <w:rsid w:val="00C41086"/>
    <w:rsid w:val="00C412B1"/>
    <w:rsid w:val="00C4174B"/>
    <w:rsid w:val="00C41933"/>
    <w:rsid w:val="00C41C14"/>
    <w:rsid w:val="00C41ED0"/>
    <w:rsid w:val="00C41EF0"/>
    <w:rsid w:val="00C42002"/>
    <w:rsid w:val="00C42918"/>
    <w:rsid w:val="00C42946"/>
    <w:rsid w:val="00C42E0B"/>
    <w:rsid w:val="00C43077"/>
    <w:rsid w:val="00C437B2"/>
    <w:rsid w:val="00C43903"/>
    <w:rsid w:val="00C43996"/>
    <w:rsid w:val="00C43D85"/>
    <w:rsid w:val="00C43E2C"/>
    <w:rsid w:val="00C43FBD"/>
    <w:rsid w:val="00C4436C"/>
    <w:rsid w:val="00C44528"/>
    <w:rsid w:val="00C4457D"/>
    <w:rsid w:val="00C450D6"/>
    <w:rsid w:val="00C450F0"/>
    <w:rsid w:val="00C4515F"/>
    <w:rsid w:val="00C451B5"/>
    <w:rsid w:val="00C4555D"/>
    <w:rsid w:val="00C45569"/>
    <w:rsid w:val="00C45A54"/>
    <w:rsid w:val="00C45B9C"/>
    <w:rsid w:val="00C45CA1"/>
    <w:rsid w:val="00C45D16"/>
    <w:rsid w:val="00C4602E"/>
    <w:rsid w:val="00C461B2"/>
    <w:rsid w:val="00C463C1"/>
    <w:rsid w:val="00C46687"/>
    <w:rsid w:val="00C469B8"/>
    <w:rsid w:val="00C46D3C"/>
    <w:rsid w:val="00C46ED1"/>
    <w:rsid w:val="00C4736C"/>
    <w:rsid w:val="00C47464"/>
    <w:rsid w:val="00C47676"/>
    <w:rsid w:val="00C47745"/>
    <w:rsid w:val="00C47A44"/>
    <w:rsid w:val="00C47BC3"/>
    <w:rsid w:val="00C47C8E"/>
    <w:rsid w:val="00C47D03"/>
    <w:rsid w:val="00C47D23"/>
    <w:rsid w:val="00C500CA"/>
    <w:rsid w:val="00C51128"/>
    <w:rsid w:val="00C514C7"/>
    <w:rsid w:val="00C51547"/>
    <w:rsid w:val="00C51663"/>
    <w:rsid w:val="00C516F6"/>
    <w:rsid w:val="00C528B1"/>
    <w:rsid w:val="00C52BEB"/>
    <w:rsid w:val="00C52C8F"/>
    <w:rsid w:val="00C52FD1"/>
    <w:rsid w:val="00C5340F"/>
    <w:rsid w:val="00C5359B"/>
    <w:rsid w:val="00C53AF7"/>
    <w:rsid w:val="00C53E13"/>
    <w:rsid w:val="00C53F25"/>
    <w:rsid w:val="00C540C9"/>
    <w:rsid w:val="00C54742"/>
    <w:rsid w:val="00C54837"/>
    <w:rsid w:val="00C54968"/>
    <w:rsid w:val="00C54C15"/>
    <w:rsid w:val="00C54C4F"/>
    <w:rsid w:val="00C54C93"/>
    <w:rsid w:val="00C54E52"/>
    <w:rsid w:val="00C55469"/>
    <w:rsid w:val="00C554B5"/>
    <w:rsid w:val="00C55D05"/>
    <w:rsid w:val="00C55D29"/>
    <w:rsid w:val="00C56077"/>
    <w:rsid w:val="00C56282"/>
    <w:rsid w:val="00C567B6"/>
    <w:rsid w:val="00C56D1D"/>
    <w:rsid w:val="00C56EF2"/>
    <w:rsid w:val="00C570A6"/>
    <w:rsid w:val="00C5716C"/>
    <w:rsid w:val="00C57579"/>
    <w:rsid w:val="00C57701"/>
    <w:rsid w:val="00C5780F"/>
    <w:rsid w:val="00C5786F"/>
    <w:rsid w:val="00C579F3"/>
    <w:rsid w:val="00C57EEA"/>
    <w:rsid w:val="00C6007C"/>
    <w:rsid w:val="00C600B3"/>
    <w:rsid w:val="00C60322"/>
    <w:rsid w:val="00C60590"/>
    <w:rsid w:val="00C60636"/>
    <w:rsid w:val="00C60CEE"/>
    <w:rsid w:val="00C60DE1"/>
    <w:rsid w:val="00C60E1F"/>
    <w:rsid w:val="00C61464"/>
    <w:rsid w:val="00C615C1"/>
    <w:rsid w:val="00C6182D"/>
    <w:rsid w:val="00C61B7F"/>
    <w:rsid w:val="00C623B7"/>
    <w:rsid w:val="00C623DE"/>
    <w:rsid w:val="00C625DF"/>
    <w:rsid w:val="00C62EC4"/>
    <w:rsid w:val="00C62F3E"/>
    <w:rsid w:val="00C635CF"/>
    <w:rsid w:val="00C63642"/>
    <w:rsid w:val="00C6391E"/>
    <w:rsid w:val="00C639EB"/>
    <w:rsid w:val="00C63BEE"/>
    <w:rsid w:val="00C6447B"/>
    <w:rsid w:val="00C64ACA"/>
    <w:rsid w:val="00C64F57"/>
    <w:rsid w:val="00C6511E"/>
    <w:rsid w:val="00C65D79"/>
    <w:rsid w:val="00C65E9D"/>
    <w:rsid w:val="00C65FC9"/>
    <w:rsid w:val="00C66278"/>
    <w:rsid w:val="00C664F0"/>
    <w:rsid w:val="00C6670B"/>
    <w:rsid w:val="00C667D6"/>
    <w:rsid w:val="00C6681D"/>
    <w:rsid w:val="00C66BF2"/>
    <w:rsid w:val="00C670FB"/>
    <w:rsid w:val="00C679C7"/>
    <w:rsid w:val="00C67BAE"/>
    <w:rsid w:val="00C67BD8"/>
    <w:rsid w:val="00C67E8E"/>
    <w:rsid w:val="00C70057"/>
    <w:rsid w:val="00C7013F"/>
    <w:rsid w:val="00C70496"/>
    <w:rsid w:val="00C705E5"/>
    <w:rsid w:val="00C70737"/>
    <w:rsid w:val="00C708AC"/>
    <w:rsid w:val="00C70AAA"/>
    <w:rsid w:val="00C7105C"/>
    <w:rsid w:val="00C71234"/>
    <w:rsid w:val="00C71456"/>
    <w:rsid w:val="00C71820"/>
    <w:rsid w:val="00C7182C"/>
    <w:rsid w:val="00C7185F"/>
    <w:rsid w:val="00C71A1B"/>
    <w:rsid w:val="00C71C14"/>
    <w:rsid w:val="00C71CD0"/>
    <w:rsid w:val="00C71FED"/>
    <w:rsid w:val="00C72177"/>
    <w:rsid w:val="00C72952"/>
    <w:rsid w:val="00C72ADB"/>
    <w:rsid w:val="00C72E47"/>
    <w:rsid w:val="00C736B7"/>
    <w:rsid w:val="00C73788"/>
    <w:rsid w:val="00C7378D"/>
    <w:rsid w:val="00C73827"/>
    <w:rsid w:val="00C73959"/>
    <w:rsid w:val="00C7430F"/>
    <w:rsid w:val="00C7443D"/>
    <w:rsid w:val="00C74B78"/>
    <w:rsid w:val="00C74B8C"/>
    <w:rsid w:val="00C74BE0"/>
    <w:rsid w:val="00C74CF9"/>
    <w:rsid w:val="00C750CC"/>
    <w:rsid w:val="00C75220"/>
    <w:rsid w:val="00C757CB"/>
    <w:rsid w:val="00C76016"/>
    <w:rsid w:val="00C760BB"/>
    <w:rsid w:val="00C761E0"/>
    <w:rsid w:val="00C76409"/>
    <w:rsid w:val="00C7696A"/>
    <w:rsid w:val="00C76A7A"/>
    <w:rsid w:val="00C76AF6"/>
    <w:rsid w:val="00C771FD"/>
    <w:rsid w:val="00C77284"/>
    <w:rsid w:val="00C77360"/>
    <w:rsid w:val="00C7779E"/>
    <w:rsid w:val="00C77920"/>
    <w:rsid w:val="00C77E50"/>
    <w:rsid w:val="00C77E81"/>
    <w:rsid w:val="00C801D3"/>
    <w:rsid w:val="00C8022C"/>
    <w:rsid w:val="00C8057E"/>
    <w:rsid w:val="00C80619"/>
    <w:rsid w:val="00C80649"/>
    <w:rsid w:val="00C80A6D"/>
    <w:rsid w:val="00C80A8A"/>
    <w:rsid w:val="00C810D0"/>
    <w:rsid w:val="00C81289"/>
    <w:rsid w:val="00C8179E"/>
    <w:rsid w:val="00C81A63"/>
    <w:rsid w:val="00C81B9B"/>
    <w:rsid w:val="00C81CFF"/>
    <w:rsid w:val="00C81F5C"/>
    <w:rsid w:val="00C8268F"/>
    <w:rsid w:val="00C82C41"/>
    <w:rsid w:val="00C83104"/>
    <w:rsid w:val="00C8314A"/>
    <w:rsid w:val="00C83313"/>
    <w:rsid w:val="00C833BB"/>
    <w:rsid w:val="00C83535"/>
    <w:rsid w:val="00C8355D"/>
    <w:rsid w:val="00C8377B"/>
    <w:rsid w:val="00C837DD"/>
    <w:rsid w:val="00C83D84"/>
    <w:rsid w:val="00C84009"/>
    <w:rsid w:val="00C8440A"/>
    <w:rsid w:val="00C84830"/>
    <w:rsid w:val="00C849A2"/>
    <w:rsid w:val="00C84B02"/>
    <w:rsid w:val="00C84ED5"/>
    <w:rsid w:val="00C85087"/>
    <w:rsid w:val="00C85357"/>
    <w:rsid w:val="00C85468"/>
    <w:rsid w:val="00C8553E"/>
    <w:rsid w:val="00C855AE"/>
    <w:rsid w:val="00C857FB"/>
    <w:rsid w:val="00C85C82"/>
    <w:rsid w:val="00C85D0B"/>
    <w:rsid w:val="00C85DE3"/>
    <w:rsid w:val="00C85EE6"/>
    <w:rsid w:val="00C86060"/>
    <w:rsid w:val="00C863B7"/>
    <w:rsid w:val="00C86726"/>
    <w:rsid w:val="00C8694E"/>
    <w:rsid w:val="00C8698A"/>
    <w:rsid w:val="00C86A2B"/>
    <w:rsid w:val="00C86C2C"/>
    <w:rsid w:val="00C870E0"/>
    <w:rsid w:val="00C87431"/>
    <w:rsid w:val="00C87436"/>
    <w:rsid w:val="00C87766"/>
    <w:rsid w:val="00C90102"/>
    <w:rsid w:val="00C90554"/>
    <w:rsid w:val="00C90783"/>
    <w:rsid w:val="00C909D2"/>
    <w:rsid w:val="00C90A1F"/>
    <w:rsid w:val="00C90B4C"/>
    <w:rsid w:val="00C90E64"/>
    <w:rsid w:val="00C91651"/>
    <w:rsid w:val="00C91653"/>
    <w:rsid w:val="00C91674"/>
    <w:rsid w:val="00C917A4"/>
    <w:rsid w:val="00C91CBC"/>
    <w:rsid w:val="00C91FD3"/>
    <w:rsid w:val="00C92015"/>
    <w:rsid w:val="00C92195"/>
    <w:rsid w:val="00C92227"/>
    <w:rsid w:val="00C9223F"/>
    <w:rsid w:val="00C9226F"/>
    <w:rsid w:val="00C922A2"/>
    <w:rsid w:val="00C922F1"/>
    <w:rsid w:val="00C923AA"/>
    <w:rsid w:val="00C925F9"/>
    <w:rsid w:val="00C92707"/>
    <w:rsid w:val="00C92C85"/>
    <w:rsid w:val="00C92ED5"/>
    <w:rsid w:val="00C92EDC"/>
    <w:rsid w:val="00C92F6A"/>
    <w:rsid w:val="00C93163"/>
    <w:rsid w:val="00C9321E"/>
    <w:rsid w:val="00C93440"/>
    <w:rsid w:val="00C9353C"/>
    <w:rsid w:val="00C93CE5"/>
    <w:rsid w:val="00C93F86"/>
    <w:rsid w:val="00C940C2"/>
    <w:rsid w:val="00C941B9"/>
    <w:rsid w:val="00C94807"/>
    <w:rsid w:val="00C94C1A"/>
    <w:rsid w:val="00C94CA8"/>
    <w:rsid w:val="00C94D10"/>
    <w:rsid w:val="00C953A4"/>
    <w:rsid w:val="00C9541F"/>
    <w:rsid w:val="00C95469"/>
    <w:rsid w:val="00C95670"/>
    <w:rsid w:val="00C95678"/>
    <w:rsid w:val="00C95BC1"/>
    <w:rsid w:val="00C95EC5"/>
    <w:rsid w:val="00C96470"/>
    <w:rsid w:val="00C9651B"/>
    <w:rsid w:val="00C96724"/>
    <w:rsid w:val="00C96A6D"/>
    <w:rsid w:val="00C96CA4"/>
    <w:rsid w:val="00C96F0D"/>
    <w:rsid w:val="00C9700F"/>
    <w:rsid w:val="00C97365"/>
    <w:rsid w:val="00C9753F"/>
    <w:rsid w:val="00C97C29"/>
    <w:rsid w:val="00C97CEE"/>
    <w:rsid w:val="00C97DD5"/>
    <w:rsid w:val="00C9DD17"/>
    <w:rsid w:val="00CA0307"/>
    <w:rsid w:val="00CA031F"/>
    <w:rsid w:val="00CA040A"/>
    <w:rsid w:val="00CA089F"/>
    <w:rsid w:val="00CA090A"/>
    <w:rsid w:val="00CA0B03"/>
    <w:rsid w:val="00CA1071"/>
    <w:rsid w:val="00CA10BA"/>
    <w:rsid w:val="00CA13C3"/>
    <w:rsid w:val="00CA145D"/>
    <w:rsid w:val="00CA1660"/>
    <w:rsid w:val="00CA17E5"/>
    <w:rsid w:val="00CA1864"/>
    <w:rsid w:val="00CA1971"/>
    <w:rsid w:val="00CA197F"/>
    <w:rsid w:val="00CA19E0"/>
    <w:rsid w:val="00CA1BC3"/>
    <w:rsid w:val="00CA1DE3"/>
    <w:rsid w:val="00CA26EA"/>
    <w:rsid w:val="00CA2AF5"/>
    <w:rsid w:val="00CA2DBD"/>
    <w:rsid w:val="00CA2F46"/>
    <w:rsid w:val="00CA2FB2"/>
    <w:rsid w:val="00CA2FE5"/>
    <w:rsid w:val="00CA301D"/>
    <w:rsid w:val="00CA31AF"/>
    <w:rsid w:val="00CA31DE"/>
    <w:rsid w:val="00CA328C"/>
    <w:rsid w:val="00CA3586"/>
    <w:rsid w:val="00CA37DE"/>
    <w:rsid w:val="00CA3907"/>
    <w:rsid w:val="00CA3B4A"/>
    <w:rsid w:val="00CA3D3A"/>
    <w:rsid w:val="00CA3E25"/>
    <w:rsid w:val="00CA3FA6"/>
    <w:rsid w:val="00CA42D6"/>
    <w:rsid w:val="00CA43D6"/>
    <w:rsid w:val="00CA4546"/>
    <w:rsid w:val="00CA4574"/>
    <w:rsid w:val="00CA47DC"/>
    <w:rsid w:val="00CA4971"/>
    <w:rsid w:val="00CA49AA"/>
    <w:rsid w:val="00CA4C59"/>
    <w:rsid w:val="00CA4F89"/>
    <w:rsid w:val="00CA528A"/>
    <w:rsid w:val="00CA5374"/>
    <w:rsid w:val="00CA5653"/>
    <w:rsid w:val="00CA5A18"/>
    <w:rsid w:val="00CA5B2C"/>
    <w:rsid w:val="00CA5E0A"/>
    <w:rsid w:val="00CA601B"/>
    <w:rsid w:val="00CA6185"/>
    <w:rsid w:val="00CA6610"/>
    <w:rsid w:val="00CA66A2"/>
    <w:rsid w:val="00CA6C03"/>
    <w:rsid w:val="00CA6D66"/>
    <w:rsid w:val="00CA6F08"/>
    <w:rsid w:val="00CA7680"/>
    <w:rsid w:val="00CA7814"/>
    <w:rsid w:val="00CA7A6C"/>
    <w:rsid w:val="00CA7AFD"/>
    <w:rsid w:val="00CB0275"/>
    <w:rsid w:val="00CB0298"/>
    <w:rsid w:val="00CB05DF"/>
    <w:rsid w:val="00CB05EA"/>
    <w:rsid w:val="00CB0971"/>
    <w:rsid w:val="00CB09A1"/>
    <w:rsid w:val="00CB0A0A"/>
    <w:rsid w:val="00CB0ADC"/>
    <w:rsid w:val="00CB15E9"/>
    <w:rsid w:val="00CB17C9"/>
    <w:rsid w:val="00CB1987"/>
    <w:rsid w:val="00CB1C27"/>
    <w:rsid w:val="00CB1CF9"/>
    <w:rsid w:val="00CB1EE7"/>
    <w:rsid w:val="00CB216C"/>
    <w:rsid w:val="00CB2654"/>
    <w:rsid w:val="00CB2BB5"/>
    <w:rsid w:val="00CB2BD5"/>
    <w:rsid w:val="00CB2F24"/>
    <w:rsid w:val="00CB343E"/>
    <w:rsid w:val="00CB35F0"/>
    <w:rsid w:val="00CB38A6"/>
    <w:rsid w:val="00CB3A83"/>
    <w:rsid w:val="00CB4173"/>
    <w:rsid w:val="00CB4367"/>
    <w:rsid w:val="00CB495A"/>
    <w:rsid w:val="00CB4964"/>
    <w:rsid w:val="00CB4BAB"/>
    <w:rsid w:val="00CB54A3"/>
    <w:rsid w:val="00CB5AE7"/>
    <w:rsid w:val="00CB5B3E"/>
    <w:rsid w:val="00CB5C55"/>
    <w:rsid w:val="00CB624C"/>
    <w:rsid w:val="00CB64AB"/>
    <w:rsid w:val="00CB663D"/>
    <w:rsid w:val="00CB6831"/>
    <w:rsid w:val="00CB6896"/>
    <w:rsid w:val="00CB68FE"/>
    <w:rsid w:val="00CB69BE"/>
    <w:rsid w:val="00CB6D92"/>
    <w:rsid w:val="00CB6E30"/>
    <w:rsid w:val="00CB6FBD"/>
    <w:rsid w:val="00CB7358"/>
    <w:rsid w:val="00CB7482"/>
    <w:rsid w:val="00CB75C7"/>
    <w:rsid w:val="00CB776C"/>
    <w:rsid w:val="00CB7795"/>
    <w:rsid w:val="00CB78FC"/>
    <w:rsid w:val="00CB7A44"/>
    <w:rsid w:val="00CB7B0E"/>
    <w:rsid w:val="00CB7C27"/>
    <w:rsid w:val="00CB7D47"/>
    <w:rsid w:val="00CB7EE9"/>
    <w:rsid w:val="00CC01D8"/>
    <w:rsid w:val="00CC023D"/>
    <w:rsid w:val="00CC058B"/>
    <w:rsid w:val="00CC07E0"/>
    <w:rsid w:val="00CC0928"/>
    <w:rsid w:val="00CC0C39"/>
    <w:rsid w:val="00CC0F0F"/>
    <w:rsid w:val="00CC10A3"/>
    <w:rsid w:val="00CC16CF"/>
    <w:rsid w:val="00CC19FB"/>
    <w:rsid w:val="00CC1D1A"/>
    <w:rsid w:val="00CC1E01"/>
    <w:rsid w:val="00CC217B"/>
    <w:rsid w:val="00CC2277"/>
    <w:rsid w:val="00CC2302"/>
    <w:rsid w:val="00CC29FB"/>
    <w:rsid w:val="00CC2CE6"/>
    <w:rsid w:val="00CC2E2E"/>
    <w:rsid w:val="00CC2EB5"/>
    <w:rsid w:val="00CC2F5F"/>
    <w:rsid w:val="00CC3065"/>
    <w:rsid w:val="00CC3398"/>
    <w:rsid w:val="00CC3473"/>
    <w:rsid w:val="00CC378D"/>
    <w:rsid w:val="00CC3A8F"/>
    <w:rsid w:val="00CC3AE0"/>
    <w:rsid w:val="00CC3B7A"/>
    <w:rsid w:val="00CC3C62"/>
    <w:rsid w:val="00CC3D8C"/>
    <w:rsid w:val="00CC402E"/>
    <w:rsid w:val="00CC45AC"/>
    <w:rsid w:val="00CC465F"/>
    <w:rsid w:val="00CC47F2"/>
    <w:rsid w:val="00CC49D5"/>
    <w:rsid w:val="00CC50B3"/>
    <w:rsid w:val="00CC5459"/>
    <w:rsid w:val="00CC5956"/>
    <w:rsid w:val="00CC5A3E"/>
    <w:rsid w:val="00CC5DF2"/>
    <w:rsid w:val="00CC6260"/>
    <w:rsid w:val="00CC62D0"/>
    <w:rsid w:val="00CC6564"/>
    <w:rsid w:val="00CC6767"/>
    <w:rsid w:val="00CC6BA6"/>
    <w:rsid w:val="00CC70E2"/>
    <w:rsid w:val="00CC770C"/>
    <w:rsid w:val="00CC78C8"/>
    <w:rsid w:val="00CC796F"/>
    <w:rsid w:val="00CC7E4F"/>
    <w:rsid w:val="00CC7E70"/>
    <w:rsid w:val="00CD0376"/>
    <w:rsid w:val="00CD049F"/>
    <w:rsid w:val="00CD06DD"/>
    <w:rsid w:val="00CD08E0"/>
    <w:rsid w:val="00CD0B0D"/>
    <w:rsid w:val="00CD0FB3"/>
    <w:rsid w:val="00CD1058"/>
    <w:rsid w:val="00CD1322"/>
    <w:rsid w:val="00CD1404"/>
    <w:rsid w:val="00CD18AC"/>
    <w:rsid w:val="00CD19BD"/>
    <w:rsid w:val="00CD1A50"/>
    <w:rsid w:val="00CD20A8"/>
    <w:rsid w:val="00CD2240"/>
    <w:rsid w:val="00CD24CF"/>
    <w:rsid w:val="00CD25BD"/>
    <w:rsid w:val="00CD2621"/>
    <w:rsid w:val="00CD273D"/>
    <w:rsid w:val="00CD281F"/>
    <w:rsid w:val="00CD288A"/>
    <w:rsid w:val="00CD29C9"/>
    <w:rsid w:val="00CD29E9"/>
    <w:rsid w:val="00CD2B1A"/>
    <w:rsid w:val="00CD328B"/>
    <w:rsid w:val="00CD3465"/>
    <w:rsid w:val="00CD346A"/>
    <w:rsid w:val="00CD3543"/>
    <w:rsid w:val="00CD380E"/>
    <w:rsid w:val="00CD3CC4"/>
    <w:rsid w:val="00CD3D2A"/>
    <w:rsid w:val="00CD423E"/>
    <w:rsid w:val="00CD44E1"/>
    <w:rsid w:val="00CD4B71"/>
    <w:rsid w:val="00CD4D41"/>
    <w:rsid w:val="00CD4DC2"/>
    <w:rsid w:val="00CD5006"/>
    <w:rsid w:val="00CD51B8"/>
    <w:rsid w:val="00CD520E"/>
    <w:rsid w:val="00CD5442"/>
    <w:rsid w:val="00CD558F"/>
    <w:rsid w:val="00CD55D2"/>
    <w:rsid w:val="00CD58F1"/>
    <w:rsid w:val="00CD5AFD"/>
    <w:rsid w:val="00CD5F7E"/>
    <w:rsid w:val="00CD61BE"/>
    <w:rsid w:val="00CD6607"/>
    <w:rsid w:val="00CD66E3"/>
    <w:rsid w:val="00CD69C1"/>
    <w:rsid w:val="00CD69D4"/>
    <w:rsid w:val="00CD6B03"/>
    <w:rsid w:val="00CD6B63"/>
    <w:rsid w:val="00CD6B7B"/>
    <w:rsid w:val="00CD7581"/>
    <w:rsid w:val="00CD7B22"/>
    <w:rsid w:val="00CD7B8F"/>
    <w:rsid w:val="00CE0923"/>
    <w:rsid w:val="00CE0F7D"/>
    <w:rsid w:val="00CE1602"/>
    <w:rsid w:val="00CE1E02"/>
    <w:rsid w:val="00CE28E3"/>
    <w:rsid w:val="00CE2A11"/>
    <w:rsid w:val="00CE2D53"/>
    <w:rsid w:val="00CE2D6E"/>
    <w:rsid w:val="00CE2DF7"/>
    <w:rsid w:val="00CE30D6"/>
    <w:rsid w:val="00CE335E"/>
    <w:rsid w:val="00CE37CA"/>
    <w:rsid w:val="00CE390A"/>
    <w:rsid w:val="00CE3D61"/>
    <w:rsid w:val="00CE437F"/>
    <w:rsid w:val="00CE45CB"/>
    <w:rsid w:val="00CE4666"/>
    <w:rsid w:val="00CE49BD"/>
    <w:rsid w:val="00CE4ABF"/>
    <w:rsid w:val="00CE4B75"/>
    <w:rsid w:val="00CE51C2"/>
    <w:rsid w:val="00CE5356"/>
    <w:rsid w:val="00CE56A3"/>
    <w:rsid w:val="00CE5760"/>
    <w:rsid w:val="00CE5773"/>
    <w:rsid w:val="00CE5B15"/>
    <w:rsid w:val="00CE5C27"/>
    <w:rsid w:val="00CE5CC0"/>
    <w:rsid w:val="00CE6336"/>
    <w:rsid w:val="00CE640D"/>
    <w:rsid w:val="00CE6681"/>
    <w:rsid w:val="00CE6944"/>
    <w:rsid w:val="00CE69F7"/>
    <w:rsid w:val="00CE6AEA"/>
    <w:rsid w:val="00CE7042"/>
    <w:rsid w:val="00CE70B9"/>
    <w:rsid w:val="00CE71FA"/>
    <w:rsid w:val="00CE7540"/>
    <w:rsid w:val="00CE7593"/>
    <w:rsid w:val="00CE76A2"/>
    <w:rsid w:val="00CE794A"/>
    <w:rsid w:val="00CE79F1"/>
    <w:rsid w:val="00CE7A27"/>
    <w:rsid w:val="00CE7D96"/>
    <w:rsid w:val="00CE7DC9"/>
    <w:rsid w:val="00CE7F03"/>
    <w:rsid w:val="00CE7FDB"/>
    <w:rsid w:val="00CF0261"/>
    <w:rsid w:val="00CF051C"/>
    <w:rsid w:val="00CF063F"/>
    <w:rsid w:val="00CF0A8F"/>
    <w:rsid w:val="00CF0CB6"/>
    <w:rsid w:val="00CF0E26"/>
    <w:rsid w:val="00CF0F02"/>
    <w:rsid w:val="00CF0FAD"/>
    <w:rsid w:val="00CF10B9"/>
    <w:rsid w:val="00CF146C"/>
    <w:rsid w:val="00CF14D8"/>
    <w:rsid w:val="00CF1790"/>
    <w:rsid w:val="00CF1A2D"/>
    <w:rsid w:val="00CF1C3F"/>
    <w:rsid w:val="00CF21A6"/>
    <w:rsid w:val="00CF21D8"/>
    <w:rsid w:val="00CF255C"/>
    <w:rsid w:val="00CF26A2"/>
    <w:rsid w:val="00CF2770"/>
    <w:rsid w:val="00CF27EF"/>
    <w:rsid w:val="00CF2913"/>
    <w:rsid w:val="00CF293B"/>
    <w:rsid w:val="00CF2CD5"/>
    <w:rsid w:val="00CF2D08"/>
    <w:rsid w:val="00CF2D6F"/>
    <w:rsid w:val="00CF2FD2"/>
    <w:rsid w:val="00CF3041"/>
    <w:rsid w:val="00CF3157"/>
    <w:rsid w:val="00CF329C"/>
    <w:rsid w:val="00CF34A5"/>
    <w:rsid w:val="00CF34C2"/>
    <w:rsid w:val="00CF3C36"/>
    <w:rsid w:val="00CF3C68"/>
    <w:rsid w:val="00CF3E3C"/>
    <w:rsid w:val="00CF41AA"/>
    <w:rsid w:val="00CF439F"/>
    <w:rsid w:val="00CF4616"/>
    <w:rsid w:val="00CF4699"/>
    <w:rsid w:val="00CF484D"/>
    <w:rsid w:val="00CF494F"/>
    <w:rsid w:val="00CF4D2A"/>
    <w:rsid w:val="00CF542D"/>
    <w:rsid w:val="00CF593D"/>
    <w:rsid w:val="00CF5AE2"/>
    <w:rsid w:val="00CF5BEC"/>
    <w:rsid w:val="00CF5C65"/>
    <w:rsid w:val="00CF5D4C"/>
    <w:rsid w:val="00CF5E07"/>
    <w:rsid w:val="00CF5FAA"/>
    <w:rsid w:val="00CF63DB"/>
    <w:rsid w:val="00CF640F"/>
    <w:rsid w:val="00CF6464"/>
    <w:rsid w:val="00CF66C6"/>
    <w:rsid w:val="00CF6743"/>
    <w:rsid w:val="00CF6A10"/>
    <w:rsid w:val="00CF6A61"/>
    <w:rsid w:val="00CF7021"/>
    <w:rsid w:val="00CF7120"/>
    <w:rsid w:val="00CF715B"/>
    <w:rsid w:val="00CF724C"/>
    <w:rsid w:val="00CF7499"/>
    <w:rsid w:val="00CF7948"/>
    <w:rsid w:val="00CF7B80"/>
    <w:rsid w:val="00CF7BF1"/>
    <w:rsid w:val="00CF7DF8"/>
    <w:rsid w:val="00CF7E5E"/>
    <w:rsid w:val="00CF7F67"/>
    <w:rsid w:val="00CF7F8F"/>
    <w:rsid w:val="00D001B4"/>
    <w:rsid w:val="00D00283"/>
    <w:rsid w:val="00D003B7"/>
    <w:rsid w:val="00D00493"/>
    <w:rsid w:val="00D004C6"/>
    <w:rsid w:val="00D00524"/>
    <w:rsid w:val="00D00761"/>
    <w:rsid w:val="00D00BBA"/>
    <w:rsid w:val="00D00D8A"/>
    <w:rsid w:val="00D00E36"/>
    <w:rsid w:val="00D010CB"/>
    <w:rsid w:val="00D016C1"/>
    <w:rsid w:val="00D01759"/>
    <w:rsid w:val="00D01DD2"/>
    <w:rsid w:val="00D01E5F"/>
    <w:rsid w:val="00D0247C"/>
    <w:rsid w:val="00D024B5"/>
    <w:rsid w:val="00D02C13"/>
    <w:rsid w:val="00D02CD3"/>
    <w:rsid w:val="00D02E92"/>
    <w:rsid w:val="00D02F4F"/>
    <w:rsid w:val="00D02F5F"/>
    <w:rsid w:val="00D0319C"/>
    <w:rsid w:val="00D03250"/>
    <w:rsid w:val="00D03441"/>
    <w:rsid w:val="00D0372B"/>
    <w:rsid w:val="00D038C1"/>
    <w:rsid w:val="00D039E4"/>
    <w:rsid w:val="00D039EE"/>
    <w:rsid w:val="00D03CD1"/>
    <w:rsid w:val="00D03D52"/>
    <w:rsid w:val="00D03E40"/>
    <w:rsid w:val="00D03F45"/>
    <w:rsid w:val="00D03F96"/>
    <w:rsid w:val="00D0429B"/>
    <w:rsid w:val="00D0440F"/>
    <w:rsid w:val="00D04709"/>
    <w:rsid w:val="00D04CB3"/>
    <w:rsid w:val="00D04F95"/>
    <w:rsid w:val="00D05207"/>
    <w:rsid w:val="00D0533A"/>
    <w:rsid w:val="00D0597B"/>
    <w:rsid w:val="00D05CCE"/>
    <w:rsid w:val="00D05FF6"/>
    <w:rsid w:val="00D06088"/>
    <w:rsid w:val="00D066A3"/>
    <w:rsid w:val="00D0671C"/>
    <w:rsid w:val="00D06913"/>
    <w:rsid w:val="00D06960"/>
    <w:rsid w:val="00D069DC"/>
    <w:rsid w:val="00D06BD4"/>
    <w:rsid w:val="00D06C09"/>
    <w:rsid w:val="00D06DE4"/>
    <w:rsid w:val="00D06E2B"/>
    <w:rsid w:val="00D06E6F"/>
    <w:rsid w:val="00D06EC3"/>
    <w:rsid w:val="00D07234"/>
    <w:rsid w:val="00D07D8C"/>
    <w:rsid w:val="00D100D4"/>
    <w:rsid w:val="00D10100"/>
    <w:rsid w:val="00D104DE"/>
    <w:rsid w:val="00D107AE"/>
    <w:rsid w:val="00D10927"/>
    <w:rsid w:val="00D10AC4"/>
    <w:rsid w:val="00D10B28"/>
    <w:rsid w:val="00D10F89"/>
    <w:rsid w:val="00D10F8B"/>
    <w:rsid w:val="00D115D6"/>
    <w:rsid w:val="00D115E0"/>
    <w:rsid w:val="00D115FA"/>
    <w:rsid w:val="00D11814"/>
    <w:rsid w:val="00D11B1D"/>
    <w:rsid w:val="00D11B75"/>
    <w:rsid w:val="00D11E64"/>
    <w:rsid w:val="00D11F85"/>
    <w:rsid w:val="00D1206E"/>
    <w:rsid w:val="00D121C4"/>
    <w:rsid w:val="00D124CC"/>
    <w:rsid w:val="00D12509"/>
    <w:rsid w:val="00D1250E"/>
    <w:rsid w:val="00D1260B"/>
    <w:rsid w:val="00D1270D"/>
    <w:rsid w:val="00D1272A"/>
    <w:rsid w:val="00D128DB"/>
    <w:rsid w:val="00D128E2"/>
    <w:rsid w:val="00D1292A"/>
    <w:rsid w:val="00D12AA8"/>
    <w:rsid w:val="00D12FA3"/>
    <w:rsid w:val="00D137CE"/>
    <w:rsid w:val="00D139BD"/>
    <w:rsid w:val="00D13E64"/>
    <w:rsid w:val="00D14083"/>
    <w:rsid w:val="00D147DD"/>
    <w:rsid w:val="00D14925"/>
    <w:rsid w:val="00D14C05"/>
    <w:rsid w:val="00D14E59"/>
    <w:rsid w:val="00D14F02"/>
    <w:rsid w:val="00D14F8E"/>
    <w:rsid w:val="00D15376"/>
    <w:rsid w:val="00D1552B"/>
    <w:rsid w:val="00D155B1"/>
    <w:rsid w:val="00D15853"/>
    <w:rsid w:val="00D15889"/>
    <w:rsid w:val="00D159E1"/>
    <w:rsid w:val="00D15A40"/>
    <w:rsid w:val="00D15B35"/>
    <w:rsid w:val="00D15B3D"/>
    <w:rsid w:val="00D15B69"/>
    <w:rsid w:val="00D16189"/>
    <w:rsid w:val="00D16349"/>
    <w:rsid w:val="00D1635B"/>
    <w:rsid w:val="00D16479"/>
    <w:rsid w:val="00D16590"/>
    <w:rsid w:val="00D166C2"/>
    <w:rsid w:val="00D16E04"/>
    <w:rsid w:val="00D16F4C"/>
    <w:rsid w:val="00D170D8"/>
    <w:rsid w:val="00D170F3"/>
    <w:rsid w:val="00D17AE6"/>
    <w:rsid w:val="00D20031"/>
    <w:rsid w:val="00D2053B"/>
    <w:rsid w:val="00D2056D"/>
    <w:rsid w:val="00D2063A"/>
    <w:rsid w:val="00D207B2"/>
    <w:rsid w:val="00D207C5"/>
    <w:rsid w:val="00D20ADB"/>
    <w:rsid w:val="00D2117D"/>
    <w:rsid w:val="00D212A2"/>
    <w:rsid w:val="00D21720"/>
    <w:rsid w:val="00D225FF"/>
    <w:rsid w:val="00D22883"/>
    <w:rsid w:val="00D23005"/>
    <w:rsid w:val="00D232FC"/>
    <w:rsid w:val="00D237A9"/>
    <w:rsid w:val="00D23AD6"/>
    <w:rsid w:val="00D23EBA"/>
    <w:rsid w:val="00D240E4"/>
    <w:rsid w:val="00D249CA"/>
    <w:rsid w:val="00D24FE2"/>
    <w:rsid w:val="00D25381"/>
    <w:rsid w:val="00D25667"/>
    <w:rsid w:val="00D25FBE"/>
    <w:rsid w:val="00D26099"/>
    <w:rsid w:val="00D262E8"/>
    <w:rsid w:val="00D265BF"/>
    <w:rsid w:val="00D26D01"/>
    <w:rsid w:val="00D26DE4"/>
    <w:rsid w:val="00D26FA3"/>
    <w:rsid w:val="00D26FC7"/>
    <w:rsid w:val="00D274BC"/>
    <w:rsid w:val="00D27AD5"/>
    <w:rsid w:val="00D27D1F"/>
    <w:rsid w:val="00D300C9"/>
    <w:rsid w:val="00D3036E"/>
    <w:rsid w:val="00D30825"/>
    <w:rsid w:val="00D30A14"/>
    <w:rsid w:val="00D30D11"/>
    <w:rsid w:val="00D30E0C"/>
    <w:rsid w:val="00D30ED3"/>
    <w:rsid w:val="00D313B3"/>
    <w:rsid w:val="00D3167E"/>
    <w:rsid w:val="00D317C2"/>
    <w:rsid w:val="00D31ABC"/>
    <w:rsid w:val="00D31BFC"/>
    <w:rsid w:val="00D31CFD"/>
    <w:rsid w:val="00D3219C"/>
    <w:rsid w:val="00D321AA"/>
    <w:rsid w:val="00D322F9"/>
    <w:rsid w:val="00D3261D"/>
    <w:rsid w:val="00D32669"/>
    <w:rsid w:val="00D32838"/>
    <w:rsid w:val="00D328D4"/>
    <w:rsid w:val="00D3290F"/>
    <w:rsid w:val="00D3292B"/>
    <w:rsid w:val="00D32997"/>
    <w:rsid w:val="00D32EE9"/>
    <w:rsid w:val="00D32FDB"/>
    <w:rsid w:val="00D33376"/>
    <w:rsid w:val="00D334C7"/>
    <w:rsid w:val="00D33568"/>
    <w:rsid w:val="00D3362A"/>
    <w:rsid w:val="00D339D7"/>
    <w:rsid w:val="00D33F02"/>
    <w:rsid w:val="00D3400C"/>
    <w:rsid w:val="00D340C8"/>
    <w:rsid w:val="00D3413B"/>
    <w:rsid w:val="00D345EB"/>
    <w:rsid w:val="00D3460E"/>
    <w:rsid w:val="00D3470B"/>
    <w:rsid w:val="00D347F7"/>
    <w:rsid w:val="00D34A38"/>
    <w:rsid w:val="00D34AA5"/>
    <w:rsid w:val="00D34C7C"/>
    <w:rsid w:val="00D34CB7"/>
    <w:rsid w:val="00D35031"/>
    <w:rsid w:val="00D35124"/>
    <w:rsid w:val="00D3556F"/>
    <w:rsid w:val="00D35588"/>
    <w:rsid w:val="00D358F7"/>
    <w:rsid w:val="00D35A7B"/>
    <w:rsid w:val="00D35C52"/>
    <w:rsid w:val="00D35EA9"/>
    <w:rsid w:val="00D35FA3"/>
    <w:rsid w:val="00D36376"/>
    <w:rsid w:val="00D364D8"/>
    <w:rsid w:val="00D365FA"/>
    <w:rsid w:val="00D36B12"/>
    <w:rsid w:val="00D36B78"/>
    <w:rsid w:val="00D36C12"/>
    <w:rsid w:val="00D36CA5"/>
    <w:rsid w:val="00D36E67"/>
    <w:rsid w:val="00D36EE9"/>
    <w:rsid w:val="00D36F04"/>
    <w:rsid w:val="00D371B1"/>
    <w:rsid w:val="00D37616"/>
    <w:rsid w:val="00D37871"/>
    <w:rsid w:val="00D37A18"/>
    <w:rsid w:val="00D37A9B"/>
    <w:rsid w:val="00D37BD5"/>
    <w:rsid w:val="00D37C64"/>
    <w:rsid w:val="00D37CE8"/>
    <w:rsid w:val="00D37EF5"/>
    <w:rsid w:val="00D37F92"/>
    <w:rsid w:val="00D40243"/>
    <w:rsid w:val="00D40671"/>
    <w:rsid w:val="00D406BD"/>
    <w:rsid w:val="00D40F70"/>
    <w:rsid w:val="00D41131"/>
    <w:rsid w:val="00D411DE"/>
    <w:rsid w:val="00D41922"/>
    <w:rsid w:val="00D41948"/>
    <w:rsid w:val="00D419C9"/>
    <w:rsid w:val="00D41CBC"/>
    <w:rsid w:val="00D41DDC"/>
    <w:rsid w:val="00D41F81"/>
    <w:rsid w:val="00D42572"/>
    <w:rsid w:val="00D4280A"/>
    <w:rsid w:val="00D428B9"/>
    <w:rsid w:val="00D42B92"/>
    <w:rsid w:val="00D42FB6"/>
    <w:rsid w:val="00D43246"/>
    <w:rsid w:val="00D432AC"/>
    <w:rsid w:val="00D4353D"/>
    <w:rsid w:val="00D43764"/>
    <w:rsid w:val="00D43A82"/>
    <w:rsid w:val="00D43B34"/>
    <w:rsid w:val="00D43E5A"/>
    <w:rsid w:val="00D43EA1"/>
    <w:rsid w:val="00D43EA6"/>
    <w:rsid w:val="00D44199"/>
    <w:rsid w:val="00D4451A"/>
    <w:rsid w:val="00D449AD"/>
    <w:rsid w:val="00D44DFE"/>
    <w:rsid w:val="00D44E94"/>
    <w:rsid w:val="00D44F21"/>
    <w:rsid w:val="00D45750"/>
    <w:rsid w:val="00D457EA"/>
    <w:rsid w:val="00D45BDD"/>
    <w:rsid w:val="00D45C42"/>
    <w:rsid w:val="00D45C86"/>
    <w:rsid w:val="00D45F20"/>
    <w:rsid w:val="00D460F0"/>
    <w:rsid w:val="00D4627C"/>
    <w:rsid w:val="00D465A9"/>
    <w:rsid w:val="00D46721"/>
    <w:rsid w:val="00D46A62"/>
    <w:rsid w:val="00D46AF3"/>
    <w:rsid w:val="00D470C3"/>
    <w:rsid w:val="00D47113"/>
    <w:rsid w:val="00D4714D"/>
    <w:rsid w:val="00D471F1"/>
    <w:rsid w:val="00D47201"/>
    <w:rsid w:val="00D473C4"/>
    <w:rsid w:val="00D4770D"/>
    <w:rsid w:val="00D47B26"/>
    <w:rsid w:val="00D47C3F"/>
    <w:rsid w:val="00D503BB"/>
    <w:rsid w:val="00D503F3"/>
    <w:rsid w:val="00D506B8"/>
    <w:rsid w:val="00D50903"/>
    <w:rsid w:val="00D50BCA"/>
    <w:rsid w:val="00D50DB4"/>
    <w:rsid w:val="00D50DE2"/>
    <w:rsid w:val="00D50E1C"/>
    <w:rsid w:val="00D50EBD"/>
    <w:rsid w:val="00D50F4A"/>
    <w:rsid w:val="00D51413"/>
    <w:rsid w:val="00D51422"/>
    <w:rsid w:val="00D514B8"/>
    <w:rsid w:val="00D51732"/>
    <w:rsid w:val="00D51840"/>
    <w:rsid w:val="00D51B93"/>
    <w:rsid w:val="00D51D54"/>
    <w:rsid w:val="00D51ED1"/>
    <w:rsid w:val="00D52481"/>
    <w:rsid w:val="00D5256A"/>
    <w:rsid w:val="00D5270F"/>
    <w:rsid w:val="00D52752"/>
    <w:rsid w:val="00D52798"/>
    <w:rsid w:val="00D5286E"/>
    <w:rsid w:val="00D528AC"/>
    <w:rsid w:val="00D52E54"/>
    <w:rsid w:val="00D52F97"/>
    <w:rsid w:val="00D52FF5"/>
    <w:rsid w:val="00D531AE"/>
    <w:rsid w:val="00D53CCA"/>
    <w:rsid w:val="00D54046"/>
    <w:rsid w:val="00D54370"/>
    <w:rsid w:val="00D545C8"/>
    <w:rsid w:val="00D54714"/>
    <w:rsid w:val="00D54752"/>
    <w:rsid w:val="00D54B95"/>
    <w:rsid w:val="00D552AB"/>
    <w:rsid w:val="00D552EA"/>
    <w:rsid w:val="00D55477"/>
    <w:rsid w:val="00D55540"/>
    <w:rsid w:val="00D55A50"/>
    <w:rsid w:val="00D55BE0"/>
    <w:rsid w:val="00D55C17"/>
    <w:rsid w:val="00D5602A"/>
    <w:rsid w:val="00D563F3"/>
    <w:rsid w:val="00D564F6"/>
    <w:rsid w:val="00D56619"/>
    <w:rsid w:val="00D56A12"/>
    <w:rsid w:val="00D56AA6"/>
    <w:rsid w:val="00D56CAB"/>
    <w:rsid w:val="00D56D21"/>
    <w:rsid w:val="00D56DFA"/>
    <w:rsid w:val="00D56DFE"/>
    <w:rsid w:val="00D5757C"/>
    <w:rsid w:val="00D57895"/>
    <w:rsid w:val="00D57A91"/>
    <w:rsid w:val="00D57C33"/>
    <w:rsid w:val="00D57D2E"/>
    <w:rsid w:val="00D6043B"/>
    <w:rsid w:val="00D604EC"/>
    <w:rsid w:val="00D605A1"/>
    <w:rsid w:val="00D6060C"/>
    <w:rsid w:val="00D60747"/>
    <w:rsid w:val="00D60CBE"/>
    <w:rsid w:val="00D60D7E"/>
    <w:rsid w:val="00D60E22"/>
    <w:rsid w:val="00D612A8"/>
    <w:rsid w:val="00D61302"/>
    <w:rsid w:val="00D61553"/>
    <w:rsid w:val="00D61738"/>
    <w:rsid w:val="00D618F3"/>
    <w:rsid w:val="00D6195F"/>
    <w:rsid w:val="00D619B9"/>
    <w:rsid w:val="00D61D13"/>
    <w:rsid w:val="00D61EA7"/>
    <w:rsid w:val="00D61FC7"/>
    <w:rsid w:val="00D620C1"/>
    <w:rsid w:val="00D6231B"/>
    <w:rsid w:val="00D62598"/>
    <w:rsid w:val="00D62AC3"/>
    <w:rsid w:val="00D62F4D"/>
    <w:rsid w:val="00D630FC"/>
    <w:rsid w:val="00D63347"/>
    <w:rsid w:val="00D633E1"/>
    <w:rsid w:val="00D633F3"/>
    <w:rsid w:val="00D63560"/>
    <w:rsid w:val="00D63779"/>
    <w:rsid w:val="00D63B23"/>
    <w:rsid w:val="00D63E56"/>
    <w:rsid w:val="00D6413C"/>
    <w:rsid w:val="00D643A7"/>
    <w:rsid w:val="00D64665"/>
    <w:rsid w:val="00D64695"/>
    <w:rsid w:val="00D64906"/>
    <w:rsid w:val="00D64AC6"/>
    <w:rsid w:val="00D6524E"/>
    <w:rsid w:val="00D6528E"/>
    <w:rsid w:val="00D652D9"/>
    <w:rsid w:val="00D655C6"/>
    <w:rsid w:val="00D655CB"/>
    <w:rsid w:val="00D65931"/>
    <w:rsid w:val="00D65D6B"/>
    <w:rsid w:val="00D65DF3"/>
    <w:rsid w:val="00D65E1D"/>
    <w:rsid w:val="00D65E5A"/>
    <w:rsid w:val="00D65ED2"/>
    <w:rsid w:val="00D6624D"/>
    <w:rsid w:val="00D66414"/>
    <w:rsid w:val="00D66610"/>
    <w:rsid w:val="00D66784"/>
    <w:rsid w:val="00D667D3"/>
    <w:rsid w:val="00D6689E"/>
    <w:rsid w:val="00D668F2"/>
    <w:rsid w:val="00D66A7D"/>
    <w:rsid w:val="00D66ABA"/>
    <w:rsid w:val="00D66BB5"/>
    <w:rsid w:val="00D6711D"/>
    <w:rsid w:val="00D6720C"/>
    <w:rsid w:val="00D67950"/>
    <w:rsid w:val="00D67EC4"/>
    <w:rsid w:val="00D70105"/>
    <w:rsid w:val="00D70192"/>
    <w:rsid w:val="00D70322"/>
    <w:rsid w:val="00D7063B"/>
    <w:rsid w:val="00D70796"/>
    <w:rsid w:val="00D70A1F"/>
    <w:rsid w:val="00D70CD1"/>
    <w:rsid w:val="00D70DDA"/>
    <w:rsid w:val="00D70E9A"/>
    <w:rsid w:val="00D70EE5"/>
    <w:rsid w:val="00D71024"/>
    <w:rsid w:val="00D71139"/>
    <w:rsid w:val="00D7137C"/>
    <w:rsid w:val="00D714CE"/>
    <w:rsid w:val="00D716F3"/>
    <w:rsid w:val="00D716FD"/>
    <w:rsid w:val="00D72505"/>
    <w:rsid w:val="00D725DD"/>
    <w:rsid w:val="00D72945"/>
    <w:rsid w:val="00D72D38"/>
    <w:rsid w:val="00D72E96"/>
    <w:rsid w:val="00D72F69"/>
    <w:rsid w:val="00D7337E"/>
    <w:rsid w:val="00D7348F"/>
    <w:rsid w:val="00D734D0"/>
    <w:rsid w:val="00D73503"/>
    <w:rsid w:val="00D73577"/>
    <w:rsid w:val="00D738B5"/>
    <w:rsid w:val="00D73AD9"/>
    <w:rsid w:val="00D73C2C"/>
    <w:rsid w:val="00D73D60"/>
    <w:rsid w:val="00D7401C"/>
    <w:rsid w:val="00D74197"/>
    <w:rsid w:val="00D74245"/>
    <w:rsid w:val="00D74513"/>
    <w:rsid w:val="00D748A2"/>
    <w:rsid w:val="00D74EC7"/>
    <w:rsid w:val="00D75125"/>
    <w:rsid w:val="00D75537"/>
    <w:rsid w:val="00D7585A"/>
    <w:rsid w:val="00D75A4D"/>
    <w:rsid w:val="00D75AA2"/>
    <w:rsid w:val="00D760A8"/>
    <w:rsid w:val="00D76249"/>
    <w:rsid w:val="00D765D9"/>
    <w:rsid w:val="00D76A8D"/>
    <w:rsid w:val="00D76EAE"/>
    <w:rsid w:val="00D76F1F"/>
    <w:rsid w:val="00D76F4D"/>
    <w:rsid w:val="00D771BF"/>
    <w:rsid w:val="00D772A3"/>
    <w:rsid w:val="00D773E9"/>
    <w:rsid w:val="00D77468"/>
    <w:rsid w:val="00D7793E"/>
    <w:rsid w:val="00D77B20"/>
    <w:rsid w:val="00D77BD1"/>
    <w:rsid w:val="00D77BE6"/>
    <w:rsid w:val="00D77C62"/>
    <w:rsid w:val="00D80539"/>
    <w:rsid w:val="00D805A0"/>
    <w:rsid w:val="00D807A3"/>
    <w:rsid w:val="00D8092A"/>
    <w:rsid w:val="00D80A94"/>
    <w:rsid w:val="00D80C29"/>
    <w:rsid w:val="00D80D59"/>
    <w:rsid w:val="00D80DED"/>
    <w:rsid w:val="00D80E4B"/>
    <w:rsid w:val="00D80F1B"/>
    <w:rsid w:val="00D80F76"/>
    <w:rsid w:val="00D8129D"/>
    <w:rsid w:val="00D81424"/>
    <w:rsid w:val="00D81845"/>
    <w:rsid w:val="00D81ADE"/>
    <w:rsid w:val="00D81C00"/>
    <w:rsid w:val="00D81E96"/>
    <w:rsid w:val="00D81EBB"/>
    <w:rsid w:val="00D82386"/>
    <w:rsid w:val="00D824B5"/>
    <w:rsid w:val="00D82605"/>
    <w:rsid w:val="00D82836"/>
    <w:rsid w:val="00D82885"/>
    <w:rsid w:val="00D82B20"/>
    <w:rsid w:val="00D8316D"/>
    <w:rsid w:val="00D83530"/>
    <w:rsid w:val="00D8398F"/>
    <w:rsid w:val="00D83B51"/>
    <w:rsid w:val="00D83BB5"/>
    <w:rsid w:val="00D83FB8"/>
    <w:rsid w:val="00D840B3"/>
    <w:rsid w:val="00D8445C"/>
    <w:rsid w:val="00D84781"/>
    <w:rsid w:val="00D84810"/>
    <w:rsid w:val="00D84855"/>
    <w:rsid w:val="00D84A46"/>
    <w:rsid w:val="00D84B05"/>
    <w:rsid w:val="00D84B76"/>
    <w:rsid w:val="00D84C25"/>
    <w:rsid w:val="00D84D6B"/>
    <w:rsid w:val="00D84ECA"/>
    <w:rsid w:val="00D8525E"/>
    <w:rsid w:val="00D85892"/>
    <w:rsid w:val="00D85E15"/>
    <w:rsid w:val="00D85E9D"/>
    <w:rsid w:val="00D86197"/>
    <w:rsid w:val="00D865A8"/>
    <w:rsid w:val="00D86C54"/>
    <w:rsid w:val="00D86DF8"/>
    <w:rsid w:val="00D86E50"/>
    <w:rsid w:val="00D86FAF"/>
    <w:rsid w:val="00D87429"/>
    <w:rsid w:val="00D879A6"/>
    <w:rsid w:val="00D87CE5"/>
    <w:rsid w:val="00D87D0C"/>
    <w:rsid w:val="00D903C9"/>
    <w:rsid w:val="00D9041B"/>
    <w:rsid w:val="00D9052B"/>
    <w:rsid w:val="00D905D7"/>
    <w:rsid w:val="00D90888"/>
    <w:rsid w:val="00D90C4D"/>
    <w:rsid w:val="00D90CB4"/>
    <w:rsid w:val="00D90DA0"/>
    <w:rsid w:val="00D90DBB"/>
    <w:rsid w:val="00D911DB"/>
    <w:rsid w:val="00D91299"/>
    <w:rsid w:val="00D912C3"/>
    <w:rsid w:val="00D91343"/>
    <w:rsid w:val="00D9141D"/>
    <w:rsid w:val="00D916FF"/>
    <w:rsid w:val="00D9179A"/>
    <w:rsid w:val="00D91A95"/>
    <w:rsid w:val="00D91C59"/>
    <w:rsid w:val="00D91C7A"/>
    <w:rsid w:val="00D91D85"/>
    <w:rsid w:val="00D91DA2"/>
    <w:rsid w:val="00D91F48"/>
    <w:rsid w:val="00D920E2"/>
    <w:rsid w:val="00D922A5"/>
    <w:rsid w:val="00D92716"/>
    <w:rsid w:val="00D92B5C"/>
    <w:rsid w:val="00D932E9"/>
    <w:rsid w:val="00D9332D"/>
    <w:rsid w:val="00D934A2"/>
    <w:rsid w:val="00D93F4E"/>
    <w:rsid w:val="00D94434"/>
    <w:rsid w:val="00D946C9"/>
    <w:rsid w:val="00D94C64"/>
    <w:rsid w:val="00D94CF3"/>
    <w:rsid w:val="00D9547E"/>
    <w:rsid w:val="00D95707"/>
    <w:rsid w:val="00D9574D"/>
    <w:rsid w:val="00D95821"/>
    <w:rsid w:val="00D9587A"/>
    <w:rsid w:val="00D95A15"/>
    <w:rsid w:val="00D95BA0"/>
    <w:rsid w:val="00D95CA1"/>
    <w:rsid w:val="00D95CA3"/>
    <w:rsid w:val="00D95D26"/>
    <w:rsid w:val="00D95FA8"/>
    <w:rsid w:val="00D961CE"/>
    <w:rsid w:val="00D9632E"/>
    <w:rsid w:val="00D96707"/>
    <w:rsid w:val="00D96721"/>
    <w:rsid w:val="00D967A8"/>
    <w:rsid w:val="00D967CF"/>
    <w:rsid w:val="00D9697C"/>
    <w:rsid w:val="00D96B45"/>
    <w:rsid w:val="00D96C22"/>
    <w:rsid w:val="00D96CD3"/>
    <w:rsid w:val="00D971CB"/>
    <w:rsid w:val="00D973B8"/>
    <w:rsid w:val="00D977C1"/>
    <w:rsid w:val="00D977F2"/>
    <w:rsid w:val="00D979A3"/>
    <w:rsid w:val="00D97C04"/>
    <w:rsid w:val="00DA0108"/>
    <w:rsid w:val="00DA030C"/>
    <w:rsid w:val="00DA058E"/>
    <w:rsid w:val="00DA0A7D"/>
    <w:rsid w:val="00DA0AD5"/>
    <w:rsid w:val="00DA1120"/>
    <w:rsid w:val="00DA14E1"/>
    <w:rsid w:val="00DA1684"/>
    <w:rsid w:val="00DA16EA"/>
    <w:rsid w:val="00DA172B"/>
    <w:rsid w:val="00DA196A"/>
    <w:rsid w:val="00DA197C"/>
    <w:rsid w:val="00DA1AED"/>
    <w:rsid w:val="00DA1B3E"/>
    <w:rsid w:val="00DA1C57"/>
    <w:rsid w:val="00DA1DEE"/>
    <w:rsid w:val="00DA1E77"/>
    <w:rsid w:val="00DA23C1"/>
    <w:rsid w:val="00DA2911"/>
    <w:rsid w:val="00DA3071"/>
    <w:rsid w:val="00DA311B"/>
    <w:rsid w:val="00DA3269"/>
    <w:rsid w:val="00DA3AFA"/>
    <w:rsid w:val="00DA3E59"/>
    <w:rsid w:val="00DA401D"/>
    <w:rsid w:val="00DA40BA"/>
    <w:rsid w:val="00DA40DA"/>
    <w:rsid w:val="00DA42C9"/>
    <w:rsid w:val="00DA4795"/>
    <w:rsid w:val="00DA48AE"/>
    <w:rsid w:val="00DA4993"/>
    <w:rsid w:val="00DA4B0A"/>
    <w:rsid w:val="00DA4D03"/>
    <w:rsid w:val="00DA4D34"/>
    <w:rsid w:val="00DA4D41"/>
    <w:rsid w:val="00DA512C"/>
    <w:rsid w:val="00DA5532"/>
    <w:rsid w:val="00DA5867"/>
    <w:rsid w:val="00DA5D1B"/>
    <w:rsid w:val="00DA5E84"/>
    <w:rsid w:val="00DA5F94"/>
    <w:rsid w:val="00DA61E4"/>
    <w:rsid w:val="00DA6765"/>
    <w:rsid w:val="00DA68F5"/>
    <w:rsid w:val="00DA6E6D"/>
    <w:rsid w:val="00DA70B7"/>
    <w:rsid w:val="00DA745F"/>
    <w:rsid w:val="00DA74A0"/>
    <w:rsid w:val="00DA755A"/>
    <w:rsid w:val="00DA7B04"/>
    <w:rsid w:val="00DA7EEF"/>
    <w:rsid w:val="00DB003C"/>
    <w:rsid w:val="00DB02C6"/>
    <w:rsid w:val="00DB0525"/>
    <w:rsid w:val="00DB0D19"/>
    <w:rsid w:val="00DB0DAF"/>
    <w:rsid w:val="00DB0FBB"/>
    <w:rsid w:val="00DB132D"/>
    <w:rsid w:val="00DB15FE"/>
    <w:rsid w:val="00DB16D9"/>
    <w:rsid w:val="00DB17CC"/>
    <w:rsid w:val="00DB1C31"/>
    <w:rsid w:val="00DB1C9D"/>
    <w:rsid w:val="00DB1E91"/>
    <w:rsid w:val="00DB2070"/>
    <w:rsid w:val="00DB21AE"/>
    <w:rsid w:val="00DB2544"/>
    <w:rsid w:val="00DB28A1"/>
    <w:rsid w:val="00DB31AE"/>
    <w:rsid w:val="00DB3480"/>
    <w:rsid w:val="00DB36A3"/>
    <w:rsid w:val="00DB373F"/>
    <w:rsid w:val="00DB3867"/>
    <w:rsid w:val="00DB387F"/>
    <w:rsid w:val="00DB38AA"/>
    <w:rsid w:val="00DB39DB"/>
    <w:rsid w:val="00DB3B92"/>
    <w:rsid w:val="00DB3BE1"/>
    <w:rsid w:val="00DB3D7C"/>
    <w:rsid w:val="00DB4243"/>
    <w:rsid w:val="00DB42F6"/>
    <w:rsid w:val="00DB4410"/>
    <w:rsid w:val="00DB44C1"/>
    <w:rsid w:val="00DB4769"/>
    <w:rsid w:val="00DB5117"/>
    <w:rsid w:val="00DB52B5"/>
    <w:rsid w:val="00DB5634"/>
    <w:rsid w:val="00DB5728"/>
    <w:rsid w:val="00DB5ECB"/>
    <w:rsid w:val="00DB6031"/>
    <w:rsid w:val="00DB6074"/>
    <w:rsid w:val="00DB61C2"/>
    <w:rsid w:val="00DB65CB"/>
    <w:rsid w:val="00DB664A"/>
    <w:rsid w:val="00DB6A1E"/>
    <w:rsid w:val="00DB6C69"/>
    <w:rsid w:val="00DB73E5"/>
    <w:rsid w:val="00DB7463"/>
    <w:rsid w:val="00DB76D4"/>
    <w:rsid w:val="00DB76F0"/>
    <w:rsid w:val="00DB781B"/>
    <w:rsid w:val="00DB789F"/>
    <w:rsid w:val="00DB799E"/>
    <w:rsid w:val="00DB7ED8"/>
    <w:rsid w:val="00DB7F01"/>
    <w:rsid w:val="00DC0381"/>
    <w:rsid w:val="00DC06D0"/>
    <w:rsid w:val="00DC0CA9"/>
    <w:rsid w:val="00DC0F0C"/>
    <w:rsid w:val="00DC10B2"/>
    <w:rsid w:val="00DC10DF"/>
    <w:rsid w:val="00DC14AF"/>
    <w:rsid w:val="00DC15FD"/>
    <w:rsid w:val="00DC1720"/>
    <w:rsid w:val="00DC1873"/>
    <w:rsid w:val="00DC18D7"/>
    <w:rsid w:val="00DC2172"/>
    <w:rsid w:val="00DC2288"/>
    <w:rsid w:val="00DC24C4"/>
    <w:rsid w:val="00DC2554"/>
    <w:rsid w:val="00DC2BB0"/>
    <w:rsid w:val="00DC2EF4"/>
    <w:rsid w:val="00DC33E2"/>
    <w:rsid w:val="00DC3473"/>
    <w:rsid w:val="00DC3633"/>
    <w:rsid w:val="00DC3AB7"/>
    <w:rsid w:val="00DC4108"/>
    <w:rsid w:val="00DC4503"/>
    <w:rsid w:val="00DC47D1"/>
    <w:rsid w:val="00DC49F3"/>
    <w:rsid w:val="00DC4B3F"/>
    <w:rsid w:val="00DC4D5E"/>
    <w:rsid w:val="00DC4E48"/>
    <w:rsid w:val="00DC4EC7"/>
    <w:rsid w:val="00DC4F64"/>
    <w:rsid w:val="00DC50C5"/>
    <w:rsid w:val="00DC5316"/>
    <w:rsid w:val="00DC5806"/>
    <w:rsid w:val="00DC588E"/>
    <w:rsid w:val="00DC5AC3"/>
    <w:rsid w:val="00DC5DBD"/>
    <w:rsid w:val="00DC6226"/>
    <w:rsid w:val="00DC63B8"/>
    <w:rsid w:val="00DC64A7"/>
    <w:rsid w:val="00DC65AA"/>
    <w:rsid w:val="00DC68D6"/>
    <w:rsid w:val="00DC6972"/>
    <w:rsid w:val="00DC6BAC"/>
    <w:rsid w:val="00DC6DF4"/>
    <w:rsid w:val="00DC6FDD"/>
    <w:rsid w:val="00DC70AF"/>
    <w:rsid w:val="00DC73D1"/>
    <w:rsid w:val="00DC788D"/>
    <w:rsid w:val="00DC78B9"/>
    <w:rsid w:val="00DC792B"/>
    <w:rsid w:val="00DC7C5F"/>
    <w:rsid w:val="00DC7D52"/>
    <w:rsid w:val="00DC7E81"/>
    <w:rsid w:val="00DD0953"/>
    <w:rsid w:val="00DD0D68"/>
    <w:rsid w:val="00DD0E3C"/>
    <w:rsid w:val="00DD1136"/>
    <w:rsid w:val="00DD11D4"/>
    <w:rsid w:val="00DD1A95"/>
    <w:rsid w:val="00DD1D4A"/>
    <w:rsid w:val="00DD226A"/>
    <w:rsid w:val="00DD23BA"/>
    <w:rsid w:val="00DD2633"/>
    <w:rsid w:val="00DD26B9"/>
    <w:rsid w:val="00DD2C12"/>
    <w:rsid w:val="00DD2C81"/>
    <w:rsid w:val="00DD2E83"/>
    <w:rsid w:val="00DD30C7"/>
    <w:rsid w:val="00DD32C0"/>
    <w:rsid w:val="00DD365D"/>
    <w:rsid w:val="00DD38CC"/>
    <w:rsid w:val="00DD38EF"/>
    <w:rsid w:val="00DD3C91"/>
    <w:rsid w:val="00DD40C1"/>
    <w:rsid w:val="00DD4393"/>
    <w:rsid w:val="00DD4437"/>
    <w:rsid w:val="00DD4978"/>
    <w:rsid w:val="00DD4E10"/>
    <w:rsid w:val="00DD54B7"/>
    <w:rsid w:val="00DD54CC"/>
    <w:rsid w:val="00DD554E"/>
    <w:rsid w:val="00DD5B6E"/>
    <w:rsid w:val="00DD5C0D"/>
    <w:rsid w:val="00DD5C7B"/>
    <w:rsid w:val="00DD5CE9"/>
    <w:rsid w:val="00DD6533"/>
    <w:rsid w:val="00DD6ADD"/>
    <w:rsid w:val="00DD717D"/>
    <w:rsid w:val="00DD720D"/>
    <w:rsid w:val="00DD767D"/>
    <w:rsid w:val="00DD77F0"/>
    <w:rsid w:val="00DD79CB"/>
    <w:rsid w:val="00DD7D83"/>
    <w:rsid w:val="00DE025B"/>
    <w:rsid w:val="00DE0A49"/>
    <w:rsid w:val="00DE10C8"/>
    <w:rsid w:val="00DE13AE"/>
    <w:rsid w:val="00DE1483"/>
    <w:rsid w:val="00DE14BA"/>
    <w:rsid w:val="00DE1502"/>
    <w:rsid w:val="00DE1C22"/>
    <w:rsid w:val="00DE1CB0"/>
    <w:rsid w:val="00DE1E80"/>
    <w:rsid w:val="00DE205E"/>
    <w:rsid w:val="00DE20D7"/>
    <w:rsid w:val="00DE21E3"/>
    <w:rsid w:val="00DE2496"/>
    <w:rsid w:val="00DE270A"/>
    <w:rsid w:val="00DE2753"/>
    <w:rsid w:val="00DE2954"/>
    <w:rsid w:val="00DE34AC"/>
    <w:rsid w:val="00DE3563"/>
    <w:rsid w:val="00DE35FF"/>
    <w:rsid w:val="00DE3A20"/>
    <w:rsid w:val="00DE3C48"/>
    <w:rsid w:val="00DE3E13"/>
    <w:rsid w:val="00DE3F1B"/>
    <w:rsid w:val="00DE478A"/>
    <w:rsid w:val="00DE4956"/>
    <w:rsid w:val="00DE4A43"/>
    <w:rsid w:val="00DE4F7A"/>
    <w:rsid w:val="00DE52FF"/>
    <w:rsid w:val="00DE5C47"/>
    <w:rsid w:val="00DE5CB8"/>
    <w:rsid w:val="00DE5D8E"/>
    <w:rsid w:val="00DE6051"/>
    <w:rsid w:val="00DE6561"/>
    <w:rsid w:val="00DE687A"/>
    <w:rsid w:val="00DE6883"/>
    <w:rsid w:val="00DE6CDD"/>
    <w:rsid w:val="00DE7099"/>
    <w:rsid w:val="00DE744B"/>
    <w:rsid w:val="00DE74CA"/>
    <w:rsid w:val="00DE74E7"/>
    <w:rsid w:val="00DE778A"/>
    <w:rsid w:val="00DE7C84"/>
    <w:rsid w:val="00DE7E2B"/>
    <w:rsid w:val="00DF0281"/>
    <w:rsid w:val="00DF02A2"/>
    <w:rsid w:val="00DF0CCA"/>
    <w:rsid w:val="00DF0FAA"/>
    <w:rsid w:val="00DF1093"/>
    <w:rsid w:val="00DF1103"/>
    <w:rsid w:val="00DF175D"/>
    <w:rsid w:val="00DF18E7"/>
    <w:rsid w:val="00DF1905"/>
    <w:rsid w:val="00DF19CD"/>
    <w:rsid w:val="00DF2958"/>
    <w:rsid w:val="00DF2B1B"/>
    <w:rsid w:val="00DF32B5"/>
    <w:rsid w:val="00DF341B"/>
    <w:rsid w:val="00DF36B1"/>
    <w:rsid w:val="00DF39E9"/>
    <w:rsid w:val="00DF3B0C"/>
    <w:rsid w:val="00DF3E5F"/>
    <w:rsid w:val="00DF3F4A"/>
    <w:rsid w:val="00DF412C"/>
    <w:rsid w:val="00DF41C5"/>
    <w:rsid w:val="00DF4245"/>
    <w:rsid w:val="00DF431B"/>
    <w:rsid w:val="00DF475A"/>
    <w:rsid w:val="00DF4776"/>
    <w:rsid w:val="00DF47BC"/>
    <w:rsid w:val="00DF494A"/>
    <w:rsid w:val="00DF4F0D"/>
    <w:rsid w:val="00DF4F40"/>
    <w:rsid w:val="00DF5331"/>
    <w:rsid w:val="00DF58C5"/>
    <w:rsid w:val="00DF5F10"/>
    <w:rsid w:val="00DF5F32"/>
    <w:rsid w:val="00DF6045"/>
    <w:rsid w:val="00DF62BA"/>
    <w:rsid w:val="00DF64F3"/>
    <w:rsid w:val="00DF65AD"/>
    <w:rsid w:val="00DF66E1"/>
    <w:rsid w:val="00DF69B3"/>
    <w:rsid w:val="00DF6A05"/>
    <w:rsid w:val="00DF6D45"/>
    <w:rsid w:val="00DF6D8D"/>
    <w:rsid w:val="00DF70E1"/>
    <w:rsid w:val="00DF71CB"/>
    <w:rsid w:val="00DF7310"/>
    <w:rsid w:val="00DF73CD"/>
    <w:rsid w:val="00DF74D9"/>
    <w:rsid w:val="00DF74DB"/>
    <w:rsid w:val="00DF7AE4"/>
    <w:rsid w:val="00DF7CA3"/>
    <w:rsid w:val="00DFEEE5"/>
    <w:rsid w:val="00E000E0"/>
    <w:rsid w:val="00E00169"/>
    <w:rsid w:val="00E00430"/>
    <w:rsid w:val="00E004C5"/>
    <w:rsid w:val="00E00B34"/>
    <w:rsid w:val="00E00DE7"/>
    <w:rsid w:val="00E01031"/>
    <w:rsid w:val="00E010BE"/>
    <w:rsid w:val="00E013AD"/>
    <w:rsid w:val="00E0140E"/>
    <w:rsid w:val="00E015D4"/>
    <w:rsid w:val="00E01630"/>
    <w:rsid w:val="00E016CA"/>
    <w:rsid w:val="00E01D21"/>
    <w:rsid w:val="00E01E1E"/>
    <w:rsid w:val="00E01E99"/>
    <w:rsid w:val="00E023E3"/>
    <w:rsid w:val="00E02606"/>
    <w:rsid w:val="00E02768"/>
    <w:rsid w:val="00E02852"/>
    <w:rsid w:val="00E02A9A"/>
    <w:rsid w:val="00E02B3D"/>
    <w:rsid w:val="00E02BFE"/>
    <w:rsid w:val="00E02D39"/>
    <w:rsid w:val="00E030DA"/>
    <w:rsid w:val="00E033CC"/>
    <w:rsid w:val="00E0349B"/>
    <w:rsid w:val="00E034EE"/>
    <w:rsid w:val="00E0352A"/>
    <w:rsid w:val="00E0360B"/>
    <w:rsid w:val="00E036E4"/>
    <w:rsid w:val="00E03842"/>
    <w:rsid w:val="00E039BD"/>
    <w:rsid w:val="00E03A96"/>
    <w:rsid w:val="00E03CC4"/>
    <w:rsid w:val="00E04375"/>
    <w:rsid w:val="00E0437D"/>
    <w:rsid w:val="00E043BD"/>
    <w:rsid w:val="00E0458A"/>
    <w:rsid w:val="00E0462C"/>
    <w:rsid w:val="00E04768"/>
    <w:rsid w:val="00E048CB"/>
    <w:rsid w:val="00E04BDF"/>
    <w:rsid w:val="00E04CCF"/>
    <w:rsid w:val="00E04E59"/>
    <w:rsid w:val="00E050DA"/>
    <w:rsid w:val="00E05282"/>
    <w:rsid w:val="00E052C1"/>
    <w:rsid w:val="00E05815"/>
    <w:rsid w:val="00E058ED"/>
    <w:rsid w:val="00E05D56"/>
    <w:rsid w:val="00E06075"/>
    <w:rsid w:val="00E06194"/>
    <w:rsid w:val="00E06570"/>
    <w:rsid w:val="00E0657F"/>
    <w:rsid w:val="00E06AD0"/>
    <w:rsid w:val="00E0724E"/>
    <w:rsid w:val="00E072AA"/>
    <w:rsid w:val="00E072B6"/>
    <w:rsid w:val="00E0769C"/>
    <w:rsid w:val="00E07944"/>
    <w:rsid w:val="00E079B8"/>
    <w:rsid w:val="00E079FE"/>
    <w:rsid w:val="00E07B75"/>
    <w:rsid w:val="00E100E0"/>
    <w:rsid w:val="00E10228"/>
    <w:rsid w:val="00E105A9"/>
    <w:rsid w:val="00E1075E"/>
    <w:rsid w:val="00E10859"/>
    <w:rsid w:val="00E108FD"/>
    <w:rsid w:val="00E11124"/>
    <w:rsid w:val="00E11222"/>
    <w:rsid w:val="00E11383"/>
    <w:rsid w:val="00E113AE"/>
    <w:rsid w:val="00E11428"/>
    <w:rsid w:val="00E115D7"/>
    <w:rsid w:val="00E11828"/>
    <w:rsid w:val="00E11953"/>
    <w:rsid w:val="00E11BE0"/>
    <w:rsid w:val="00E12234"/>
    <w:rsid w:val="00E122F9"/>
    <w:rsid w:val="00E1230D"/>
    <w:rsid w:val="00E1232C"/>
    <w:rsid w:val="00E12399"/>
    <w:rsid w:val="00E1240F"/>
    <w:rsid w:val="00E126CE"/>
    <w:rsid w:val="00E12812"/>
    <w:rsid w:val="00E12E7B"/>
    <w:rsid w:val="00E13191"/>
    <w:rsid w:val="00E133A5"/>
    <w:rsid w:val="00E13423"/>
    <w:rsid w:val="00E139B1"/>
    <w:rsid w:val="00E13C91"/>
    <w:rsid w:val="00E13DE5"/>
    <w:rsid w:val="00E13F39"/>
    <w:rsid w:val="00E1407E"/>
    <w:rsid w:val="00E14A93"/>
    <w:rsid w:val="00E14E4E"/>
    <w:rsid w:val="00E15056"/>
    <w:rsid w:val="00E152DB"/>
    <w:rsid w:val="00E153FC"/>
    <w:rsid w:val="00E15D8A"/>
    <w:rsid w:val="00E15DB1"/>
    <w:rsid w:val="00E161D6"/>
    <w:rsid w:val="00E163B2"/>
    <w:rsid w:val="00E1661B"/>
    <w:rsid w:val="00E169AF"/>
    <w:rsid w:val="00E16A22"/>
    <w:rsid w:val="00E16B21"/>
    <w:rsid w:val="00E16CFC"/>
    <w:rsid w:val="00E16E9B"/>
    <w:rsid w:val="00E1707E"/>
    <w:rsid w:val="00E17170"/>
    <w:rsid w:val="00E174AD"/>
    <w:rsid w:val="00E1751E"/>
    <w:rsid w:val="00E17552"/>
    <w:rsid w:val="00E175AE"/>
    <w:rsid w:val="00E17B27"/>
    <w:rsid w:val="00E20717"/>
    <w:rsid w:val="00E207AA"/>
    <w:rsid w:val="00E2144F"/>
    <w:rsid w:val="00E2168B"/>
    <w:rsid w:val="00E21B03"/>
    <w:rsid w:val="00E21CF4"/>
    <w:rsid w:val="00E2211B"/>
    <w:rsid w:val="00E22168"/>
    <w:rsid w:val="00E221F5"/>
    <w:rsid w:val="00E22325"/>
    <w:rsid w:val="00E22445"/>
    <w:rsid w:val="00E22518"/>
    <w:rsid w:val="00E22A0B"/>
    <w:rsid w:val="00E22BDC"/>
    <w:rsid w:val="00E22D58"/>
    <w:rsid w:val="00E22FBE"/>
    <w:rsid w:val="00E22FF0"/>
    <w:rsid w:val="00E23068"/>
    <w:rsid w:val="00E230D9"/>
    <w:rsid w:val="00E2310E"/>
    <w:rsid w:val="00E23B80"/>
    <w:rsid w:val="00E23CA0"/>
    <w:rsid w:val="00E23E1E"/>
    <w:rsid w:val="00E23EE2"/>
    <w:rsid w:val="00E244FE"/>
    <w:rsid w:val="00E2460C"/>
    <w:rsid w:val="00E24720"/>
    <w:rsid w:val="00E24AB6"/>
    <w:rsid w:val="00E24D23"/>
    <w:rsid w:val="00E24E73"/>
    <w:rsid w:val="00E24EEF"/>
    <w:rsid w:val="00E24F40"/>
    <w:rsid w:val="00E24F5D"/>
    <w:rsid w:val="00E254B8"/>
    <w:rsid w:val="00E2552F"/>
    <w:rsid w:val="00E25F2D"/>
    <w:rsid w:val="00E25F9F"/>
    <w:rsid w:val="00E260A3"/>
    <w:rsid w:val="00E264C1"/>
    <w:rsid w:val="00E2652C"/>
    <w:rsid w:val="00E2689F"/>
    <w:rsid w:val="00E26946"/>
    <w:rsid w:val="00E269D0"/>
    <w:rsid w:val="00E26B0A"/>
    <w:rsid w:val="00E26C3A"/>
    <w:rsid w:val="00E26D15"/>
    <w:rsid w:val="00E27552"/>
    <w:rsid w:val="00E279D0"/>
    <w:rsid w:val="00E27CEE"/>
    <w:rsid w:val="00E27DDB"/>
    <w:rsid w:val="00E27DEF"/>
    <w:rsid w:val="00E301AE"/>
    <w:rsid w:val="00E3022E"/>
    <w:rsid w:val="00E3032B"/>
    <w:rsid w:val="00E304C2"/>
    <w:rsid w:val="00E30689"/>
    <w:rsid w:val="00E30916"/>
    <w:rsid w:val="00E30967"/>
    <w:rsid w:val="00E30CE9"/>
    <w:rsid w:val="00E30D46"/>
    <w:rsid w:val="00E30F16"/>
    <w:rsid w:val="00E30F20"/>
    <w:rsid w:val="00E312E7"/>
    <w:rsid w:val="00E31353"/>
    <w:rsid w:val="00E31497"/>
    <w:rsid w:val="00E3167D"/>
    <w:rsid w:val="00E31702"/>
    <w:rsid w:val="00E3180C"/>
    <w:rsid w:val="00E31903"/>
    <w:rsid w:val="00E31977"/>
    <w:rsid w:val="00E31A81"/>
    <w:rsid w:val="00E31AFA"/>
    <w:rsid w:val="00E31B75"/>
    <w:rsid w:val="00E322D6"/>
    <w:rsid w:val="00E3242E"/>
    <w:rsid w:val="00E3244F"/>
    <w:rsid w:val="00E324F4"/>
    <w:rsid w:val="00E32B58"/>
    <w:rsid w:val="00E3304D"/>
    <w:rsid w:val="00E330C9"/>
    <w:rsid w:val="00E331DC"/>
    <w:rsid w:val="00E3330E"/>
    <w:rsid w:val="00E3345B"/>
    <w:rsid w:val="00E334E4"/>
    <w:rsid w:val="00E3350E"/>
    <w:rsid w:val="00E3351F"/>
    <w:rsid w:val="00E33957"/>
    <w:rsid w:val="00E33992"/>
    <w:rsid w:val="00E33AC7"/>
    <w:rsid w:val="00E33C85"/>
    <w:rsid w:val="00E33DA9"/>
    <w:rsid w:val="00E34000"/>
    <w:rsid w:val="00E341C4"/>
    <w:rsid w:val="00E34420"/>
    <w:rsid w:val="00E34783"/>
    <w:rsid w:val="00E34AAE"/>
    <w:rsid w:val="00E34B88"/>
    <w:rsid w:val="00E34E07"/>
    <w:rsid w:val="00E3502E"/>
    <w:rsid w:val="00E3511C"/>
    <w:rsid w:val="00E3577B"/>
    <w:rsid w:val="00E359BC"/>
    <w:rsid w:val="00E35CA1"/>
    <w:rsid w:val="00E35CF2"/>
    <w:rsid w:val="00E36025"/>
    <w:rsid w:val="00E36929"/>
    <w:rsid w:val="00E36B91"/>
    <w:rsid w:val="00E36C20"/>
    <w:rsid w:val="00E37168"/>
    <w:rsid w:val="00E37358"/>
    <w:rsid w:val="00E373CF"/>
    <w:rsid w:val="00E37955"/>
    <w:rsid w:val="00E37E30"/>
    <w:rsid w:val="00E37FA1"/>
    <w:rsid w:val="00E40020"/>
    <w:rsid w:val="00E4016F"/>
    <w:rsid w:val="00E40495"/>
    <w:rsid w:val="00E40DAE"/>
    <w:rsid w:val="00E40F62"/>
    <w:rsid w:val="00E41014"/>
    <w:rsid w:val="00E41347"/>
    <w:rsid w:val="00E41387"/>
    <w:rsid w:val="00E41727"/>
    <w:rsid w:val="00E41753"/>
    <w:rsid w:val="00E41766"/>
    <w:rsid w:val="00E41971"/>
    <w:rsid w:val="00E41E0C"/>
    <w:rsid w:val="00E42260"/>
    <w:rsid w:val="00E425B1"/>
    <w:rsid w:val="00E428A0"/>
    <w:rsid w:val="00E42C3D"/>
    <w:rsid w:val="00E42CBE"/>
    <w:rsid w:val="00E42FF3"/>
    <w:rsid w:val="00E43249"/>
    <w:rsid w:val="00E435E6"/>
    <w:rsid w:val="00E436A2"/>
    <w:rsid w:val="00E43B71"/>
    <w:rsid w:val="00E43D06"/>
    <w:rsid w:val="00E43ED5"/>
    <w:rsid w:val="00E4456A"/>
    <w:rsid w:val="00E446E3"/>
    <w:rsid w:val="00E44AB8"/>
    <w:rsid w:val="00E44D36"/>
    <w:rsid w:val="00E44F19"/>
    <w:rsid w:val="00E451A9"/>
    <w:rsid w:val="00E45271"/>
    <w:rsid w:val="00E4572E"/>
    <w:rsid w:val="00E458B2"/>
    <w:rsid w:val="00E458D8"/>
    <w:rsid w:val="00E459A7"/>
    <w:rsid w:val="00E45E34"/>
    <w:rsid w:val="00E45E80"/>
    <w:rsid w:val="00E46243"/>
    <w:rsid w:val="00E46434"/>
    <w:rsid w:val="00E4680A"/>
    <w:rsid w:val="00E46A16"/>
    <w:rsid w:val="00E46AD9"/>
    <w:rsid w:val="00E46B72"/>
    <w:rsid w:val="00E46DC1"/>
    <w:rsid w:val="00E46EBE"/>
    <w:rsid w:val="00E4701E"/>
    <w:rsid w:val="00E471CC"/>
    <w:rsid w:val="00E4742A"/>
    <w:rsid w:val="00E47563"/>
    <w:rsid w:val="00E4778B"/>
    <w:rsid w:val="00E47F8B"/>
    <w:rsid w:val="00E5070B"/>
    <w:rsid w:val="00E50A67"/>
    <w:rsid w:val="00E50ABB"/>
    <w:rsid w:val="00E514C1"/>
    <w:rsid w:val="00E517E8"/>
    <w:rsid w:val="00E518A7"/>
    <w:rsid w:val="00E519C8"/>
    <w:rsid w:val="00E51A7A"/>
    <w:rsid w:val="00E51BC7"/>
    <w:rsid w:val="00E51C68"/>
    <w:rsid w:val="00E51D11"/>
    <w:rsid w:val="00E51D70"/>
    <w:rsid w:val="00E51DF1"/>
    <w:rsid w:val="00E52038"/>
    <w:rsid w:val="00E5246C"/>
    <w:rsid w:val="00E526F1"/>
    <w:rsid w:val="00E52737"/>
    <w:rsid w:val="00E529F5"/>
    <w:rsid w:val="00E52B96"/>
    <w:rsid w:val="00E52DA6"/>
    <w:rsid w:val="00E52EAC"/>
    <w:rsid w:val="00E53242"/>
    <w:rsid w:val="00E5356B"/>
    <w:rsid w:val="00E53702"/>
    <w:rsid w:val="00E53878"/>
    <w:rsid w:val="00E53AEE"/>
    <w:rsid w:val="00E53B13"/>
    <w:rsid w:val="00E53C3B"/>
    <w:rsid w:val="00E53E00"/>
    <w:rsid w:val="00E53EFF"/>
    <w:rsid w:val="00E540C8"/>
    <w:rsid w:val="00E54142"/>
    <w:rsid w:val="00E54160"/>
    <w:rsid w:val="00E5417C"/>
    <w:rsid w:val="00E54221"/>
    <w:rsid w:val="00E543BD"/>
    <w:rsid w:val="00E54482"/>
    <w:rsid w:val="00E54564"/>
    <w:rsid w:val="00E5476D"/>
    <w:rsid w:val="00E547A8"/>
    <w:rsid w:val="00E54900"/>
    <w:rsid w:val="00E553BA"/>
    <w:rsid w:val="00E55658"/>
    <w:rsid w:val="00E55672"/>
    <w:rsid w:val="00E55ADF"/>
    <w:rsid w:val="00E56059"/>
    <w:rsid w:val="00E562A4"/>
    <w:rsid w:val="00E5649F"/>
    <w:rsid w:val="00E5650A"/>
    <w:rsid w:val="00E5696E"/>
    <w:rsid w:val="00E56A74"/>
    <w:rsid w:val="00E56F2E"/>
    <w:rsid w:val="00E570DE"/>
    <w:rsid w:val="00E572BF"/>
    <w:rsid w:val="00E573D3"/>
    <w:rsid w:val="00E574A0"/>
    <w:rsid w:val="00E574EC"/>
    <w:rsid w:val="00E576DF"/>
    <w:rsid w:val="00E57E52"/>
    <w:rsid w:val="00E57F65"/>
    <w:rsid w:val="00E57F9C"/>
    <w:rsid w:val="00E60072"/>
    <w:rsid w:val="00E60870"/>
    <w:rsid w:val="00E60AED"/>
    <w:rsid w:val="00E60CEA"/>
    <w:rsid w:val="00E61212"/>
    <w:rsid w:val="00E612D4"/>
    <w:rsid w:val="00E613F9"/>
    <w:rsid w:val="00E615F9"/>
    <w:rsid w:val="00E6193C"/>
    <w:rsid w:val="00E619AA"/>
    <w:rsid w:val="00E619F5"/>
    <w:rsid w:val="00E61AF9"/>
    <w:rsid w:val="00E61EAC"/>
    <w:rsid w:val="00E61EE4"/>
    <w:rsid w:val="00E6208F"/>
    <w:rsid w:val="00E6222F"/>
    <w:rsid w:val="00E62527"/>
    <w:rsid w:val="00E62707"/>
    <w:rsid w:val="00E6277B"/>
    <w:rsid w:val="00E62952"/>
    <w:rsid w:val="00E6298E"/>
    <w:rsid w:val="00E62BC2"/>
    <w:rsid w:val="00E630A1"/>
    <w:rsid w:val="00E6357A"/>
    <w:rsid w:val="00E63585"/>
    <w:rsid w:val="00E63A38"/>
    <w:rsid w:val="00E63BEA"/>
    <w:rsid w:val="00E63DAA"/>
    <w:rsid w:val="00E640E3"/>
    <w:rsid w:val="00E648F4"/>
    <w:rsid w:val="00E64A1F"/>
    <w:rsid w:val="00E64BC0"/>
    <w:rsid w:val="00E6544D"/>
    <w:rsid w:val="00E6583B"/>
    <w:rsid w:val="00E659B3"/>
    <w:rsid w:val="00E65B70"/>
    <w:rsid w:val="00E65F1B"/>
    <w:rsid w:val="00E664B5"/>
    <w:rsid w:val="00E6675D"/>
    <w:rsid w:val="00E66969"/>
    <w:rsid w:val="00E66BD0"/>
    <w:rsid w:val="00E66D0E"/>
    <w:rsid w:val="00E675A4"/>
    <w:rsid w:val="00E675E4"/>
    <w:rsid w:val="00E67A43"/>
    <w:rsid w:val="00E7014D"/>
    <w:rsid w:val="00E704E0"/>
    <w:rsid w:val="00E7077A"/>
    <w:rsid w:val="00E70C12"/>
    <w:rsid w:val="00E71154"/>
    <w:rsid w:val="00E711F2"/>
    <w:rsid w:val="00E711F5"/>
    <w:rsid w:val="00E713A6"/>
    <w:rsid w:val="00E71439"/>
    <w:rsid w:val="00E71957"/>
    <w:rsid w:val="00E71A09"/>
    <w:rsid w:val="00E71E55"/>
    <w:rsid w:val="00E71E56"/>
    <w:rsid w:val="00E7221D"/>
    <w:rsid w:val="00E722EC"/>
    <w:rsid w:val="00E72487"/>
    <w:rsid w:val="00E72A2C"/>
    <w:rsid w:val="00E72F1B"/>
    <w:rsid w:val="00E72FC6"/>
    <w:rsid w:val="00E73098"/>
    <w:rsid w:val="00E732BD"/>
    <w:rsid w:val="00E73563"/>
    <w:rsid w:val="00E73570"/>
    <w:rsid w:val="00E73878"/>
    <w:rsid w:val="00E738C8"/>
    <w:rsid w:val="00E7395A"/>
    <w:rsid w:val="00E73C60"/>
    <w:rsid w:val="00E73DA3"/>
    <w:rsid w:val="00E74194"/>
    <w:rsid w:val="00E744BA"/>
    <w:rsid w:val="00E7461A"/>
    <w:rsid w:val="00E74A33"/>
    <w:rsid w:val="00E7512A"/>
    <w:rsid w:val="00E751C8"/>
    <w:rsid w:val="00E7550C"/>
    <w:rsid w:val="00E755B5"/>
    <w:rsid w:val="00E755D2"/>
    <w:rsid w:val="00E75886"/>
    <w:rsid w:val="00E75ABC"/>
    <w:rsid w:val="00E75B55"/>
    <w:rsid w:val="00E760EE"/>
    <w:rsid w:val="00E7615F"/>
    <w:rsid w:val="00E7617C"/>
    <w:rsid w:val="00E761E7"/>
    <w:rsid w:val="00E7626F"/>
    <w:rsid w:val="00E76653"/>
    <w:rsid w:val="00E76881"/>
    <w:rsid w:val="00E76978"/>
    <w:rsid w:val="00E76A19"/>
    <w:rsid w:val="00E76AE0"/>
    <w:rsid w:val="00E76BD4"/>
    <w:rsid w:val="00E76F3C"/>
    <w:rsid w:val="00E774FE"/>
    <w:rsid w:val="00E777C4"/>
    <w:rsid w:val="00E7780F"/>
    <w:rsid w:val="00E77865"/>
    <w:rsid w:val="00E77C6F"/>
    <w:rsid w:val="00E77D28"/>
    <w:rsid w:val="00E80114"/>
    <w:rsid w:val="00E804F7"/>
    <w:rsid w:val="00E806FD"/>
    <w:rsid w:val="00E80732"/>
    <w:rsid w:val="00E80A23"/>
    <w:rsid w:val="00E80AD1"/>
    <w:rsid w:val="00E81032"/>
    <w:rsid w:val="00E8116A"/>
    <w:rsid w:val="00E81919"/>
    <w:rsid w:val="00E81A84"/>
    <w:rsid w:val="00E81A87"/>
    <w:rsid w:val="00E81E17"/>
    <w:rsid w:val="00E82255"/>
    <w:rsid w:val="00E8239F"/>
    <w:rsid w:val="00E823E8"/>
    <w:rsid w:val="00E82420"/>
    <w:rsid w:val="00E82540"/>
    <w:rsid w:val="00E82C00"/>
    <w:rsid w:val="00E8309F"/>
    <w:rsid w:val="00E83253"/>
    <w:rsid w:val="00E83657"/>
    <w:rsid w:val="00E83948"/>
    <w:rsid w:val="00E83C42"/>
    <w:rsid w:val="00E83CF9"/>
    <w:rsid w:val="00E83D3B"/>
    <w:rsid w:val="00E841A2"/>
    <w:rsid w:val="00E84234"/>
    <w:rsid w:val="00E84800"/>
    <w:rsid w:val="00E848DD"/>
    <w:rsid w:val="00E849A5"/>
    <w:rsid w:val="00E84C5A"/>
    <w:rsid w:val="00E84FCC"/>
    <w:rsid w:val="00E853DE"/>
    <w:rsid w:val="00E85A3D"/>
    <w:rsid w:val="00E85B41"/>
    <w:rsid w:val="00E85C53"/>
    <w:rsid w:val="00E85CCC"/>
    <w:rsid w:val="00E861B2"/>
    <w:rsid w:val="00E8683F"/>
    <w:rsid w:val="00E86A81"/>
    <w:rsid w:val="00E86B8C"/>
    <w:rsid w:val="00E86D3E"/>
    <w:rsid w:val="00E86E3E"/>
    <w:rsid w:val="00E8709B"/>
    <w:rsid w:val="00E872F4"/>
    <w:rsid w:val="00E87457"/>
    <w:rsid w:val="00E87521"/>
    <w:rsid w:val="00E875E1"/>
    <w:rsid w:val="00E87F4A"/>
    <w:rsid w:val="00E9015A"/>
    <w:rsid w:val="00E90173"/>
    <w:rsid w:val="00E90AB3"/>
    <w:rsid w:val="00E90E13"/>
    <w:rsid w:val="00E9107D"/>
    <w:rsid w:val="00E910A5"/>
    <w:rsid w:val="00E91167"/>
    <w:rsid w:val="00E917C2"/>
    <w:rsid w:val="00E917DD"/>
    <w:rsid w:val="00E91A67"/>
    <w:rsid w:val="00E91ABD"/>
    <w:rsid w:val="00E91B49"/>
    <w:rsid w:val="00E91E8C"/>
    <w:rsid w:val="00E920E8"/>
    <w:rsid w:val="00E923E5"/>
    <w:rsid w:val="00E92974"/>
    <w:rsid w:val="00E92A33"/>
    <w:rsid w:val="00E92B59"/>
    <w:rsid w:val="00E92F67"/>
    <w:rsid w:val="00E92F98"/>
    <w:rsid w:val="00E9304C"/>
    <w:rsid w:val="00E9307D"/>
    <w:rsid w:val="00E93196"/>
    <w:rsid w:val="00E9331D"/>
    <w:rsid w:val="00E93399"/>
    <w:rsid w:val="00E93815"/>
    <w:rsid w:val="00E9397C"/>
    <w:rsid w:val="00E93AA9"/>
    <w:rsid w:val="00E93CCE"/>
    <w:rsid w:val="00E94086"/>
    <w:rsid w:val="00E94330"/>
    <w:rsid w:val="00E94578"/>
    <w:rsid w:val="00E94631"/>
    <w:rsid w:val="00E946D9"/>
    <w:rsid w:val="00E948D8"/>
    <w:rsid w:val="00E94F87"/>
    <w:rsid w:val="00E95020"/>
    <w:rsid w:val="00E95053"/>
    <w:rsid w:val="00E95322"/>
    <w:rsid w:val="00E95490"/>
    <w:rsid w:val="00E954C4"/>
    <w:rsid w:val="00E95929"/>
    <w:rsid w:val="00E95A51"/>
    <w:rsid w:val="00E95C12"/>
    <w:rsid w:val="00E960D5"/>
    <w:rsid w:val="00E968C1"/>
    <w:rsid w:val="00E96C6E"/>
    <w:rsid w:val="00E96F77"/>
    <w:rsid w:val="00E96FA5"/>
    <w:rsid w:val="00E96FD0"/>
    <w:rsid w:val="00E971F6"/>
    <w:rsid w:val="00E972CB"/>
    <w:rsid w:val="00E9738A"/>
    <w:rsid w:val="00E973EA"/>
    <w:rsid w:val="00E9799A"/>
    <w:rsid w:val="00E97A97"/>
    <w:rsid w:val="00E97B92"/>
    <w:rsid w:val="00E97EAD"/>
    <w:rsid w:val="00EA01AD"/>
    <w:rsid w:val="00EA028F"/>
    <w:rsid w:val="00EA066D"/>
    <w:rsid w:val="00EA0A80"/>
    <w:rsid w:val="00EA0CC7"/>
    <w:rsid w:val="00EA0E54"/>
    <w:rsid w:val="00EA0F38"/>
    <w:rsid w:val="00EA1562"/>
    <w:rsid w:val="00EA1769"/>
    <w:rsid w:val="00EA1965"/>
    <w:rsid w:val="00EA215F"/>
    <w:rsid w:val="00EA23EE"/>
    <w:rsid w:val="00EA2E3D"/>
    <w:rsid w:val="00EA2E3F"/>
    <w:rsid w:val="00EA2E60"/>
    <w:rsid w:val="00EA3186"/>
    <w:rsid w:val="00EA360A"/>
    <w:rsid w:val="00EA3671"/>
    <w:rsid w:val="00EA390C"/>
    <w:rsid w:val="00EA396E"/>
    <w:rsid w:val="00EA3AFE"/>
    <w:rsid w:val="00EA3F5B"/>
    <w:rsid w:val="00EA4506"/>
    <w:rsid w:val="00EA47A8"/>
    <w:rsid w:val="00EA488A"/>
    <w:rsid w:val="00EA4994"/>
    <w:rsid w:val="00EA4C5A"/>
    <w:rsid w:val="00EA4D76"/>
    <w:rsid w:val="00EA5115"/>
    <w:rsid w:val="00EA5243"/>
    <w:rsid w:val="00EA53B9"/>
    <w:rsid w:val="00EA561D"/>
    <w:rsid w:val="00EA5893"/>
    <w:rsid w:val="00EA596B"/>
    <w:rsid w:val="00EA5EF7"/>
    <w:rsid w:val="00EA5F87"/>
    <w:rsid w:val="00EA6135"/>
    <w:rsid w:val="00EA621B"/>
    <w:rsid w:val="00EA6EBF"/>
    <w:rsid w:val="00EA6F3A"/>
    <w:rsid w:val="00EA6FC3"/>
    <w:rsid w:val="00EA71A5"/>
    <w:rsid w:val="00EA736A"/>
    <w:rsid w:val="00EA75D2"/>
    <w:rsid w:val="00EA7F78"/>
    <w:rsid w:val="00EA7F98"/>
    <w:rsid w:val="00EB009A"/>
    <w:rsid w:val="00EB04E8"/>
    <w:rsid w:val="00EB0906"/>
    <w:rsid w:val="00EB0DEA"/>
    <w:rsid w:val="00EB0F0C"/>
    <w:rsid w:val="00EB1069"/>
    <w:rsid w:val="00EB137D"/>
    <w:rsid w:val="00EB16D9"/>
    <w:rsid w:val="00EB174D"/>
    <w:rsid w:val="00EB1879"/>
    <w:rsid w:val="00EB1AED"/>
    <w:rsid w:val="00EB1BE9"/>
    <w:rsid w:val="00EB1F63"/>
    <w:rsid w:val="00EB209D"/>
    <w:rsid w:val="00EB20EA"/>
    <w:rsid w:val="00EB2384"/>
    <w:rsid w:val="00EB27A0"/>
    <w:rsid w:val="00EB27BC"/>
    <w:rsid w:val="00EB2E01"/>
    <w:rsid w:val="00EB3578"/>
    <w:rsid w:val="00EB363A"/>
    <w:rsid w:val="00EB3729"/>
    <w:rsid w:val="00EB3C26"/>
    <w:rsid w:val="00EB3CD4"/>
    <w:rsid w:val="00EB3D86"/>
    <w:rsid w:val="00EB44BC"/>
    <w:rsid w:val="00EB48E7"/>
    <w:rsid w:val="00EB504D"/>
    <w:rsid w:val="00EB54AC"/>
    <w:rsid w:val="00EB5DF3"/>
    <w:rsid w:val="00EB5E8C"/>
    <w:rsid w:val="00EB5EBB"/>
    <w:rsid w:val="00EB5F50"/>
    <w:rsid w:val="00EB5FB4"/>
    <w:rsid w:val="00EB607E"/>
    <w:rsid w:val="00EB63DE"/>
    <w:rsid w:val="00EB6455"/>
    <w:rsid w:val="00EB645A"/>
    <w:rsid w:val="00EB683B"/>
    <w:rsid w:val="00EB6A32"/>
    <w:rsid w:val="00EB6C45"/>
    <w:rsid w:val="00EB6F56"/>
    <w:rsid w:val="00EB71E4"/>
    <w:rsid w:val="00EB7446"/>
    <w:rsid w:val="00EB74E7"/>
    <w:rsid w:val="00EC02FB"/>
    <w:rsid w:val="00EC072C"/>
    <w:rsid w:val="00EC084E"/>
    <w:rsid w:val="00EC0915"/>
    <w:rsid w:val="00EC0AB4"/>
    <w:rsid w:val="00EC0F70"/>
    <w:rsid w:val="00EC0FF4"/>
    <w:rsid w:val="00EC162C"/>
    <w:rsid w:val="00EC17C0"/>
    <w:rsid w:val="00EC2104"/>
    <w:rsid w:val="00EC24A7"/>
    <w:rsid w:val="00EC24F8"/>
    <w:rsid w:val="00EC3386"/>
    <w:rsid w:val="00EC33A0"/>
    <w:rsid w:val="00EC3443"/>
    <w:rsid w:val="00EC3625"/>
    <w:rsid w:val="00EC418A"/>
    <w:rsid w:val="00EC430F"/>
    <w:rsid w:val="00EC4537"/>
    <w:rsid w:val="00EC4589"/>
    <w:rsid w:val="00EC4836"/>
    <w:rsid w:val="00EC4A62"/>
    <w:rsid w:val="00EC4AAD"/>
    <w:rsid w:val="00EC5088"/>
    <w:rsid w:val="00EC5123"/>
    <w:rsid w:val="00EC5192"/>
    <w:rsid w:val="00EC5586"/>
    <w:rsid w:val="00EC5985"/>
    <w:rsid w:val="00EC5A5F"/>
    <w:rsid w:val="00EC5E14"/>
    <w:rsid w:val="00EC5F16"/>
    <w:rsid w:val="00EC5F2F"/>
    <w:rsid w:val="00EC607A"/>
    <w:rsid w:val="00EC6169"/>
    <w:rsid w:val="00EC6390"/>
    <w:rsid w:val="00EC6931"/>
    <w:rsid w:val="00EC69BF"/>
    <w:rsid w:val="00EC6C31"/>
    <w:rsid w:val="00EC6DD4"/>
    <w:rsid w:val="00EC71E5"/>
    <w:rsid w:val="00EC72A8"/>
    <w:rsid w:val="00EC7724"/>
    <w:rsid w:val="00EC7845"/>
    <w:rsid w:val="00EC7948"/>
    <w:rsid w:val="00EC7BD8"/>
    <w:rsid w:val="00EC7C60"/>
    <w:rsid w:val="00EC7FC6"/>
    <w:rsid w:val="00ED05E3"/>
    <w:rsid w:val="00ED12B3"/>
    <w:rsid w:val="00ED13D5"/>
    <w:rsid w:val="00ED16E7"/>
    <w:rsid w:val="00ED1BC3"/>
    <w:rsid w:val="00ED1F52"/>
    <w:rsid w:val="00ED2022"/>
    <w:rsid w:val="00ED20CC"/>
    <w:rsid w:val="00ED21F1"/>
    <w:rsid w:val="00ED2239"/>
    <w:rsid w:val="00ED2715"/>
    <w:rsid w:val="00ED29D9"/>
    <w:rsid w:val="00ED2C3C"/>
    <w:rsid w:val="00ED2E84"/>
    <w:rsid w:val="00ED3113"/>
    <w:rsid w:val="00ED31E5"/>
    <w:rsid w:val="00ED33F3"/>
    <w:rsid w:val="00ED33F4"/>
    <w:rsid w:val="00ED3836"/>
    <w:rsid w:val="00ED3A9F"/>
    <w:rsid w:val="00ED4392"/>
    <w:rsid w:val="00ED4538"/>
    <w:rsid w:val="00ED4E73"/>
    <w:rsid w:val="00ED4F66"/>
    <w:rsid w:val="00ED5168"/>
    <w:rsid w:val="00ED51E6"/>
    <w:rsid w:val="00ED57E3"/>
    <w:rsid w:val="00ED5813"/>
    <w:rsid w:val="00ED5E38"/>
    <w:rsid w:val="00ED5E83"/>
    <w:rsid w:val="00ED5F25"/>
    <w:rsid w:val="00ED6165"/>
    <w:rsid w:val="00ED623D"/>
    <w:rsid w:val="00ED6312"/>
    <w:rsid w:val="00ED663C"/>
    <w:rsid w:val="00ED66A0"/>
    <w:rsid w:val="00ED676D"/>
    <w:rsid w:val="00ED6A60"/>
    <w:rsid w:val="00ED6A6F"/>
    <w:rsid w:val="00ED6B72"/>
    <w:rsid w:val="00ED6C1A"/>
    <w:rsid w:val="00ED6C9D"/>
    <w:rsid w:val="00ED6D6B"/>
    <w:rsid w:val="00ED6E50"/>
    <w:rsid w:val="00ED6E8C"/>
    <w:rsid w:val="00ED711C"/>
    <w:rsid w:val="00ED721E"/>
    <w:rsid w:val="00ED722B"/>
    <w:rsid w:val="00ED7350"/>
    <w:rsid w:val="00ED7385"/>
    <w:rsid w:val="00ED7717"/>
    <w:rsid w:val="00ED7CF4"/>
    <w:rsid w:val="00ED7D37"/>
    <w:rsid w:val="00ED7DE1"/>
    <w:rsid w:val="00EE01AC"/>
    <w:rsid w:val="00EE0644"/>
    <w:rsid w:val="00EE0710"/>
    <w:rsid w:val="00EE07B1"/>
    <w:rsid w:val="00EE09BD"/>
    <w:rsid w:val="00EE0C29"/>
    <w:rsid w:val="00EE0DE2"/>
    <w:rsid w:val="00EE0E25"/>
    <w:rsid w:val="00EE105C"/>
    <w:rsid w:val="00EE116F"/>
    <w:rsid w:val="00EE1D28"/>
    <w:rsid w:val="00EE1D89"/>
    <w:rsid w:val="00EE1E8E"/>
    <w:rsid w:val="00EE1F53"/>
    <w:rsid w:val="00EE2185"/>
    <w:rsid w:val="00EE21FB"/>
    <w:rsid w:val="00EE2329"/>
    <w:rsid w:val="00EE304C"/>
    <w:rsid w:val="00EE30FF"/>
    <w:rsid w:val="00EE38DC"/>
    <w:rsid w:val="00EE3929"/>
    <w:rsid w:val="00EE3AAD"/>
    <w:rsid w:val="00EE3BA2"/>
    <w:rsid w:val="00EE3D84"/>
    <w:rsid w:val="00EE3F4A"/>
    <w:rsid w:val="00EE41C3"/>
    <w:rsid w:val="00EE433F"/>
    <w:rsid w:val="00EE4376"/>
    <w:rsid w:val="00EE4490"/>
    <w:rsid w:val="00EE4646"/>
    <w:rsid w:val="00EE4738"/>
    <w:rsid w:val="00EE48F6"/>
    <w:rsid w:val="00EE4927"/>
    <w:rsid w:val="00EE4B62"/>
    <w:rsid w:val="00EE4EEF"/>
    <w:rsid w:val="00EE5159"/>
    <w:rsid w:val="00EE54B5"/>
    <w:rsid w:val="00EE5649"/>
    <w:rsid w:val="00EE568D"/>
    <w:rsid w:val="00EE585D"/>
    <w:rsid w:val="00EE5DBA"/>
    <w:rsid w:val="00EE647D"/>
    <w:rsid w:val="00EE665E"/>
    <w:rsid w:val="00EE66F5"/>
    <w:rsid w:val="00EE6832"/>
    <w:rsid w:val="00EE68BA"/>
    <w:rsid w:val="00EE6A1D"/>
    <w:rsid w:val="00EE6EAC"/>
    <w:rsid w:val="00EE7012"/>
    <w:rsid w:val="00EE718C"/>
    <w:rsid w:val="00EE75E8"/>
    <w:rsid w:val="00EE76DE"/>
    <w:rsid w:val="00EF05FE"/>
    <w:rsid w:val="00EF0CBA"/>
    <w:rsid w:val="00EF0D26"/>
    <w:rsid w:val="00EF0DBE"/>
    <w:rsid w:val="00EF0DC7"/>
    <w:rsid w:val="00EF0E3F"/>
    <w:rsid w:val="00EF0E48"/>
    <w:rsid w:val="00EF1157"/>
    <w:rsid w:val="00EF115D"/>
    <w:rsid w:val="00EF1185"/>
    <w:rsid w:val="00EF12F8"/>
    <w:rsid w:val="00EF1755"/>
    <w:rsid w:val="00EF1843"/>
    <w:rsid w:val="00EF1A5F"/>
    <w:rsid w:val="00EF1E29"/>
    <w:rsid w:val="00EF1F0D"/>
    <w:rsid w:val="00EF2425"/>
    <w:rsid w:val="00EF2574"/>
    <w:rsid w:val="00EF26E8"/>
    <w:rsid w:val="00EF2901"/>
    <w:rsid w:val="00EF2A05"/>
    <w:rsid w:val="00EF2A26"/>
    <w:rsid w:val="00EF2BC2"/>
    <w:rsid w:val="00EF2CBB"/>
    <w:rsid w:val="00EF2DB5"/>
    <w:rsid w:val="00EF2F07"/>
    <w:rsid w:val="00EF2FE2"/>
    <w:rsid w:val="00EF3110"/>
    <w:rsid w:val="00EF333F"/>
    <w:rsid w:val="00EF36FD"/>
    <w:rsid w:val="00EF3B17"/>
    <w:rsid w:val="00EF3BF0"/>
    <w:rsid w:val="00EF3D58"/>
    <w:rsid w:val="00EF3E1E"/>
    <w:rsid w:val="00EF423B"/>
    <w:rsid w:val="00EF433C"/>
    <w:rsid w:val="00EF43AC"/>
    <w:rsid w:val="00EF43DF"/>
    <w:rsid w:val="00EF4478"/>
    <w:rsid w:val="00EF4648"/>
    <w:rsid w:val="00EF4652"/>
    <w:rsid w:val="00EF480E"/>
    <w:rsid w:val="00EF48D9"/>
    <w:rsid w:val="00EF4EE9"/>
    <w:rsid w:val="00EF5428"/>
    <w:rsid w:val="00EF549E"/>
    <w:rsid w:val="00EF571B"/>
    <w:rsid w:val="00EF57AF"/>
    <w:rsid w:val="00EF5BC9"/>
    <w:rsid w:val="00EF6478"/>
    <w:rsid w:val="00EF6948"/>
    <w:rsid w:val="00EF6A87"/>
    <w:rsid w:val="00EF6AEB"/>
    <w:rsid w:val="00EF6BD4"/>
    <w:rsid w:val="00EF6CF0"/>
    <w:rsid w:val="00EF6D17"/>
    <w:rsid w:val="00EF7063"/>
    <w:rsid w:val="00EF7084"/>
    <w:rsid w:val="00EF7210"/>
    <w:rsid w:val="00EF72B5"/>
    <w:rsid w:val="00EF7521"/>
    <w:rsid w:val="00EF7644"/>
    <w:rsid w:val="00EF767D"/>
    <w:rsid w:val="00EF7BB0"/>
    <w:rsid w:val="00EF7C34"/>
    <w:rsid w:val="00F0008E"/>
    <w:rsid w:val="00F0011A"/>
    <w:rsid w:val="00F007EE"/>
    <w:rsid w:val="00F01458"/>
    <w:rsid w:val="00F01652"/>
    <w:rsid w:val="00F0168B"/>
    <w:rsid w:val="00F01828"/>
    <w:rsid w:val="00F019DC"/>
    <w:rsid w:val="00F01A3F"/>
    <w:rsid w:val="00F01EAF"/>
    <w:rsid w:val="00F02090"/>
    <w:rsid w:val="00F02369"/>
    <w:rsid w:val="00F025AF"/>
    <w:rsid w:val="00F02803"/>
    <w:rsid w:val="00F02880"/>
    <w:rsid w:val="00F02A96"/>
    <w:rsid w:val="00F02F01"/>
    <w:rsid w:val="00F03545"/>
    <w:rsid w:val="00F0382C"/>
    <w:rsid w:val="00F03B39"/>
    <w:rsid w:val="00F03C4A"/>
    <w:rsid w:val="00F03ED5"/>
    <w:rsid w:val="00F04052"/>
    <w:rsid w:val="00F041E9"/>
    <w:rsid w:val="00F04588"/>
    <w:rsid w:val="00F04669"/>
    <w:rsid w:val="00F0485A"/>
    <w:rsid w:val="00F04BC0"/>
    <w:rsid w:val="00F04FED"/>
    <w:rsid w:val="00F051CE"/>
    <w:rsid w:val="00F0531D"/>
    <w:rsid w:val="00F05A6A"/>
    <w:rsid w:val="00F05DA8"/>
    <w:rsid w:val="00F05E0E"/>
    <w:rsid w:val="00F06673"/>
    <w:rsid w:val="00F066A2"/>
    <w:rsid w:val="00F0674B"/>
    <w:rsid w:val="00F06851"/>
    <w:rsid w:val="00F06961"/>
    <w:rsid w:val="00F06AD5"/>
    <w:rsid w:val="00F06C65"/>
    <w:rsid w:val="00F06EA4"/>
    <w:rsid w:val="00F07126"/>
    <w:rsid w:val="00F07265"/>
    <w:rsid w:val="00F07567"/>
    <w:rsid w:val="00F07997"/>
    <w:rsid w:val="00F07C92"/>
    <w:rsid w:val="00F07CE4"/>
    <w:rsid w:val="00F07D60"/>
    <w:rsid w:val="00F07E35"/>
    <w:rsid w:val="00F07F02"/>
    <w:rsid w:val="00F07F03"/>
    <w:rsid w:val="00F10164"/>
    <w:rsid w:val="00F101B8"/>
    <w:rsid w:val="00F10249"/>
    <w:rsid w:val="00F1025C"/>
    <w:rsid w:val="00F104BD"/>
    <w:rsid w:val="00F10616"/>
    <w:rsid w:val="00F1066F"/>
    <w:rsid w:val="00F11209"/>
    <w:rsid w:val="00F1134F"/>
    <w:rsid w:val="00F114EB"/>
    <w:rsid w:val="00F11595"/>
    <w:rsid w:val="00F1171C"/>
    <w:rsid w:val="00F11777"/>
    <w:rsid w:val="00F11855"/>
    <w:rsid w:val="00F11C90"/>
    <w:rsid w:val="00F11E49"/>
    <w:rsid w:val="00F11FE0"/>
    <w:rsid w:val="00F1211F"/>
    <w:rsid w:val="00F12137"/>
    <w:rsid w:val="00F12199"/>
    <w:rsid w:val="00F121C5"/>
    <w:rsid w:val="00F12402"/>
    <w:rsid w:val="00F129CB"/>
    <w:rsid w:val="00F12B72"/>
    <w:rsid w:val="00F12BDE"/>
    <w:rsid w:val="00F12CCA"/>
    <w:rsid w:val="00F130D1"/>
    <w:rsid w:val="00F135ED"/>
    <w:rsid w:val="00F139B2"/>
    <w:rsid w:val="00F13A95"/>
    <w:rsid w:val="00F13E2E"/>
    <w:rsid w:val="00F13E47"/>
    <w:rsid w:val="00F13FC8"/>
    <w:rsid w:val="00F14004"/>
    <w:rsid w:val="00F14079"/>
    <w:rsid w:val="00F1415F"/>
    <w:rsid w:val="00F14201"/>
    <w:rsid w:val="00F146A8"/>
    <w:rsid w:val="00F14965"/>
    <w:rsid w:val="00F1497E"/>
    <w:rsid w:val="00F14E16"/>
    <w:rsid w:val="00F14E53"/>
    <w:rsid w:val="00F14F36"/>
    <w:rsid w:val="00F15009"/>
    <w:rsid w:val="00F1505F"/>
    <w:rsid w:val="00F1508C"/>
    <w:rsid w:val="00F15175"/>
    <w:rsid w:val="00F1527E"/>
    <w:rsid w:val="00F152FC"/>
    <w:rsid w:val="00F15709"/>
    <w:rsid w:val="00F1578E"/>
    <w:rsid w:val="00F1583C"/>
    <w:rsid w:val="00F15CA0"/>
    <w:rsid w:val="00F15E01"/>
    <w:rsid w:val="00F160C5"/>
    <w:rsid w:val="00F16439"/>
    <w:rsid w:val="00F1663D"/>
    <w:rsid w:val="00F16941"/>
    <w:rsid w:val="00F16B62"/>
    <w:rsid w:val="00F16BD8"/>
    <w:rsid w:val="00F17419"/>
    <w:rsid w:val="00F175CC"/>
    <w:rsid w:val="00F175EA"/>
    <w:rsid w:val="00F17845"/>
    <w:rsid w:val="00F17AE1"/>
    <w:rsid w:val="00F17B2F"/>
    <w:rsid w:val="00F17FBF"/>
    <w:rsid w:val="00F2022D"/>
    <w:rsid w:val="00F2031C"/>
    <w:rsid w:val="00F204A4"/>
    <w:rsid w:val="00F20518"/>
    <w:rsid w:val="00F20598"/>
    <w:rsid w:val="00F2062A"/>
    <w:rsid w:val="00F20763"/>
    <w:rsid w:val="00F20A60"/>
    <w:rsid w:val="00F20C99"/>
    <w:rsid w:val="00F20E4E"/>
    <w:rsid w:val="00F211B2"/>
    <w:rsid w:val="00F215F2"/>
    <w:rsid w:val="00F217D8"/>
    <w:rsid w:val="00F21D5D"/>
    <w:rsid w:val="00F220BC"/>
    <w:rsid w:val="00F22101"/>
    <w:rsid w:val="00F22287"/>
    <w:rsid w:val="00F22553"/>
    <w:rsid w:val="00F227C8"/>
    <w:rsid w:val="00F227EA"/>
    <w:rsid w:val="00F2297D"/>
    <w:rsid w:val="00F22CC7"/>
    <w:rsid w:val="00F23537"/>
    <w:rsid w:val="00F23628"/>
    <w:rsid w:val="00F23A29"/>
    <w:rsid w:val="00F23C8D"/>
    <w:rsid w:val="00F23CB7"/>
    <w:rsid w:val="00F241BF"/>
    <w:rsid w:val="00F2424C"/>
    <w:rsid w:val="00F248DC"/>
    <w:rsid w:val="00F2494C"/>
    <w:rsid w:val="00F24BCF"/>
    <w:rsid w:val="00F24D33"/>
    <w:rsid w:val="00F2515E"/>
    <w:rsid w:val="00F255B6"/>
    <w:rsid w:val="00F256E6"/>
    <w:rsid w:val="00F257B5"/>
    <w:rsid w:val="00F25CC2"/>
    <w:rsid w:val="00F25EFB"/>
    <w:rsid w:val="00F26206"/>
    <w:rsid w:val="00F26433"/>
    <w:rsid w:val="00F26716"/>
    <w:rsid w:val="00F268E0"/>
    <w:rsid w:val="00F26F88"/>
    <w:rsid w:val="00F26FFB"/>
    <w:rsid w:val="00F2720E"/>
    <w:rsid w:val="00F2723B"/>
    <w:rsid w:val="00F2750A"/>
    <w:rsid w:val="00F2776D"/>
    <w:rsid w:val="00F278D3"/>
    <w:rsid w:val="00F27C36"/>
    <w:rsid w:val="00F27E05"/>
    <w:rsid w:val="00F27EBA"/>
    <w:rsid w:val="00F27EC6"/>
    <w:rsid w:val="00F300C3"/>
    <w:rsid w:val="00F30187"/>
    <w:rsid w:val="00F30464"/>
    <w:rsid w:val="00F30575"/>
    <w:rsid w:val="00F3074D"/>
    <w:rsid w:val="00F30F10"/>
    <w:rsid w:val="00F30FB2"/>
    <w:rsid w:val="00F311B8"/>
    <w:rsid w:val="00F3131D"/>
    <w:rsid w:val="00F3148D"/>
    <w:rsid w:val="00F3229F"/>
    <w:rsid w:val="00F32A7C"/>
    <w:rsid w:val="00F32B64"/>
    <w:rsid w:val="00F32C34"/>
    <w:rsid w:val="00F332CC"/>
    <w:rsid w:val="00F333B1"/>
    <w:rsid w:val="00F334F2"/>
    <w:rsid w:val="00F336E2"/>
    <w:rsid w:val="00F33BFA"/>
    <w:rsid w:val="00F341F3"/>
    <w:rsid w:val="00F3436D"/>
    <w:rsid w:val="00F34376"/>
    <w:rsid w:val="00F346E6"/>
    <w:rsid w:val="00F348F2"/>
    <w:rsid w:val="00F34CFE"/>
    <w:rsid w:val="00F36537"/>
    <w:rsid w:val="00F3659E"/>
    <w:rsid w:val="00F36665"/>
    <w:rsid w:val="00F366AB"/>
    <w:rsid w:val="00F3672C"/>
    <w:rsid w:val="00F36AF8"/>
    <w:rsid w:val="00F36F2D"/>
    <w:rsid w:val="00F371F0"/>
    <w:rsid w:val="00F3735E"/>
    <w:rsid w:val="00F374C2"/>
    <w:rsid w:val="00F37569"/>
    <w:rsid w:val="00F37897"/>
    <w:rsid w:val="00F37A3A"/>
    <w:rsid w:val="00F37E2F"/>
    <w:rsid w:val="00F40073"/>
    <w:rsid w:val="00F400A4"/>
    <w:rsid w:val="00F4070B"/>
    <w:rsid w:val="00F40864"/>
    <w:rsid w:val="00F408F6"/>
    <w:rsid w:val="00F40D94"/>
    <w:rsid w:val="00F40E61"/>
    <w:rsid w:val="00F40F3B"/>
    <w:rsid w:val="00F40F68"/>
    <w:rsid w:val="00F41255"/>
    <w:rsid w:val="00F41325"/>
    <w:rsid w:val="00F4163F"/>
    <w:rsid w:val="00F41989"/>
    <w:rsid w:val="00F41EC5"/>
    <w:rsid w:val="00F41F8C"/>
    <w:rsid w:val="00F4208E"/>
    <w:rsid w:val="00F420FE"/>
    <w:rsid w:val="00F421FA"/>
    <w:rsid w:val="00F422FD"/>
    <w:rsid w:val="00F42B18"/>
    <w:rsid w:val="00F42C27"/>
    <w:rsid w:val="00F42D9F"/>
    <w:rsid w:val="00F43035"/>
    <w:rsid w:val="00F4333B"/>
    <w:rsid w:val="00F43411"/>
    <w:rsid w:val="00F434F8"/>
    <w:rsid w:val="00F43710"/>
    <w:rsid w:val="00F43903"/>
    <w:rsid w:val="00F43EB2"/>
    <w:rsid w:val="00F442D1"/>
    <w:rsid w:val="00F443D6"/>
    <w:rsid w:val="00F4440F"/>
    <w:rsid w:val="00F4448A"/>
    <w:rsid w:val="00F44595"/>
    <w:rsid w:val="00F44739"/>
    <w:rsid w:val="00F44895"/>
    <w:rsid w:val="00F449B2"/>
    <w:rsid w:val="00F44A8F"/>
    <w:rsid w:val="00F44B0B"/>
    <w:rsid w:val="00F44BAB"/>
    <w:rsid w:val="00F45157"/>
    <w:rsid w:val="00F45276"/>
    <w:rsid w:val="00F45534"/>
    <w:rsid w:val="00F45E8D"/>
    <w:rsid w:val="00F4611D"/>
    <w:rsid w:val="00F461A7"/>
    <w:rsid w:val="00F46244"/>
    <w:rsid w:val="00F46557"/>
    <w:rsid w:val="00F46874"/>
    <w:rsid w:val="00F468D2"/>
    <w:rsid w:val="00F469B5"/>
    <w:rsid w:val="00F46E0F"/>
    <w:rsid w:val="00F46E81"/>
    <w:rsid w:val="00F47067"/>
    <w:rsid w:val="00F47204"/>
    <w:rsid w:val="00F472D3"/>
    <w:rsid w:val="00F472F6"/>
    <w:rsid w:val="00F47322"/>
    <w:rsid w:val="00F47461"/>
    <w:rsid w:val="00F47954"/>
    <w:rsid w:val="00F47B8B"/>
    <w:rsid w:val="00F47BBC"/>
    <w:rsid w:val="00F47D94"/>
    <w:rsid w:val="00F47E31"/>
    <w:rsid w:val="00F50529"/>
    <w:rsid w:val="00F50585"/>
    <w:rsid w:val="00F50765"/>
    <w:rsid w:val="00F50F08"/>
    <w:rsid w:val="00F5131C"/>
    <w:rsid w:val="00F5135D"/>
    <w:rsid w:val="00F51586"/>
    <w:rsid w:val="00F516E3"/>
    <w:rsid w:val="00F51841"/>
    <w:rsid w:val="00F5186E"/>
    <w:rsid w:val="00F51A51"/>
    <w:rsid w:val="00F51AC9"/>
    <w:rsid w:val="00F51E52"/>
    <w:rsid w:val="00F51E68"/>
    <w:rsid w:val="00F52300"/>
    <w:rsid w:val="00F525A9"/>
    <w:rsid w:val="00F52646"/>
    <w:rsid w:val="00F52B03"/>
    <w:rsid w:val="00F52D9B"/>
    <w:rsid w:val="00F5337F"/>
    <w:rsid w:val="00F537D7"/>
    <w:rsid w:val="00F53919"/>
    <w:rsid w:val="00F53DE6"/>
    <w:rsid w:val="00F54113"/>
    <w:rsid w:val="00F54706"/>
    <w:rsid w:val="00F54832"/>
    <w:rsid w:val="00F54921"/>
    <w:rsid w:val="00F54AA2"/>
    <w:rsid w:val="00F5547C"/>
    <w:rsid w:val="00F55614"/>
    <w:rsid w:val="00F55615"/>
    <w:rsid w:val="00F55931"/>
    <w:rsid w:val="00F55BB1"/>
    <w:rsid w:val="00F55F3D"/>
    <w:rsid w:val="00F561B9"/>
    <w:rsid w:val="00F56223"/>
    <w:rsid w:val="00F5628E"/>
    <w:rsid w:val="00F564F4"/>
    <w:rsid w:val="00F56517"/>
    <w:rsid w:val="00F567B3"/>
    <w:rsid w:val="00F567C1"/>
    <w:rsid w:val="00F56AFB"/>
    <w:rsid w:val="00F56C57"/>
    <w:rsid w:val="00F56D77"/>
    <w:rsid w:val="00F56F01"/>
    <w:rsid w:val="00F57311"/>
    <w:rsid w:val="00F57550"/>
    <w:rsid w:val="00F57566"/>
    <w:rsid w:val="00F575CC"/>
    <w:rsid w:val="00F57885"/>
    <w:rsid w:val="00F57BCD"/>
    <w:rsid w:val="00F57DA0"/>
    <w:rsid w:val="00F57E38"/>
    <w:rsid w:val="00F6079B"/>
    <w:rsid w:val="00F60842"/>
    <w:rsid w:val="00F60875"/>
    <w:rsid w:val="00F60DD8"/>
    <w:rsid w:val="00F61164"/>
    <w:rsid w:val="00F61751"/>
    <w:rsid w:val="00F61762"/>
    <w:rsid w:val="00F61962"/>
    <w:rsid w:val="00F61AF8"/>
    <w:rsid w:val="00F62181"/>
    <w:rsid w:val="00F621B7"/>
    <w:rsid w:val="00F6261B"/>
    <w:rsid w:val="00F62C8B"/>
    <w:rsid w:val="00F62E3E"/>
    <w:rsid w:val="00F63153"/>
    <w:rsid w:val="00F631DB"/>
    <w:rsid w:val="00F6337F"/>
    <w:rsid w:val="00F63381"/>
    <w:rsid w:val="00F633F8"/>
    <w:rsid w:val="00F63659"/>
    <w:rsid w:val="00F63C95"/>
    <w:rsid w:val="00F63D8C"/>
    <w:rsid w:val="00F63EDB"/>
    <w:rsid w:val="00F6401D"/>
    <w:rsid w:val="00F647BF"/>
    <w:rsid w:val="00F64869"/>
    <w:rsid w:val="00F64F84"/>
    <w:rsid w:val="00F65332"/>
    <w:rsid w:val="00F653A8"/>
    <w:rsid w:val="00F65703"/>
    <w:rsid w:val="00F65DAF"/>
    <w:rsid w:val="00F65DE4"/>
    <w:rsid w:val="00F65E1C"/>
    <w:rsid w:val="00F6605B"/>
    <w:rsid w:val="00F66144"/>
    <w:rsid w:val="00F6673E"/>
    <w:rsid w:val="00F66868"/>
    <w:rsid w:val="00F6713F"/>
    <w:rsid w:val="00F6721F"/>
    <w:rsid w:val="00F67257"/>
    <w:rsid w:val="00F67260"/>
    <w:rsid w:val="00F67503"/>
    <w:rsid w:val="00F678D4"/>
    <w:rsid w:val="00F6791F"/>
    <w:rsid w:val="00F67B10"/>
    <w:rsid w:val="00F70026"/>
    <w:rsid w:val="00F70352"/>
    <w:rsid w:val="00F70410"/>
    <w:rsid w:val="00F706C7"/>
    <w:rsid w:val="00F7078B"/>
    <w:rsid w:val="00F70C51"/>
    <w:rsid w:val="00F711F0"/>
    <w:rsid w:val="00F712E7"/>
    <w:rsid w:val="00F7198C"/>
    <w:rsid w:val="00F71DD3"/>
    <w:rsid w:val="00F71ED6"/>
    <w:rsid w:val="00F72305"/>
    <w:rsid w:val="00F72347"/>
    <w:rsid w:val="00F7254D"/>
    <w:rsid w:val="00F72581"/>
    <w:rsid w:val="00F7273F"/>
    <w:rsid w:val="00F727AD"/>
    <w:rsid w:val="00F72AFA"/>
    <w:rsid w:val="00F72B26"/>
    <w:rsid w:val="00F72EBE"/>
    <w:rsid w:val="00F732CD"/>
    <w:rsid w:val="00F73779"/>
    <w:rsid w:val="00F738E7"/>
    <w:rsid w:val="00F739B6"/>
    <w:rsid w:val="00F73AE9"/>
    <w:rsid w:val="00F73B7E"/>
    <w:rsid w:val="00F73CE3"/>
    <w:rsid w:val="00F73DB6"/>
    <w:rsid w:val="00F741F8"/>
    <w:rsid w:val="00F74534"/>
    <w:rsid w:val="00F7460D"/>
    <w:rsid w:val="00F747EF"/>
    <w:rsid w:val="00F74AE0"/>
    <w:rsid w:val="00F74B51"/>
    <w:rsid w:val="00F74E7B"/>
    <w:rsid w:val="00F74E99"/>
    <w:rsid w:val="00F75879"/>
    <w:rsid w:val="00F76164"/>
    <w:rsid w:val="00F76168"/>
    <w:rsid w:val="00F7676B"/>
    <w:rsid w:val="00F76789"/>
    <w:rsid w:val="00F76A3E"/>
    <w:rsid w:val="00F76D36"/>
    <w:rsid w:val="00F76D74"/>
    <w:rsid w:val="00F76F68"/>
    <w:rsid w:val="00F77024"/>
    <w:rsid w:val="00F7730D"/>
    <w:rsid w:val="00F775CD"/>
    <w:rsid w:val="00F77655"/>
    <w:rsid w:val="00F779FE"/>
    <w:rsid w:val="00F77A6F"/>
    <w:rsid w:val="00F77E80"/>
    <w:rsid w:val="00F77F15"/>
    <w:rsid w:val="00F80017"/>
    <w:rsid w:val="00F80406"/>
    <w:rsid w:val="00F807A4"/>
    <w:rsid w:val="00F807A9"/>
    <w:rsid w:val="00F80882"/>
    <w:rsid w:val="00F80B6C"/>
    <w:rsid w:val="00F80BBD"/>
    <w:rsid w:val="00F80D9F"/>
    <w:rsid w:val="00F8118D"/>
    <w:rsid w:val="00F81362"/>
    <w:rsid w:val="00F8145E"/>
    <w:rsid w:val="00F816E3"/>
    <w:rsid w:val="00F81AD1"/>
    <w:rsid w:val="00F81CE4"/>
    <w:rsid w:val="00F81F7A"/>
    <w:rsid w:val="00F82237"/>
    <w:rsid w:val="00F823F5"/>
    <w:rsid w:val="00F82588"/>
    <w:rsid w:val="00F827DC"/>
    <w:rsid w:val="00F82C1C"/>
    <w:rsid w:val="00F82D2D"/>
    <w:rsid w:val="00F82F7B"/>
    <w:rsid w:val="00F8318D"/>
    <w:rsid w:val="00F83313"/>
    <w:rsid w:val="00F834B6"/>
    <w:rsid w:val="00F835B7"/>
    <w:rsid w:val="00F835F2"/>
    <w:rsid w:val="00F83711"/>
    <w:rsid w:val="00F838F1"/>
    <w:rsid w:val="00F83AAE"/>
    <w:rsid w:val="00F83B7F"/>
    <w:rsid w:val="00F83D83"/>
    <w:rsid w:val="00F83F10"/>
    <w:rsid w:val="00F84224"/>
    <w:rsid w:val="00F844A0"/>
    <w:rsid w:val="00F845A2"/>
    <w:rsid w:val="00F849D2"/>
    <w:rsid w:val="00F84A15"/>
    <w:rsid w:val="00F84BFD"/>
    <w:rsid w:val="00F84FD0"/>
    <w:rsid w:val="00F85170"/>
    <w:rsid w:val="00F852FB"/>
    <w:rsid w:val="00F853BA"/>
    <w:rsid w:val="00F85439"/>
    <w:rsid w:val="00F854EE"/>
    <w:rsid w:val="00F85883"/>
    <w:rsid w:val="00F8597B"/>
    <w:rsid w:val="00F85D34"/>
    <w:rsid w:val="00F85D75"/>
    <w:rsid w:val="00F85DFA"/>
    <w:rsid w:val="00F85F74"/>
    <w:rsid w:val="00F86052"/>
    <w:rsid w:val="00F8635F"/>
    <w:rsid w:val="00F86479"/>
    <w:rsid w:val="00F86662"/>
    <w:rsid w:val="00F8694D"/>
    <w:rsid w:val="00F86B54"/>
    <w:rsid w:val="00F8709F"/>
    <w:rsid w:val="00F873C3"/>
    <w:rsid w:val="00F879EB"/>
    <w:rsid w:val="00F87B7C"/>
    <w:rsid w:val="00F87F9E"/>
    <w:rsid w:val="00F90156"/>
    <w:rsid w:val="00F90730"/>
    <w:rsid w:val="00F9075C"/>
    <w:rsid w:val="00F909A0"/>
    <w:rsid w:val="00F90AF5"/>
    <w:rsid w:val="00F90B50"/>
    <w:rsid w:val="00F90DEF"/>
    <w:rsid w:val="00F90E4D"/>
    <w:rsid w:val="00F910CE"/>
    <w:rsid w:val="00F9114F"/>
    <w:rsid w:val="00F91353"/>
    <w:rsid w:val="00F91598"/>
    <w:rsid w:val="00F915DE"/>
    <w:rsid w:val="00F919A5"/>
    <w:rsid w:val="00F91AB1"/>
    <w:rsid w:val="00F91CB6"/>
    <w:rsid w:val="00F91ED3"/>
    <w:rsid w:val="00F91F81"/>
    <w:rsid w:val="00F92093"/>
    <w:rsid w:val="00F9220F"/>
    <w:rsid w:val="00F9268F"/>
    <w:rsid w:val="00F926C0"/>
    <w:rsid w:val="00F92735"/>
    <w:rsid w:val="00F927CF"/>
    <w:rsid w:val="00F929C6"/>
    <w:rsid w:val="00F92A82"/>
    <w:rsid w:val="00F92CD0"/>
    <w:rsid w:val="00F92F77"/>
    <w:rsid w:val="00F931EB"/>
    <w:rsid w:val="00F93374"/>
    <w:rsid w:val="00F9342E"/>
    <w:rsid w:val="00F93431"/>
    <w:rsid w:val="00F93490"/>
    <w:rsid w:val="00F9370F"/>
    <w:rsid w:val="00F93A6C"/>
    <w:rsid w:val="00F93B84"/>
    <w:rsid w:val="00F94251"/>
    <w:rsid w:val="00F94268"/>
    <w:rsid w:val="00F942E8"/>
    <w:rsid w:val="00F943C8"/>
    <w:rsid w:val="00F94566"/>
    <w:rsid w:val="00F94584"/>
    <w:rsid w:val="00F94CCE"/>
    <w:rsid w:val="00F95030"/>
    <w:rsid w:val="00F9518F"/>
    <w:rsid w:val="00F9522B"/>
    <w:rsid w:val="00F953BC"/>
    <w:rsid w:val="00F95B04"/>
    <w:rsid w:val="00F95D03"/>
    <w:rsid w:val="00F95DF3"/>
    <w:rsid w:val="00F961A8"/>
    <w:rsid w:val="00F961C8"/>
    <w:rsid w:val="00F962D0"/>
    <w:rsid w:val="00F9646A"/>
    <w:rsid w:val="00F965C3"/>
    <w:rsid w:val="00F966DE"/>
    <w:rsid w:val="00F966F2"/>
    <w:rsid w:val="00F9684A"/>
    <w:rsid w:val="00F96B84"/>
    <w:rsid w:val="00F96BEE"/>
    <w:rsid w:val="00F96C52"/>
    <w:rsid w:val="00F96EF4"/>
    <w:rsid w:val="00F96F68"/>
    <w:rsid w:val="00F9701A"/>
    <w:rsid w:val="00F97398"/>
    <w:rsid w:val="00F97520"/>
    <w:rsid w:val="00F97A53"/>
    <w:rsid w:val="00F97AE9"/>
    <w:rsid w:val="00F97B77"/>
    <w:rsid w:val="00F97BE5"/>
    <w:rsid w:val="00F97E8B"/>
    <w:rsid w:val="00FA0131"/>
    <w:rsid w:val="00FA0194"/>
    <w:rsid w:val="00FA03AF"/>
    <w:rsid w:val="00FA03CF"/>
    <w:rsid w:val="00FA04A3"/>
    <w:rsid w:val="00FA0609"/>
    <w:rsid w:val="00FA0770"/>
    <w:rsid w:val="00FA0825"/>
    <w:rsid w:val="00FA08AD"/>
    <w:rsid w:val="00FA0CB6"/>
    <w:rsid w:val="00FA0D35"/>
    <w:rsid w:val="00FA1007"/>
    <w:rsid w:val="00FA1470"/>
    <w:rsid w:val="00FA155A"/>
    <w:rsid w:val="00FA161C"/>
    <w:rsid w:val="00FA1787"/>
    <w:rsid w:val="00FA1D02"/>
    <w:rsid w:val="00FA1DAB"/>
    <w:rsid w:val="00FA1F66"/>
    <w:rsid w:val="00FA1F95"/>
    <w:rsid w:val="00FA2108"/>
    <w:rsid w:val="00FA2356"/>
    <w:rsid w:val="00FA2752"/>
    <w:rsid w:val="00FA2929"/>
    <w:rsid w:val="00FA2A0E"/>
    <w:rsid w:val="00FA2BD6"/>
    <w:rsid w:val="00FA2F27"/>
    <w:rsid w:val="00FA2F6C"/>
    <w:rsid w:val="00FA3260"/>
    <w:rsid w:val="00FA35D8"/>
    <w:rsid w:val="00FA363D"/>
    <w:rsid w:val="00FA36D3"/>
    <w:rsid w:val="00FA374C"/>
    <w:rsid w:val="00FA396E"/>
    <w:rsid w:val="00FA3BD1"/>
    <w:rsid w:val="00FA3DF3"/>
    <w:rsid w:val="00FA3E7D"/>
    <w:rsid w:val="00FA40DE"/>
    <w:rsid w:val="00FA4150"/>
    <w:rsid w:val="00FA4452"/>
    <w:rsid w:val="00FA46CD"/>
    <w:rsid w:val="00FA4D44"/>
    <w:rsid w:val="00FA4E26"/>
    <w:rsid w:val="00FA5292"/>
    <w:rsid w:val="00FA52FB"/>
    <w:rsid w:val="00FA5574"/>
    <w:rsid w:val="00FA566A"/>
    <w:rsid w:val="00FA5766"/>
    <w:rsid w:val="00FA5B94"/>
    <w:rsid w:val="00FA5C3A"/>
    <w:rsid w:val="00FA5CE9"/>
    <w:rsid w:val="00FA5EF1"/>
    <w:rsid w:val="00FA6103"/>
    <w:rsid w:val="00FA63C8"/>
    <w:rsid w:val="00FA64BD"/>
    <w:rsid w:val="00FA67BA"/>
    <w:rsid w:val="00FA6997"/>
    <w:rsid w:val="00FA6A12"/>
    <w:rsid w:val="00FA6AAD"/>
    <w:rsid w:val="00FA7262"/>
    <w:rsid w:val="00FA72BA"/>
    <w:rsid w:val="00FA76C8"/>
    <w:rsid w:val="00FA7724"/>
    <w:rsid w:val="00FA7729"/>
    <w:rsid w:val="00FA785A"/>
    <w:rsid w:val="00FA7D7D"/>
    <w:rsid w:val="00FA7D87"/>
    <w:rsid w:val="00FA7F59"/>
    <w:rsid w:val="00FB00C5"/>
    <w:rsid w:val="00FB0E39"/>
    <w:rsid w:val="00FB14EB"/>
    <w:rsid w:val="00FB19BD"/>
    <w:rsid w:val="00FB1A40"/>
    <w:rsid w:val="00FB1EB6"/>
    <w:rsid w:val="00FB21FB"/>
    <w:rsid w:val="00FB2537"/>
    <w:rsid w:val="00FB25B7"/>
    <w:rsid w:val="00FB2709"/>
    <w:rsid w:val="00FB27C0"/>
    <w:rsid w:val="00FB28E7"/>
    <w:rsid w:val="00FB28F2"/>
    <w:rsid w:val="00FB2C22"/>
    <w:rsid w:val="00FB324E"/>
    <w:rsid w:val="00FB3975"/>
    <w:rsid w:val="00FB4293"/>
    <w:rsid w:val="00FB4B86"/>
    <w:rsid w:val="00FB4D73"/>
    <w:rsid w:val="00FB4EC1"/>
    <w:rsid w:val="00FB4EF4"/>
    <w:rsid w:val="00FB4F56"/>
    <w:rsid w:val="00FB5783"/>
    <w:rsid w:val="00FB5874"/>
    <w:rsid w:val="00FB5D4D"/>
    <w:rsid w:val="00FB5F2C"/>
    <w:rsid w:val="00FB620D"/>
    <w:rsid w:val="00FB64C5"/>
    <w:rsid w:val="00FB6523"/>
    <w:rsid w:val="00FB68D7"/>
    <w:rsid w:val="00FB6EAE"/>
    <w:rsid w:val="00FB6F67"/>
    <w:rsid w:val="00FB7022"/>
    <w:rsid w:val="00FB77D2"/>
    <w:rsid w:val="00FB7AD6"/>
    <w:rsid w:val="00FB7ADB"/>
    <w:rsid w:val="00FB7D13"/>
    <w:rsid w:val="00FB7DD2"/>
    <w:rsid w:val="00FB7EAF"/>
    <w:rsid w:val="00FB7F47"/>
    <w:rsid w:val="00FC006F"/>
    <w:rsid w:val="00FC040C"/>
    <w:rsid w:val="00FC0455"/>
    <w:rsid w:val="00FC04BD"/>
    <w:rsid w:val="00FC0555"/>
    <w:rsid w:val="00FC0699"/>
    <w:rsid w:val="00FC0741"/>
    <w:rsid w:val="00FC0AD7"/>
    <w:rsid w:val="00FC0C45"/>
    <w:rsid w:val="00FC0E08"/>
    <w:rsid w:val="00FC0EA4"/>
    <w:rsid w:val="00FC10DE"/>
    <w:rsid w:val="00FC18A5"/>
    <w:rsid w:val="00FC1F64"/>
    <w:rsid w:val="00FC2167"/>
    <w:rsid w:val="00FC2452"/>
    <w:rsid w:val="00FC2569"/>
    <w:rsid w:val="00FC2972"/>
    <w:rsid w:val="00FC29B1"/>
    <w:rsid w:val="00FC2AC5"/>
    <w:rsid w:val="00FC2D5F"/>
    <w:rsid w:val="00FC33AD"/>
    <w:rsid w:val="00FC37B3"/>
    <w:rsid w:val="00FC384E"/>
    <w:rsid w:val="00FC3B2E"/>
    <w:rsid w:val="00FC42B8"/>
    <w:rsid w:val="00FC43B0"/>
    <w:rsid w:val="00FC444C"/>
    <w:rsid w:val="00FC4695"/>
    <w:rsid w:val="00FC4791"/>
    <w:rsid w:val="00FC491C"/>
    <w:rsid w:val="00FC4C1F"/>
    <w:rsid w:val="00FC4DBD"/>
    <w:rsid w:val="00FC4F96"/>
    <w:rsid w:val="00FC52C3"/>
    <w:rsid w:val="00FC53F6"/>
    <w:rsid w:val="00FC5603"/>
    <w:rsid w:val="00FC581B"/>
    <w:rsid w:val="00FC58BC"/>
    <w:rsid w:val="00FC5BB0"/>
    <w:rsid w:val="00FC6131"/>
    <w:rsid w:val="00FC62DD"/>
    <w:rsid w:val="00FC68C6"/>
    <w:rsid w:val="00FC69B8"/>
    <w:rsid w:val="00FC6A53"/>
    <w:rsid w:val="00FC7013"/>
    <w:rsid w:val="00FC70C8"/>
    <w:rsid w:val="00FC710A"/>
    <w:rsid w:val="00FC7310"/>
    <w:rsid w:val="00FC748E"/>
    <w:rsid w:val="00FC7512"/>
    <w:rsid w:val="00FC7674"/>
    <w:rsid w:val="00FC7843"/>
    <w:rsid w:val="00FC7996"/>
    <w:rsid w:val="00FC7B4D"/>
    <w:rsid w:val="00FC7BE1"/>
    <w:rsid w:val="00FC7D48"/>
    <w:rsid w:val="00FC7F5F"/>
    <w:rsid w:val="00FD0303"/>
    <w:rsid w:val="00FD040F"/>
    <w:rsid w:val="00FD0B28"/>
    <w:rsid w:val="00FD0BD2"/>
    <w:rsid w:val="00FD0C84"/>
    <w:rsid w:val="00FD0E59"/>
    <w:rsid w:val="00FD0F34"/>
    <w:rsid w:val="00FD13AB"/>
    <w:rsid w:val="00FD17BA"/>
    <w:rsid w:val="00FD1939"/>
    <w:rsid w:val="00FD1AF6"/>
    <w:rsid w:val="00FD1C05"/>
    <w:rsid w:val="00FD1D6A"/>
    <w:rsid w:val="00FD1D70"/>
    <w:rsid w:val="00FD1E9D"/>
    <w:rsid w:val="00FD1F8E"/>
    <w:rsid w:val="00FD1FF5"/>
    <w:rsid w:val="00FD239D"/>
    <w:rsid w:val="00FD2C11"/>
    <w:rsid w:val="00FD2C9D"/>
    <w:rsid w:val="00FD2E8C"/>
    <w:rsid w:val="00FD2F74"/>
    <w:rsid w:val="00FD2FB5"/>
    <w:rsid w:val="00FD3029"/>
    <w:rsid w:val="00FD3230"/>
    <w:rsid w:val="00FD341B"/>
    <w:rsid w:val="00FD3502"/>
    <w:rsid w:val="00FD3A30"/>
    <w:rsid w:val="00FD3B94"/>
    <w:rsid w:val="00FD40DD"/>
    <w:rsid w:val="00FD43B3"/>
    <w:rsid w:val="00FD483E"/>
    <w:rsid w:val="00FD4BF3"/>
    <w:rsid w:val="00FD4C0F"/>
    <w:rsid w:val="00FD4CC1"/>
    <w:rsid w:val="00FD4D4C"/>
    <w:rsid w:val="00FD4DE4"/>
    <w:rsid w:val="00FD4E67"/>
    <w:rsid w:val="00FD521C"/>
    <w:rsid w:val="00FD5280"/>
    <w:rsid w:val="00FD52E3"/>
    <w:rsid w:val="00FD6066"/>
    <w:rsid w:val="00FD6295"/>
    <w:rsid w:val="00FD65FD"/>
    <w:rsid w:val="00FD664E"/>
    <w:rsid w:val="00FD66A6"/>
    <w:rsid w:val="00FD66C0"/>
    <w:rsid w:val="00FD6822"/>
    <w:rsid w:val="00FD692B"/>
    <w:rsid w:val="00FD6B58"/>
    <w:rsid w:val="00FD6F37"/>
    <w:rsid w:val="00FD6F9B"/>
    <w:rsid w:val="00FD7000"/>
    <w:rsid w:val="00FD7011"/>
    <w:rsid w:val="00FD7246"/>
    <w:rsid w:val="00FD726A"/>
    <w:rsid w:val="00FD7901"/>
    <w:rsid w:val="00FD7AAF"/>
    <w:rsid w:val="00FD7C49"/>
    <w:rsid w:val="00FD7D29"/>
    <w:rsid w:val="00FE0200"/>
    <w:rsid w:val="00FE0375"/>
    <w:rsid w:val="00FE0863"/>
    <w:rsid w:val="00FE0C88"/>
    <w:rsid w:val="00FE1032"/>
    <w:rsid w:val="00FE104E"/>
    <w:rsid w:val="00FE1118"/>
    <w:rsid w:val="00FE11C9"/>
    <w:rsid w:val="00FE13EC"/>
    <w:rsid w:val="00FE14AF"/>
    <w:rsid w:val="00FE16A8"/>
    <w:rsid w:val="00FE1C59"/>
    <w:rsid w:val="00FE20D8"/>
    <w:rsid w:val="00FE2462"/>
    <w:rsid w:val="00FE2468"/>
    <w:rsid w:val="00FE24C3"/>
    <w:rsid w:val="00FE2748"/>
    <w:rsid w:val="00FE27B4"/>
    <w:rsid w:val="00FE2824"/>
    <w:rsid w:val="00FE2970"/>
    <w:rsid w:val="00FE2BDB"/>
    <w:rsid w:val="00FE31AA"/>
    <w:rsid w:val="00FE3298"/>
    <w:rsid w:val="00FE3340"/>
    <w:rsid w:val="00FE3600"/>
    <w:rsid w:val="00FE3D38"/>
    <w:rsid w:val="00FE4077"/>
    <w:rsid w:val="00FE40E5"/>
    <w:rsid w:val="00FE4193"/>
    <w:rsid w:val="00FE4475"/>
    <w:rsid w:val="00FE467C"/>
    <w:rsid w:val="00FE4739"/>
    <w:rsid w:val="00FE4B0D"/>
    <w:rsid w:val="00FE4DB2"/>
    <w:rsid w:val="00FE4EAA"/>
    <w:rsid w:val="00FE4F64"/>
    <w:rsid w:val="00FE4FF4"/>
    <w:rsid w:val="00FE5A8B"/>
    <w:rsid w:val="00FE5AC5"/>
    <w:rsid w:val="00FE5AFE"/>
    <w:rsid w:val="00FE5B42"/>
    <w:rsid w:val="00FE5F30"/>
    <w:rsid w:val="00FE5FD8"/>
    <w:rsid w:val="00FE6308"/>
    <w:rsid w:val="00FE6351"/>
    <w:rsid w:val="00FE6651"/>
    <w:rsid w:val="00FE681D"/>
    <w:rsid w:val="00FE7018"/>
    <w:rsid w:val="00FE72EC"/>
    <w:rsid w:val="00FE73FC"/>
    <w:rsid w:val="00FE74DF"/>
    <w:rsid w:val="00FE757E"/>
    <w:rsid w:val="00FE75CD"/>
    <w:rsid w:val="00FE75E3"/>
    <w:rsid w:val="00FE75FE"/>
    <w:rsid w:val="00FE7625"/>
    <w:rsid w:val="00FE7671"/>
    <w:rsid w:val="00FE767E"/>
    <w:rsid w:val="00FE78C0"/>
    <w:rsid w:val="00FE7D08"/>
    <w:rsid w:val="00FE7DD5"/>
    <w:rsid w:val="00FF045B"/>
    <w:rsid w:val="00FF0463"/>
    <w:rsid w:val="00FF061B"/>
    <w:rsid w:val="00FF0D6A"/>
    <w:rsid w:val="00FF0DBD"/>
    <w:rsid w:val="00FF0FC7"/>
    <w:rsid w:val="00FF1243"/>
    <w:rsid w:val="00FF192E"/>
    <w:rsid w:val="00FF1ABD"/>
    <w:rsid w:val="00FF1E84"/>
    <w:rsid w:val="00FF2100"/>
    <w:rsid w:val="00FF2270"/>
    <w:rsid w:val="00FF276D"/>
    <w:rsid w:val="00FF28B2"/>
    <w:rsid w:val="00FF2B1B"/>
    <w:rsid w:val="00FF2E66"/>
    <w:rsid w:val="00FF2E80"/>
    <w:rsid w:val="00FF2F77"/>
    <w:rsid w:val="00FF30C2"/>
    <w:rsid w:val="00FF31F4"/>
    <w:rsid w:val="00FF340D"/>
    <w:rsid w:val="00FF34B1"/>
    <w:rsid w:val="00FF3508"/>
    <w:rsid w:val="00FF38A4"/>
    <w:rsid w:val="00FF3A07"/>
    <w:rsid w:val="00FF3C80"/>
    <w:rsid w:val="00FF3DCF"/>
    <w:rsid w:val="00FF3E30"/>
    <w:rsid w:val="00FF3FEA"/>
    <w:rsid w:val="00FF40C9"/>
    <w:rsid w:val="00FF417E"/>
    <w:rsid w:val="00FF4232"/>
    <w:rsid w:val="00FF47DE"/>
    <w:rsid w:val="00FF4B12"/>
    <w:rsid w:val="00FF4C68"/>
    <w:rsid w:val="00FF4D14"/>
    <w:rsid w:val="00FF4E86"/>
    <w:rsid w:val="00FF50FE"/>
    <w:rsid w:val="00FF5175"/>
    <w:rsid w:val="00FF5362"/>
    <w:rsid w:val="00FF5A16"/>
    <w:rsid w:val="00FF5B63"/>
    <w:rsid w:val="00FF5D6E"/>
    <w:rsid w:val="00FF5FDA"/>
    <w:rsid w:val="00FF6342"/>
    <w:rsid w:val="00FF662A"/>
    <w:rsid w:val="00FF6689"/>
    <w:rsid w:val="00FF6852"/>
    <w:rsid w:val="00FF6AEB"/>
    <w:rsid w:val="00FF6F1C"/>
    <w:rsid w:val="00FF7484"/>
    <w:rsid w:val="00FF754C"/>
    <w:rsid w:val="00FF787D"/>
    <w:rsid w:val="00FF7913"/>
    <w:rsid w:val="0118B604"/>
    <w:rsid w:val="01282656"/>
    <w:rsid w:val="0133CA60"/>
    <w:rsid w:val="013BFC76"/>
    <w:rsid w:val="0157ED49"/>
    <w:rsid w:val="015BB098"/>
    <w:rsid w:val="01688AB9"/>
    <w:rsid w:val="0190FF4C"/>
    <w:rsid w:val="01A477AD"/>
    <w:rsid w:val="01A5E5A7"/>
    <w:rsid w:val="01AB4C6E"/>
    <w:rsid w:val="01B4AF7D"/>
    <w:rsid w:val="01C86C89"/>
    <w:rsid w:val="01D5F63B"/>
    <w:rsid w:val="01DDBB88"/>
    <w:rsid w:val="01E4D946"/>
    <w:rsid w:val="01FD6FAA"/>
    <w:rsid w:val="02163265"/>
    <w:rsid w:val="021E4B46"/>
    <w:rsid w:val="023BCF41"/>
    <w:rsid w:val="02509E76"/>
    <w:rsid w:val="02547A47"/>
    <w:rsid w:val="0255CA21"/>
    <w:rsid w:val="02607D81"/>
    <w:rsid w:val="0274EA81"/>
    <w:rsid w:val="027CCF39"/>
    <w:rsid w:val="02829EFA"/>
    <w:rsid w:val="0283D627"/>
    <w:rsid w:val="02903B9A"/>
    <w:rsid w:val="02BA835A"/>
    <w:rsid w:val="02C466F1"/>
    <w:rsid w:val="02C921B6"/>
    <w:rsid w:val="02D732FB"/>
    <w:rsid w:val="02F1BE82"/>
    <w:rsid w:val="03056C69"/>
    <w:rsid w:val="03219560"/>
    <w:rsid w:val="032DA48E"/>
    <w:rsid w:val="033A1A08"/>
    <w:rsid w:val="033F3974"/>
    <w:rsid w:val="0372548A"/>
    <w:rsid w:val="03729418"/>
    <w:rsid w:val="03875FD6"/>
    <w:rsid w:val="038E1C84"/>
    <w:rsid w:val="039F5817"/>
    <w:rsid w:val="03B5AEA3"/>
    <w:rsid w:val="03B6A43C"/>
    <w:rsid w:val="03E6A59A"/>
    <w:rsid w:val="03F976D3"/>
    <w:rsid w:val="042D9F92"/>
    <w:rsid w:val="043992C4"/>
    <w:rsid w:val="043D181E"/>
    <w:rsid w:val="04453EF0"/>
    <w:rsid w:val="0483B102"/>
    <w:rsid w:val="048723A5"/>
    <w:rsid w:val="0487D518"/>
    <w:rsid w:val="048D6A3C"/>
    <w:rsid w:val="049349A6"/>
    <w:rsid w:val="049F0723"/>
    <w:rsid w:val="049F6132"/>
    <w:rsid w:val="04E7F671"/>
    <w:rsid w:val="05294F51"/>
    <w:rsid w:val="05457EEA"/>
    <w:rsid w:val="05574CCE"/>
    <w:rsid w:val="056143A5"/>
    <w:rsid w:val="05763D22"/>
    <w:rsid w:val="0598B279"/>
    <w:rsid w:val="059CE8F9"/>
    <w:rsid w:val="05B78B56"/>
    <w:rsid w:val="05D48E44"/>
    <w:rsid w:val="05D80F81"/>
    <w:rsid w:val="063A3D89"/>
    <w:rsid w:val="065CE88B"/>
    <w:rsid w:val="066D5A14"/>
    <w:rsid w:val="06743D4B"/>
    <w:rsid w:val="0676D00B"/>
    <w:rsid w:val="0681620A"/>
    <w:rsid w:val="06872BC2"/>
    <w:rsid w:val="0689E60D"/>
    <w:rsid w:val="068BA32C"/>
    <w:rsid w:val="06BABC3F"/>
    <w:rsid w:val="06FCE230"/>
    <w:rsid w:val="0707B880"/>
    <w:rsid w:val="070BA0E6"/>
    <w:rsid w:val="070E4FD8"/>
    <w:rsid w:val="071D3BC2"/>
    <w:rsid w:val="072F2F08"/>
    <w:rsid w:val="073A803F"/>
    <w:rsid w:val="0762B4FE"/>
    <w:rsid w:val="076A92FE"/>
    <w:rsid w:val="0782AE6C"/>
    <w:rsid w:val="07A15836"/>
    <w:rsid w:val="07CECA0F"/>
    <w:rsid w:val="07DE2531"/>
    <w:rsid w:val="07E97501"/>
    <w:rsid w:val="07EB6D2E"/>
    <w:rsid w:val="07F8A4E0"/>
    <w:rsid w:val="08146165"/>
    <w:rsid w:val="081A981D"/>
    <w:rsid w:val="082A2CA2"/>
    <w:rsid w:val="08537E39"/>
    <w:rsid w:val="088FC8EC"/>
    <w:rsid w:val="08C40582"/>
    <w:rsid w:val="08D150AC"/>
    <w:rsid w:val="08E18F64"/>
    <w:rsid w:val="08F52888"/>
    <w:rsid w:val="0907EA49"/>
    <w:rsid w:val="094DFCDB"/>
    <w:rsid w:val="0955289B"/>
    <w:rsid w:val="09562C9A"/>
    <w:rsid w:val="096D7A53"/>
    <w:rsid w:val="097B289F"/>
    <w:rsid w:val="097E4CC9"/>
    <w:rsid w:val="0996D1C8"/>
    <w:rsid w:val="099C7E07"/>
    <w:rsid w:val="09B69E71"/>
    <w:rsid w:val="09B7FC15"/>
    <w:rsid w:val="09BDDF0C"/>
    <w:rsid w:val="09DCB202"/>
    <w:rsid w:val="09F146D8"/>
    <w:rsid w:val="09F89A88"/>
    <w:rsid w:val="0A053985"/>
    <w:rsid w:val="0A214163"/>
    <w:rsid w:val="0A33BDC1"/>
    <w:rsid w:val="0A3D0ED8"/>
    <w:rsid w:val="0A668FF9"/>
    <w:rsid w:val="0A6EB4A4"/>
    <w:rsid w:val="0A7D920B"/>
    <w:rsid w:val="0A7DE7DE"/>
    <w:rsid w:val="0A8274DC"/>
    <w:rsid w:val="0A857CCA"/>
    <w:rsid w:val="0A9B2546"/>
    <w:rsid w:val="0AA173A2"/>
    <w:rsid w:val="0AA24BC4"/>
    <w:rsid w:val="0ABFD8AB"/>
    <w:rsid w:val="0AC5613C"/>
    <w:rsid w:val="0AD1FD2D"/>
    <w:rsid w:val="0AD84E9E"/>
    <w:rsid w:val="0AE7D6EA"/>
    <w:rsid w:val="0AEAF27D"/>
    <w:rsid w:val="0AF97B59"/>
    <w:rsid w:val="0B174FF9"/>
    <w:rsid w:val="0B1AB733"/>
    <w:rsid w:val="0B2B2FAA"/>
    <w:rsid w:val="0B396B5A"/>
    <w:rsid w:val="0B420CA2"/>
    <w:rsid w:val="0B4959D2"/>
    <w:rsid w:val="0B59988A"/>
    <w:rsid w:val="0B5A92BD"/>
    <w:rsid w:val="0B5B8B48"/>
    <w:rsid w:val="0B5ED8A7"/>
    <w:rsid w:val="0B7D48BB"/>
    <w:rsid w:val="0B828693"/>
    <w:rsid w:val="0B83D480"/>
    <w:rsid w:val="0B8C4EBA"/>
    <w:rsid w:val="0B968F9F"/>
    <w:rsid w:val="0BAB1813"/>
    <w:rsid w:val="0BAECE31"/>
    <w:rsid w:val="0BB688E6"/>
    <w:rsid w:val="0BC23FAA"/>
    <w:rsid w:val="0BCA19CF"/>
    <w:rsid w:val="0BD2D871"/>
    <w:rsid w:val="0BD72E8E"/>
    <w:rsid w:val="0BEF0A5B"/>
    <w:rsid w:val="0BF4BE79"/>
    <w:rsid w:val="0C0DE73E"/>
    <w:rsid w:val="0C127757"/>
    <w:rsid w:val="0C3BBBFF"/>
    <w:rsid w:val="0C40DE48"/>
    <w:rsid w:val="0C483179"/>
    <w:rsid w:val="0C552E35"/>
    <w:rsid w:val="0C9A5172"/>
    <w:rsid w:val="0C9C0FF7"/>
    <w:rsid w:val="0C9E74A8"/>
    <w:rsid w:val="0CDFEA1C"/>
    <w:rsid w:val="0CE0C302"/>
    <w:rsid w:val="0CECB8CC"/>
    <w:rsid w:val="0CEDFF15"/>
    <w:rsid w:val="0CF69FCA"/>
    <w:rsid w:val="0D05A128"/>
    <w:rsid w:val="0D087088"/>
    <w:rsid w:val="0D16E375"/>
    <w:rsid w:val="0D1DDBAB"/>
    <w:rsid w:val="0D336F6E"/>
    <w:rsid w:val="0D39B428"/>
    <w:rsid w:val="0D406D73"/>
    <w:rsid w:val="0D78665D"/>
    <w:rsid w:val="0D7B8710"/>
    <w:rsid w:val="0D85EA71"/>
    <w:rsid w:val="0D8B3379"/>
    <w:rsid w:val="0DA0A91A"/>
    <w:rsid w:val="0DC165E1"/>
    <w:rsid w:val="0DD31E37"/>
    <w:rsid w:val="0E148797"/>
    <w:rsid w:val="0E1E16E6"/>
    <w:rsid w:val="0E23259E"/>
    <w:rsid w:val="0E603FBB"/>
    <w:rsid w:val="0E6088E4"/>
    <w:rsid w:val="0E6F6F85"/>
    <w:rsid w:val="0E714DD7"/>
    <w:rsid w:val="0E75E6DB"/>
    <w:rsid w:val="0E7F8F36"/>
    <w:rsid w:val="0EA89B41"/>
    <w:rsid w:val="0EB1B114"/>
    <w:rsid w:val="0EC057B3"/>
    <w:rsid w:val="0EF61633"/>
    <w:rsid w:val="0EFC37FD"/>
    <w:rsid w:val="0F0103A9"/>
    <w:rsid w:val="0F0D4652"/>
    <w:rsid w:val="0F107FFB"/>
    <w:rsid w:val="0F4651DB"/>
    <w:rsid w:val="0F56CFCD"/>
    <w:rsid w:val="0F58F461"/>
    <w:rsid w:val="0F5DCCC2"/>
    <w:rsid w:val="0F72CA72"/>
    <w:rsid w:val="0F9C20CB"/>
    <w:rsid w:val="0F9CDF81"/>
    <w:rsid w:val="0FA36E30"/>
    <w:rsid w:val="0FA38171"/>
    <w:rsid w:val="0FB48977"/>
    <w:rsid w:val="0FD1F234"/>
    <w:rsid w:val="10272191"/>
    <w:rsid w:val="10344122"/>
    <w:rsid w:val="10576CE1"/>
    <w:rsid w:val="106965F1"/>
    <w:rsid w:val="1072A3A7"/>
    <w:rsid w:val="107F0D8E"/>
    <w:rsid w:val="10820A97"/>
    <w:rsid w:val="108AF97F"/>
    <w:rsid w:val="109B1585"/>
    <w:rsid w:val="10B6155E"/>
    <w:rsid w:val="10C0E6C8"/>
    <w:rsid w:val="10C83004"/>
    <w:rsid w:val="10E551BA"/>
    <w:rsid w:val="10FC4889"/>
    <w:rsid w:val="1100710E"/>
    <w:rsid w:val="11012EA9"/>
    <w:rsid w:val="111C9EBB"/>
    <w:rsid w:val="11265896"/>
    <w:rsid w:val="1137F549"/>
    <w:rsid w:val="11484A90"/>
    <w:rsid w:val="1159A824"/>
    <w:rsid w:val="1162A369"/>
    <w:rsid w:val="1175482D"/>
    <w:rsid w:val="1175F7AF"/>
    <w:rsid w:val="117966DE"/>
    <w:rsid w:val="1196070F"/>
    <w:rsid w:val="119A712E"/>
    <w:rsid w:val="11A6F24D"/>
    <w:rsid w:val="11AD6DF4"/>
    <w:rsid w:val="11AF4272"/>
    <w:rsid w:val="11C5D8BB"/>
    <w:rsid w:val="11D6573A"/>
    <w:rsid w:val="11FBF416"/>
    <w:rsid w:val="11FF58AD"/>
    <w:rsid w:val="120C04F6"/>
    <w:rsid w:val="1236B9C4"/>
    <w:rsid w:val="123C602A"/>
    <w:rsid w:val="124518EA"/>
    <w:rsid w:val="1259FCBC"/>
    <w:rsid w:val="1275706B"/>
    <w:rsid w:val="12782709"/>
    <w:rsid w:val="128A0FD9"/>
    <w:rsid w:val="12A5D284"/>
    <w:rsid w:val="12BF1787"/>
    <w:rsid w:val="12F1AAE0"/>
    <w:rsid w:val="12F64D66"/>
    <w:rsid w:val="131757B6"/>
    <w:rsid w:val="1327966E"/>
    <w:rsid w:val="132C28FA"/>
    <w:rsid w:val="13383E22"/>
    <w:rsid w:val="134CA66A"/>
    <w:rsid w:val="137FF38A"/>
    <w:rsid w:val="1382B4CF"/>
    <w:rsid w:val="139534C1"/>
    <w:rsid w:val="13EE8DB5"/>
    <w:rsid w:val="13F8BB44"/>
    <w:rsid w:val="14035F00"/>
    <w:rsid w:val="141EEFCE"/>
    <w:rsid w:val="142345EC"/>
    <w:rsid w:val="1437DB2F"/>
    <w:rsid w:val="143A5C2F"/>
    <w:rsid w:val="143FD1E5"/>
    <w:rsid w:val="144E6EE8"/>
    <w:rsid w:val="144F4B6C"/>
    <w:rsid w:val="1463B3EC"/>
    <w:rsid w:val="146D5ADB"/>
    <w:rsid w:val="146D95CF"/>
    <w:rsid w:val="1477EEB3"/>
    <w:rsid w:val="1490137B"/>
    <w:rsid w:val="14985B97"/>
    <w:rsid w:val="14C4A057"/>
    <w:rsid w:val="14C4FA66"/>
    <w:rsid w:val="14DD6312"/>
    <w:rsid w:val="14E35F29"/>
    <w:rsid w:val="14F2841F"/>
    <w:rsid w:val="14FB5B64"/>
    <w:rsid w:val="15040F98"/>
    <w:rsid w:val="1506698D"/>
    <w:rsid w:val="15202015"/>
    <w:rsid w:val="1523FCAF"/>
    <w:rsid w:val="15453D02"/>
    <w:rsid w:val="15524B35"/>
    <w:rsid w:val="15537AD0"/>
    <w:rsid w:val="1558539B"/>
    <w:rsid w:val="155D75C4"/>
    <w:rsid w:val="156DF726"/>
    <w:rsid w:val="15821006"/>
    <w:rsid w:val="1583139B"/>
    <w:rsid w:val="15BA223C"/>
    <w:rsid w:val="15BD6F26"/>
    <w:rsid w:val="15D38E7D"/>
    <w:rsid w:val="15E49683"/>
    <w:rsid w:val="15F4D53B"/>
    <w:rsid w:val="15F768FC"/>
    <w:rsid w:val="15FF0F3B"/>
    <w:rsid w:val="161D17F8"/>
    <w:rsid w:val="16482528"/>
    <w:rsid w:val="164A0AE2"/>
    <w:rsid w:val="165BE14E"/>
    <w:rsid w:val="16617F6F"/>
    <w:rsid w:val="16761F6A"/>
    <w:rsid w:val="16853238"/>
    <w:rsid w:val="16AAC47C"/>
    <w:rsid w:val="16C8934D"/>
    <w:rsid w:val="16D6322F"/>
    <w:rsid w:val="16DFF3D5"/>
    <w:rsid w:val="16F255B9"/>
    <w:rsid w:val="16F83F6E"/>
    <w:rsid w:val="17353AF8"/>
    <w:rsid w:val="173F4998"/>
    <w:rsid w:val="174E9807"/>
    <w:rsid w:val="17617D0B"/>
    <w:rsid w:val="17896CDA"/>
    <w:rsid w:val="17968F51"/>
    <w:rsid w:val="179CF09B"/>
    <w:rsid w:val="17C236A5"/>
    <w:rsid w:val="17CF756D"/>
    <w:rsid w:val="17DD0419"/>
    <w:rsid w:val="18166C26"/>
    <w:rsid w:val="181A5A2E"/>
    <w:rsid w:val="18449DC1"/>
    <w:rsid w:val="185860B1"/>
    <w:rsid w:val="18592E1C"/>
    <w:rsid w:val="186EC392"/>
    <w:rsid w:val="1895E0D8"/>
    <w:rsid w:val="18B198E2"/>
    <w:rsid w:val="18C5A0D8"/>
    <w:rsid w:val="18D74BE9"/>
    <w:rsid w:val="18DED626"/>
    <w:rsid w:val="18EF2F2B"/>
    <w:rsid w:val="18F223F5"/>
    <w:rsid w:val="190E570B"/>
    <w:rsid w:val="19105593"/>
    <w:rsid w:val="1925F4D0"/>
    <w:rsid w:val="19376278"/>
    <w:rsid w:val="193C1D3D"/>
    <w:rsid w:val="194F1451"/>
    <w:rsid w:val="197744FA"/>
    <w:rsid w:val="198C981F"/>
    <w:rsid w:val="19932648"/>
    <w:rsid w:val="19BE48B9"/>
    <w:rsid w:val="19BE8E8C"/>
    <w:rsid w:val="19D3E658"/>
    <w:rsid w:val="19DCCE33"/>
    <w:rsid w:val="19EA51C9"/>
    <w:rsid w:val="19F57DCC"/>
    <w:rsid w:val="19F87707"/>
    <w:rsid w:val="19F9C733"/>
    <w:rsid w:val="1A16E00C"/>
    <w:rsid w:val="1A336C05"/>
    <w:rsid w:val="1A704B7B"/>
    <w:rsid w:val="1A877E4F"/>
    <w:rsid w:val="1A904662"/>
    <w:rsid w:val="1AAC5BEF"/>
    <w:rsid w:val="1AB44900"/>
    <w:rsid w:val="1AD30B9B"/>
    <w:rsid w:val="1AFC3070"/>
    <w:rsid w:val="1B08BEB3"/>
    <w:rsid w:val="1B11395C"/>
    <w:rsid w:val="1B2C984A"/>
    <w:rsid w:val="1B6EF306"/>
    <w:rsid w:val="1B7F8BCD"/>
    <w:rsid w:val="1B93CE5F"/>
    <w:rsid w:val="1BCCACB0"/>
    <w:rsid w:val="1BCCFC27"/>
    <w:rsid w:val="1BD331FA"/>
    <w:rsid w:val="1BFA9ECC"/>
    <w:rsid w:val="1C058834"/>
    <w:rsid w:val="1C07B7E3"/>
    <w:rsid w:val="1C0CDE42"/>
    <w:rsid w:val="1C2CCBEB"/>
    <w:rsid w:val="1C3596E5"/>
    <w:rsid w:val="1C5239D8"/>
    <w:rsid w:val="1C628041"/>
    <w:rsid w:val="1C6B0E4A"/>
    <w:rsid w:val="1C6CF1F3"/>
    <w:rsid w:val="1C6E93FB"/>
    <w:rsid w:val="1C7E9FE2"/>
    <w:rsid w:val="1C846A23"/>
    <w:rsid w:val="1C8EF19A"/>
    <w:rsid w:val="1C9A955E"/>
    <w:rsid w:val="1CD316D3"/>
    <w:rsid w:val="1CE41ED9"/>
    <w:rsid w:val="1CE7E817"/>
    <w:rsid w:val="1CF45D91"/>
    <w:rsid w:val="1D049C49"/>
    <w:rsid w:val="1D053BA4"/>
    <w:rsid w:val="1D11766A"/>
    <w:rsid w:val="1D180DC2"/>
    <w:rsid w:val="1D2091C5"/>
    <w:rsid w:val="1D2586E6"/>
    <w:rsid w:val="1D2CDF06"/>
    <w:rsid w:val="1D313F37"/>
    <w:rsid w:val="1D416944"/>
    <w:rsid w:val="1D41D883"/>
    <w:rsid w:val="1D8B8E54"/>
    <w:rsid w:val="1D918A17"/>
    <w:rsid w:val="1DA756B3"/>
    <w:rsid w:val="1DC93527"/>
    <w:rsid w:val="1DDB1392"/>
    <w:rsid w:val="1DE8BFD4"/>
    <w:rsid w:val="1DF00D0F"/>
    <w:rsid w:val="1DF24186"/>
    <w:rsid w:val="1E07AE71"/>
    <w:rsid w:val="1E407D59"/>
    <w:rsid w:val="1E44D377"/>
    <w:rsid w:val="1E642614"/>
    <w:rsid w:val="1E64F6D8"/>
    <w:rsid w:val="1E70A626"/>
    <w:rsid w:val="1E78C582"/>
    <w:rsid w:val="1E85D8EF"/>
    <w:rsid w:val="1EA10C05"/>
    <w:rsid w:val="1EA6D873"/>
    <w:rsid w:val="1EC010CA"/>
    <w:rsid w:val="1EC35B18"/>
    <w:rsid w:val="1EE6F730"/>
    <w:rsid w:val="1EF5C550"/>
    <w:rsid w:val="1EFB31F7"/>
    <w:rsid w:val="1F03B5FA"/>
    <w:rsid w:val="1F0E550E"/>
    <w:rsid w:val="1F1194F6"/>
    <w:rsid w:val="1F15CF55"/>
    <w:rsid w:val="1F1C482E"/>
    <w:rsid w:val="1F27B810"/>
    <w:rsid w:val="1F2B24C8"/>
    <w:rsid w:val="1F39A4EB"/>
    <w:rsid w:val="1F3F16A0"/>
    <w:rsid w:val="1F4A09D9"/>
    <w:rsid w:val="1F5CAD33"/>
    <w:rsid w:val="1F5D43BE"/>
    <w:rsid w:val="1F70B23D"/>
    <w:rsid w:val="1F7A8DD6"/>
    <w:rsid w:val="1F8EC1D0"/>
    <w:rsid w:val="1FA13C8F"/>
    <w:rsid w:val="1FA9C092"/>
    <w:rsid w:val="1FC1B9FF"/>
    <w:rsid w:val="1FC966D8"/>
    <w:rsid w:val="1FCBD5B6"/>
    <w:rsid w:val="1FDDEBE9"/>
    <w:rsid w:val="1FFB04C2"/>
    <w:rsid w:val="1FFB181F"/>
    <w:rsid w:val="2008E09D"/>
    <w:rsid w:val="201A1C6D"/>
    <w:rsid w:val="2027AA87"/>
    <w:rsid w:val="202BA18F"/>
    <w:rsid w:val="20337B9F"/>
    <w:rsid w:val="2036F661"/>
    <w:rsid w:val="20371307"/>
    <w:rsid w:val="20734A02"/>
    <w:rsid w:val="207CF014"/>
    <w:rsid w:val="20835D92"/>
    <w:rsid w:val="208E88ED"/>
    <w:rsid w:val="20909B11"/>
    <w:rsid w:val="209256BD"/>
    <w:rsid w:val="20965F99"/>
    <w:rsid w:val="20BB56ED"/>
    <w:rsid w:val="20C0193B"/>
    <w:rsid w:val="20C1FC09"/>
    <w:rsid w:val="20CF1F26"/>
    <w:rsid w:val="20CFEA45"/>
    <w:rsid w:val="20D06ED9"/>
    <w:rsid w:val="20F2AD99"/>
    <w:rsid w:val="20FD35DA"/>
    <w:rsid w:val="2109E850"/>
    <w:rsid w:val="21156AF1"/>
    <w:rsid w:val="211E2317"/>
    <w:rsid w:val="211EB994"/>
    <w:rsid w:val="21221E82"/>
    <w:rsid w:val="21278CF0"/>
    <w:rsid w:val="213C5B3B"/>
    <w:rsid w:val="2146CA7B"/>
    <w:rsid w:val="215007BC"/>
    <w:rsid w:val="2182A0B5"/>
    <w:rsid w:val="21860E44"/>
    <w:rsid w:val="21882A02"/>
    <w:rsid w:val="219AA912"/>
    <w:rsid w:val="21A78415"/>
    <w:rsid w:val="21D9B10A"/>
    <w:rsid w:val="21DB5448"/>
    <w:rsid w:val="21DB560B"/>
    <w:rsid w:val="21EB2029"/>
    <w:rsid w:val="21EC6C0B"/>
    <w:rsid w:val="21F5C855"/>
    <w:rsid w:val="21FD830A"/>
    <w:rsid w:val="2213E265"/>
    <w:rsid w:val="2215DAA3"/>
    <w:rsid w:val="2217B5E1"/>
    <w:rsid w:val="221945B5"/>
    <w:rsid w:val="222223C7"/>
    <w:rsid w:val="222C0DA8"/>
    <w:rsid w:val="223D148C"/>
    <w:rsid w:val="2251EF63"/>
    <w:rsid w:val="22721733"/>
    <w:rsid w:val="22ABA706"/>
    <w:rsid w:val="22C68EB5"/>
    <w:rsid w:val="22D3EFBB"/>
    <w:rsid w:val="22E60FF9"/>
    <w:rsid w:val="2306877B"/>
    <w:rsid w:val="231062A7"/>
    <w:rsid w:val="23258DFA"/>
    <w:rsid w:val="2327A446"/>
    <w:rsid w:val="232A58F7"/>
    <w:rsid w:val="233D2D58"/>
    <w:rsid w:val="23741868"/>
    <w:rsid w:val="237FA4BB"/>
    <w:rsid w:val="238B9EAA"/>
    <w:rsid w:val="239B560C"/>
    <w:rsid w:val="23A31E8D"/>
    <w:rsid w:val="23C383CE"/>
    <w:rsid w:val="240990EF"/>
    <w:rsid w:val="24103572"/>
    <w:rsid w:val="24172DC1"/>
    <w:rsid w:val="24269B94"/>
    <w:rsid w:val="2433D6B6"/>
    <w:rsid w:val="2436A16D"/>
    <w:rsid w:val="2460D346"/>
    <w:rsid w:val="24999670"/>
    <w:rsid w:val="24CAD75E"/>
    <w:rsid w:val="24CB7B0D"/>
    <w:rsid w:val="24E738A0"/>
    <w:rsid w:val="25017079"/>
    <w:rsid w:val="250B5810"/>
    <w:rsid w:val="2517043C"/>
    <w:rsid w:val="251B9C08"/>
    <w:rsid w:val="2540D18B"/>
    <w:rsid w:val="25482928"/>
    <w:rsid w:val="2596BCDF"/>
    <w:rsid w:val="259C5D41"/>
    <w:rsid w:val="25A584A6"/>
    <w:rsid w:val="25D2DC37"/>
    <w:rsid w:val="25D5D18F"/>
    <w:rsid w:val="25DE70FB"/>
    <w:rsid w:val="25FE78F3"/>
    <w:rsid w:val="261119A8"/>
    <w:rsid w:val="262142CE"/>
    <w:rsid w:val="263C19D4"/>
    <w:rsid w:val="264F9AD0"/>
    <w:rsid w:val="26542556"/>
    <w:rsid w:val="26578270"/>
    <w:rsid w:val="267EE540"/>
    <w:rsid w:val="26946FF7"/>
    <w:rsid w:val="26950D6D"/>
    <w:rsid w:val="269AE313"/>
    <w:rsid w:val="26D1C623"/>
    <w:rsid w:val="26E03AD7"/>
    <w:rsid w:val="26E175EC"/>
    <w:rsid w:val="26E4F644"/>
    <w:rsid w:val="271AC864"/>
    <w:rsid w:val="2729809F"/>
    <w:rsid w:val="272AEF31"/>
    <w:rsid w:val="273B2DE9"/>
    <w:rsid w:val="274A6B92"/>
    <w:rsid w:val="274A6D73"/>
    <w:rsid w:val="27672F4C"/>
    <w:rsid w:val="2774096D"/>
    <w:rsid w:val="277D945E"/>
    <w:rsid w:val="277FB599"/>
    <w:rsid w:val="278324C8"/>
    <w:rsid w:val="2784D3BB"/>
    <w:rsid w:val="2787163F"/>
    <w:rsid w:val="2796FCFF"/>
    <w:rsid w:val="279FD8FA"/>
    <w:rsid w:val="27A5DF95"/>
    <w:rsid w:val="27B1B383"/>
    <w:rsid w:val="27CACAAB"/>
    <w:rsid w:val="27F11D2A"/>
    <w:rsid w:val="27F7D545"/>
    <w:rsid w:val="27F9A12D"/>
    <w:rsid w:val="2802169F"/>
    <w:rsid w:val="28198485"/>
    <w:rsid w:val="281D8B17"/>
    <w:rsid w:val="28354ACB"/>
    <w:rsid w:val="2853CC4D"/>
    <w:rsid w:val="2856E100"/>
    <w:rsid w:val="286B46E5"/>
    <w:rsid w:val="2873D8A9"/>
    <w:rsid w:val="287773A0"/>
    <w:rsid w:val="287A3A44"/>
    <w:rsid w:val="2883DE82"/>
    <w:rsid w:val="2887C489"/>
    <w:rsid w:val="288F12FE"/>
    <w:rsid w:val="289EDA8C"/>
    <w:rsid w:val="28AC1F7C"/>
    <w:rsid w:val="28C8D571"/>
    <w:rsid w:val="28E408DE"/>
    <w:rsid w:val="28F1B419"/>
    <w:rsid w:val="290C80CA"/>
    <w:rsid w:val="29165F18"/>
    <w:rsid w:val="291BED6C"/>
    <w:rsid w:val="29284AF5"/>
    <w:rsid w:val="293D3CF2"/>
    <w:rsid w:val="293D9375"/>
    <w:rsid w:val="2948A6C1"/>
    <w:rsid w:val="295CFBAC"/>
    <w:rsid w:val="29691C39"/>
    <w:rsid w:val="299084F3"/>
    <w:rsid w:val="29946521"/>
    <w:rsid w:val="29BE7E94"/>
    <w:rsid w:val="29CD2C0B"/>
    <w:rsid w:val="2A13B43B"/>
    <w:rsid w:val="2A1418AE"/>
    <w:rsid w:val="2A28ADB8"/>
    <w:rsid w:val="2A3D6A05"/>
    <w:rsid w:val="2A3FB7C5"/>
    <w:rsid w:val="2A6065DF"/>
    <w:rsid w:val="2A69FA92"/>
    <w:rsid w:val="2A77602E"/>
    <w:rsid w:val="2A77B8CF"/>
    <w:rsid w:val="2A7D07FC"/>
    <w:rsid w:val="2A84CD50"/>
    <w:rsid w:val="2A857044"/>
    <w:rsid w:val="2ABAC1EE"/>
    <w:rsid w:val="2AC8748C"/>
    <w:rsid w:val="2AE38994"/>
    <w:rsid w:val="2AEEA819"/>
    <w:rsid w:val="2B19755B"/>
    <w:rsid w:val="2B2277A9"/>
    <w:rsid w:val="2B256866"/>
    <w:rsid w:val="2B32937A"/>
    <w:rsid w:val="2B32B62B"/>
    <w:rsid w:val="2B35C55C"/>
    <w:rsid w:val="2B5A27D4"/>
    <w:rsid w:val="2B5F47AA"/>
    <w:rsid w:val="2B8BF99F"/>
    <w:rsid w:val="2B9073D2"/>
    <w:rsid w:val="2B9CA420"/>
    <w:rsid w:val="2BB9F645"/>
    <w:rsid w:val="2BD3791E"/>
    <w:rsid w:val="2BDA13AE"/>
    <w:rsid w:val="2BE817CD"/>
    <w:rsid w:val="2BEBE0C1"/>
    <w:rsid w:val="2BF30CD4"/>
    <w:rsid w:val="2C0A6FD5"/>
    <w:rsid w:val="2C38929F"/>
    <w:rsid w:val="2C4505B2"/>
    <w:rsid w:val="2C4C5D8E"/>
    <w:rsid w:val="2C4F0E07"/>
    <w:rsid w:val="2C5910DE"/>
    <w:rsid w:val="2C786989"/>
    <w:rsid w:val="2CA5670B"/>
    <w:rsid w:val="2CB48266"/>
    <w:rsid w:val="2CBFEB7D"/>
    <w:rsid w:val="2CC58A6C"/>
    <w:rsid w:val="2D0E7183"/>
    <w:rsid w:val="2D0F0F45"/>
    <w:rsid w:val="2D15675B"/>
    <w:rsid w:val="2D49E971"/>
    <w:rsid w:val="2D5DEAAD"/>
    <w:rsid w:val="2D8A2D70"/>
    <w:rsid w:val="2DA04D3B"/>
    <w:rsid w:val="2DA8D13E"/>
    <w:rsid w:val="2DABF8D4"/>
    <w:rsid w:val="2DC52F7E"/>
    <w:rsid w:val="2DE54BDB"/>
    <w:rsid w:val="2E314DC1"/>
    <w:rsid w:val="2E36E9E2"/>
    <w:rsid w:val="2E55CDAD"/>
    <w:rsid w:val="2E961ACE"/>
    <w:rsid w:val="2EB30E63"/>
    <w:rsid w:val="2EBB16DD"/>
    <w:rsid w:val="2EC4DDF3"/>
    <w:rsid w:val="2ECC2609"/>
    <w:rsid w:val="2EF990FE"/>
    <w:rsid w:val="2F00053A"/>
    <w:rsid w:val="2F2161A8"/>
    <w:rsid w:val="2F34D321"/>
    <w:rsid w:val="2F359C6F"/>
    <w:rsid w:val="2F49E1CE"/>
    <w:rsid w:val="2F55AAA0"/>
    <w:rsid w:val="2F5DD494"/>
    <w:rsid w:val="2F665897"/>
    <w:rsid w:val="2F827551"/>
    <w:rsid w:val="2FA6B1A4"/>
    <w:rsid w:val="2FAA8638"/>
    <w:rsid w:val="2FAB1CB5"/>
    <w:rsid w:val="2FB54899"/>
    <w:rsid w:val="2FD2F4FD"/>
    <w:rsid w:val="2FD6B302"/>
    <w:rsid w:val="2FDA7B72"/>
    <w:rsid w:val="2FE9D839"/>
    <w:rsid w:val="2FEC5C2E"/>
    <w:rsid w:val="2FFC93B6"/>
    <w:rsid w:val="300817A9"/>
    <w:rsid w:val="301310A6"/>
    <w:rsid w:val="30208606"/>
    <w:rsid w:val="30289CFC"/>
    <w:rsid w:val="30304514"/>
    <w:rsid w:val="3045B5D5"/>
    <w:rsid w:val="30530030"/>
    <w:rsid w:val="3058BAC4"/>
    <w:rsid w:val="3068F97C"/>
    <w:rsid w:val="306DE617"/>
    <w:rsid w:val="307546BD"/>
    <w:rsid w:val="309D62A9"/>
    <w:rsid w:val="30AAE1A9"/>
    <w:rsid w:val="30BA3DAC"/>
    <w:rsid w:val="30E20E43"/>
    <w:rsid w:val="30E6A0CF"/>
    <w:rsid w:val="30F21C3C"/>
    <w:rsid w:val="3116AFB7"/>
    <w:rsid w:val="311C5525"/>
    <w:rsid w:val="312BFF4C"/>
    <w:rsid w:val="315828E8"/>
    <w:rsid w:val="3189B8F6"/>
    <w:rsid w:val="319D847E"/>
    <w:rsid w:val="31A14324"/>
    <w:rsid w:val="31B255C2"/>
    <w:rsid w:val="31B9ABD0"/>
    <w:rsid w:val="31CBD33C"/>
    <w:rsid w:val="31CDE697"/>
    <w:rsid w:val="31E1EE8D"/>
    <w:rsid w:val="320FDDE3"/>
    <w:rsid w:val="3211508D"/>
    <w:rsid w:val="322DAB58"/>
    <w:rsid w:val="323D4FBE"/>
    <w:rsid w:val="3249C896"/>
    <w:rsid w:val="3253B02D"/>
    <w:rsid w:val="32640CF3"/>
    <w:rsid w:val="326C3E2B"/>
    <w:rsid w:val="327487AC"/>
    <w:rsid w:val="3282D99E"/>
    <w:rsid w:val="32867026"/>
    <w:rsid w:val="32A82ACF"/>
    <w:rsid w:val="32B83050"/>
    <w:rsid w:val="32FE1B7B"/>
    <w:rsid w:val="3305D630"/>
    <w:rsid w:val="33069F7E"/>
    <w:rsid w:val="3320663B"/>
    <w:rsid w:val="3338BD67"/>
    <w:rsid w:val="333A8E67"/>
    <w:rsid w:val="334F02E7"/>
    <w:rsid w:val="335B0BD7"/>
    <w:rsid w:val="335D55E0"/>
    <w:rsid w:val="335DE50E"/>
    <w:rsid w:val="336BD652"/>
    <w:rsid w:val="336DEFEF"/>
    <w:rsid w:val="3376DEA1"/>
    <w:rsid w:val="337754B3"/>
    <w:rsid w:val="339B4801"/>
    <w:rsid w:val="33A49552"/>
    <w:rsid w:val="33AF6F3E"/>
    <w:rsid w:val="33D12395"/>
    <w:rsid w:val="33D21AAB"/>
    <w:rsid w:val="33D5A122"/>
    <w:rsid w:val="33E4D17C"/>
    <w:rsid w:val="341A19D4"/>
    <w:rsid w:val="344E40E1"/>
    <w:rsid w:val="345AFC5C"/>
    <w:rsid w:val="3468861F"/>
    <w:rsid w:val="346E8C89"/>
    <w:rsid w:val="3470D515"/>
    <w:rsid w:val="3487D24C"/>
    <w:rsid w:val="3493C4BE"/>
    <w:rsid w:val="3497BFB2"/>
    <w:rsid w:val="34BFF8F2"/>
    <w:rsid w:val="34CF7FC2"/>
    <w:rsid w:val="34FA2874"/>
    <w:rsid w:val="3519CF92"/>
    <w:rsid w:val="352AAE33"/>
    <w:rsid w:val="355C7007"/>
    <w:rsid w:val="3586F039"/>
    <w:rsid w:val="359AA227"/>
    <w:rsid w:val="35A540AE"/>
    <w:rsid w:val="35B513E6"/>
    <w:rsid w:val="35DA2727"/>
    <w:rsid w:val="35E7A9D3"/>
    <w:rsid w:val="35EAF98E"/>
    <w:rsid w:val="35F3815A"/>
    <w:rsid w:val="3645F47A"/>
    <w:rsid w:val="36483F18"/>
    <w:rsid w:val="3693E621"/>
    <w:rsid w:val="36996015"/>
    <w:rsid w:val="36B77494"/>
    <w:rsid w:val="36CA8BFE"/>
    <w:rsid w:val="36D589B6"/>
    <w:rsid w:val="36DA208D"/>
    <w:rsid w:val="36DB2F5D"/>
    <w:rsid w:val="36FF1BFC"/>
    <w:rsid w:val="3754470B"/>
    <w:rsid w:val="37625C30"/>
    <w:rsid w:val="376C061E"/>
    <w:rsid w:val="376D145E"/>
    <w:rsid w:val="377F9C44"/>
    <w:rsid w:val="37B5C9F3"/>
    <w:rsid w:val="37FCC450"/>
    <w:rsid w:val="37FFCF3B"/>
    <w:rsid w:val="380A40E4"/>
    <w:rsid w:val="38117363"/>
    <w:rsid w:val="3816B65E"/>
    <w:rsid w:val="383CB60E"/>
    <w:rsid w:val="38420551"/>
    <w:rsid w:val="386DE1E5"/>
    <w:rsid w:val="3870EB5F"/>
    <w:rsid w:val="38A4B2A9"/>
    <w:rsid w:val="38A6C3E4"/>
    <w:rsid w:val="38B4BBD4"/>
    <w:rsid w:val="38C0C027"/>
    <w:rsid w:val="38C34BC0"/>
    <w:rsid w:val="38DDADA5"/>
    <w:rsid w:val="38ECCD2A"/>
    <w:rsid w:val="38ED3232"/>
    <w:rsid w:val="39095693"/>
    <w:rsid w:val="392A57D3"/>
    <w:rsid w:val="3952AEE4"/>
    <w:rsid w:val="3962E0BE"/>
    <w:rsid w:val="39746396"/>
    <w:rsid w:val="3994B5AB"/>
    <w:rsid w:val="39B02468"/>
    <w:rsid w:val="39BE6D6B"/>
    <w:rsid w:val="39DA3185"/>
    <w:rsid w:val="39DB5D44"/>
    <w:rsid w:val="39F4D17F"/>
    <w:rsid w:val="3A095A95"/>
    <w:rsid w:val="3A156881"/>
    <w:rsid w:val="3A1A1C02"/>
    <w:rsid w:val="3A41D172"/>
    <w:rsid w:val="3A446BC0"/>
    <w:rsid w:val="3A54E02A"/>
    <w:rsid w:val="3A727C5F"/>
    <w:rsid w:val="3A772026"/>
    <w:rsid w:val="3AA477AF"/>
    <w:rsid w:val="3AAA19D8"/>
    <w:rsid w:val="3AADD65B"/>
    <w:rsid w:val="3AC7A0C5"/>
    <w:rsid w:val="3AE8A558"/>
    <w:rsid w:val="3AFBF525"/>
    <w:rsid w:val="3B03CA10"/>
    <w:rsid w:val="3B08C8B9"/>
    <w:rsid w:val="3B19C6B0"/>
    <w:rsid w:val="3B2C9237"/>
    <w:rsid w:val="3B3C95C2"/>
    <w:rsid w:val="3B7A8A59"/>
    <w:rsid w:val="3B98A941"/>
    <w:rsid w:val="3BCB19B7"/>
    <w:rsid w:val="3BD77AB5"/>
    <w:rsid w:val="3BF406AE"/>
    <w:rsid w:val="3C1A3725"/>
    <w:rsid w:val="3C203AE2"/>
    <w:rsid w:val="3C242C59"/>
    <w:rsid w:val="3C28BEE5"/>
    <w:rsid w:val="3C3D7B83"/>
    <w:rsid w:val="3C4839BB"/>
    <w:rsid w:val="3C572510"/>
    <w:rsid w:val="3C7D2B3E"/>
    <w:rsid w:val="3CA2FC5C"/>
    <w:rsid w:val="3CB47B59"/>
    <w:rsid w:val="3CEB1D25"/>
    <w:rsid w:val="3D21ACD7"/>
    <w:rsid w:val="3D3F9C00"/>
    <w:rsid w:val="3D4BDD3A"/>
    <w:rsid w:val="3D54613D"/>
    <w:rsid w:val="3D62F79B"/>
    <w:rsid w:val="3D85820C"/>
    <w:rsid w:val="3D9A5970"/>
    <w:rsid w:val="3D9AE548"/>
    <w:rsid w:val="3D9D673B"/>
    <w:rsid w:val="3DB3DAD4"/>
    <w:rsid w:val="3E120125"/>
    <w:rsid w:val="3E17F3ED"/>
    <w:rsid w:val="3E1FA8F8"/>
    <w:rsid w:val="3E366711"/>
    <w:rsid w:val="3E3F08B5"/>
    <w:rsid w:val="3E3FAAC5"/>
    <w:rsid w:val="3E5480F6"/>
    <w:rsid w:val="3E634F63"/>
    <w:rsid w:val="3E66A67B"/>
    <w:rsid w:val="3E685025"/>
    <w:rsid w:val="3E92BFF5"/>
    <w:rsid w:val="3EA2C88E"/>
    <w:rsid w:val="3EB9DB38"/>
    <w:rsid w:val="3EB9E131"/>
    <w:rsid w:val="3EBD7608"/>
    <w:rsid w:val="3EC98D10"/>
    <w:rsid w:val="3ED464C8"/>
    <w:rsid w:val="3EE151C0"/>
    <w:rsid w:val="3EE5DC9B"/>
    <w:rsid w:val="3F124D3D"/>
    <w:rsid w:val="3F1617BD"/>
    <w:rsid w:val="3F554BEE"/>
    <w:rsid w:val="3F5EF449"/>
    <w:rsid w:val="3F7EE1F2"/>
    <w:rsid w:val="3F852E92"/>
    <w:rsid w:val="3F95E47C"/>
    <w:rsid w:val="3FA979E3"/>
    <w:rsid w:val="3FD0C081"/>
    <w:rsid w:val="3FDE62AA"/>
    <w:rsid w:val="400B1041"/>
    <w:rsid w:val="40127F5E"/>
    <w:rsid w:val="401D0E5D"/>
    <w:rsid w:val="402D07B7"/>
    <w:rsid w:val="40374DA5"/>
    <w:rsid w:val="4039FE1E"/>
    <w:rsid w:val="40430F01"/>
    <w:rsid w:val="40467398"/>
    <w:rsid w:val="404F219F"/>
    <w:rsid w:val="4060CDAF"/>
    <w:rsid w:val="4072A7CC"/>
    <w:rsid w:val="408B6A87"/>
    <w:rsid w:val="4096EE7A"/>
    <w:rsid w:val="409F00E0"/>
    <w:rsid w:val="40B84B63"/>
    <w:rsid w:val="40D31D82"/>
    <w:rsid w:val="40D5D22A"/>
    <w:rsid w:val="40FCF76A"/>
    <w:rsid w:val="4104A63F"/>
    <w:rsid w:val="4126FC00"/>
    <w:rsid w:val="414B6043"/>
    <w:rsid w:val="414B7A66"/>
    <w:rsid w:val="4155DA6E"/>
    <w:rsid w:val="416207AB"/>
    <w:rsid w:val="4169794D"/>
    <w:rsid w:val="41929360"/>
    <w:rsid w:val="4196B6AD"/>
    <w:rsid w:val="419BED00"/>
    <w:rsid w:val="41A30D54"/>
    <w:rsid w:val="41AA8CCD"/>
    <w:rsid w:val="41B7134B"/>
    <w:rsid w:val="41B8B1F2"/>
    <w:rsid w:val="41B9F0B1"/>
    <w:rsid w:val="41F0E482"/>
    <w:rsid w:val="42211F2E"/>
    <w:rsid w:val="423D6355"/>
    <w:rsid w:val="42561B78"/>
    <w:rsid w:val="425D86B6"/>
    <w:rsid w:val="42643516"/>
    <w:rsid w:val="42758023"/>
    <w:rsid w:val="42794961"/>
    <w:rsid w:val="42825A44"/>
    <w:rsid w:val="42850EFD"/>
    <w:rsid w:val="42A57D95"/>
    <w:rsid w:val="42AACED7"/>
    <w:rsid w:val="42B7F640"/>
    <w:rsid w:val="42CF4856"/>
    <w:rsid w:val="42D24496"/>
    <w:rsid w:val="42DAF224"/>
    <w:rsid w:val="42DF870E"/>
    <w:rsid w:val="4313D006"/>
    <w:rsid w:val="43214763"/>
    <w:rsid w:val="4361AFD0"/>
    <w:rsid w:val="4363E4C3"/>
    <w:rsid w:val="4364236B"/>
    <w:rsid w:val="43656267"/>
    <w:rsid w:val="4369AD20"/>
    <w:rsid w:val="43B910C2"/>
    <w:rsid w:val="43C54E40"/>
    <w:rsid w:val="43F7D25D"/>
    <w:rsid w:val="43FA5F36"/>
    <w:rsid w:val="44024E23"/>
    <w:rsid w:val="44095C83"/>
    <w:rsid w:val="440B8E0D"/>
    <w:rsid w:val="4421352D"/>
    <w:rsid w:val="442510F4"/>
    <w:rsid w:val="442FA2E5"/>
    <w:rsid w:val="44337635"/>
    <w:rsid w:val="443CE062"/>
    <w:rsid w:val="4443AADB"/>
    <w:rsid w:val="4443F763"/>
    <w:rsid w:val="444E178E"/>
    <w:rsid w:val="4452B191"/>
    <w:rsid w:val="4456CA2A"/>
    <w:rsid w:val="445B0B23"/>
    <w:rsid w:val="445BFE57"/>
    <w:rsid w:val="446E60FD"/>
    <w:rsid w:val="4484A5BB"/>
    <w:rsid w:val="44A0F546"/>
    <w:rsid w:val="44A91F3A"/>
    <w:rsid w:val="44B56C7B"/>
    <w:rsid w:val="44BE0D94"/>
    <w:rsid w:val="44C3BDD2"/>
    <w:rsid w:val="44D97494"/>
    <w:rsid w:val="44E133CC"/>
    <w:rsid w:val="44F1DF67"/>
    <w:rsid w:val="44FFEC95"/>
    <w:rsid w:val="450336E4"/>
    <w:rsid w:val="454B111D"/>
    <w:rsid w:val="456734BF"/>
    <w:rsid w:val="4582E96C"/>
    <w:rsid w:val="459688A3"/>
    <w:rsid w:val="459C020C"/>
    <w:rsid w:val="45A4056A"/>
    <w:rsid w:val="45A93471"/>
    <w:rsid w:val="45AB2131"/>
    <w:rsid w:val="45AF46E1"/>
    <w:rsid w:val="45D0D01B"/>
    <w:rsid w:val="45D601C8"/>
    <w:rsid w:val="45E564F1"/>
    <w:rsid w:val="45FD044F"/>
    <w:rsid w:val="4601F0EA"/>
    <w:rsid w:val="4605E261"/>
    <w:rsid w:val="4606A117"/>
    <w:rsid w:val="460E1ED0"/>
    <w:rsid w:val="4611D593"/>
    <w:rsid w:val="4622144B"/>
    <w:rsid w:val="462A5BE0"/>
    <w:rsid w:val="463C651D"/>
    <w:rsid w:val="46498A34"/>
    <w:rsid w:val="4677A401"/>
    <w:rsid w:val="467F04A7"/>
    <w:rsid w:val="4681D1C6"/>
    <w:rsid w:val="469ED410"/>
    <w:rsid w:val="46ADC02B"/>
    <w:rsid w:val="46B9E04C"/>
    <w:rsid w:val="46C3FB96"/>
    <w:rsid w:val="46E8000B"/>
    <w:rsid w:val="46F897EB"/>
    <w:rsid w:val="472C909D"/>
    <w:rsid w:val="474173FA"/>
    <w:rsid w:val="4772707F"/>
    <w:rsid w:val="4776B816"/>
    <w:rsid w:val="478900F9"/>
    <w:rsid w:val="4792AD92"/>
    <w:rsid w:val="479EFB3B"/>
    <w:rsid w:val="47D1BACC"/>
    <w:rsid w:val="47DEC143"/>
    <w:rsid w:val="47E32874"/>
    <w:rsid w:val="47EBAC77"/>
    <w:rsid w:val="48046F32"/>
    <w:rsid w:val="4854E534"/>
    <w:rsid w:val="4861F08B"/>
    <w:rsid w:val="48691A43"/>
    <w:rsid w:val="48A124BC"/>
    <w:rsid w:val="48AAFBA5"/>
    <w:rsid w:val="48B63FC6"/>
    <w:rsid w:val="48D9E3DA"/>
    <w:rsid w:val="4903CA73"/>
    <w:rsid w:val="4907B7FC"/>
    <w:rsid w:val="4908234B"/>
    <w:rsid w:val="490F6E4B"/>
    <w:rsid w:val="49135D58"/>
    <w:rsid w:val="49324381"/>
    <w:rsid w:val="4948158F"/>
    <w:rsid w:val="494973A0"/>
    <w:rsid w:val="495BF44F"/>
    <w:rsid w:val="495CD5C0"/>
    <w:rsid w:val="4964C1A9"/>
    <w:rsid w:val="4970A6AA"/>
    <w:rsid w:val="49990593"/>
    <w:rsid w:val="499A7C3F"/>
    <w:rsid w:val="49A99877"/>
    <w:rsid w:val="49CAA6E4"/>
    <w:rsid w:val="49D326CA"/>
    <w:rsid w:val="4A06215E"/>
    <w:rsid w:val="4A0631AA"/>
    <w:rsid w:val="4A4CA31F"/>
    <w:rsid w:val="4A4D159D"/>
    <w:rsid w:val="4A4DF26E"/>
    <w:rsid w:val="4A6D5360"/>
    <w:rsid w:val="4A84BFED"/>
    <w:rsid w:val="4AD6F470"/>
    <w:rsid w:val="4AE08068"/>
    <w:rsid w:val="4AEAA0D6"/>
    <w:rsid w:val="4AFA7C3A"/>
    <w:rsid w:val="4B03A4AA"/>
    <w:rsid w:val="4B3DCFE1"/>
    <w:rsid w:val="4B57E83F"/>
    <w:rsid w:val="4B5B2C9E"/>
    <w:rsid w:val="4B73BD85"/>
    <w:rsid w:val="4B8760D2"/>
    <w:rsid w:val="4B884D81"/>
    <w:rsid w:val="4B953B2F"/>
    <w:rsid w:val="4BCDCE03"/>
    <w:rsid w:val="4BE8A59B"/>
    <w:rsid w:val="4BFBBCC0"/>
    <w:rsid w:val="4C04E3CE"/>
    <w:rsid w:val="4C4752F2"/>
    <w:rsid w:val="4C6196C1"/>
    <w:rsid w:val="4C766A99"/>
    <w:rsid w:val="4C823F49"/>
    <w:rsid w:val="4C8F52F9"/>
    <w:rsid w:val="4C937383"/>
    <w:rsid w:val="4C9F91B1"/>
    <w:rsid w:val="4CB51098"/>
    <w:rsid w:val="4CC3E2F7"/>
    <w:rsid w:val="4CD577DD"/>
    <w:rsid w:val="4CE29AFA"/>
    <w:rsid w:val="4D01A50D"/>
    <w:rsid w:val="4D19189E"/>
    <w:rsid w:val="4D258E18"/>
    <w:rsid w:val="4D41E554"/>
    <w:rsid w:val="4D46702F"/>
    <w:rsid w:val="4D610BCD"/>
    <w:rsid w:val="4D76D248"/>
    <w:rsid w:val="4D7AC3BF"/>
    <w:rsid w:val="4D871C93"/>
    <w:rsid w:val="4DA8E9B6"/>
    <w:rsid w:val="4DD2F956"/>
    <w:rsid w:val="4DD3C2A4"/>
    <w:rsid w:val="4E19C562"/>
    <w:rsid w:val="4E224198"/>
    <w:rsid w:val="4E22ADC7"/>
    <w:rsid w:val="4E2B989D"/>
    <w:rsid w:val="4E2C76A5"/>
    <w:rsid w:val="4E4D3EF9"/>
    <w:rsid w:val="4E670531"/>
    <w:rsid w:val="4E88D614"/>
    <w:rsid w:val="4E9B0962"/>
    <w:rsid w:val="4EB47BE8"/>
    <w:rsid w:val="4EB949B5"/>
    <w:rsid w:val="4EF412DF"/>
    <w:rsid w:val="4EFF6F94"/>
    <w:rsid w:val="4F1FE26C"/>
    <w:rsid w:val="4F24C218"/>
    <w:rsid w:val="4F26E893"/>
    <w:rsid w:val="4F482529"/>
    <w:rsid w:val="4F50A92C"/>
    <w:rsid w:val="4F5F6A05"/>
    <w:rsid w:val="4F690F54"/>
    <w:rsid w:val="4FA1240E"/>
    <w:rsid w:val="4FA4E99C"/>
    <w:rsid w:val="4FA619B2"/>
    <w:rsid w:val="4FD09B1B"/>
    <w:rsid w:val="4FEAEA2C"/>
    <w:rsid w:val="4FEDD5B2"/>
    <w:rsid w:val="4FFF4AE4"/>
    <w:rsid w:val="5002CF2F"/>
    <w:rsid w:val="50045B32"/>
    <w:rsid w:val="500761BB"/>
    <w:rsid w:val="500EE885"/>
    <w:rsid w:val="501F266B"/>
    <w:rsid w:val="5024EC4A"/>
    <w:rsid w:val="502790DA"/>
    <w:rsid w:val="504BD3AD"/>
    <w:rsid w:val="504C1F5E"/>
    <w:rsid w:val="504D97AF"/>
    <w:rsid w:val="504E29AA"/>
    <w:rsid w:val="5064CC7D"/>
    <w:rsid w:val="50712C38"/>
    <w:rsid w:val="50944F89"/>
    <w:rsid w:val="50A1DDC8"/>
    <w:rsid w:val="50B103BB"/>
    <w:rsid w:val="50BEA8B8"/>
    <w:rsid w:val="50CE7697"/>
    <w:rsid w:val="50D03A71"/>
    <w:rsid w:val="50D1C9D1"/>
    <w:rsid w:val="50FBCEA1"/>
    <w:rsid w:val="5152C2CD"/>
    <w:rsid w:val="51548585"/>
    <w:rsid w:val="515CA62B"/>
    <w:rsid w:val="516B8588"/>
    <w:rsid w:val="5174639A"/>
    <w:rsid w:val="51853BE4"/>
    <w:rsid w:val="519486FB"/>
    <w:rsid w:val="51B68B83"/>
    <w:rsid w:val="51D91943"/>
    <w:rsid w:val="51E0F693"/>
    <w:rsid w:val="51E1389F"/>
    <w:rsid w:val="51EBD82C"/>
    <w:rsid w:val="521375AA"/>
    <w:rsid w:val="521736C8"/>
    <w:rsid w:val="52256825"/>
    <w:rsid w:val="5229EE34"/>
    <w:rsid w:val="5252B77F"/>
    <w:rsid w:val="525E8C66"/>
    <w:rsid w:val="526345BA"/>
    <w:rsid w:val="527B540E"/>
    <w:rsid w:val="52903679"/>
    <w:rsid w:val="52979F02"/>
    <w:rsid w:val="5297C2E6"/>
    <w:rsid w:val="5297DDB1"/>
    <w:rsid w:val="52BFAC88"/>
    <w:rsid w:val="52E04D93"/>
    <w:rsid w:val="52E673D2"/>
    <w:rsid w:val="52EBBBC4"/>
    <w:rsid w:val="52FD32BC"/>
    <w:rsid w:val="530EC85D"/>
    <w:rsid w:val="53114D85"/>
    <w:rsid w:val="531B2FC4"/>
    <w:rsid w:val="533673E2"/>
    <w:rsid w:val="533F93B3"/>
    <w:rsid w:val="534625BA"/>
    <w:rsid w:val="534F4568"/>
    <w:rsid w:val="5369D5EB"/>
    <w:rsid w:val="536D06A3"/>
    <w:rsid w:val="537CB624"/>
    <w:rsid w:val="538661E4"/>
    <w:rsid w:val="538A535B"/>
    <w:rsid w:val="538B1CA9"/>
    <w:rsid w:val="5393316D"/>
    <w:rsid w:val="53AAD0CB"/>
    <w:rsid w:val="53BFFC1E"/>
    <w:rsid w:val="53C1D139"/>
    <w:rsid w:val="54081932"/>
    <w:rsid w:val="540FB182"/>
    <w:rsid w:val="5412229B"/>
    <w:rsid w:val="5421B1D7"/>
    <w:rsid w:val="543A4A82"/>
    <w:rsid w:val="546675F5"/>
    <w:rsid w:val="54698C24"/>
    <w:rsid w:val="546D0D4D"/>
    <w:rsid w:val="5471C812"/>
    <w:rsid w:val="547982C7"/>
    <w:rsid w:val="548AEF74"/>
    <w:rsid w:val="54945CEC"/>
    <w:rsid w:val="54B2043C"/>
    <w:rsid w:val="54D281AC"/>
    <w:rsid w:val="54ECECD7"/>
    <w:rsid w:val="554D673C"/>
    <w:rsid w:val="5556E7AE"/>
    <w:rsid w:val="5557E414"/>
    <w:rsid w:val="556C80B8"/>
    <w:rsid w:val="557B4A46"/>
    <w:rsid w:val="55857CF4"/>
    <w:rsid w:val="5599D302"/>
    <w:rsid w:val="55A11BA2"/>
    <w:rsid w:val="55A5C634"/>
    <w:rsid w:val="55C9C9F9"/>
    <w:rsid w:val="55CF3FC4"/>
    <w:rsid w:val="55E75FA8"/>
    <w:rsid w:val="55F7329D"/>
    <w:rsid w:val="56238FC2"/>
    <w:rsid w:val="5624301F"/>
    <w:rsid w:val="56389AE9"/>
    <w:rsid w:val="5651A2DF"/>
    <w:rsid w:val="5674E2DF"/>
    <w:rsid w:val="5677C53F"/>
    <w:rsid w:val="567D2F04"/>
    <w:rsid w:val="5688B2F7"/>
    <w:rsid w:val="568D6410"/>
    <w:rsid w:val="56906DAC"/>
    <w:rsid w:val="569B61F7"/>
    <w:rsid w:val="569CE326"/>
    <w:rsid w:val="56B4D51D"/>
    <w:rsid w:val="56BA92C2"/>
    <w:rsid w:val="56BBD664"/>
    <w:rsid w:val="56CA3AB7"/>
    <w:rsid w:val="570EC2D4"/>
    <w:rsid w:val="57132B57"/>
    <w:rsid w:val="57177840"/>
    <w:rsid w:val="573045D3"/>
    <w:rsid w:val="57326CC5"/>
    <w:rsid w:val="5738AC2C"/>
    <w:rsid w:val="5738E0BC"/>
    <w:rsid w:val="5769BE67"/>
    <w:rsid w:val="576AD78E"/>
    <w:rsid w:val="5770B48E"/>
    <w:rsid w:val="577FC3A5"/>
    <w:rsid w:val="578029F8"/>
    <w:rsid w:val="578420FD"/>
    <w:rsid w:val="57887B2A"/>
    <w:rsid w:val="5796E2AC"/>
    <w:rsid w:val="579D6C46"/>
    <w:rsid w:val="57A6AE30"/>
    <w:rsid w:val="57AE961B"/>
    <w:rsid w:val="57B4554F"/>
    <w:rsid w:val="57C94ECC"/>
    <w:rsid w:val="58064CD7"/>
    <w:rsid w:val="581AE273"/>
    <w:rsid w:val="581D92EC"/>
    <w:rsid w:val="581F52D9"/>
    <w:rsid w:val="5826A3CF"/>
    <w:rsid w:val="582A01EB"/>
    <w:rsid w:val="582C8530"/>
    <w:rsid w:val="584A2085"/>
    <w:rsid w:val="584D4BFF"/>
    <w:rsid w:val="58533157"/>
    <w:rsid w:val="5878685F"/>
    <w:rsid w:val="587A7E99"/>
    <w:rsid w:val="588BE55D"/>
    <w:rsid w:val="58B3E086"/>
    <w:rsid w:val="58B650CB"/>
    <w:rsid w:val="58B75365"/>
    <w:rsid w:val="58D76593"/>
    <w:rsid w:val="58E944F8"/>
    <w:rsid w:val="58EA3A9C"/>
    <w:rsid w:val="58EF3C59"/>
    <w:rsid w:val="58F756B5"/>
    <w:rsid w:val="58F8B906"/>
    <w:rsid w:val="590709C0"/>
    <w:rsid w:val="590F40C0"/>
    <w:rsid w:val="5910BE67"/>
    <w:rsid w:val="591A6ADF"/>
    <w:rsid w:val="591D8DF0"/>
    <w:rsid w:val="59325F34"/>
    <w:rsid w:val="5939BFDA"/>
    <w:rsid w:val="59565A26"/>
    <w:rsid w:val="5956D8B3"/>
    <w:rsid w:val="59594D4E"/>
    <w:rsid w:val="59732C26"/>
    <w:rsid w:val="598F4F90"/>
    <w:rsid w:val="5991E58B"/>
    <w:rsid w:val="59CA5427"/>
    <w:rsid w:val="59EBE5DD"/>
    <w:rsid w:val="59F2B5F3"/>
    <w:rsid w:val="5A1D64AB"/>
    <w:rsid w:val="5A21F6FB"/>
    <w:rsid w:val="5A2AF317"/>
    <w:rsid w:val="5A2B7666"/>
    <w:rsid w:val="5A2B86D9"/>
    <w:rsid w:val="5A2C2207"/>
    <w:rsid w:val="5A3960CF"/>
    <w:rsid w:val="5A4ACC19"/>
    <w:rsid w:val="5A513203"/>
    <w:rsid w:val="5A63CD92"/>
    <w:rsid w:val="5A6F776E"/>
    <w:rsid w:val="5AA3C9AD"/>
    <w:rsid w:val="5AAC7A2C"/>
    <w:rsid w:val="5AB59363"/>
    <w:rsid w:val="5ABF2A65"/>
    <w:rsid w:val="5ACB17B9"/>
    <w:rsid w:val="5AF847EE"/>
    <w:rsid w:val="5B30AF97"/>
    <w:rsid w:val="5B34F681"/>
    <w:rsid w:val="5B4FC9E3"/>
    <w:rsid w:val="5B588DAD"/>
    <w:rsid w:val="5B5C56EB"/>
    <w:rsid w:val="5B818F20"/>
    <w:rsid w:val="5B8D6370"/>
    <w:rsid w:val="5BB46417"/>
    <w:rsid w:val="5BDDE189"/>
    <w:rsid w:val="5BE233F7"/>
    <w:rsid w:val="5BF7A6DE"/>
    <w:rsid w:val="5C02D0C2"/>
    <w:rsid w:val="5C08206B"/>
    <w:rsid w:val="5C105F01"/>
    <w:rsid w:val="5C241AAF"/>
    <w:rsid w:val="5C2FC3AC"/>
    <w:rsid w:val="5C48EB0E"/>
    <w:rsid w:val="5C49D793"/>
    <w:rsid w:val="5C4D781A"/>
    <w:rsid w:val="5C54FFFE"/>
    <w:rsid w:val="5C6FC1CF"/>
    <w:rsid w:val="5C76CA51"/>
    <w:rsid w:val="5C7A1F53"/>
    <w:rsid w:val="5C7FA1B1"/>
    <w:rsid w:val="5C8107DC"/>
    <w:rsid w:val="5C82C7C9"/>
    <w:rsid w:val="5C88C291"/>
    <w:rsid w:val="5CC14406"/>
    <w:rsid w:val="5CD182BE"/>
    <w:rsid w:val="5CFE2B68"/>
    <w:rsid w:val="5D19C0E2"/>
    <w:rsid w:val="5D1F57BF"/>
    <w:rsid w:val="5D29481B"/>
    <w:rsid w:val="5D2E731A"/>
    <w:rsid w:val="5D677E88"/>
    <w:rsid w:val="5D6B6E2A"/>
    <w:rsid w:val="5D86859A"/>
    <w:rsid w:val="5DA8B8BD"/>
    <w:rsid w:val="5DC0ED36"/>
    <w:rsid w:val="5DD6104E"/>
    <w:rsid w:val="5DFF00AE"/>
    <w:rsid w:val="5E0085A4"/>
    <w:rsid w:val="5E0299B7"/>
    <w:rsid w:val="5E04B4DD"/>
    <w:rsid w:val="5E1641E0"/>
    <w:rsid w:val="5E186C9F"/>
    <w:rsid w:val="5E2333A6"/>
    <w:rsid w:val="5E3B9AD8"/>
    <w:rsid w:val="5E3FFBEA"/>
    <w:rsid w:val="5E430C91"/>
    <w:rsid w:val="5E54F50B"/>
    <w:rsid w:val="5E886922"/>
    <w:rsid w:val="5E93539C"/>
    <w:rsid w:val="5EA6377A"/>
    <w:rsid w:val="5EB8C4C0"/>
    <w:rsid w:val="5EC41C5D"/>
    <w:rsid w:val="5EE2039C"/>
    <w:rsid w:val="5EE581C5"/>
    <w:rsid w:val="5EEBD335"/>
    <w:rsid w:val="5EEC937E"/>
    <w:rsid w:val="5EF47AC6"/>
    <w:rsid w:val="5EF4E31D"/>
    <w:rsid w:val="5EF92EA3"/>
    <w:rsid w:val="5F04E9CF"/>
    <w:rsid w:val="5F345312"/>
    <w:rsid w:val="5F35DDFD"/>
    <w:rsid w:val="5F55CB25"/>
    <w:rsid w:val="5F6A54B3"/>
    <w:rsid w:val="5F7250E9"/>
    <w:rsid w:val="5F7EC663"/>
    <w:rsid w:val="5F875CE1"/>
    <w:rsid w:val="5F94C66E"/>
    <w:rsid w:val="5FA0853E"/>
    <w:rsid w:val="5FA369C2"/>
    <w:rsid w:val="5FB31132"/>
    <w:rsid w:val="5FB54F9A"/>
    <w:rsid w:val="5FCA20DE"/>
    <w:rsid w:val="5FD1E459"/>
    <w:rsid w:val="5FD412F2"/>
    <w:rsid w:val="5FE10465"/>
    <w:rsid w:val="5FE43AC2"/>
    <w:rsid w:val="5FE80400"/>
    <w:rsid w:val="60239FF2"/>
    <w:rsid w:val="6033AB97"/>
    <w:rsid w:val="6049AA80"/>
    <w:rsid w:val="6049E0F7"/>
    <w:rsid w:val="605874C2"/>
    <w:rsid w:val="60729353"/>
    <w:rsid w:val="607A655C"/>
    <w:rsid w:val="60975151"/>
    <w:rsid w:val="60A161BB"/>
    <w:rsid w:val="60BB0C1A"/>
    <w:rsid w:val="60C3901D"/>
    <w:rsid w:val="60D1F932"/>
    <w:rsid w:val="60D2AB78"/>
    <w:rsid w:val="60D79813"/>
    <w:rsid w:val="60DB898A"/>
    <w:rsid w:val="60E62215"/>
    <w:rsid w:val="60F57CFC"/>
    <w:rsid w:val="60FFA805"/>
    <w:rsid w:val="6108870C"/>
    <w:rsid w:val="61271495"/>
    <w:rsid w:val="612BAA5D"/>
    <w:rsid w:val="613379FC"/>
    <w:rsid w:val="6141314E"/>
    <w:rsid w:val="614CF11B"/>
    <w:rsid w:val="614F6FBE"/>
    <w:rsid w:val="615011CE"/>
    <w:rsid w:val="6186E7F6"/>
    <w:rsid w:val="618BFE55"/>
    <w:rsid w:val="618D2D45"/>
    <w:rsid w:val="618EBAC6"/>
    <w:rsid w:val="61911EBC"/>
    <w:rsid w:val="6198ECA6"/>
    <w:rsid w:val="61C9AAC9"/>
    <w:rsid w:val="61CB2C6D"/>
    <w:rsid w:val="6224271A"/>
    <w:rsid w:val="623BB148"/>
    <w:rsid w:val="62AB9A9E"/>
    <w:rsid w:val="62CED0F4"/>
    <w:rsid w:val="62D82600"/>
    <w:rsid w:val="62DD167F"/>
    <w:rsid w:val="62E7234D"/>
    <w:rsid w:val="62F79850"/>
    <w:rsid w:val="6324228B"/>
    <w:rsid w:val="632B0F11"/>
    <w:rsid w:val="63331540"/>
    <w:rsid w:val="635E7CE0"/>
    <w:rsid w:val="63619BD4"/>
    <w:rsid w:val="636DE15F"/>
    <w:rsid w:val="638963AC"/>
    <w:rsid w:val="638B7D30"/>
    <w:rsid w:val="6390FB40"/>
    <w:rsid w:val="6398899F"/>
    <w:rsid w:val="639A2CE6"/>
    <w:rsid w:val="63B37180"/>
    <w:rsid w:val="63D478D9"/>
    <w:rsid w:val="63E1D55A"/>
    <w:rsid w:val="63E53B43"/>
    <w:rsid w:val="63E60491"/>
    <w:rsid w:val="640A79F5"/>
    <w:rsid w:val="640CFA54"/>
    <w:rsid w:val="6417E57E"/>
    <w:rsid w:val="646B91B9"/>
    <w:rsid w:val="647B9A72"/>
    <w:rsid w:val="647C44C8"/>
    <w:rsid w:val="648C0F29"/>
    <w:rsid w:val="648FA691"/>
    <w:rsid w:val="64910F3A"/>
    <w:rsid w:val="649BCA8B"/>
    <w:rsid w:val="64A73E79"/>
    <w:rsid w:val="64A7AA96"/>
    <w:rsid w:val="64C10BB1"/>
    <w:rsid w:val="64C93564"/>
    <w:rsid w:val="64CB703A"/>
    <w:rsid w:val="64CC865E"/>
    <w:rsid w:val="64E4A967"/>
    <w:rsid w:val="64EBA2F2"/>
    <w:rsid w:val="653CF262"/>
    <w:rsid w:val="655A2DCA"/>
    <w:rsid w:val="65618050"/>
    <w:rsid w:val="65725E25"/>
    <w:rsid w:val="65895059"/>
    <w:rsid w:val="658F795C"/>
    <w:rsid w:val="659F5E05"/>
    <w:rsid w:val="65AAE1F8"/>
    <w:rsid w:val="65ADFC30"/>
    <w:rsid w:val="65AFB92D"/>
    <w:rsid w:val="65C7962A"/>
    <w:rsid w:val="65D43D7A"/>
    <w:rsid w:val="661CCBD1"/>
    <w:rsid w:val="6640D0B7"/>
    <w:rsid w:val="6657E794"/>
    <w:rsid w:val="667C7AA6"/>
    <w:rsid w:val="669BD7CC"/>
    <w:rsid w:val="66AABC7D"/>
    <w:rsid w:val="66BB5822"/>
    <w:rsid w:val="66D2644F"/>
    <w:rsid w:val="66D9B348"/>
    <w:rsid w:val="66E11041"/>
    <w:rsid w:val="66EFA11A"/>
    <w:rsid w:val="66FB9C2F"/>
    <w:rsid w:val="66FCDFA6"/>
    <w:rsid w:val="671C448D"/>
    <w:rsid w:val="67239761"/>
    <w:rsid w:val="672B75D5"/>
    <w:rsid w:val="673891BA"/>
    <w:rsid w:val="673E4B69"/>
    <w:rsid w:val="67536C79"/>
    <w:rsid w:val="675D0E98"/>
    <w:rsid w:val="6764FA22"/>
    <w:rsid w:val="677300BE"/>
    <w:rsid w:val="67734B34"/>
    <w:rsid w:val="677E2184"/>
    <w:rsid w:val="67AE937E"/>
    <w:rsid w:val="67BA9470"/>
    <w:rsid w:val="67BC5D53"/>
    <w:rsid w:val="67C24F25"/>
    <w:rsid w:val="67D6BBC2"/>
    <w:rsid w:val="67DADF0F"/>
    <w:rsid w:val="67E9C11E"/>
    <w:rsid w:val="67F8037B"/>
    <w:rsid w:val="680A6A47"/>
    <w:rsid w:val="680B3ECA"/>
    <w:rsid w:val="680E9ACE"/>
    <w:rsid w:val="681619AA"/>
    <w:rsid w:val="68492CE2"/>
    <w:rsid w:val="68554CEB"/>
    <w:rsid w:val="68654F67"/>
    <w:rsid w:val="6880C269"/>
    <w:rsid w:val="688631B9"/>
    <w:rsid w:val="688A88A0"/>
    <w:rsid w:val="689225D6"/>
    <w:rsid w:val="68A0E5CA"/>
    <w:rsid w:val="68ABF725"/>
    <w:rsid w:val="68AEF2F8"/>
    <w:rsid w:val="68BC68AE"/>
    <w:rsid w:val="68D560A1"/>
    <w:rsid w:val="68FC1F83"/>
    <w:rsid w:val="6912A76A"/>
    <w:rsid w:val="692D9951"/>
    <w:rsid w:val="6931F3B8"/>
    <w:rsid w:val="69358202"/>
    <w:rsid w:val="69377AF8"/>
    <w:rsid w:val="6939AA24"/>
    <w:rsid w:val="694F1A56"/>
    <w:rsid w:val="695406F1"/>
    <w:rsid w:val="695AA4B6"/>
    <w:rsid w:val="6963EB9A"/>
    <w:rsid w:val="69822938"/>
    <w:rsid w:val="6984F5EA"/>
    <w:rsid w:val="6993640F"/>
    <w:rsid w:val="6998FDE0"/>
    <w:rsid w:val="69B48EB5"/>
    <w:rsid w:val="69C9BA08"/>
    <w:rsid w:val="69CF8DF7"/>
    <w:rsid w:val="69D8C46E"/>
    <w:rsid w:val="69E441A3"/>
    <w:rsid w:val="69E747CB"/>
    <w:rsid w:val="6A19DADB"/>
    <w:rsid w:val="6A2EE4F4"/>
    <w:rsid w:val="6A34382E"/>
    <w:rsid w:val="6A4871CC"/>
    <w:rsid w:val="6A570C7D"/>
    <w:rsid w:val="6A655D8F"/>
    <w:rsid w:val="6A76CB37"/>
    <w:rsid w:val="6A7B85FC"/>
    <w:rsid w:val="6A97AD5E"/>
    <w:rsid w:val="6AD3C62B"/>
    <w:rsid w:val="6B00F011"/>
    <w:rsid w:val="6B12D13F"/>
    <w:rsid w:val="6B1DF999"/>
    <w:rsid w:val="6B23D0D3"/>
    <w:rsid w:val="6B328E02"/>
    <w:rsid w:val="6B773F4F"/>
    <w:rsid w:val="6B9B208F"/>
    <w:rsid w:val="6BAB5F8A"/>
    <w:rsid w:val="6BABBAE0"/>
    <w:rsid w:val="6BB1CE40"/>
    <w:rsid w:val="6BBB304A"/>
    <w:rsid w:val="6BBDD27B"/>
    <w:rsid w:val="6BC27EE2"/>
    <w:rsid w:val="6BE82DCC"/>
    <w:rsid w:val="6BF20822"/>
    <w:rsid w:val="6BF3B1BF"/>
    <w:rsid w:val="6C027DA3"/>
    <w:rsid w:val="6C112F3F"/>
    <w:rsid w:val="6C22F863"/>
    <w:rsid w:val="6C2869F6"/>
    <w:rsid w:val="6C47E55F"/>
    <w:rsid w:val="6C4A0AC3"/>
    <w:rsid w:val="6C595A4B"/>
    <w:rsid w:val="6C5CCA1A"/>
    <w:rsid w:val="6C61AA21"/>
    <w:rsid w:val="6C666903"/>
    <w:rsid w:val="6C867DAF"/>
    <w:rsid w:val="6C97CEB1"/>
    <w:rsid w:val="6CAE5BC5"/>
    <w:rsid w:val="6CCD0C52"/>
    <w:rsid w:val="6CD03E18"/>
    <w:rsid w:val="6CD36BC1"/>
    <w:rsid w:val="6D008CD2"/>
    <w:rsid w:val="6D2CF786"/>
    <w:rsid w:val="6D2F3FA8"/>
    <w:rsid w:val="6D2FF48F"/>
    <w:rsid w:val="6D74B519"/>
    <w:rsid w:val="6DA673DB"/>
    <w:rsid w:val="6DAA3281"/>
    <w:rsid w:val="6DBF0307"/>
    <w:rsid w:val="6DC96829"/>
    <w:rsid w:val="6DCDF7E2"/>
    <w:rsid w:val="6DE156F8"/>
    <w:rsid w:val="6DFC817C"/>
    <w:rsid w:val="6E0DC104"/>
    <w:rsid w:val="6E15E32E"/>
    <w:rsid w:val="6E1EC923"/>
    <w:rsid w:val="6E2A2BF1"/>
    <w:rsid w:val="6E2FD4D9"/>
    <w:rsid w:val="6E3C4A53"/>
    <w:rsid w:val="6E66EEE2"/>
    <w:rsid w:val="6E6D32D1"/>
    <w:rsid w:val="6E9B3BE0"/>
    <w:rsid w:val="6EA615C2"/>
    <w:rsid w:val="6ED64418"/>
    <w:rsid w:val="6ED976D9"/>
    <w:rsid w:val="6EEA4593"/>
    <w:rsid w:val="6F136AC4"/>
    <w:rsid w:val="6F1B675D"/>
    <w:rsid w:val="6F2D0CF1"/>
    <w:rsid w:val="6F6C0FF8"/>
    <w:rsid w:val="6FB03FE2"/>
    <w:rsid w:val="6FC75AB4"/>
    <w:rsid w:val="6FF1B250"/>
    <w:rsid w:val="700B78C5"/>
    <w:rsid w:val="700BC1EF"/>
    <w:rsid w:val="700D942A"/>
    <w:rsid w:val="7013F21D"/>
    <w:rsid w:val="7017816B"/>
    <w:rsid w:val="70198003"/>
    <w:rsid w:val="70333EBE"/>
    <w:rsid w:val="7062AAA2"/>
    <w:rsid w:val="7062D969"/>
    <w:rsid w:val="706AEDED"/>
    <w:rsid w:val="7080F8E2"/>
    <w:rsid w:val="7091439E"/>
    <w:rsid w:val="70AA855E"/>
    <w:rsid w:val="70DEE303"/>
    <w:rsid w:val="70DF7400"/>
    <w:rsid w:val="70F0B73C"/>
    <w:rsid w:val="70F68C73"/>
    <w:rsid w:val="70FDFA95"/>
    <w:rsid w:val="71094CB2"/>
    <w:rsid w:val="71119DE4"/>
    <w:rsid w:val="7113F966"/>
    <w:rsid w:val="711D54A8"/>
    <w:rsid w:val="71250F5D"/>
    <w:rsid w:val="7142F184"/>
    <w:rsid w:val="715266EE"/>
    <w:rsid w:val="715669E5"/>
    <w:rsid w:val="7166134B"/>
    <w:rsid w:val="7179A616"/>
    <w:rsid w:val="717E0E42"/>
    <w:rsid w:val="718EFB37"/>
    <w:rsid w:val="71BC4020"/>
    <w:rsid w:val="71C716F7"/>
    <w:rsid w:val="71DC913A"/>
    <w:rsid w:val="71E21648"/>
    <w:rsid w:val="71ED1F69"/>
    <w:rsid w:val="71EF9696"/>
    <w:rsid w:val="720164C8"/>
    <w:rsid w:val="7206662B"/>
    <w:rsid w:val="720D6AAB"/>
    <w:rsid w:val="7213EBA2"/>
    <w:rsid w:val="72156CBE"/>
    <w:rsid w:val="72179C7B"/>
    <w:rsid w:val="72316568"/>
    <w:rsid w:val="72413C4B"/>
    <w:rsid w:val="726F1A9E"/>
    <w:rsid w:val="729649B9"/>
    <w:rsid w:val="7296E57B"/>
    <w:rsid w:val="729BD891"/>
    <w:rsid w:val="72AABC74"/>
    <w:rsid w:val="72CB01F0"/>
    <w:rsid w:val="72ECE849"/>
    <w:rsid w:val="72F03A25"/>
    <w:rsid w:val="735041E4"/>
    <w:rsid w:val="7354BCFD"/>
    <w:rsid w:val="7354E536"/>
    <w:rsid w:val="7362D7E9"/>
    <w:rsid w:val="73713C72"/>
    <w:rsid w:val="73AA0658"/>
    <w:rsid w:val="73BD0A0E"/>
    <w:rsid w:val="73C8E460"/>
    <w:rsid w:val="73DA1F37"/>
    <w:rsid w:val="73F6A448"/>
    <w:rsid w:val="73FF8525"/>
    <w:rsid w:val="741714C2"/>
    <w:rsid w:val="7417EB06"/>
    <w:rsid w:val="741E2C71"/>
    <w:rsid w:val="741FFFCA"/>
    <w:rsid w:val="74620C01"/>
    <w:rsid w:val="7470209D"/>
    <w:rsid w:val="74A35193"/>
    <w:rsid w:val="74A413A3"/>
    <w:rsid w:val="74BD9B8F"/>
    <w:rsid w:val="74D13642"/>
    <w:rsid w:val="74D72F7B"/>
    <w:rsid w:val="74EA8D5A"/>
    <w:rsid w:val="74EAF320"/>
    <w:rsid w:val="74F2492E"/>
    <w:rsid w:val="7502EC8D"/>
    <w:rsid w:val="75092DE2"/>
    <w:rsid w:val="750DA03F"/>
    <w:rsid w:val="751B0A38"/>
    <w:rsid w:val="75410743"/>
    <w:rsid w:val="7541173D"/>
    <w:rsid w:val="754310AD"/>
    <w:rsid w:val="755034AE"/>
    <w:rsid w:val="755CC73B"/>
    <w:rsid w:val="7574E0FE"/>
    <w:rsid w:val="758AD0DF"/>
    <w:rsid w:val="758C79E1"/>
    <w:rsid w:val="758CE970"/>
    <w:rsid w:val="758E0483"/>
    <w:rsid w:val="759D1923"/>
    <w:rsid w:val="75B665F5"/>
    <w:rsid w:val="75C6EF77"/>
    <w:rsid w:val="75C9D9A9"/>
    <w:rsid w:val="75CD7B3C"/>
    <w:rsid w:val="75D08E6C"/>
    <w:rsid w:val="75D1447A"/>
    <w:rsid w:val="75D8C3B7"/>
    <w:rsid w:val="75DCEC85"/>
    <w:rsid w:val="75DD59EF"/>
    <w:rsid w:val="75F2CB0A"/>
    <w:rsid w:val="75F96C19"/>
    <w:rsid w:val="760EA7F2"/>
    <w:rsid w:val="7626A15F"/>
    <w:rsid w:val="763CA6AB"/>
    <w:rsid w:val="763CAFAA"/>
    <w:rsid w:val="76710911"/>
    <w:rsid w:val="768C3BAD"/>
    <w:rsid w:val="769F1F22"/>
    <w:rsid w:val="76A41DE0"/>
    <w:rsid w:val="76BB7A66"/>
    <w:rsid w:val="76FCE6D2"/>
    <w:rsid w:val="770D258A"/>
    <w:rsid w:val="771C5F8C"/>
    <w:rsid w:val="77264A8E"/>
    <w:rsid w:val="7729DC57"/>
    <w:rsid w:val="773DE1B2"/>
    <w:rsid w:val="776232F8"/>
    <w:rsid w:val="7766EDBD"/>
    <w:rsid w:val="776EA872"/>
    <w:rsid w:val="77922ECD"/>
    <w:rsid w:val="77BF2354"/>
    <w:rsid w:val="77C901A2"/>
    <w:rsid w:val="77DCA8A4"/>
    <w:rsid w:val="77E507EF"/>
    <w:rsid w:val="77EC53A7"/>
    <w:rsid w:val="7808D12A"/>
    <w:rsid w:val="781458FB"/>
    <w:rsid w:val="781CDCFE"/>
    <w:rsid w:val="782D75C5"/>
    <w:rsid w:val="782EC1D0"/>
    <w:rsid w:val="78456F32"/>
    <w:rsid w:val="784B9EFC"/>
    <w:rsid w:val="784E9555"/>
    <w:rsid w:val="7858861F"/>
    <w:rsid w:val="7863F884"/>
    <w:rsid w:val="7865C46F"/>
    <w:rsid w:val="7890DFD3"/>
    <w:rsid w:val="789E75C8"/>
    <w:rsid w:val="78A724EB"/>
    <w:rsid w:val="78B96E5C"/>
    <w:rsid w:val="78BAC83A"/>
    <w:rsid w:val="78BCB4E5"/>
    <w:rsid w:val="78C2E124"/>
    <w:rsid w:val="78C76B06"/>
    <w:rsid w:val="78F6D6E2"/>
    <w:rsid w:val="7914906D"/>
    <w:rsid w:val="7914F514"/>
    <w:rsid w:val="7918B3BA"/>
    <w:rsid w:val="791B67D8"/>
    <w:rsid w:val="791F6BB4"/>
    <w:rsid w:val="7922E65E"/>
    <w:rsid w:val="792F0DA8"/>
    <w:rsid w:val="793085E9"/>
    <w:rsid w:val="7969138E"/>
    <w:rsid w:val="7970C566"/>
    <w:rsid w:val="798100CB"/>
    <w:rsid w:val="799208D1"/>
    <w:rsid w:val="79B1755F"/>
    <w:rsid w:val="79CB7BCD"/>
    <w:rsid w:val="79D5EDFA"/>
    <w:rsid w:val="79EC3DF5"/>
    <w:rsid w:val="7A1E629A"/>
    <w:rsid w:val="7A30042B"/>
    <w:rsid w:val="7A491C6E"/>
    <w:rsid w:val="7A4F197F"/>
    <w:rsid w:val="7A58CB5B"/>
    <w:rsid w:val="7A88B9A6"/>
    <w:rsid w:val="7ADA9131"/>
    <w:rsid w:val="7AE613D2"/>
    <w:rsid w:val="7AE7EEFE"/>
    <w:rsid w:val="7AEE6751"/>
    <w:rsid w:val="7B1357D5"/>
    <w:rsid w:val="7B1793C3"/>
    <w:rsid w:val="7B1F8820"/>
    <w:rsid w:val="7B22D1F7"/>
    <w:rsid w:val="7B26C916"/>
    <w:rsid w:val="7B2C42D9"/>
    <w:rsid w:val="7B3A3206"/>
    <w:rsid w:val="7B441E3F"/>
    <w:rsid w:val="7B6CA903"/>
    <w:rsid w:val="7B8A7B6B"/>
    <w:rsid w:val="7B9E0EAE"/>
    <w:rsid w:val="7BB49FE2"/>
    <w:rsid w:val="7BC689D5"/>
    <w:rsid w:val="7C06A2C8"/>
    <w:rsid w:val="7C17BE44"/>
    <w:rsid w:val="7C4104E5"/>
    <w:rsid w:val="7C6CAE9F"/>
    <w:rsid w:val="7C8BD5E1"/>
    <w:rsid w:val="7C8FC758"/>
    <w:rsid w:val="7C9747F0"/>
    <w:rsid w:val="7CA4DC53"/>
    <w:rsid w:val="7CBEB2ED"/>
    <w:rsid w:val="7CCE1EF6"/>
    <w:rsid w:val="7CDC3B10"/>
    <w:rsid w:val="7CE4FCFF"/>
    <w:rsid w:val="7CEFE10F"/>
    <w:rsid w:val="7CFA8156"/>
    <w:rsid w:val="7D09068F"/>
    <w:rsid w:val="7D187395"/>
    <w:rsid w:val="7D31866A"/>
    <w:rsid w:val="7D3A0A6D"/>
    <w:rsid w:val="7D569E49"/>
    <w:rsid w:val="7D5BA0A2"/>
    <w:rsid w:val="7D5D9A18"/>
    <w:rsid w:val="7D5DFB90"/>
    <w:rsid w:val="7D5EE58D"/>
    <w:rsid w:val="7D7E380E"/>
    <w:rsid w:val="7D7F5B6B"/>
    <w:rsid w:val="7D9EAE08"/>
    <w:rsid w:val="7DAFBD84"/>
    <w:rsid w:val="7DB84187"/>
    <w:rsid w:val="7DD5D99B"/>
    <w:rsid w:val="7DF87319"/>
    <w:rsid w:val="7E104FF2"/>
    <w:rsid w:val="7E119A7B"/>
    <w:rsid w:val="7E15C2E0"/>
    <w:rsid w:val="7E2B33C2"/>
    <w:rsid w:val="7E4CEA0A"/>
    <w:rsid w:val="7E67A671"/>
    <w:rsid w:val="7E69DEB1"/>
    <w:rsid w:val="7EA567E5"/>
    <w:rsid w:val="7EB09186"/>
    <w:rsid w:val="7F011D7B"/>
    <w:rsid w:val="7F280F33"/>
    <w:rsid w:val="7F2CA40C"/>
    <w:rsid w:val="7F49BCE5"/>
    <w:rsid w:val="7F627508"/>
    <w:rsid w:val="7F73E0BB"/>
    <w:rsid w:val="7F7955B0"/>
    <w:rsid w:val="7F899468"/>
    <w:rsid w:val="7F9A8D55"/>
    <w:rsid w:val="7FA67A70"/>
    <w:rsid w:val="7FCFFEA1"/>
    <w:rsid w:val="7FD9D2A7"/>
    <w:rsid w:val="7FDEA1D6"/>
    <w:rsid w:val="7FE9E5AB"/>
    <w:rsid w:val="7FFFAC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2"/>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2"/>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CD5AFD"/>
    <w:pPr>
      <w:tabs>
        <w:tab w:val="left" w:pos="720"/>
        <w:tab w:val="left" w:pos="1140"/>
      </w:tabs>
      <w:spacing w:before="240" w:after="120"/>
      <w:outlineLvl w:val="2"/>
    </w:pPr>
    <w:rPr>
      <w:b/>
      <w:bCs/>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CD5AFD"/>
    <w:rPr>
      <w:rFonts w:ascii="Franklin Gothic Book" w:hAnsi="Franklin Gothic Book"/>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654521"/>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ova" w:hAnsi="Arial Nov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654521"/>
    <w:rPr>
      <w:rFonts w:ascii="Arial Narrow" w:eastAsia="Times New Roman" w:hAnsi="Arial Narrow" w:cs="Times New Roman"/>
      <w:b/>
      <w:bCs/>
      <w:sz w:val="20"/>
      <w:szCs w:val="20"/>
    </w:rPr>
  </w:style>
  <w:style w:type="table" w:styleId="TableGrid">
    <w:name w:val="Table Grid"/>
    <w:aliases w:val="Summary box,Table Gridbeth,RTI AMCP Table,new style,ASD Table,Dossier table,Section 3- footnotes,CMA Table Template,PBAC table,MSD Table Grid,HealthConsult,HTAtableplain,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614E05"/>
    <w:pPr>
      <w:widowControl w:val="0"/>
      <w:spacing w:before="0"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614E05"/>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1"/>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abon" w:hAnsi="Sabon"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abon" w:hAnsi="Sabon"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abon" w:hAnsi="Sabon"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pf0">
    <w:name w:val="pf0"/>
    <w:basedOn w:val="Normal"/>
    <w:rsid w:val="00996B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
    <w:name w:val="Table"/>
    <w:basedOn w:val="Normal"/>
    <w:link w:val="TableChar"/>
    <w:qFormat/>
    <w:rsid w:val="00FA7D87"/>
    <w:pPr>
      <w:spacing w:before="0" w:after="0" w:line="240" w:lineRule="auto"/>
    </w:pPr>
    <w:rPr>
      <w:rFonts w:ascii="Candara" w:eastAsiaTheme="majorEastAsia" w:hAnsi="Candara" w:cstheme="majorBidi"/>
      <w:sz w:val="20"/>
      <w:lang w:bidi="en-US"/>
    </w:rPr>
  </w:style>
  <w:style w:type="character" w:customStyle="1" w:styleId="TableChar">
    <w:name w:val="Table Char"/>
    <w:basedOn w:val="DefaultParagraphFont"/>
    <w:link w:val="Table"/>
    <w:locked/>
    <w:rsid w:val="00FA7D87"/>
    <w:rPr>
      <w:rFonts w:ascii="Candara" w:eastAsiaTheme="majorEastAsia" w:hAnsi="Candara" w:cstheme="majorBidi"/>
      <w:sz w:val="20"/>
      <w:lang w:bidi="en-US"/>
    </w:rPr>
  </w:style>
  <w:style w:type="paragraph" w:customStyle="1" w:styleId="TableBullets">
    <w:name w:val="Table Bullets"/>
    <w:basedOn w:val="Table"/>
    <w:uiPriority w:val="5"/>
    <w:qFormat/>
    <w:rsid w:val="00FA7D87"/>
    <w:pPr>
      <w:numPr>
        <w:numId w:val="10"/>
      </w:numPr>
      <w:ind w:left="357" w:hanging="357"/>
    </w:pPr>
  </w:style>
  <w:style w:type="character" w:customStyle="1" w:styleId="SmallSuperscript">
    <w:name w:val="Small Superscript"/>
    <w:basedOn w:val="DefaultParagraphFont"/>
    <w:uiPriority w:val="1"/>
    <w:qFormat/>
    <w:rsid w:val="00FA7D87"/>
    <w:rPr>
      <w:rFonts w:ascii="Candara" w:hAnsi="Candara"/>
      <w:sz w:val="20"/>
      <w:vertAlign w:val="superscript"/>
    </w:rPr>
  </w:style>
  <w:style w:type="character" w:styleId="Mention">
    <w:name w:val="Mention"/>
    <w:basedOn w:val="DefaultParagraphFont"/>
    <w:uiPriority w:val="99"/>
    <w:unhideWhenUsed/>
    <w:rsid w:val="00BE5DD0"/>
    <w:rPr>
      <w:color w:val="2B579A"/>
      <w:shd w:val="clear" w:color="auto" w:fill="E1DFDD"/>
    </w:rPr>
  </w:style>
  <w:style w:type="character" w:customStyle="1" w:styleId="FontSuperscript">
    <w:name w:val="Font Superscript"/>
    <w:basedOn w:val="DefaultParagraphFont"/>
    <w:uiPriority w:val="1"/>
    <w:qFormat/>
    <w:rsid w:val="000B6E90"/>
    <w:rPr>
      <w:rFonts w:ascii="Candara" w:hAnsi="Candara"/>
      <w:sz w:val="24"/>
      <w:vertAlign w:val="superscript"/>
    </w:rPr>
  </w:style>
  <w:style w:type="character" w:customStyle="1" w:styleId="Font">
    <w:name w:val="Font"/>
    <w:basedOn w:val="DefaultParagraphFont"/>
    <w:uiPriority w:val="1"/>
    <w:qFormat/>
    <w:rsid w:val="004B51D9"/>
    <w:rPr>
      <w:rFonts w:ascii="Candara" w:hAnsi="Candara"/>
      <w:sz w:val="24"/>
    </w:rPr>
  </w:style>
  <w:style w:type="character" w:customStyle="1" w:styleId="Small">
    <w:name w:val="Small"/>
    <w:basedOn w:val="Font"/>
    <w:uiPriority w:val="4"/>
    <w:qFormat/>
    <w:rsid w:val="00096D8F"/>
    <w:rPr>
      <w:rFonts w:ascii="Candara" w:hAnsi="Candara"/>
      <w:sz w:val="20"/>
    </w:rPr>
  </w:style>
  <w:style w:type="paragraph" w:customStyle="1" w:styleId="TableCentre">
    <w:name w:val="Table Centre"/>
    <w:basedOn w:val="Table"/>
    <w:qFormat/>
    <w:rsid w:val="00096D8F"/>
    <w:pPr>
      <w:jc w:val="center"/>
    </w:pPr>
  </w:style>
  <w:style w:type="paragraph" w:customStyle="1" w:styleId="EndNoteBibliography">
    <w:name w:val="EndNote Bibliography"/>
    <w:basedOn w:val="Normal"/>
    <w:link w:val="EndNoteBibliographyChar"/>
    <w:rsid w:val="003020E0"/>
    <w:pPr>
      <w:spacing w:before="0" w:after="200" w:line="240" w:lineRule="auto"/>
    </w:pPr>
    <w:rPr>
      <w:rFonts w:ascii="Candara" w:eastAsiaTheme="majorEastAsia" w:hAnsi="Candara" w:cstheme="majorBidi"/>
      <w:noProof/>
      <w:sz w:val="24"/>
      <w:lang w:val="en-US" w:bidi="en-US"/>
    </w:rPr>
  </w:style>
  <w:style w:type="character" w:customStyle="1" w:styleId="EndNoteBibliographyChar">
    <w:name w:val="EndNote Bibliography Char"/>
    <w:basedOn w:val="DefaultParagraphFont"/>
    <w:link w:val="EndNoteBibliography"/>
    <w:rsid w:val="003020E0"/>
    <w:rPr>
      <w:rFonts w:ascii="Candara" w:eastAsiaTheme="majorEastAsia" w:hAnsi="Candara" w:cstheme="majorBidi"/>
      <w:noProof/>
      <w:sz w:val="24"/>
      <w:lang w:val="en-US" w:bidi="en-US"/>
    </w:rPr>
  </w:style>
  <w:style w:type="character" w:styleId="UnresolvedMention">
    <w:name w:val="Unresolved Mention"/>
    <w:basedOn w:val="DefaultParagraphFont"/>
    <w:uiPriority w:val="99"/>
    <w:unhideWhenUsed/>
    <w:rsid w:val="00875D06"/>
    <w:rPr>
      <w:color w:val="605E5C"/>
      <w:shd w:val="clear" w:color="auto" w:fill="E1DFDD"/>
    </w:rPr>
  </w:style>
  <w:style w:type="paragraph" w:customStyle="1" w:styleId="paragraph">
    <w:name w:val="paragraph"/>
    <w:basedOn w:val="Normal"/>
    <w:rsid w:val="003C15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C1576"/>
  </w:style>
  <w:style w:type="character" w:customStyle="1" w:styleId="tabchar">
    <w:name w:val="tabchar"/>
    <w:basedOn w:val="DefaultParagraphFont"/>
    <w:rsid w:val="003C1576"/>
  </w:style>
  <w:style w:type="character" w:customStyle="1" w:styleId="eop">
    <w:name w:val="eop"/>
    <w:basedOn w:val="DefaultParagraphFont"/>
    <w:rsid w:val="003C1576"/>
  </w:style>
  <w:style w:type="character" w:customStyle="1" w:styleId="cf01">
    <w:name w:val="cf01"/>
    <w:basedOn w:val="DefaultParagraphFont"/>
    <w:rsid w:val="000E13E2"/>
    <w:rPr>
      <w:rFonts w:ascii="Segoe UI" w:hAnsi="Segoe UI" w:cs="Segoe UI" w:hint="default"/>
      <w:sz w:val="18"/>
      <w:szCs w:val="18"/>
    </w:rPr>
  </w:style>
  <w:style w:type="paragraph" w:customStyle="1" w:styleId="NormalBullets">
    <w:name w:val="Normal Bullets"/>
    <w:basedOn w:val="Normal"/>
    <w:uiPriority w:val="3"/>
    <w:qFormat/>
    <w:rsid w:val="00115A31"/>
    <w:pPr>
      <w:spacing w:before="0" w:after="240" w:line="276" w:lineRule="auto"/>
      <w:ind w:left="357" w:hanging="357"/>
      <w:contextualSpacing/>
    </w:pPr>
    <w:rPr>
      <w:rFonts w:ascii="Sabon" w:eastAsiaTheme="majorEastAsia" w:hAnsi="Sabon" w:cstheme="majorBidi"/>
      <w:lang w:bidi="en-US"/>
    </w:rPr>
  </w:style>
  <w:style w:type="character" w:customStyle="1" w:styleId="ui-provider">
    <w:name w:val="ui-provider"/>
    <w:basedOn w:val="DefaultParagraphFont"/>
    <w:rsid w:val="00714B89"/>
  </w:style>
  <w:style w:type="character" w:customStyle="1" w:styleId="CaptionFootnoteChar">
    <w:name w:val="Caption Footnote Char"/>
    <w:basedOn w:val="DefaultParagraphFont"/>
    <w:link w:val="CaptionFootnote"/>
    <w:locked/>
    <w:rsid w:val="003B695E"/>
    <w:rPr>
      <w:rFonts w:ascii="Candara" w:hAnsi="Candara"/>
      <w:bCs/>
      <w:sz w:val="16"/>
      <w:szCs w:val="18"/>
    </w:rPr>
  </w:style>
  <w:style w:type="paragraph" w:customStyle="1" w:styleId="CaptionFootnote">
    <w:name w:val="Caption Footnote"/>
    <w:basedOn w:val="Caption"/>
    <w:link w:val="CaptionFootnoteChar"/>
    <w:qFormat/>
    <w:rsid w:val="003B695E"/>
    <w:pPr>
      <w:keepNext w:val="0"/>
      <w:widowControl w:val="0"/>
      <w:spacing w:before="0" w:after="0"/>
      <w:outlineLvl w:val="9"/>
    </w:pPr>
    <w:rPr>
      <w:rFonts w:ascii="Candara" w:eastAsiaTheme="minorHAnsi" w:hAnsi="Candara" w:cstheme="minorBidi"/>
      <w:b w:val="0"/>
      <w:sz w:val="16"/>
      <w:szCs w:val="18"/>
    </w:rPr>
  </w:style>
  <w:style w:type="paragraph" w:customStyle="1" w:styleId="Default">
    <w:name w:val="Default"/>
    <w:rsid w:val="00146A5F"/>
    <w:pPr>
      <w:autoSpaceDE w:val="0"/>
      <w:autoSpaceDN w:val="0"/>
      <w:adjustRightInd w:val="0"/>
      <w:spacing w:after="0" w:line="240" w:lineRule="auto"/>
    </w:pPr>
    <w:rPr>
      <w:rFonts w:ascii="Arial" w:hAnsi="Arial" w:cs="Arial"/>
      <w:color w:val="000000"/>
      <w:sz w:val="24"/>
      <w:szCs w:val="24"/>
    </w:rPr>
  </w:style>
  <w:style w:type="paragraph" w:customStyle="1" w:styleId="BoxName0">
    <w:name w:val="BoxName"/>
    <w:basedOn w:val="Normal"/>
    <w:rsid w:val="00C14913"/>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14913"/>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256F6F"/>
    <w:pPr>
      <w:numPr>
        <w:numId w:val="21"/>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F76D74"/>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F76D74"/>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999">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64454617">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37694965">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6109843">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6738044">
      <w:bodyDiv w:val="1"/>
      <w:marLeft w:val="0"/>
      <w:marRight w:val="0"/>
      <w:marTop w:val="0"/>
      <w:marBottom w:val="0"/>
      <w:divBdr>
        <w:top w:val="none" w:sz="0" w:space="0" w:color="auto"/>
        <w:left w:val="none" w:sz="0" w:space="0" w:color="auto"/>
        <w:bottom w:val="none" w:sz="0" w:space="0" w:color="auto"/>
        <w:right w:val="none" w:sz="0" w:space="0" w:color="auto"/>
      </w:divBdr>
    </w:div>
    <w:div w:id="299115712">
      <w:bodyDiv w:val="1"/>
      <w:marLeft w:val="0"/>
      <w:marRight w:val="0"/>
      <w:marTop w:val="0"/>
      <w:marBottom w:val="0"/>
      <w:divBdr>
        <w:top w:val="none" w:sz="0" w:space="0" w:color="auto"/>
        <w:left w:val="none" w:sz="0" w:space="0" w:color="auto"/>
        <w:bottom w:val="none" w:sz="0" w:space="0" w:color="auto"/>
        <w:right w:val="none" w:sz="0" w:space="0" w:color="auto"/>
      </w:divBdr>
      <w:divsChild>
        <w:div w:id="1258641027">
          <w:marLeft w:val="547"/>
          <w:marRight w:val="0"/>
          <w:marTop w:val="96"/>
          <w:marBottom w:val="0"/>
          <w:divBdr>
            <w:top w:val="none" w:sz="0" w:space="0" w:color="auto"/>
            <w:left w:val="none" w:sz="0" w:space="0" w:color="auto"/>
            <w:bottom w:val="none" w:sz="0" w:space="0" w:color="auto"/>
            <w:right w:val="none" w:sz="0" w:space="0" w:color="auto"/>
          </w:divBdr>
        </w:div>
      </w:divsChild>
    </w:div>
    <w:div w:id="33738679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7747395">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5469628">
      <w:bodyDiv w:val="1"/>
      <w:marLeft w:val="0"/>
      <w:marRight w:val="0"/>
      <w:marTop w:val="0"/>
      <w:marBottom w:val="0"/>
      <w:divBdr>
        <w:top w:val="none" w:sz="0" w:space="0" w:color="auto"/>
        <w:left w:val="none" w:sz="0" w:space="0" w:color="auto"/>
        <w:bottom w:val="none" w:sz="0" w:space="0" w:color="auto"/>
        <w:right w:val="none" w:sz="0" w:space="0" w:color="auto"/>
      </w:divBdr>
    </w:div>
    <w:div w:id="478956299">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4433893">
      <w:bodyDiv w:val="1"/>
      <w:marLeft w:val="0"/>
      <w:marRight w:val="0"/>
      <w:marTop w:val="0"/>
      <w:marBottom w:val="0"/>
      <w:divBdr>
        <w:top w:val="none" w:sz="0" w:space="0" w:color="auto"/>
        <w:left w:val="none" w:sz="0" w:space="0" w:color="auto"/>
        <w:bottom w:val="none" w:sz="0" w:space="0" w:color="auto"/>
        <w:right w:val="none" w:sz="0" w:space="0" w:color="auto"/>
      </w:divBdr>
    </w:div>
    <w:div w:id="577861631">
      <w:bodyDiv w:val="1"/>
      <w:marLeft w:val="0"/>
      <w:marRight w:val="0"/>
      <w:marTop w:val="0"/>
      <w:marBottom w:val="0"/>
      <w:divBdr>
        <w:top w:val="none" w:sz="0" w:space="0" w:color="auto"/>
        <w:left w:val="none" w:sz="0" w:space="0" w:color="auto"/>
        <w:bottom w:val="none" w:sz="0" w:space="0" w:color="auto"/>
        <w:right w:val="none" w:sz="0" w:space="0" w:color="auto"/>
      </w:divBdr>
    </w:div>
    <w:div w:id="63282889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4916843">
      <w:bodyDiv w:val="1"/>
      <w:marLeft w:val="0"/>
      <w:marRight w:val="0"/>
      <w:marTop w:val="0"/>
      <w:marBottom w:val="0"/>
      <w:divBdr>
        <w:top w:val="none" w:sz="0" w:space="0" w:color="auto"/>
        <w:left w:val="none" w:sz="0" w:space="0" w:color="auto"/>
        <w:bottom w:val="none" w:sz="0" w:space="0" w:color="auto"/>
        <w:right w:val="none" w:sz="0" w:space="0" w:color="auto"/>
      </w:divBdr>
    </w:div>
    <w:div w:id="692342830">
      <w:bodyDiv w:val="1"/>
      <w:marLeft w:val="0"/>
      <w:marRight w:val="0"/>
      <w:marTop w:val="0"/>
      <w:marBottom w:val="0"/>
      <w:divBdr>
        <w:top w:val="none" w:sz="0" w:space="0" w:color="auto"/>
        <w:left w:val="none" w:sz="0" w:space="0" w:color="auto"/>
        <w:bottom w:val="none" w:sz="0" w:space="0" w:color="auto"/>
        <w:right w:val="none" w:sz="0" w:space="0" w:color="auto"/>
      </w:divBdr>
    </w:div>
    <w:div w:id="698580159">
      <w:bodyDiv w:val="1"/>
      <w:marLeft w:val="0"/>
      <w:marRight w:val="0"/>
      <w:marTop w:val="0"/>
      <w:marBottom w:val="0"/>
      <w:divBdr>
        <w:top w:val="none" w:sz="0" w:space="0" w:color="auto"/>
        <w:left w:val="none" w:sz="0" w:space="0" w:color="auto"/>
        <w:bottom w:val="none" w:sz="0" w:space="0" w:color="auto"/>
        <w:right w:val="none" w:sz="0" w:space="0" w:color="auto"/>
      </w:divBdr>
    </w:div>
    <w:div w:id="70244072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0662613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71302872">
      <w:bodyDiv w:val="1"/>
      <w:marLeft w:val="0"/>
      <w:marRight w:val="0"/>
      <w:marTop w:val="0"/>
      <w:marBottom w:val="0"/>
      <w:divBdr>
        <w:top w:val="none" w:sz="0" w:space="0" w:color="auto"/>
        <w:left w:val="none" w:sz="0" w:space="0" w:color="auto"/>
        <w:bottom w:val="none" w:sz="0" w:space="0" w:color="auto"/>
        <w:right w:val="none" w:sz="0" w:space="0" w:color="auto"/>
      </w:divBdr>
      <w:divsChild>
        <w:div w:id="541867457">
          <w:marLeft w:val="1051"/>
          <w:marRight w:val="0"/>
          <w:marTop w:val="115"/>
          <w:marBottom w:val="0"/>
          <w:divBdr>
            <w:top w:val="none" w:sz="0" w:space="0" w:color="auto"/>
            <w:left w:val="none" w:sz="0" w:space="0" w:color="auto"/>
            <w:bottom w:val="none" w:sz="0" w:space="0" w:color="auto"/>
            <w:right w:val="none" w:sz="0" w:space="0" w:color="auto"/>
          </w:divBdr>
        </w:div>
      </w:divsChild>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01667041">
      <w:bodyDiv w:val="1"/>
      <w:marLeft w:val="0"/>
      <w:marRight w:val="0"/>
      <w:marTop w:val="0"/>
      <w:marBottom w:val="0"/>
      <w:divBdr>
        <w:top w:val="none" w:sz="0" w:space="0" w:color="auto"/>
        <w:left w:val="none" w:sz="0" w:space="0" w:color="auto"/>
        <w:bottom w:val="none" w:sz="0" w:space="0" w:color="auto"/>
        <w:right w:val="none" w:sz="0" w:space="0" w:color="auto"/>
      </w:divBdr>
    </w:div>
    <w:div w:id="1004557174">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0306547">
      <w:bodyDiv w:val="1"/>
      <w:marLeft w:val="0"/>
      <w:marRight w:val="0"/>
      <w:marTop w:val="0"/>
      <w:marBottom w:val="0"/>
      <w:divBdr>
        <w:top w:val="none" w:sz="0" w:space="0" w:color="auto"/>
        <w:left w:val="none" w:sz="0" w:space="0" w:color="auto"/>
        <w:bottom w:val="none" w:sz="0" w:space="0" w:color="auto"/>
        <w:right w:val="none" w:sz="0" w:space="0" w:color="auto"/>
      </w:divBdr>
    </w:div>
    <w:div w:id="1102797483">
      <w:bodyDiv w:val="1"/>
      <w:marLeft w:val="0"/>
      <w:marRight w:val="0"/>
      <w:marTop w:val="0"/>
      <w:marBottom w:val="0"/>
      <w:divBdr>
        <w:top w:val="none" w:sz="0" w:space="0" w:color="auto"/>
        <w:left w:val="none" w:sz="0" w:space="0" w:color="auto"/>
        <w:bottom w:val="none" w:sz="0" w:space="0" w:color="auto"/>
        <w:right w:val="none" w:sz="0" w:space="0" w:color="auto"/>
      </w:divBdr>
      <w:divsChild>
        <w:div w:id="1570921970">
          <w:marLeft w:val="1051"/>
          <w:marRight w:val="0"/>
          <w:marTop w:val="134"/>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30124625">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2719079">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02128700">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78373187">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295604659">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84790123">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7239934">
      <w:bodyDiv w:val="1"/>
      <w:marLeft w:val="0"/>
      <w:marRight w:val="0"/>
      <w:marTop w:val="0"/>
      <w:marBottom w:val="0"/>
      <w:divBdr>
        <w:top w:val="none" w:sz="0" w:space="0" w:color="auto"/>
        <w:left w:val="none" w:sz="0" w:space="0" w:color="auto"/>
        <w:bottom w:val="none" w:sz="0" w:space="0" w:color="auto"/>
        <w:right w:val="none" w:sz="0" w:space="0" w:color="auto"/>
      </w:divBdr>
    </w:div>
    <w:div w:id="1550535557">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3730651">
      <w:bodyDiv w:val="1"/>
      <w:marLeft w:val="0"/>
      <w:marRight w:val="0"/>
      <w:marTop w:val="0"/>
      <w:marBottom w:val="0"/>
      <w:divBdr>
        <w:top w:val="none" w:sz="0" w:space="0" w:color="auto"/>
        <w:left w:val="none" w:sz="0" w:space="0" w:color="auto"/>
        <w:bottom w:val="none" w:sz="0" w:space="0" w:color="auto"/>
        <w:right w:val="none" w:sz="0" w:space="0" w:color="auto"/>
      </w:divBdr>
    </w:div>
    <w:div w:id="1630090006">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9726856">
      <w:bodyDiv w:val="1"/>
      <w:marLeft w:val="0"/>
      <w:marRight w:val="0"/>
      <w:marTop w:val="0"/>
      <w:marBottom w:val="0"/>
      <w:divBdr>
        <w:top w:val="none" w:sz="0" w:space="0" w:color="auto"/>
        <w:left w:val="none" w:sz="0" w:space="0" w:color="auto"/>
        <w:bottom w:val="none" w:sz="0" w:space="0" w:color="auto"/>
        <w:right w:val="none" w:sz="0" w:space="0" w:color="auto"/>
      </w:divBdr>
    </w:div>
    <w:div w:id="170008093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6490372">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7262138">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4007244">
      <w:bodyDiv w:val="1"/>
      <w:marLeft w:val="0"/>
      <w:marRight w:val="0"/>
      <w:marTop w:val="0"/>
      <w:marBottom w:val="0"/>
      <w:divBdr>
        <w:top w:val="none" w:sz="0" w:space="0" w:color="auto"/>
        <w:left w:val="none" w:sz="0" w:space="0" w:color="auto"/>
        <w:bottom w:val="none" w:sz="0" w:space="0" w:color="auto"/>
        <w:right w:val="none" w:sz="0" w:space="0" w:color="auto"/>
      </w:divBdr>
    </w:div>
    <w:div w:id="186378855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0849883">
      <w:bodyDiv w:val="1"/>
      <w:marLeft w:val="0"/>
      <w:marRight w:val="0"/>
      <w:marTop w:val="0"/>
      <w:marBottom w:val="0"/>
      <w:divBdr>
        <w:top w:val="none" w:sz="0" w:space="0" w:color="auto"/>
        <w:left w:val="none" w:sz="0" w:space="0" w:color="auto"/>
        <w:bottom w:val="none" w:sz="0" w:space="0" w:color="auto"/>
        <w:right w:val="none" w:sz="0" w:space="0" w:color="auto"/>
      </w:divBdr>
    </w:div>
    <w:div w:id="1948655940">
      <w:bodyDiv w:val="1"/>
      <w:marLeft w:val="0"/>
      <w:marRight w:val="0"/>
      <w:marTop w:val="0"/>
      <w:marBottom w:val="0"/>
      <w:divBdr>
        <w:top w:val="none" w:sz="0" w:space="0" w:color="auto"/>
        <w:left w:val="none" w:sz="0" w:space="0" w:color="auto"/>
        <w:bottom w:val="none" w:sz="0" w:space="0" w:color="auto"/>
        <w:right w:val="none" w:sz="0" w:space="0" w:color="auto"/>
      </w:divBdr>
    </w:div>
    <w:div w:id="196388276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9544584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5110406">
      <w:bodyDiv w:val="1"/>
      <w:marLeft w:val="0"/>
      <w:marRight w:val="0"/>
      <w:marTop w:val="0"/>
      <w:marBottom w:val="0"/>
      <w:divBdr>
        <w:top w:val="none" w:sz="0" w:space="0" w:color="auto"/>
        <w:left w:val="none" w:sz="0" w:space="0" w:color="auto"/>
        <w:bottom w:val="none" w:sz="0" w:space="0" w:color="auto"/>
        <w:right w:val="none" w:sz="0" w:space="0" w:color="auto"/>
      </w:divBdr>
    </w:div>
    <w:div w:id="2024164085">
      <w:bodyDiv w:val="1"/>
      <w:marLeft w:val="0"/>
      <w:marRight w:val="0"/>
      <w:marTop w:val="0"/>
      <w:marBottom w:val="0"/>
      <w:divBdr>
        <w:top w:val="none" w:sz="0" w:space="0" w:color="auto"/>
        <w:left w:val="none" w:sz="0" w:space="0" w:color="auto"/>
        <w:bottom w:val="none" w:sz="0" w:space="0" w:color="auto"/>
        <w:right w:val="none" w:sz="0" w:space="0" w:color="auto"/>
      </w:divBdr>
      <w:divsChild>
        <w:div w:id="1281913409">
          <w:marLeft w:val="0"/>
          <w:marRight w:val="0"/>
          <w:marTop w:val="0"/>
          <w:marBottom w:val="0"/>
          <w:divBdr>
            <w:top w:val="none" w:sz="0" w:space="0" w:color="auto"/>
            <w:left w:val="none" w:sz="0" w:space="0" w:color="auto"/>
            <w:bottom w:val="none" w:sz="0" w:space="0" w:color="auto"/>
            <w:right w:val="none" w:sz="0" w:space="0" w:color="auto"/>
          </w:divBdr>
        </w:div>
        <w:div w:id="1393653284">
          <w:marLeft w:val="0"/>
          <w:marRight w:val="0"/>
          <w:marTop w:val="0"/>
          <w:marBottom w:val="0"/>
          <w:divBdr>
            <w:top w:val="none" w:sz="0" w:space="0" w:color="auto"/>
            <w:left w:val="none" w:sz="0" w:space="0" w:color="auto"/>
            <w:bottom w:val="none" w:sz="0" w:space="0" w:color="auto"/>
            <w:right w:val="none" w:sz="0" w:space="0" w:color="auto"/>
          </w:divBdr>
          <w:divsChild>
            <w:div w:id="1204902450">
              <w:marLeft w:val="0"/>
              <w:marRight w:val="0"/>
              <w:marTop w:val="30"/>
              <w:marBottom w:val="30"/>
              <w:divBdr>
                <w:top w:val="none" w:sz="0" w:space="0" w:color="auto"/>
                <w:left w:val="none" w:sz="0" w:space="0" w:color="auto"/>
                <w:bottom w:val="none" w:sz="0" w:space="0" w:color="auto"/>
                <w:right w:val="none" w:sz="0" w:space="0" w:color="auto"/>
              </w:divBdr>
              <w:divsChild>
                <w:div w:id="4137722">
                  <w:marLeft w:val="0"/>
                  <w:marRight w:val="0"/>
                  <w:marTop w:val="0"/>
                  <w:marBottom w:val="0"/>
                  <w:divBdr>
                    <w:top w:val="none" w:sz="0" w:space="0" w:color="auto"/>
                    <w:left w:val="none" w:sz="0" w:space="0" w:color="auto"/>
                    <w:bottom w:val="none" w:sz="0" w:space="0" w:color="auto"/>
                    <w:right w:val="none" w:sz="0" w:space="0" w:color="auto"/>
                  </w:divBdr>
                  <w:divsChild>
                    <w:div w:id="1980958443">
                      <w:marLeft w:val="0"/>
                      <w:marRight w:val="0"/>
                      <w:marTop w:val="0"/>
                      <w:marBottom w:val="0"/>
                      <w:divBdr>
                        <w:top w:val="none" w:sz="0" w:space="0" w:color="auto"/>
                        <w:left w:val="none" w:sz="0" w:space="0" w:color="auto"/>
                        <w:bottom w:val="none" w:sz="0" w:space="0" w:color="auto"/>
                        <w:right w:val="none" w:sz="0" w:space="0" w:color="auto"/>
                      </w:divBdr>
                    </w:div>
                  </w:divsChild>
                </w:div>
                <w:div w:id="218857351">
                  <w:marLeft w:val="0"/>
                  <w:marRight w:val="0"/>
                  <w:marTop w:val="0"/>
                  <w:marBottom w:val="0"/>
                  <w:divBdr>
                    <w:top w:val="none" w:sz="0" w:space="0" w:color="auto"/>
                    <w:left w:val="none" w:sz="0" w:space="0" w:color="auto"/>
                    <w:bottom w:val="none" w:sz="0" w:space="0" w:color="auto"/>
                    <w:right w:val="none" w:sz="0" w:space="0" w:color="auto"/>
                  </w:divBdr>
                  <w:divsChild>
                    <w:div w:id="1765497239">
                      <w:marLeft w:val="0"/>
                      <w:marRight w:val="0"/>
                      <w:marTop w:val="0"/>
                      <w:marBottom w:val="0"/>
                      <w:divBdr>
                        <w:top w:val="none" w:sz="0" w:space="0" w:color="auto"/>
                        <w:left w:val="none" w:sz="0" w:space="0" w:color="auto"/>
                        <w:bottom w:val="none" w:sz="0" w:space="0" w:color="auto"/>
                        <w:right w:val="none" w:sz="0" w:space="0" w:color="auto"/>
                      </w:divBdr>
                    </w:div>
                  </w:divsChild>
                </w:div>
                <w:div w:id="752556880">
                  <w:marLeft w:val="0"/>
                  <w:marRight w:val="0"/>
                  <w:marTop w:val="0"/>
                  <w:marBottom w:val="0"/>
                  <w:divBdr>
                    <w:top w:val="none" w:sz="0" w:space="0" w:color="auto"/>
                    <w:left w:val="none" w:sz="0" w:space="0" w:color="auto"/>
                    <w:bottom w:val="none" w:sz="0" w:space="0" w:color="auto"/>
                    <w:right w:val="none" w:sz="0" w:space="0" w:color="auto"/>
                  </w:divBdr>
                  <w:divsChild>
                    <w:div w:id="505175154">
                      <w:marLeft w:val="0"/>
                      <w:marRight w:val="0"/>
                      <w:marTop w:val="0"/>
                      <w:marBottom w:val="0"/>
                      <w:divBdr>
                        <w:top w:val="none" w:sz="0" w:space="0" w:color="auto"/>
                        <w:left w:val="none" w:sz="0" w:space="0" w:color="auto"/>
                        <w:bottom w:val="none" w:sz="0" w:space="0" w:color="auto"/>
                        <w:right w:val="none" w:sz="0" w:space="0" w:color="auto"/>
                      </w:divBdr>
                    </w:div>
                  </w:divsChild>
                </w:div>
                <w:div w:id="823081698">
                  <w:marLeft w:val="0"/>
                  <w:marRight w:val="0"/>
                  <w:marTop w:val="0"/>
                  <w:marBottom w:val="0"/>
                  <w:divBdr>
                    <w:top w:val="none" w:sz="0" w:space="0" w:color="auto"/>
                    <w:left w:val="none" w:sz="0" w:space="0" w:color="auto"/>
                    <w:bottom w:val="none" w:sz="0" w:space="0" w:color="auto"/>
                    <w:right w:val="none" w:sz="0" w:space="0" w:color="auto"/>
                  </w:divBdr>
                  <w:divsChild>
                    <w:div w:id="447625575">
                      <w:marLeft w:val="0"/>
                      <w:marRight w:val="0"/>
                      <w:marTop w:val="0"/>
                      <w:marBottom w:val="0"/>
                      <w:divBdr>
                        <w:top w:val="none" w:sz="0" w:space="0" w:color="auto"/>
                        <w:left w:val="none" w:sz="0" w:space="0" w:color="auto"/>
                        <w:bottom w:val="none" w:sz="0" w:space="0" w:color="auto"/>
                        <w:right w:val="none" w:sz="0" w:space="0" w:color="auto"/>
                      </w:divBdr>
                    </w:div>
                  </w:divsChild>
                </w:div>
                <w:div w:id="856044635">
                  <w:marLeft w:val="0"/>
                  <w:marRight w:val="0"/>
                  <w:marTop w:val="0"/>
                  <w:marBottom w:val="0"/>
                  <w:divBdr>
                    <w:top w:val="none" w:sz="0" w:space="0" w:color="auto"/>
                    <w:left w:val="none" w:sz="0" w:space="0" w:color="auto"/>
                    <w:bottom w:val="none" w:sz="0" w:space="0" w:color="auto"/>
                    <w:right w:val="none" w:sz="0" w:space="0" w:color="auto"/>
                  </w:divBdr>
                  <w:divsChild>
                    <w:div w:id="94638443">
                      <w:marLeft w:val="0"/>
                      <w:marRight w:val="0"/>
                      <w:marTop w:val="0"/>
                      <w:marBottom w:val="0"/>
                      <w:divBdr>
                        <w:top w:val="none" w:sz="0" w:space="0" w:color="auto"/>
                        <w:left w:val="none" w:sz="0" w:space="0" w:color="auto"/>
                        <w:bottom w:val="none" w:sz="0" w:space="0" w:color="auto"/>
                        <w:right w:val="none" w:sz="0" w:space="0" w:color="auto"/>
                      </w:divBdr>
                    </w:div>
                  </w:divsChild>
                </w:div>
                <w:div w:id="865290772">
                  <w:marLeft w:val="0"/>
                  <w:marRight w:val="0"/>
                  <w:marTop w:val="0"/>
                  <w:marBottom w:val="0"/>
                  <w:divBdr>
                    <w:top w:val="none" w:sz="0" w:space="0" w:color="auto"/>
                    <w:left w:val="none" w:sz="0" w:space="0" w:color="auto"/>
                    <w:bottom w:val="none" w:sz="0" w:space="0" w:color="auto"/>
                    <w:right w:val="none" w:sz="0" w:space="0" w:color="auto"/>
                  </w:divBdr>
                  <w:divsChild>
                    <w:div w:id="858652">
                      <w:marLeft w:val="0"/>
                      <w:marRight w:val="0"/>
                      <w:marTop w:val="0"/>
                      <w:marBottom w:val="0"/>
                      <w:divBdr>
                        <w:top w:val="none" w:sz="0" w:space="0" w:color="auto"/>
                        <w:left w:val="none" w:sz="0" w:space="0" w:color="auto"/>
                        <w:bottom w:val="none" w:sz="0" w:space="0" w:color="auto"/>
                        <w:right w:val="none" w:sz="0" w:space="0" w:color="auto"/>
                      </w:divBdr>
                    </w:div>
                    <w:div w:id="388260407">
                      <w:marLeft w:val="0"/>
                      <w:marRight w:val="0"/>
                      <w:marTop w:val="0"/>
                      <w:marBottom w:val="0"/>
                      <w:divBdr>
                        <w:top w:val="none" w:sz="0" w:space="0" w:color="auto"/>
                        <w:left w:val="none" w:sz="0" w:space="0" w:color="auto"/>
                        <w:bottom w:val="none" w:sz="0" w:space="0" w:color="auto"/>
                        <w:right w:val="none" w:sz="0" w:space="0" w:color="auto"/>
                      </w:divBdr>
                    </w:div>
                    <w:div w:id="523599599">
                      <w:marLeft w:val="0"/>
                      <w:marRight w:val="0"/>
                      <w:marTop w:val="0"/>
                      <w:marBottom w:val="0"/>
                      <w:divBdr>
                        <w:top w:val="none" w:sz="0" w:space="0" w:color="auto"/>
                        <w:left w:val="none" w:sz="0" w:space="0" w:color="auto"/>
                        <w:bottom w:val="none" w:sz="0" w:space="0" w:color="auto"/>
                        <w:right w:val="none" w:sz="0" w:space="0" w:color="auto"/>
                      </w:divBdr>
                    </w:div>
                    <w:div w:id="1183275715">
                      <w:marLeft w:val="0"/>
                      <w:marRight w:val="0"/>
                      <w:marTop w:val="0"/>
                      <w:marBottom w:val="0"/>
                      <w:divBdr>
                        <w:top w:val="none" w:sz="0" w:space="0" w:color="auto"/>
                        <w:left w:val="none" w:sz="0" w:space="0" w:color="auto"/>
                        <w:bottom w:val="none" w:sz="0" w:space="0" w:color="auto"/>
                        <w:right w:val="none" w:sz="0" w:space="0" w:color="auto"/>
                      </w:divBdr>
                    </w:div>
                  </w:divsChild>
                </w:div>
                <w:div w:id="897013915">
                  <w:marLeft w:val="0"/>
                  <w:marRight w:val="0"/>
                  <w:marTop w:val="0"/>
                  <w:marBottom w:val="0"/>
                  <w:divBdr>
                    <w:top w:val="none" w:sz="0" w:space="0" w:color="auto"/>
                    <w:left w:val="none" w:sz="0" w:space="0" w:color="auto"/>
                    <w:bottom w:val="none" w:sz="0" w:space="0" w:color="auto"/>
                    <w:right w:val="none" w:sz="0" w:space="0" w:color="auto"/>
                  </w:divBdr>
                  <w:divsChild>
                    <w:div w:id="1485469776">
                      <w:marLeft w:val="0"/>
                      <w:marRight w:val="0"/>
                      <w:marTop w:val="0"/>
                      <w:marBottom w:val="0"/>
                      <w:divBdr>
                        <w:top w:val="none" w:sz="0" w:space="0" w:color="auto"/>
                        <w:left w:val="none" w:sz="0" w:space="0" w:color="auto"/>
                        <w:bottom w:val="none" w:sz="0" w:space="0" w:color="auto"/>
                        <w:right w:val="none" w:sz="0" w:space="0" w:color="auto"/>
                      </w:divBdr>
                    </w:div>
                  </w:divsChild>
                </w:div>
                <w:div w:id="1996298926">
                  <w:marLeft w:val="0"/>
                  <w:marRight w:val="0"/>
                  <w:marTop w:val="0"/>
                  <w:marBottom w:val="0"/>
                  <w:divBdr>
                    <w:top w:val="none" w:sz="0" w:space="0" w:color="auto"/>
                    <w:left w:val="none" w:sz="0" w:space="0" w:color="auto"/>
                    <w:bottom w:val="none" w:sz="0" w:space="0" w:color="auto"/>
                    <w:right w:val="none" w:sz="0" w:space="0" w:color="auto"/>
                  </w:divBdr>
                  <w:divsChild>
                    <w:div w:id="14806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69650109">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1657-publ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internet/msac/publishing.nsf/Content/FC032650B5E6650ACA258675007A25A6/$File/1657%20Ratified%20PICO.pdf" TargetMode="External"/><Relationship Id="rId4" Type="http://schemas.openxmlformats.org/officeDocument/2006/relationships/settings" Target="settings.xml"/><Relationship Id="rId9" Type="http://schemas.openxmlformats.org/officeDocument/2006/relationships/hyperlink" Target="http://www.tga.gov.au/resources/artg" TargetMode="External"/><Relationship Id="rId14"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NCT05135052" TargetMode="External"/><Relationship Id="rId2" Type="http://schemas.openxmlformats.org/officeDocument/2006/relationships/hyperlink" Target="https://clinicaltrials.gov/ct2/show/NCT05135052" TargetMode="External"/><Relationship Id="rId1" Type="http://schemas.openxmlformats.org/officeDocument/2006/relationships/hyperlink" Target="https://clinicaltrials.gov/ct2/show/NCT05135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20915</Words>
  <Characters>117961</Characters>
  <Application>Microsoft Office Word</Application>
  <DocSecurity>0</DocSecurity>
  <Lines>3024</Lines>
  <Paragraphs>1714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137162</CharactersWithSpaces>
  <SharedDoc>false</SharedDoc>
  <HyperlinkBase/>
  <HLinks>
    <vt:vector size="72" baseType="variant">
      <vt:variant>
        <vt:i4>6684716</vt:i4>
      </vt:variant>
      <vt:variant>
        <vt:i4>202</vt:i4>
      </vt:variant>
      <vt:variant>
        <vt:i4>0</vt:i4>
      </vt:variant>
      <vt:variant>
        <vt:i4>5</vt:i4>
      </vt:variant>
      <vt:variant>
        <vt:lpwstr>http://msac.gov.au/internet/msac/publishing.nsf/Content/Home-1</vt:lpwstr>
      </vt:variant>
      <vt:variant>
        <vt:lpwstr/>
      </vt:variant>
      <vt:variant>
        <vt:i4>4390923</vt:i4>
      </vt:variant>
      <vt:variant>
        <vt:i4>103</vt:i4>
      </vt:variant>
      <vt:variant>
        <vt:i4>0</vt:i4>
      </vt:variant>
      <vt:variant>
        <vt:i4>5</vt:i4>
      </vt:variant>
      <vt:variant>
        <vt:lpwstr/>
      </vt:variant>
      <vt:variant>
        <vt:lpwstr>_ENREF_28</vt:lpwstr>
      </vt:variant>
      <vt:variant>
        <vt:i4>4390923</vt:i4>
      </vt:variant>
      <vt:variant>
        <vt:i4>97</vt:i4>
      </vt:variant>
      <vt:variant>
        <vt:i4>0</vt:i4>
      </vt:variant>
      <vt:variant>
        <vt:i4>5</vt:i4>
      </vt:variant>
      <vt:variant>
        <vt:lpwstr/>
      </vt:variant>
      <vt:variant>
        <vt:lpwstr>_ENREF_28</vt:lpwstr>
      </vt:variant>
      <vt:variant>
        <vt:i4>4390923</vt:i4>
      </vt:variant>
      <vt:variant>
        <vt:i4>76</vt:i4>
      </vt:variant>
      <vt:variant>
        <vt:i4>0</vt:i4>
      </vt:variant>
      <vt:variant>
        <vt:i4>5</vt:i4>
      </vt:variant>
      <vt:variant>
        <vt:lpwstr/>
      </vt:variant>
      <vt:variant>
        <vt:lpwstr>_ENREF_28</vt:lpwstr>
      </vt:variant>
      <vt:variant>
        <vt:i4>2556013</vt:i4>
      </vt:variant>
      <vt:variant>
        <vt:i4>49</vt:i4>
      </vt:variant>
      <vt:variant>
        <vt:i4>0</vt:i4>
      </vt:variant>
      <vt:variant>
        <vt:i4>5</vt:i4>
      </vt:variant>
      <vt:variant>
        <vt:lpwstr>http://www.msac.gov.au/internet/msac/publishing.nsf/Content/1657-public</vt:lpwstr>
      </vt:variant>
      <vt:variant>
        <vt:lpwstr/>
      </vt:variant>
      <vt:variant>
        <vt:i4>589919</vt:i4>
      </vt:variant>
      <vt:variant>
        <vt:i4>18</vt:i4>
      </vt:variant>
      <vt:variant>
        <vt:i4>0</vt:i4>
      </vt:variant>
      <vt:variant>
        <vt:i4>5</vt:i4>
      </vt:variant>
      <vt:variant>
        <vt:lpwstr>http://www.msac.gov.au/internet/msac/publishing.nsf/Content/FC032650B5E6650ACA258675007A25A6/$File/1657 Ratified PICO.pdf</vt:lpwstr>
      </vt:variant>
      <vt:variant>
        <vt:lpwstr/>
      </vt:variant>
      <vt:variant>
        <vt:i4>4587612</vt:i4>
      </vt:variant>
      <vt:variant>
        <vt:i4>12</vt:i4>
      </vt:variant>
      <vt:variant>
        <vt:i4>0</vt:i4>
      </vt:variant>
      <vt:variant>
        <vt:i4>5</vt:i4>
      </vt:variant>
      <vt:variant>
        <vt:lpwstr>http://www.tga.gov.au/resources/artg</vt:lpwstr>
      </vt:variant>
      <vt:variant>
        <vt:lpwstr/>
      </vt:variant>
      <vt:variant>
        <vt:i4>3997744</vt:i4>
      </vt:variant>
      <vt:variant>
        <vt:i4>0</vt:i4>
      </vt:variant>
      <vt:variant>
        <vt:i4>0</vt:i4>
      </vt:variant>
      <vt:variant>
        <vt:i4>5</vt:i4>
      </vt:variant>
      <vt:variant>
        <vt:lpwstr>http://www.msac.gov.au/</vt:lpwstr>
      </vt:variant>
      <vt:variant>
        <vt:lpwstr/>
      </vt:variant>
      <vt:variant>
        <vt:i4>7143477</vt:i4>
      </vt:variant>
      <vt:variant>
        <vt:i4>6</vt:i4>
      </vt:variant>
      <vt:variant>
        <vt:i4>0</vt:i4>
      </vt:variant>
      <vt:variant>
        <vt:i4>5</vt:i4>
      </vt:variant>
      <vt:variant>
        <vt:lpwstr>https://clinicaltrials.gov/ct2/show/NCT05135052</vt:lpwstr>
      </vt:variant>
      <vt:variant>
        <vt:lpwstr/>
      </vt:variant>
      <vt:variant>
        <vt:i4>7143477</vt:i4>
      </vt:variant>
      <vt:variant>
        <vt:i4>3</vt:i4>
      </vt:variant>
      <vt:variant>
        <vt:i4>0</vt:i4>
      </vt:variant>
      <vt:variant>
        <vt:i4>5</vt:i4>
      </vt:variant>
      <vt:variant>
        <vt:lpwstr>https://clinicaltrials.gov/ct2/show/NCT05135052</vt:lpwstr>
      </vt:variant>
      <vt:variant>
        <vt:lpwstr/>
      </vt:variant>
      <vt:variant>
        <vt:i4>7143477</vt:i4>
      </vt:variant>
      <vt:variant>
        <vt:i4>0</vt:i4>
      </vt:variant>
      <vt:variant>
        <vt:i4>0</vt:i4>
      </vt:variant>
      <vt:variant>
        <vt:i4>5</vt:i4>
      </vt:variant>
      <vt:variant>
        <vt:lpwstr>https://clinicaltrials.gov/ct2/show/NCT05135052</vt:lpwstr>
      </vt:variant>
      <vt:variant>
        <vt:lpwstr/>
      </vt:variant>
      <vt:variant>
        <vt:i4>7536724</vt:i4>
      </vt:variant>
      <vt:variant>
        <vt:i4>0</vt:i4>
      </vt:variant>
      <vt:variant>
        <vt:i4>0</vt:i4>
      </vt:variant>
      <vt:variant>
        <vt:i4>5</vt:i4>
      </vt:variant>
      <vt:variant>
        <vt:lpwstr>mailto:Natasha.Kelly@health.gov.au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2023-09-28T01:34:00Z</dcterms:created>
  <dcterms:modified xsi:type="dcterms:W3CDTF">2023-09-28T01:34:00Z</dcterms:modified>
  <cp:category/>
</cp:coreProperties>
</file>