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D833F" w14:textId="6B40DFA0" w:rsidR="00A41BDD" w:rsidRPr="00D85E09" w:rsidRDefault="00A41BDD" w:rsidP="0043316B">
      <w:pPr>
        <w:pStyle w:val="Maintitle"/>
        <w:widowControl w:val="0"/>
        <w:spacing w:before="1560" w:after="120"/>
        <w:rPr>
          <w:sz w:val="36"/>
        </w:rPr>
      </w:pPr>
      <w:r w:rsidRPr="00D85E09">
        <w:rPr>
          <w:sz w:val="36"/>
        </w:rPr>
        <w:t>MSAC Application 1428</w:t>
      </w:r>
    </w:p>
    <w:p w14:paraId="0E6C4E55" w14:textId="77777777" w:rsidR="001213A0" w:rsidRPr="00D85E09" w:rsidRDefault="00514CB0" w:rsidP="0043316B">
      <w:pPr>
        <w:pStyle w:val="Maintitle"/>
        <w:widowControl w:val="0"/>
        <w:spacing w:before="1560" w:after="120"/>
      </w:pPr>
      <w:r w:rsidRPr="00D85E09">
        <w:t>Mechanical thrombectomy</w:t>
      </w:r>
    </w:p>
    <w:p w14:paraId="6C05BFAF" w14:textId="2A2160DA" w:rsidR="001213A0" w:rsidRPr="00D85E09" w:rsidRDefault="001213A0" w:rsidP="0043316B">
      <w:pPr>
        <w:pStyle w:val="Mainsubtitle"/>
        <w:widowControl w:val="0"/>
        <w:spacing w:before="120"/>
      </w:pPr>
      <w:r w:rsidRPr="00D85E09">
        <w:t>For</w:t>
      </w:r>
      <w:r w:rsidR="00514CB0" w:rsidRPr="00D85E09">
        <w:t xml:space="preserve"> acute ischaemic stroke</w:t>
      </w:r>
      <w:r w:rsidRPr="00D85E09">
        <w:t xml:space="preserve"> </w:t>
      </w:r>
      <w:r w:rsidR="00204997" w:rsidRPr="00D85E09">
        <w:t>due to large vessel occlusion</w:t>
      </w:r>
    </w:p>
    <w:p w14:paraId="5D8D49C2" w14:textId="77777777" w:rsidR="006C69BF" w:rsidRPr="00D85E09" w:rsidRDefault="006C69BF" w:rsidP="0043316B">
      <w:pPr>
        <w:pStyle w:val="Mainsubtitle"/>
        <w:widowControl w:val="0"/>
      </w:pPr>
    </w:p>
    <w:p w14:paraId="33978E3E" w14:textId="349F13C7" w:rsidR="001213A0" w:rsidRPr="00D85E09" w:rsidRDefault="001213A0" w:rsidP="0043316B">
      <w:pPr>
        <w:pStyle w:val="Mainsubtitle"/>
        <w:widowControl w:val="0"/>
      </w:pPr>
      <w:r w:rsidRPr="00D85E09">
        <w:t xml:space="preserve">Submission to the </w:t>
      </w:r>
      <w:r w:rsidRPr="00D85E09">
        <w:br/>
        <w:t>Medical Services Advisory Committee</w:t>
      </w:r>
    </w:p>
    <w:p w14:paraId="5838A921" w14:textId="77777777" w:rsidR="001213A0" w:rsidRPr="00D85E09" w:rsidRDefault="00F54B80" w:rsidP="0043316B">
      <w:pPr>
        <w:pStyle w:val="Mainsubtitle"/>
        <w:widowControl w:val="0"/>
      </w:pPr>
      <w:r w:rsidRPr="00D85E09">
        <w:t>June, 2016</w:t>
      </w:r>
    </w:p>
    <w:p w14:paraId="10BD3135" w14:textId="77777777" w:rsidR="001213A0" w:rsidRPr="00D85E09" w:rsidRDefault="001213A0" w:rsidP="0043316B">
      <w:pPr>
        <w:pStyle w:val="Mainsubtitle"/>
        <w:widowControl w:val="0"/>
      </w:pPr>
      <w:r w:rsidRPr="00D85E09">
        <w:t>MAIN BODY OF THE SUBMISSION</w:t>
      </w:r>
    </w:p>
    <w:p w14:paraId="60F878C7" w14:textId="77777777" w:rsidR="001213A0" w:rsidRPr="00D85E09" w:rsidRDefault="001213A0" w:rsidP="0043316B">
      <w:pPr>
        <w:pStyle w:val="Mainsubtitle"/>
        <w:widowControl w:val="0"/>
      </w:pPr>
    </w:p>
    <w:tbl>
      <w:tblPr>
        <w:tblW w:w="0" w:type="auto"/>
        <w:tblLook w:val="00A0" w:firstRow="1" w:lastRow="0" w:firstColumn="1" w:lastColumn="0" w:noHBand="0" w:noVBand="0"/>
      </w:tblPr>
      <w:tblGrid>
        <w:gridCol w:w="3861"/>
        <w:gridCol w:w="1104"/>
        <w:gridCol w:w="3823"/>
      </w:tblGrid>
      <w:tr w:rsidR="003C467C" w:rsidRPr="00D85E09" w14:paraId="52305AD8" w14:textId="77777777" w:rsidTr="00033497">
        <w:tc>
          <w:tcPr>
            <w:tcW w:w="3861" w:type="dxa"/>
            <w:vAlign w:val="center"/>
          </w:tcPr>
          <w:p w14:paraId="32A1F4C7" w14:textId="77777777" w:rsidR="003C467C" w:rsidRPr="00D85E09" w:rsidRDefault="003C467C" w:rsidP="0043316B">
            <w:pPr>
              <w:widowControl w:val="0"/>
              <w:spacing w:after="0" w:line="240" w:lineRule="auto"/>
              <w:rPr>
                <w:b/>
                <w:bCs/>
              </w:rPr>
            </w:pPr>
          </w:p>
          <w:p w14:paraId="21D1F7A7" w14:textId="03DECC9C" w:rsidR="003C467C" w:rsidRPr="00D85E09" w:rsidRDefault="003C467C" w:rsidP="0043316B">
            <w:pPr>
              <w:widowControl w:val="0"/>
              <w:spacing w:after="0" w:line="240" w:lineRule="auto"/>
            </w:pPr>
            <w:r w:rsidRPr="00D85E09">
              <w:rPr>
                <w:b/>
                <w:bCs/>
              </w:rPr>
              <w:t>Submission prepared by:</w:t>
            </w:r>
            <w:r w:rsidRPr="00D85E09">
              <w:rPr>
                <w:b/>
                <w:bCs/>
              </w:rPr>
              <w:br/>
            </w:r>
            <w:r w:rsidRPr="00D85E09">
              <w:t>Medtronic Australasia Pty Ltd</w:t>
            </w:r>
            <w:r w:rsidRPr="00D85E09">
              <w:br/>
              <w:t>97 Waterloo Road</w:t>
            </w:r>
          </w:p>
          <w:p w14:paraId="6F12AC9E" w14:textId="3CCB1F40" w:rsidR="003C467C" w:rsidRPr="00D85E09" w:rsidRDefault="003C467C" w:rsidP="0043316B">
            <w:pPr>
              <w:widowControl w:val="0"/>
              <w:spacing w:line="240" w:lineRule="auto"/>
            </w:pPr>
            <w:r w:rsidRPr="00D85E09">
              <w:t>North Ryde, NSW 2113</w:t>
            </w:r>
          </w:p>
          <w:p w14:paraId="70D7DB48" w14:textId="77777777" w:rsidR="003C467C" w:rsidRPr="00D85E09" w:rsidRDefault="003C467C" w:rsidP="0043316B">
            <w:pPr>
              <w:widowControl w:val="0"/>
              <w:spacing w:line="240" w:lineRule="auto"/>
            </w:pPr>
          </w:p>
        </w:tc>
        <w:tc>
          <w:tcPr>
            <w:tcW w:w="1104" w:type="dxa"/>
          </w:tcPr>
          <w:p w14:paraId="4556CB4A" w14:textId="0711024C" w:rsidR="003C467C" w:rsidRPr="00D85E09" w:rsidRDefault="00540C5B" w:rsidP="0043316B">
            <w:pPr>
              <w:widowControl w:val="0"/>
              <w:jc w:val="right"/>
            </w:pPr>
            <w:r w:rsidRPr="00D85E09">
              <w:rPr>
                <w:noProof/>
                <w:lang w:eastAsia="en-AU"/>
              </w:rPr>
              <w:drawing>
                <wp:anchor distT="0" distB="0" distL="114300" distR="114300" simplePos="0" relativeHeight="251659776" behindDoc="0" locked="0" layoutInCell="1" allowOverlap="1" wp14:anchorId="1C0539D0" wp14:editId="2E3D17B1">
                  <wp:simplePos x="0" y="0"/>
                  <wp:positionH relativeFrom="column">
                    <wp:posOffset>453534</wp:posOffset>
                  </wp:positionH>
                  <wp:positionV relativeFrom="paragraph">
                    <wp:posOffset>31115</wp:posOffset>
                  </wp:positionV>
                  <wp:extent cx="2510287" cy="776377"/>
                  <wp:effectExtent l="0" t="0" r="4445" b="5080"/>
                  <wp:wrapNone/>
                  <wp:docPr id="7" name="Picture 7" descr="http://www.brgcommunications.com/wp-content/uploads/2013/07/Medtornic-Logo.png?timestamp=14583456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gcommunications.com/wp-content/uploads/2013/07/Medtornic-Logo.png?timestamp=14583456000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1369" cy="7767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3" w:type="dxa"/>
            <w:vAlign w:val="center"/>
          </w:tcPr>
          <w:p w14:paraId="240440A2" w14:textId="51C17E24" w:rsidR="003C467C" w:rsidRPr="00D85E09" w:rsidRDefault="003C467C" w:rsidP="0043316B">
            <w:pPr>
              <w:widowControl w:val="0"/>
            </w:pPr>
          </w:p>
        </w:tc>
      </w:tr>
    </w:tbl>
    <w:p w14:paraId="14CDE161" w14:textId="77777777" w:rsidR="001213A0" w:rsidRPr="00D85E09" w:rsidRDefault="001213A0" w:rsidP="0043316B">
      <w:pPr>
        <w:widowControl w:val="0"/>
        <w:sectPr w:rsidR="001213A0" w:rsidRPr="00D85E09" w:rsidSect="00545130">
          <w:headerReference w:type="even" r:id="rId10"/>
          <w:headerReference w:type="default" r:id="rId11"/>
          <w:footerReference w:type="even" r:id="rId12"/>
          <w:footerReference w:type="default" r:id="rId13"/>
          <w:headerReference w:type="first" r:id="rId14"/>
          <w:footerReference w:type="first" r:id="rId15"/>
          <w:type w:val="nextColumn"/>
          <w:pgSz w:w="11907" w:h="16834" w:code="9"/>
          <w:pgMar w:top="1701" w:right="1418" w:bottom="1418" w:left="1701" w:header="720" w:footer="720" w:gutter="0"/>
          <w:paperSrc w:first="7" w:other="7"/>
          <w:cols w:space="720"/>
          <w:noEndnote/>
        </w:sectPr>
      </w:pPr>
    </w:p>
    <w:p w14:paraId="43145AC4" w14:textId="77777777" w:rsidR="00D96B90" w:rsidRPr="00D85E09" w:rsidRDefault="00D96B90" w:rsidP="0043316B">
      <w:pPr>
        <w:pStyle w:val="Heading1"/>
        <w:keepNext w:val="0"/>
        <w:pageBreakBefore w:val="0"/>
        <w:widowControl w:val="0"/>
        <w:numPr>
          <w:ilvl w:val="0"/>
          <w:numId w:val="0"/>
        </w:numPr>
        <w:ind w:left="360" w:hanging="360"/>
        <w:rPr>
          <w:lang w:val="en-AU"/>
        </w:rPr>
      </w:pPr>
      <w:bookmarkStart w:id="0" w:name="_Toc390246961"/>
      <w:bookmarkStart w:id="1" w:name="_Toc398720935"/>
      <w:bookmarkStart w:id="2" w:name="_Toc400475508"/>
      <w:bookmarkStart w:id="3" w:name="_Toc452714679"/>
      <w:bookmarkStart w:id="4" w:name="_Toc453065229"/>
      <w:bookmarkStart w:id="5" w:name="_Toc236559502"/>
      <w:bookmarkStart w:id="6" w:name="_Toc379118056"/>
      <w:bookmarkStart w:id="7" w:name="_Toc381796428"/>
      <w:bookmarkStart w:id="8" w:name="_Toc445463988"/>
      <w:bookmarkStart w:id="9" w:name="_Toc358217040"/>
      <w:bookmarkStart w:id="10" w:name="_Toc362869543"/>
      <w:bookmarkStart w:id="11" w:name="_Toc237766636"/>
      <w:bookmarkStart w:id="12" w:name="_Toc285918134"/>
      <w:bookmarkStart w:id="13" w:name="_Toc358115615"/>
      <w:bookmarkStart w:id="14" w:name="_Ref358386987"/>
      <w:bookmarkStart w:id="15" w:name="_Ref358386992"/>
      <w:bookmarkStart w:id="16" w:name="_Toc367090343"/>
      <w:r w:rsidRPr="00D85E09">
        <w:rPr>
          <w:lang w:val="en-AU"/>
        </w:rPr>
        <w:lastRenderedPageBreak/>
        <w:t>Executive Summary</w:t>
      </w:r>
      <w:bookmarkEnd w:id="0"/>
      <w:bookmarkEnd w:id="1"/>
      <w:bookmarkEnd w:id="2"/>
      <w:bookmarkEnd w:id="3"/>
      <w:bookmarkEnd w:id="4"/>
    </w:p>
    <w:p w14:paraId="7EEAEA97" w14:textId="77777777" w:rsidR="00D96B90" w:rsidRPr="00D85E09" w:rsidRDefault="00D96B90" w:rsidP="0043316B">
      <w:pPr>
        <w:widowControl w:val="0"/>
        <w:rPr>
          <w:b/>
          <w:sz w:val="28"/>
          <w:szCs w:val="28"/>
        </w:rPr>
      </w:pPr>
      <w:r w:rsidRPr="00D85E09">
        <w:rPr>
          <w:b/>
          <w:sz w:val="28"/>
          <w:szCs w:val="28"/>
        </w:rPr>
        <w:t>Mechanical thrombectomy for acute ischaemic stroke due to large vessel occlusion</w:t>
      </w:r>
    </w:p>
    <w:p w14:paraId="15369772" w14:textId="77777777" w:rsidR="00D96B90" w:rsidRPr="00D85E09" w:rsidRDefault="00D96B90" w:rsidP="0043316B">
      <w:r w:rsidRPr="00D85E09">
        <w:t>This submission-based Application by Medtronic Australasia requests a Medicare Benefits Schedule (MBS) listing for mechanical thrombectomy (MT) to treat acute ischaemic stroke (AIS) due to a large vessel occlusion (LVO). MT offers significantly superior post-stroke functional outcome when compared with usual care in carefully selected patients. Following favourable results from five recent randomised controlled trials (RCTs) and strong positive recommendations in international and local guidelines, stroke care pathways are rapidly being updated to incorporate MT as a treatment option. With strong evidence for superior clinical efficacy and cost benefits, MT has the potential to transform AIS treatment in Australia.</w:t>
      </w:r>
    </w:p>
    <w:p w14:paraId="6A5CBC2A" w14:textId="77777777" w:rsidR="00D96B90" w:rsidRPr="00D85E09" w:rsidRDefault="00D96B90" w:rsidP="0043316B">
      <w:pPr>
        <w:pStyle w:val="ExecSummHead"/>
      </w:pPr>
      <w:r w:rsidRPr="00D85E09">
        <w:t>Alignment with agreed PICO confirmation</w:t>
      </w:r>
    </w:p>
    <w:p w14:paraId="02AB899A" w14:textId="5779B1FE" w:rsidR="00D96B90" w:rsidRPr="00D85E09" w:rsidRDefault="00D96B90" w:rsidP="0043316B">
      <w:r w:rsidRPr="00D85E09">
        <w:t xml:space="preserve">This Application addresses all of the PICO elements that were pre-specified in the decision analytic protocol (DAP) that was considered by the Protocol Advisory Sub-Committee (PASC). The criteria proposed for the final </w:t>
      </w:r>
      <w:r w:rsidR="00AB4BBF" w:rsidRPr="00D85E09">
        <w:t>P</w:t>
      </w:r>
      <w:r w:rsidRPr="00D85E09">
        <w:t>rotocol are reproduced in the table below.</w:t>
      </w:r>
    </w:p>
    <w:p w14:paraId="09CA9378" w14:textId="77777777" w:rsidR="00D96B90" w:rsidRPr="00D85E09" w:rsidRDefault="00D96B90" w:rsidP="0031743D">
      <w:pPr>
        <w:rPr>
          <w:b/>
        </w:rPr>
      </w:pPr>
      <w:r w:rsidRPr="00D85E09">
        <w:rPr>
          <w:b/>
        </w:rPr>
        <w:t>Summary of PICO criteria to define research questions that assessment will investigate</w:t>
      </w:r>
    </w:p>
    <w:tbl>
      <w:tblPr>
        <w:tblStyle w:val="TableGrid"/>
        <w:tblW w:w="5000" w:type="pct"/>
        <w:tblLook w:val="04A0" w:firstRow="1" w:lastRow="0" w:firstColumn="1" w:lastColumn="0" w:noHBand="0" w:noVBand="1"/>
        <w:tblDescription w:val="Table 10 - Summary of PICO criteria to define research questions that assessment will investigate"/>
      </w:tblPr>
      <w:tblGrid>
        <w:gridCol w:w="2043"/>
        <w:gridCol w:w="2043"/>
        <w:gridCol w:w="2043"/>
        <w:gridCol w:w="3158"/>
      </w:tblGrid>
      <w:tr w:rsidR="00D96B90" w:rsidRPr="00D85E09" w14:paraId="1AB6F295" w14:textId="77777777" w:rsidTr="00033497">
        <w:trPr>
          <w:trHeight w:val="20"/>
          <w:tblHeader/>
        </w:trPr>
        <w:tc>
          <w:tcPr>
            <w:tcW w:w="1100" w:type="pct"/>
            <w:shd w:val="clear" w:color="auto" w:fill="auto"/>
          </w:tcPr>
          <w:p w14:paraId="3B8810C1" w14:textId="77777777" w:rsidR="00D96B90" w:rsidRPr="00D85E09" w:rsidRDefault="00D96B90" w:rsidP="0043316B">
            <w:pPr>
              <w:pStyle w:val="Tabletext"/>
              <w:keepNext w:val="0"/>
              <w:widowControl w:val="0"/>
              <w:spacing w:before="40"/>
              <w:rPr>
                <w:b/>
              </w:rPr>
            </w:pPr>
            <w:r w:rsidRPr="00D85E09">
              <w:rPr>
                <w:b/>
              </w:rPr>
              <w:t>Patients</w:t>
            </w:r>
          </w:p>
        </w:tc>
        <w:tc>
          <w:tcPr>
            <w:tcW w:w="1100" w:type="pct"/>
            <w:shd w:val="clear" w:color="auto" w:fill="auto"/>
          </w:tcPr>
          <w:p w14:paraId="6DF78262" w14:textId="77777777" w:rsidR="00D96B90" w:rsidRPr="00D85E09" w:rsidRDefault="00D96B90" w:rsidP="0043316B">
            <w:pPr>
              <w:pStyle w:val="Tabletext"/>
              <w:keepNext w:val="0"/>
              <w:widowControl w:val="0"/>
              <w:spacing w:before="40"/>
              <w:rPr>
                <w:b/>
              </w:rPr>
            </w:pPr>
            <w:r w:rsidRPr="00D85E09">
              <w:rPr>
                <w:b/>
              </w:rPr>
              <w:t>Intervention</w:t>
            </w:r>
          </w:p>
        </w:tc>
        <w:tc>
          <w:tcPr>
            <w:tcW w:w="1100" w:type="pct"/>
            <w:shd w:val="clear" w:color="auto" w:fill="auto"/>
          </w:tcPr>
          <w:p w14:paraId="4B51E90E" w14:textId="77777777" w:rsidR="00D96B90" w:rsidRPr="00D85E09" w:rsidRDefault="00D96B90" w:rsidP="0043316B">
            <w:pPr>
              <w:pStyle w:val="Tabletext"/>
              <w:keepNext w:val="0"/>
              <w:widowControl w:val="0"/>
              <w:spacing w:before="40"/>
              <w:rPr>
                <w:b/>
              </w:rPr>
            </w:pPr>
            <w:r w:rsidRPr="00D85E09">
              <w:rPr>
                <w:b/>
              </w:rPr>
              <w:t>Comparator</w:t>
            </w:r>
          </w:p>
        </w:tc>
        <w:tc>
          <w:tcPr>
            <w:tcW w:w="1701" w:type="pct"/>
            <w:shd w:val="clear" w:color="auto" w:fill="auto"/>
          </w:tcPr>
          <w:p w14:paraId="206696E1" w14:textId="77777777" w:rsidR="00D96B90" w:rsidRPr="00D85E09" w:rsidRDefault="00D96B90" w:rsidP="0043316B">
            <w:pPr>
              <w:pStyle w:val="Tabletext"/>
              <w:keepNext w:val="0"/>
              <w:widowControl w:val="0"/>
              <w:spacing w:before="40"/>
              <w:rPr>
                <w:b/>
              </w:rPr>
            </w:pPr>
            <w:r w:rsidRPr="00D85E09">
              <w:rPr>
                <w:b/>
              </w:rPr>
              <w:t>Outcomes</w:t>
            </w:r>
          </w:p>
        </w:tc>
      </w:tr>
      <w:tr w:rsidR="00D96B90" w:rsidRPr="00D85E09" w14:paraId="031F3C75" w14:textId="77777777" w:rsidTr="00033497">
        <w:trPr>
          <w:trHeight w:val="20"/>
        </w:trPr>
        <w:tc>
          <w:tcPr>
            <w:tcW w:w="1100" w:type="pct"/>
          </w:tcPr>
          <w:p w14:paraId="7785047C" w14:textId="77777777" w:rsidR="00D96B90" w:rsidRPr="00D85E09" w:rsidRDefault="00D96B90" w:rsidP="0043316B">
            <w:pPr>
              <w:pStyle w:val="Tabletext"/>
              <w:keepNext w:val="0"/>
              <w:widowControl w:val="0"/>
              <w:spacing w:before="40"/>
              <w:rPr>
                <w:b/>
              </w:rPr>
            </w:pPr>
            <w:r w:rsidRPr="00D85E09">
              <w:rPr>
                <w:b/>
              </w:rPr>
              <w:t>Persons with a confirmed diagnosis* of acute ischaemic stroke</w:t>
            </w:r>
          </w:p>
          <w:p w14:paraId="4509F864" w14:textId="77777777" w:rsidR="00D96B90" w:rsidRPr="00D85E09" w:rsidRDefault="00D96B90" w:rsidP="0043316B">
            <w:pPr>
              <w:pStyle w:val="Tabletext"/>
              <w:keepNext w:val="0"/>
              <w:widowControl w:val="0"/>
              <w:spacing w:before="40"/>
            </w:pPr>
            <w:r w:rsidRPr="00D85E09">
              <w:t>*Includes definite large vessel occlusion of the anterior circulation identified by imaging.</w:t>
            </w:r>
          </w:p>
          <w:p w14:paraId="2A8AEB2C" w14:textId="77777777" w:rsidR="00D96B90" w:rsidRPr="00D85E09" w:rsidRDefault="00D96B90" w:rsidP="0043316B">
            <w:pPr>
              <w:pStyle w:val="Tabletext"/>
              <w:keepNext w:val="0"/>
              <w:widowControl w:val="0"/>
              <w:spacing w:before="40"/>
            </w:pPr>
            <w:r w:rsidRPr="00D85E09">
              <w:t>Patients selected for treatment according to acute stroke management guidelines.</w:t>
            </w:r>
          </w:p>
        </w:tc>
        <w:tc>
          <w:tcPr>
            <w:tcW w:w="1100" w:type="pct"/>
          </w:tcPr>
          <w:p w14:paraId="2E6CBE78" w14:textId="77777777" w:rsidR="00D96B90" w:rsidRPr="00D85E09" w:rsidRDefault="00D96B90" w:rsidP="0043316B">
            <w:pPr>
              <w:pStyle w:val="Tabletext"/>
              <w:keepNext w:val="0"/>
              <w:widowControl w:val="0"/>
              <w:spacing w:before="40"/>
              <w:rPr>
                <w:b/>
              </w:rPr>
            </w:pPr>
            <w:r w:rsidRPr="00D85E09">
              <w:rPr>
                <w:b/>
              </w:rPr>
              <w:t>Mechanical thrombectomy</w:t>
            </w:r>
          </w:p>
          <w:p w14:paraId="1CD3C003" w14:textId="77777777" w:rsidR="00D96B90" w:rsidRPr="00D85E09" w:rsidRDefault="00D96B90" w:rsidP="0043316B">
            <w:pPr>
              <w:pStyle w:val="Tabletext"/>
              <w:keepNext w:val="0"/>
              <w:widowControl w:val="0"/>
              <w:spacing w:before="40"/>
            </w:pPr>
            <w:r w:rsidRPr="00D85E09">
              <w:t>Mechanical thrombectomy may be used in combination with intravenous thrombolytic drug therapy or without thrombolytic drug therapy for patients who are ineligible or fail thrombolytic therapy.</w:t>
            </w:r>
          </w:p>
          <w:p w14:paraId="0279F255" w14:textId="77777777" w:rsidR="00D96B90" w:rsidRPr="00D85E09" w:rsidRDefault="00D96B90" w:rsidP="0043316B">
            <w:pPr>
              <w:pStyle w:val="Tabletext"/>
              <w:keepNext w:val="0"/>
              <w:widowControl w:val="0"/>
              <w:spacing w:before="40"/>
            </w:pPr>
          </w:p>
        </w:tc>
        <w:tc>
          <w:tcPr>
            <w:tcW w:w="1100" w:type="pct"/>
          </w:tcPr>
          <w:p w14:paraId="1B52660C" w14:textId="77777777" w:rsidR="00D96B90" w:rsidRPr="00D85E09" w:rsidRDefault="00D96B90" w:rsidP="0043316B">
            <w:pPr>
              <w:pStyle w:val="Tabletext"/>
              <w:keepNext w:val="0"/>
              <w:widowControl w:val="0"/>
              <w:spacing w:before="40"/>
            </w:pPr>
            <w:r w:rsidRPr="00D85E09">
              <w:t xml:space="preserve">For indicated patients, </w:t>
            </w:r>
            <w:r w:rsidRPr="00D85E09">
              <w:rPr>
                <w:b/>
              </w:rPr>
              <w:t>intravenous thrombolytic therapy</w:t>
            </w:r>
            <w:r w:rsidRPr="00D85E09">
              <w:t xml:space="preserve"> is a comparator to the proposed service.</w:t>
            </w:r>
          </w:p>
          <w:p w14:paraId="4321928F" w14:textId="77777777" w:rsidR="00D96B90" w:rsidRPr="00D85E09" w:rsidRDefault="00D96B90" w:rsidP="0043316B">
            <w:pPr>
              <w:pStyle w:val="Tabletext"/>
              <w:keepNext w:val="0"/>
              <w:widowControl w:val="0"/>
              <w:spacing w:before="40"/>
            </w:pPr>
            <w:r w:rsidRPr="00D85E09">
              <w:t xml:space="preserve">For patients contraindicated for intravenous thrombolytic therapy, the alternative comparator to the proposed service is </w:t>
            </w:r>
            <w:r w:rsidRPr="00D85E09">
              <w:rPr>
                <w:b/>
              </w:rPr>
              <w:t>medical management with anti-thrombotic therapy.</w:t>
            </w:r>
          </w:p>
          <w:p w14:paraId="7A004B44" w14:textId="77777777" w:rsidR="00D96B90" w:rsidRPr="00D85E09" w:rsidRDefault="00D96B90" w:rsidP="0043316B">
            <w:pPr>
              <w:pStyle w:val="Tabletext"/>
              <w:keepNext w:val="0"/>
              <w:widowControl w:val="0"/>
              <w:spacing w:before="40"/>
            </w:pPr>
          </w:p>
        </w:tc>
        <w:tc>
          <w:tcPr>
            <w:tcW w:w="1701" w:type="pct"/>
          </w:tcPr>
          <w:p w14:paraId="78546F4E" w14:textId="77777777" w:rsidR="00D96B90" w:rsidRPr="00D85E09" w:rsidRDefault="00D96B90" w:rsidP="0043316B">
            <w:pPr>
              <w:pStyle w:val="Tabletext"/>
              <w:keepNext w:val="0"/>
              <w:widowControl w:val="0"/>
              <w:spacing w:before="40"/>
              <w:rPr>
                <w:b/>
              </w:rPr>
            </w:pPr>
            <w:r w:rsidRPr="00D85E09">
              <w:rPr>
                <w:b/>
              </w:rPr>
              <w:t>Effectiveness</w:t>
            </w:r>
          </w:p>
          <w:p w14:paraId="5A3EEA10" w14:textId="77777777" w:rsidR="00D96B90" w:rsidRPr="00D85E09" w:rsidRDefault="00D96B90" w:rsidP="0043316B">
            <w:pPr>
              <w:pStyle w:val="Tabletext"/>
              <w:keepNext w:val="0"/>
              <w:widowControl w:val="0"/>
              <w:spacing w:before="40"/>
            </w:pPr>
            <w:r w:rsidRPr="00D85E09">
              <w:t>Revascularisation (e.g. TICI score)</w:t>
            </w:r>
          </w:p>
          <w:p w14:paraId="3AA642DA" w14:textId="77777777" w:rsidR="00D96B90" w:rsidRPr="00D85E09" w:rsidRDefault="00D96B90" w:rsidP="0043316B">
            <w:pPr>
              <w:pStyle w:val="Tabletext"/>
              <w:keepNext w:val="0"/>
              <w:widowControl w:val="0"/>
              <w:spacing w:before="40"/>
            </w:pPr>
            <w:r w:rsidRPr="00D85E09">
              <w:t>Function (e.g. Barthel Index)</w:t>
            </w:r>
            <w:r w:rsidRPr="00D85E09">
              <w:br/>
              <w:t>Disability (e.g. mRS)</w:t>
            </w:r>
          </w:p>
          <w:p w14:paraId="175F7346" w14:textId="789FA5AB" w:rsidR="00D96B90" w:rsidRPr="00D85E09" w:rsidRDefault="00D96B90" w:rsidP="0043316B">
            <w:pPr>
              <w:pStyle w:val="Tabletext"/>
              <w:keepNext w:val="0"/>
              <w:widowControl w:val="0"/>
              <w:spacing w:before="40"/>
            </w:pPr>
            <w:r w:rsidRPr="00D85E09">
              <w:t>Health</w:t>
            </w:r>
            <w:r w:rsidR="00300BB6" w:rsidRPr="00D85E09">
              <w:t>-</w:t>
            </w:r>
            <w:r w:rsidRPr="00D85E09">
              <w:t>Related QoL Neurological deficit (e.g. NIHSS)</w:t>
            </w:r>
          </w:p>
          <w:p w14:paraId="43D6023F" w14:textId="77777777" w:rsidR="00D96B90" w:rsidRPr="00D85E09" w:rsidRDefault="00D96B90" w:rsidP="0043316B">
            <w:pPr>
              <w:pStyle w:val="Tabletext"/>
              <w:keepNext w:val="0"/>
              <w:widowControl w:val="0"/>
              <w:spacing w:before="40"/>
            </w:pPr>
            <w:r w:rsidRPr="00D85E09">
              <w:t>Rescue treatment</w:t>
            </w:r>
          </w:p>
          <w:p w14:paraId="0420FF1C" w14:textId="77777777" w:rsidR="00D96B90" w:rsidRPr="00D85E09" w:rsidRDefault="00D96B90" w:rsidP="0043316B">
            <w:pPr>
              <w:pStyle w:val="Tabletext"/>
              <w:keepNext w:val="0"/>
              <w:widowControl w:val="0"/>
              <w:spacing w:before="40"/>
            </w:pPr>
            <w:r w:rsidRPr="00D85E09">
              <w:t>Mortality (all-cause; ischaemic stroke)</w:t>
            </w:r>
          </w:p>
          <w:p w14:paraId="00E78EF2" w14:textId="77777777" w:rsidR="00D96B90" w:rsidRPr="00D85E09" w:rsidRDefault="00D96B90" w:rsidP="0043316B">
            <w:pPr>
              <w:pStyle w:val="Tabletext"/>
              <w:keepNext w:val="0"/>
              <w:widowControl w:val="0"/>
              <w:spacing w:before="40"/>
              <w:rPr>
                <w:b/>
              </w:rPr>
            </w:pPr>
            <w:r w:rsidRPr="00D85E09">
              <w:rPr>
                <w:b/>
              </w:rPr>
              <w:t>Safety</w:t>
            </w:r>
          </w:p>
          <w:p w14:paraId="4E638F1D" w14:textId="2E15C4B7" w:rsidR="00D96B90" w:rsidRPr="00D85E09" w:rsidRDefault="00D96B90" w:rsidP="0043316B">
            <w:pPr>
              <w:pStyle w:val="Tabletext"/>
              <w:keepNext w:val="0"/>
              <w:widowControl w:val="0"/>
              <w:spacing w:before="40"/>
            </w:pPr>
            <w:r w:rsidRPr="00D85E09">
              <w:t>Device or procedure</w:t>
            </w:r>
            <w:r w:rsidR="00300BB6" w:rsidRPr="00D85E09">
              <w:t>-</w:t>
            </w:r>
            <w:r w:rsidRPr="00D85E09">
              <w:t>related adverse events</w:t>
            </w:r>
          </w:p>
          <w:p w14:paraId="5C762406" w14:textId="77777777" w:rsidR="00D96B90" w:rsidRPr="00D85E09" w:rsidRDefault="00D96B90" w:rsidP="0043316B">
            <w:pPr>
              <w:pStyle w:val="Tabletext"/>
              <w:keepNext w:val="0"/>
              <w:widowControl w:val="0"/>
              <w:spacing w:before="40"/>
            </w:pPr>
            <w:r w:rsidRPr="00D85E09">
              <w:t>Haemorrhage (e.g. symptomatic intracerebral haemorrhage, any cerebral haemorrhage)</w:t>
            </w:r>
          </w:p>
          <w:p w14:paraId="3B50F357" w14:textId="77777777" w:rsidR="00D96B90" w:rsidRPr="00D85E09" w:rsidRDefault="00D96B90" w:rsidP="0043316B">
            <w:pPr>
              <w:pStyle w:val="Tabletext"/>
              <w:keepNext w:val="0"/>
              <w:widowControl w:val="0"/>
              <w:spacing w:before="40"/>
            </w:pPr>
            <w:r w:rsidRPr="00D85E09">
              <w:t>New ischaemic stroke</w:t>
            </w:r>
          </w:p>
          <w:p w14:paraId="2B941F6E" w14:textId="77777777" w:rsidR="00D96B90" w:rsidRPr="00D85E09" w:rsidRDefault="00D96B90" w:rsidP="0043316B">
            <w:pPr>
              <w:pStyle w:val="Tabletext"/>
              <w:keepNext w:val="0"/>
              <w:widowControl w:val="0"/>
              <w:spacing w:before="40"/>
              <w:rPr>
                <w:b/>
              </w:rPr>
            </w:pPr>
            <w:r w:rsidRPr="00D85E09">
              <w:rPr>
                <w:b/>
              </w:rPr>
              <w:t>Resource use</w:t>
            </w:r>
          </w:p>
          <w:p w14:paraId="6C869C18" w14:textId="5275B744" w:rsidR="00D96B90" w:rsidRPr="00D85E09" w:rsidRDefault="00D96B90" w:rsidP="0043316B">
            <w:pPr>
              <w:pStyle w:val="Tabletext"/>
              <w:keepNext w:val="0"/>
              <w:widowControl w:val="0"/>
              <w:spacing w:before="40"/>
            </w:pPr>
            <w:r w:rsidRPr="00D85E09">
              <w:t>e.g. Rehabilitation; hospitalisation; length</w:t>
            </w:r>
            <w:r w:rsidR="00300BB6" w:rsidRPr="00D85E09">
              <w:t xml:space="preserve"> </w:t>
            </w:r>
            <w:r w:rsidRPr="00D85E09">
              <w:t>of</w:t>
            </w:r>
            <w:r w:rsidR="00300BB6" w:rsidRPr="00D85E09">
              <w:t xml:space="preserve"> </w:t>
            </w:r>
            <w:r w:rsidRPr="00D85E09">
              <w:t>stay (general ward, ICU)</w:t>
            </w:r>
          </w:p>
        </w:tc>
      </w:tr>
    </w:tbl>
    <w:p w14:paraId="3A48E845" w14:textId="4057BCD0" w:rsidR="00D96B90" w:rsidRPr="00D85E09" w:rsidRDefault="00D96B90" w:rsidP="005B6B4C">
      <w:pPr>
        <w:pStyle w:val="Tablefooter"/>
      </w:pPr>
      <w:r w:rsidRPr="00D85E09">
        <w:t xml:space="preserve">Abbreviations: ICU, intensive care unit; mRS, modified Rankin </w:t>
      </w:r>
      <w:r w:rsidR="00F67AF7" w:rsidRPr="00D85E09">
        <w:t>s</w:t>
      </w:r>
      <w:r w:rsidRPr="00D85E09">
        <w:t>cale; NIHSS, National Institu</w:t>
      </w:r>
      <w:r w:rsidR="00582C35" w:rsidRPr="00D85E09">
        <w:t>tes of Health Stroke Scale</w:t>
      </w:r>
      <w:r w:rsidRPr="00D85E09">
        <w:t>; QoL, quality of life; TICI, Thrombolysis in Cerebral Infarction perfusion scale grade.</w:t>
      </w:r>
      <w:r w:rsidRPr="00D85E09">
        <w:br w:type="page"/>
      </w:r>
    </w:p>
    <w:p w14:paraId="4E092B5A" w14:textId="4A8209FC" w:rsidR="00CB56D1" w:rsidRDefault="00D96B90" w:rsidP="003D5DE5">
      <w:pPr>
        <w:pStyle w:val="ExecSummHead"/>
      </w:pPr>
      <w:r w:rsidRPr="00D85E09">
        <w:lastRenderedPageBreak/>
        <w:t>Section A: CONTEXT</w:t>
      </w:r>
    </w:p>
    <w:p w14:paraId="12228F61" w14:textId="77777777" w:rsidR="00D96B90" w:rsidRPr="00D85E09" w:rsidRDefault="00D96B90" w:rsidP="0043316B">
      <w:pPr>
        <w:pStyle w:val="Heading4"/>
        <w:keepLines w:val="0"/>
        <w:widowControl w:val="0"/>
        <w:rPr>
          <w:lang w:val="en-AU"/>
        </w:rPr>
      </w:pPr>
      <w:r w:rsidRPr="00D85E09">
        <w:rPr>
          <w:lang w:val="en-AU"/>
        </w:rPr>
        <w:t>Rationale for Application</w:t>
      </w:r>
    </w:p>
    <w:p w14:paraId="52E3363B" w14:textId="77777777" w:rsidR="00D96B90" w:rsidRPr="00D85E09" w:rsidRDefault="00D96B90" w:rsidP="0043316B">
      <w:r w:rsidRPr="00D85E09">
        <w:t>Stroke is a major cause of prolonged neurologic disability in adults and has significant clinical and cost burdens. Improved management of patients during the acute phase of stroke treatment can save patients’ lives and help to reduce both the clinical and cost burden of stroke.</w:t>
      </w:r>
    </w:p>
    <w:p w14:paraId="71A465E6" w14:textId="77777777" w:rsidR="00D96B90" w:rsidRPr="00D85E09" w:rsidRDefault="00D96B90" w:rsidP="0043316B">
      <w:r w:rsidRPr="00D85E09">
        <w:t>For individuals who have an AIS, the key to effective treatment is early reperfusion of ischaemic brain without causing adverse effects. To achieve reperfusion, intravenous thrombolytic therapy is recommended in treatment guidelines – however, many patients fail to respond to, or are ineligible to receive thrombolytic therapy. MT has become a treatment option for these patients. In addition, for those patients who receive thrombolytic therapy, clinical outcomes can be improved when MT is used as an adjunct to thrombolytic therapy.</w:t>
      </w:r>
    </w:p>
    <w:p w14:paraId="4AE61B0B" w14:textId="6F6E8ECF" w:rsidR="00D96B90" w:rsidRPr="00D85E09" w:rsidRDefault="00D96B90" w:rsidP="0043316B">
      <w:r w:rsidRPr="00D85E09">
        <w:t>The inclusion of MT for AIS on the MBS is a key step to improving access to an effective treatment option and to addressing the clinical and cost burdens of stroke. Improvements in reperfusion following MT and subsequent avoidance of neurological complications result in higher rates of functional independence for AIS patients. Achieving higher rates of functional independence and avoiding stroke related disability translates to shorter hospital stays, less use of rehabilitation services, reduced carer burden, and reduced use of other healthcare resources - all of which have the potential to positively impact both clinical outcomes and healthcare costs over the longer</w:t>
      </w:r>
      <w:r w:rsidR="00300BB6" w:rsidRPr="00D85E09">
        <w:t>-</w:t>
      </w:r>
      <w:r w:rsidRPr="00D85E09">
        <w:t>term. Improved access to MT has the potential for significant reduction in direct healthcare costs. Broader societal benefits and indirect cost savings from avoided impact on productivity costs and reduced carer burden are also anticipated.</w:t>
      </w:r>
    </w:p>
    <w:p w14:paraId="78A863D0" w14:textId="77777777" w:rsidR="00D96B90" w:rsidRPr="00D85E09" w:rsidRDefault="00D96B90" w:rsidP="0043316B">
      <w:pPr>
        <w:pStyle w:val="Heading4"/>
        <w:keepLines w:val="0"/>
        <w:widowControl w:val="0"/>
        <w:rPr>
          <w:lang w:val="en-AU"/>
        </w:rPr>
      </w:pPr>
      <w:r w:rsidRPr="00D85E09">
        <w:rPr>
          <w:lang w:val="en-AU"/>
        </w:rPr>
        <w:t>Proposed medical service</w:t>
      </w:r>
    </w:p>
    <w:p w14:paraId="6F0A1533" w14:textId="36105A7A" w:rsidR="00D96B90" w:rsidRPr="00D85E09" w:rsidRDefault="00D96B90" w:rsidP="0043316B">
      <w:r w:rsidRPr="00D85E09">
        <w:t>MT is a highly specialised and time-critical treatment, with the greatest benefit achieved with early reperfusion of ischaemic brain. It requires a well</w:t>
      </w:r>
      <w:r w:rsidR="00300BB6" w:rsidRPr="00D85E09">
        <w:t xml:space="preserve"> </w:t>
      </w:r>
      <w:r w:rsidRPr="00D85E09">
        <w:t>organised system to identify suitable candidates for therapy, and should only be performed by highly</w:t>
      </w:r>
      <w:r w:rsidR="00300BB6" w:rsidRPr="00D85E09">
        <w:t xml:space="preserve"> </w:t>
      </w:r>
      <w:r w:rsidRPr="00D85E09">
        <w:t>trained neurointerventionists at suitable stroke units.</w:t>
      </w:r>
    </w:p>
    <w:p w14:paraId="70DC426E" w14:textId="1926ADD2" w:rsidR="00D96B90" w:rsidRPr="00D85E09" w:rsidRDefault="00D96B90" w:rsidP="0043316B">
      <w:r w:rsidRPr="00D85E09">
        <w:t xml:space="preserve">Delivery of the service involves the use of a specialised endovascular device to remove an obstructing clot from the artery, thereby restoring blood flow to the brain and minimising brain tissue damage. The devices used to perform MT include coil retrievers, aspiration devices and most recently, stent retrievers. All are delivered to occluded sites with the aid of microcatheters and guidewires, but each type of device uses a slightly different mechanical approach to remove the target clot. Although the Applicant manufactures and markets the </w:t>
      </w:r>
      <w:r w:rsidRPr="00D85E09">
        <w:lastRenderedPageBreak/>
        <w:t xml:space="preserve">Solitaire™ brand of stent retrievers, this submission considers evidence for all types of devices used in MT. MT may be used in addition to the current standard of care for AIS, thrombolysis with recombinant tissue plasminogen activator (IV </w:t>
      </w:r>
      <w:r w:rsidR="005B7DCE">
        <w:t>tPA</w:t>
      </w:r>
      <w:r w:rsidRPr="00D85E09">
        <w:t xml:space="preserve">), or as a standalone in patients who are ineligible or contraindicated to IV </w:t>
      </w:r>
      <w:r w:rsidR="005B7DCE">
        <w:t>tPA</w:t>
      </w:r>
      <w:r w:rsidRPr="00D85E09">
        <w:t>.</w:t>
      </w:r>
    </w:p>
    <w:p w14:paraId="4BB00874" w14:textId="77777777" w:rsidR="00D96B90" w:rsidRPr="00D85E09" w:rsidRDefault="00D96B90" w:rsidP="0043316B">
      <w:pPr>
        <w:pStyle w:val="Heading4"/>
        <w:keepLines w:val="0"/>
        <w:widowControl w:val="0"/>
        <w:rPr>
          <w:lang w:val="en-AU"/>
        </w:rPr>
      </w:pPr>
      <w:r w:rsidRPr="00D85E09">
        <w:rPr>
          <w:lang w:val="en-AU"/>
        </w:rPr>
        <w:t>Proposal for public funding</w:t>
      </w:r>
    </w:p>
    <w:p w14:paraId="3B413118" w14:textId="6A74D070" w:rsidR="00D96B90" w:rsidRPr="00D85E09" w:rsidRDefault="00D96B90" w:rsidP="0043316B">
      <w:r w:rsidRPr="00D85E09">
        <w:t xml:space="preserve">Current clinical practice guidelines reflect MT’s favourable clinical evidence in patients with AIS caused by LVO who are eligible or ineligible for IV </w:t>
      </w:r>
      <w:r w:rsidR="005B7DCE">
        <w:t>tPA</w:t>
      </w:r>
      <w:r w:rsidRPr="00D85E09">
        <w:t>. Whilst some evidence suggests that outcomes may be influenced by factors such as time from stroke onset, pattern of stroke damage, and disease severity, subgroup analyses of individual patient data show that the relative benefit of MT is largely consistent regardless of variation in patient selection criteria. On this basis, the item descriptor proposed in this submission takes a relatively non-prescriptive approach to patient selection. The table below presents the proposed MBS item descriptor. The Applicant notes that the evidence base for MT has evolved rapidly and will continue to evolve. Similar to any new therapy, patient selection criteria and procedure delivery will continue to be refined and this should be reflected in evolving clinical practice guidelines. Hence, the MBS descriptor for the proposed service should retain sufficient flexibility to accommodate changes in clinical practice, while aligning with clinical guidelines. Eligibility criteria for MT should retain sufficient flexibility to ensure clinician determination of patient suitability for MT on a case-by-case basis – taking into consideration the complete clinical circumstances in an acute emergency setting.</w:t>
      </w:r>
    </w:p>
    <w:p w14:paraId="4F052F39" w14:textId="77777777" w:rsidR="00D96B90" w:rsidRPr="00D85E09" w:rsidRDefault="00D96B90" w:rsidP="0031743D">
      <w:pPr>
        <w:rPr>
          <w:b/>
        </w:rPr>
      </w:pPr>
      <w:r w:rsidRPr="00D85E09">
        <w:rPr>
          <w:b/>
        </w:rPr>
        <w:t>Proposed MBS item descriptor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Proposed MBS item descriptor"/>
      </w:tblPr>
      <w:tblGrid>
        <w:gridCol w:w="9287"/>
      </w:tblGrid>
      <w:tr w:rsidR="00D96B90" w:rsidRPr="00D85E09" w14:paraId="0F9ADAFD" w14:textId="77777777" w:rsidTr="00033497">
        <w:trPr>
          <w:cantSplit/>
        </w:trPr>
        <w:tc>
          <w:tcPr>
            <w:tcW w:w="5000" w:type="pct"/>
            <w:shd w:val="clear" w:color="auto" w:fill="D9D9D9" w:themeFill="background1" w:themeFillShade="D9"/>
          </w:tcPr>
          <w:p w14:paraId="14F17ED1" w14:textId="77777777" w:rsidR="00D96B90" w:rsidRPr="00D85E09" w:rsidRDefault="00D96B90" w:rsidP="0043316B">
            <w:pPr>
              <w:pStyle w:val="Tabletext"/>
              <w:keepNext w:val="0"/>
              <w:widowControl w:val="0"/>
              <w:rPr>
                <w:b/>
              </w:rPr>
            </w:pPr>
            <w:r w:rsidRPr="00D85E09">
              <w:rPr>
                <w:b/>
              </w:rPr>
              <w:t>Category 3 - THERAPEUTIC PROCEDURES</w:t>
            </w:r>
          </w:p>
        </w:tc>
      </w:tr>
      <w:tr w:rsidR="00D96B90" w:rsidRPr="005B7DCE" w14:paraId="11BBF0DB" w14:textId="77777777" w:rsidTr="00033497">
        <w:trPr>
          <w:cantSplit/>
        </w:trPr>
        <w:tc>
          <w:tcPr>
            <w:tcW w:w="5000" w:type="pct"/>
          </w:tcPr>
          <w:p w14:paraId="42CFE531" w14:textId="77777777" w:rsidR="00D96B90" w:rsidRPr="005B7DCE" w:rsidRDefault="00D96B90" w:rsidP="0043316B">
            <w:pPr>
              <w:pStyle w:val="Tabletext"/>
              <w:keepNext w:val="0"/>
              <w:widowControl w:val="0"/>
            </w:pPr>
            <w:r w:rsidRPr="005B7DCE">
              <w:t>MBS [item number]</w:t>
            </w:r>
          </w:p>
          <w:p w14:paraId="3C985501" w14:textId="4279AB02" w:rsidR="00D96B90" w:rsidRPr="005B7DCE" w:rsidRDefault="00D96B90" w:rsidP="0043316B">
            <w:pPr>
              <w:pStyle w:val="Tabletext"/>
              <w:keepNext w:val="0"/>
              <w:widowControl w:val="0"/>
              <w:rPr>
                <w:vertAlign w:val="superscript"/>
              </w:rPr>
            </w:pPr>
            <w:r w:rsidRPr="005B7DCE">
              <w:t>Mechanical thrombectomy of patients with a confirmed diagnosis of acute ischaemic stroke caused by large vessel occlusion, of the anterior circulation; pr</w:t>
            </w:r>
            <w:r w:rsidR="00227C1C" w:rsidRPr="005B7DCE">
              <w:t>ocedure to be started within 8</w:t>
            </w:r>
            <w:r w:rsidRPr="005B7DCE">
              <w:t xml:space="preserve"> hours of stroke onset; including intra-operative imaging</w:t>
            </w:r>
            <w:r w:rsidR="00227C1C" w:rsidRPr="005B7DCE">
              <w:t>, but in association with preoperative diagnostic imaging items</w:t>
            </w:r>
            <w:r w:rsidR="00227C1C" w:rsidRPr="005B7DCE">
              <w:rPr>
                <w:vertAlign w:val="superscript"/>
              </w:rPr>
              <w:t>a</w:t>
            </w:r>
          </w:p>
          <w:p w14:paraId="50A24378" w14:textId="75F03DF5" w:rsidR="00227C1C" w:rsidRPr="005B7DCE" w:rsidRDefault="00227C1C" w:rsidP="00227C1C">
            <w:pPr>
              <w:pStyle w:val="Tabletext"/>
              <w:keepNext w:val="0"/>
              <w:widowControl w:val="0"/>
              <w:numPr>
                <w:ilvl w:val="0"/>
                <w:numId w:val="60"/>
              </w:numPr>
            </w:pPr>
            <w:r w:rsidRPr="005B7DCE">
              <w:t>either 56001 or 63064</w:t>
            </w:r>
          </w:p>
          <w:p w14:paraId="3B01D6CA" w14:textId="77777777" w:rsidR="00D96B90" w:rsidRPr="005B7DCE" w:rsidRDefault="00D96B90" w:rsidP="0043316B">
            <w:pPr>
              <w:pStyle w:val="Tabletext"/>
              <w:keepNext w:val="0"/>
              <w:widowControl w:val="0"/>
            </w:pPr>
            <w:r w:rsidRPr="005B7DCE">
              <w:t>Fee: $3,500</w:t>
            </w:r>
          </w:p>
          <w:p w14:paraId="110AF8E4" w14:textId="301CFA7F" w:rsidR="006B64CF" w:rsidRPr="005B7DCE" w:rsidRDefault="006B64CF" w:rsidP="0043316B">
            <w:pPr>
              <w:pStyle w:val="Tabletext"/>
              <w:keepNext w:val="0"/>
              <w:widowControl w:val="0"/>
            </w:pPr>
            <w:r w:rsidRPr="005B7DCE">
              <w:t>(Anaes.) (Assist.)</w:t>
            </w:r>
          </w:p>
          <w:p w14:paraId="5099CB8A" w14:textId="77777777" w:rsidR="00D96B90" w:rsidRPr="005B7DCE" w:rsidRDefault="00D96B90" w:rsidP="0043316B">
            <w:pPr>
              <w:pStyle w:val="Tabletext"/>
              <w:keepNext w:val="0"/>
              <w:widowControl w:val="0"/>
            </w:pPr>
            <w:r w:rsidRPr="005B7DCE">
              <w:t>Explanatory notes:</w:t>
            </w:r>
          </w:p>
          <w:p w14:paraId="372243E7" w14:textId="77777777" w:rsidR="00D96B90" w:rsidRPr="005B7DCE" w:rsidRDefault="00D96B90" w:rsidP="0043316B">
            <w:pPr>
              <w:pStyle w:val="Tabletext"/>
              <w:keepNext w:val="0"/>
              <w:widowControl w:val="0"/>
            </w:pPr>
            <w:r w:rsidRPr="005B7DCE">
              <w:t>•</w:t>
            </w:r>
            <w:r w:rsidRPr="005B7DCE">
              <w:tab/>
              <w:t>Diagnosis confirmed by imaging: ischaemic stroke with large vessel occlusion on CTA or MRI</w:t>
            </w:r>
          </w:p>
          <w:p w14:paraId="3893B56F" w14:textId="77777777" w:rsidR="00D96B90" w:rsidRPr="005B7DCE" w:rsidRDefault="00D96B90" w:rsidP="0043316B">
            <w:pPr>
              <w:pStyle w:val="Tabletext"/>
              <w:keepNext w:val="0"/>
              <w:widowControl w:val="0"/>
            </w:pPr>
            <w:r w:rsidRPr="005B7DCE">
              <w:t>•</w:t>
            </w:r>
            <w:r w:rsidRPr="005B7DCE">
              <w:tab/>
              <w:t>Patients selected for treatment according to acute stroke management guidelines.</w:t>
            </w:r>
          </w:p>
          <w:p w14:paraId="15A425DD" w14:textId="5BDF4DAA" w:rsidR="00D96B90" w:rsidRPr="005B7DCE" w:rsidRDefault="00D96B90" w:rsidP="0043316B">
            <w:pPr>
              <w:pStyle w:val="Tabletext"/>
              <w:keepNext w:val="0"/>
              <w:widowControl w:val="0"/>
            </w:pPr>
            <w:r w:rsidRPr="005B7DCE">
              <w:t>•</w:t>
            </w:r>
            <w:r w:rsidRPr="005B7DCE">
              <w:tab/>
              <w:t>Clinician discretion for procedure use</w:t>
            </w:r>
            <w:r w:rsidR="00227C1C" w:rsidRPr="005B7DCE">
              <w:t xml:space="preserve"> in selected patients beyond 8</w:t>
            </w:r>
            <w:r w:rsidRPr="005B7DCE">
              <w:t xml:space="preserve"> hours of stroke onset, where clinical </w:t>
            </w:r>
            <w:r w:rsidRPr="005B7DCE">
              <w:tab/>
              <w:t>assessment indicates patient is l</w:t>
            </w:r>
            <w:r w:rsidR="00227C1C" w:rsidRPr="005B7DCE">
              <w:t>ikely to benefit from treatment (salvageable brain tissue identified on imaging).</w:t>
            </w:r>
          </w:p>
          <w:p w14:paraId="554D4E26" w14:textId="77777777" w:rsidR="00D96B90" w:rsidRPr="005B7DCE" w:rsidRDefault="00D96B90" w:rsidP="0043316B">
            <w:pPr>
              <w:pStyle w:val="Tabletext"/>
              <w:keepNext w:val="0"/>
              <w:widowControl w:val="0"/>
            </w:pPr>
            <w:r w:rsidRPr="005B7DCE">
              <w:t>•</w:t>
            </w:r>
            <w:r w:rsidRPr="005B7DCE">
              <w:tab/>
              <w:t>Service to be provided by suitably trained and accredited operators in suitably accredited hospitals [requirements TBD]. This should include contribution to systematic registry data for audit purposes [requirements TBD].</w:t>
            </w:r>
          </w:p>
        </w:tc>
      </w:tr>
    </w:tbl>
    <w:p w14:paraId="7301F32B" w14:textId="5F35AA18" w:rsidR="00227C1C" w:rsidRPr="00D85E09" w:rsidRDefault="00227C1C" w:rsidP="00227C1C">
      <w:pPr>
        <w:pStyle w:val="Tablefootnote"/>
        <w:rPr>
          <w:rFonts w:ascii="Calibri" w:hAnsi="Calibri" w:cs="Times New Roman"/>
          <w:sz w:val="22"/>
          <w:szCs w:val="22"/>
          <w:lang w:val="en-AU" w:eastAsia="en-US"/>
        </w:rPr>
      </w:pPr>
      <w:r w:rsidRPr="005B7DCE">
        <w:rPr>
          <w:lang w:val="en-AU"/>
        </w:rPr>
        <w:t xml:space="preserve"> </w:t>
      </w:r>
      <w:r w:rsidRPr="005B7DCE">
        <w:rPr>
          <w:vertAlign w:val="superscript"/>
          <w:lang w:val="en-AU"/>
        </w:rPr>
        <w:t>a</w:t>
      </w:r>
      <w:r w:rsidRPr="005B7DCE">
        <w:rPr>
          <w:lang w:val="en-AU"/>
        </w:rPr>
        <w:t>Examples of relevant CT and MRI items included.</w:t>
      </w:r>
    </w:p>
    <w:p w14:paraId="7213CE5B" w14:textId="6749D0DD" w:rsidR="00D96B90" w:rsidRPr="00D85E09" w:rsidRDefault="00D96B90" w:rsidP="0043316B">
      <w:pPr>
        <w:pStyle w:val="Tablefootnote"/>
        <w:rPr>
          <w:lang w:val="en-AU"/>
        </w:rPr>
      </w:pPr>
      <w:r w:rsidRPr="00D85E09">
        <w:rPr>
          <w:lang w:val="en-AU"/>
        </w:rPr>
        <w:t>Abbreviations: TBD, to be determined; CTA, computed tomography angiography; MRI, magnetic resonance imaging</w:t>
      </w:r>
    </w:p>
    <w:p w14:paraId="3F2CD4B6" w14:textId="77777777" w:rsidR="0043316B" w:rsidRPr="00D85E09" w:rsidRDefault="0043316B" w:rsidP="0043316B">
      <w:pPr>
        <w:widowControl w:val="0"/>
      </w:pPr>
    </w:p>
    <w:p w14:paraId="7CE0803A" w14:textId="6F698C00" w:rsidR="00D96B90" w:rsidRPr="00D85E09" w:rsidRDefault="00D96B90" w:rsidP="0043316B">
      <w:pPr>
        <w:widowControl w:val="0"/>
      </w:pPr>
      <w:r w:rsidRPr="00D85E09">
        <w:lastRenderedPageBreak/>
        <w:t>Consultation with relevant clinical societies is required to determine accreditation and registry participation requirements. Considered together, selection of patients in accordance with clinical practice guidelines and provision of the proposed service by suitably accredited operators and hospitals should ensure that MT is only provided to patients that will benefit from this therapy.</w:t>
      </w:r>
    </w:p>
    <w:p w14:paraId="4BA424FC" w14:textId="77777777" w:rsidR="00D96B90" w:rsidRPr="00D85E09" w:rsidRDefault="00D96B90" w:rsidP="0043316B">
      <w:pPr>
        <w:pStyle w:val="Heading4"/>
        <w:keepLines w:val="0"/>
        <w:widowControl w:val="0"/>
        <w:rPr>
          <w:lang w:val="en-AU"/>
        </w:rPr>
      </w:pPr>
      <w:r w:rsidRPr="00D85E09">
        <w:rPr>
          <w:lang w:val="en-AU"/>
        </w:rPr>
        <w:t>Comparators</w:t>
      </w:r>
    </w:p>
    <w:p w14:paraId="732BB162" w14:textId="6FBF7B28" w:rsidR="00D96B90" w:rsidRPr="00D85E09" w:rsidRDefault="00D96B90" w:rsidP="0043316B">
      <w:r w:rsidRPr="00D85E09">
        <w:t>MT is indicated as an additional therapy in patients who are eligible for IV</w:t>
      </w:r>
      <w:r w:rsidR="00300BB6" w:rsidRPr="00D85E09">
        <w:t>-</w:t>
      </w:r>
      <w:r w:rsidRPr="00D85E09">
        <w:t>tPA, and as an alternative therapy in patients for whom IV</w:t>
      </w:r>
      <w:r w:rsidR="00300BB6" w:rsidRPr="00D85E09">
        <w:t>-</w:t>
      </w:r>
      <w:r w:rsidRPr="00D85E09">
        <w:t>tPA is contraindicated. The comparators for these respective groups are:</w:t>
      </w:r>
    </w:p>
    <w:p w14:paraId="6E40F4A2" w14:textId="6739F6D8" w:rsidR="00D96B90" w:rsidRPr="00D85E09" w:rsidRDefault="00D96B90" w:rsidP="0043316B">
      <w:pPr>
        <w:pStyle w:val="ListParagraph"/>
        <w:numPr>
          <w:ilvl w:val="0"/>
          <w:numId w:val="58"/>
        </w:numPr>
      </w:pPr>
      <w:r w:rsidRPr="00D85E09">
        <w:t>IV</w:t>
      </w:r>
      <w:r w:rsidR="00300BB6" w:rsidRPr="00D85E09">
        <w:t>-</w:t>
      </w:r>
      <w:r w:rsidRPr="00D85E09">
        <w:t>tPA alone (where indicated), and</w:t>
      </w:r>
    </w:p>
    <w:p w14:paraId="4CF5EAC1" w14:textId="77777777" w:rsidR="00D96B90" w:rsidRPr="00D85E09" w:rsidRDefault="00D96B90" w:rsidP="0043316B">
      <w:pPr>
        <w:pStyle w:val="ListParagraph"/>
        <w:numPr>
          <w:ilvl w:val="0"/>
          <w:numId w:val="58"/>
        </w:numPr>
      </w:pPr>
      <w:r w:rsidRPr="00D85E09">
        <w:t>Medical management (anti-thrombotic therapy) where IV thrombolytic therapy is contraindicated.</w:t>
      </w:r>
    </w:p>
    <w:p w14:paraId="113BCA5A" w14:textId="77777777" w:rsidR="00D96B90" w:rsidRPr="00D85E09" w:rsidRDefault="00D96B90" w:rsidP="0043316B">
      <w:r w:rsidRPr="00D85E09">
        <w:t>In this submission these comparators are referred to as ‘usual care’.</w:t>
      </w:r>
    </w:p>
    <w:p w14:paraId="3DCEA92D" w14:textId="18AE3AEB" w:rsidR="00D96B90" w:rsidRPr="00D85E09" w:rsidRDefault="00D96B90" w:rsidP="0043316B">
      <w:r w:rsidRPr="00D85E09">
        <w:t>There are strict rules to determine if a patient is eligible for IV</w:t>
      </w:r>
      <w:r w:rsidR="00300BB6" w:rsidRPr="00D85E09">
        <w:t>-</w:t>
      </w:r>
      <w:r w:rsidRPr="00D85E09">
        <w:t>tPA - it is recommended in clinical practice guidelines as first</w:t>
      </w:r>
      <w:r w:rsidR="00300BB6" w:rsidRPr="00D85E09">
        <w:t>-</w:t>
      </w:r>
      <w:r w:rsidRPr="00D85E09">
        <w:t>line therapy approved for LVOs within 4.5 hours of symptom onset. Hence, presentation &gt; 4.5 hours after stroke symptom onset will preclude access to IV</w:t>
      </w:r>
      <w:r w:rsidR="00300BB6" w:rsidRPr="00D85E09">
        <w:t>-</w:t>
      </w:r>
      <w:r w:rsidRPr="00D85E09">
        <w:t>tPA. In addition, patients may be ineligible due to non-time</w:t>
      </w:r>
      <w:r w:rsidR="00300BB6" w:rsidRPr="00D85E09">
        <w:t xml:space="preserve"> </w:t>
      </w:r>
      <w:r w:rsidRPr="00D85E09">
        <w:t>based reasons, examples include: severe, uncontrolled hypertension; previous surgery; widespread ischaemia, patient receiving oral anticoagulants. The only treatment option available to patients who are ineligible for IV</w:t>
      </w:r>
      <w:r w:rsidR="00300BB6" w:rsidRPr="00D85E09">
        <w:t>-</w:t>
      </w:r>
      <w:r w:rsidRPr="00D85E09">
        <w:t>tPA (time and non-time</w:t>
      </w:r>
      <w:r w:rsidR="00300BB6" w:rsidRPr="00D85E09">
        <w:t xml:space="preserve"> </w:t>
      </w:r>
      <w:r w:rsidRPr="00D85E09">
        <w:t>based reasons) is medical management, consisting of anti-thrombotic therapy with antiplatelet agents (aspirin) or anticoagulants.</w:t>
      </w:r>
    </w:p>
    <w:p w14:paraId="3C3CEBF4" w14:textId="77777777" w:rsidR="00D96B90" w:rsidRPr="00D85E09" w:rsidRDefault="00D96B90" w:rsidP="0043316B">
      <w:pPr>
        <w:pStyle w:val="Heading4"/>
        <w:keepLines w:val="0"/>
        <w:widowControl w:val="0"/>
        <w:rPr>
          <w:lang w:val="en-AU"/>
        </w:rPr>
      </w:pPr>
      <w:r w:rsidRPr="00D85E09">
        <w:rPr>
          <w:lang w:val="en-AU"/>
        </w:rPr>
        <w:t>Proposed clinical management algorithm</w:t>
      </w:r>
    </w:p>
    <w:p w14:paraId="0834C9DC" w14:textId="756192A3" w:rsidR="00D96B90" w:rsidRPr="00D85E09" w:rsidRDefault="00D96B90" w:rsidP="0043316B">
      <w:r w:rsidRPr="00D85E09">
        <w:t>The proposed clinical algorithm is consistent with recommendations from clinical practice guidelines (CPGs) and Australian stroke protocols. MT is indicated as an additional therapy in patients who are eligible for treatment with IV</w:t>
      </w:r>
      <w:r w:rsidR="00300BB6" w:rsidRPr="00D85E09">
        <w:t>-</w:t>
      </w:r>
      <w:r w:rsidRPr="00D85E09">
        <w:t>tPA, and as an alternative therapy in patients for whom IV</w:t>
      </w:r>
      <w:r w:rsidR="00300BB6" w:rsidRPr="00D85E09">
        <w:t>-</w:t>
      </w:r>
      <w:r w:rsidRPr="00D85E09">
        <w:t>tPA is contraindicated.</w:t>
      </w:r>
    </w:p>
    <w:p w14:paraId="0EF7A510" w14:textId="77777777" w:rsidR="0043316B" w:rsidRPr="00D85E09" w:rsidRDefault="0043316B" w:rsidP="0043316B">
      <w:pPr>
        <w:pStyle w:val="Tableheadingleft"/>
        <w:keepNext w:val="0"/>
        <w:keepLines w:val="0"/>
        <w:widowControl w:val="0"/>
        <w:rPr>
          <w:sz w:val="22"/>
          <w:szCs w:val="22"/>
          <w:lang w:val="en-AU"/>
        </w:rPr>
      </w:pPr>
      <w:r w:rsidRPr="00D85E09">
        <w:rPr>
          <w:sz w:val="22"/>
          <w:szCs w:val="22"/>
          <w:lang w:val="en-AU"/>
        </w:rPr>
        <w:br w:type="page"/>
      </w:r>
    </w:p>
    <w:p w14:paraId="6C30A4B5" w14:textId="22D2E067" w:rsidR="00D96B90" w:rsidRPr="00D85E09" w:rsidRDefault="00D96B90" w:rsidP="00C614D4">
      <w:pPr>
        <w:rPr>
          <w:b/>
        </w:rPr>
      </w:pPr>
      <w:r w:rsidRPr="00D85E09">
        <w:rPr>
          <w:b/>
        </w:rPr>
        <w:lastRenderedPageBreak/>
        <w:t>Current and proposed clinical management algorithm</w:t>
      </w:r>
    </w:p>
    <w:p w14:paraId="212B9EE7" w14:textId="77777777" w:rsidR="00D96B90" w:rsidRPr="00D85E09" w:rsidRDefault="00D96B90" w:rsidP="0043316B">
      <w:pPr>
        <w:widowControl w:val="0"/>
        <w:spacing w:after="0"/>
        <w:jc w:val="center"/>
      </w:pPr>
      <w:r w:rsidRPr="00D85E09">
        <w:rPr>
          <w:noProof/>
          <w:lang w:eastAsia="en-AU"/>
        </w:rPr>
        <w:drawing>
          <wp:inline distT="0" distB="0" distL="0" distR="0" wp14:anchorId="43A5A1E3" wp14:editId="7F1636C0">
            <wp:extent cx="5000625" cy="3425078"/>
            <wp:effectExtent l="0" t="0" r="0" b="4445"/>
            <wp:docPr id="9" name="Picture 9" descr="Current (comparator) and proposed clinic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21851" cy="3439616"/>
                    </a:xfrm>
                    <a:prstGeom prst="rect">
                      <a:avLst/>
                    </a:prstGeom>
                  </pic:spPr>
                </pic:pic>
              </a:graphicData>
            </a:graphic>
          </wp:inline>
        </w:drawing>
      </w:r>
    </w:p>
    <w:p w14:paraId="217BD42B" w14:textId="77777777" w:rsidR="00D96B90" w:rsidRPr="00D85E09" w:rsidRDefault="00D96B90" w:rsidP="0043316B">
      <w:pPr>
        <w:pStyle w:val="Tablefootnote"/>
        <w:rPr>
          <w:lang w:val="en-AU"/>
        </w:rPr>
      </w:pPr>
      <w:r w:rsidRPr="00D85E09">
        <w:rPr>
          <w:lang w:val="en-AU"/>
        </w:rPr>
        <w:t>Abbreviations: LVO, large vessel occlusion; MT, mechanical thrombectomy</w:t>
      </w:r>
    </w:p>
    <w:p w14:paraId="232EC16A" w14:textId="77777777" w:rsidR="0043316B" w:rsidRPr="00D85E09" w:rsidRDefault="0043316B" w:rsidP="0043316B"/>
    <w:p w14:paraId="7B96066F" w14:textId="26F86B07" w:rsidR="00D96B90" w:rsidRPr="00D85E09" w:rsidRDefault="00D96B90" w:rsidP="0043316B">
      <w:r w:rsidRPr="00D85E09">
        <w:t>In line with clinical practice guidelines:</w:t>
      </w:r>
    </w:p>
    <w:p w14:paraId="4581B8D9" w14:textId="6FD0BF4B" w:rsidR="00D96B90" w:rsidRPr="00D85E09" w:rsidRDefault="00D96B90" w:rsidP="0043316B">
      <w:pPr>
        <w:pStyle w:val="ListParagraph"/>
        <w:numPr>
          <w:ilvl w:val="0"/>
          <w:numId w:val="59"/>
        </w:numPr>
      </w:pPr>
      <w:r w:rsidRPr="00D85E09">
        <w:t>If eligible for IV</w:t>
      </w:r>
      <w:r w:rsidR="00300BB6" w:rsidRPr="00D85E09">
        <w:t>-</w:t>
      </w:r>
      <w:r w:rsidRPr="00D85E09">
        <w:t>tPA, this should be administered as early as possible, before or during assessment of patient suitability for MT (&lt;4.5h from symptom onset).</w:t>
      </w:r>
    </w:p>
    <w:p w14:paraId="1C9D45A9" w14:textId="48B94EFA" w:rsidR="00D96B90" w:rsidRPr="00D85E09" w:rsidRDefault="00D96B90" w:rsidP="0043316B">
      <w:pPr>
        <w:pStyle w:val="ListParagraph"/>
        <w:numPr>
          <w:ilvl w:val="0"/>
          <w:numId w:val="59"/>
        </w:numPr>
      </w:pPr>
      <w:r w:rsidRPr="00D85E09">
        <w:t>If suitable for MT, this should be performed without awaiting a clinical response to IV</w:t>
      </w:r>
      <w:r w:rsidR="00300BB6" w:rsidRPr="00D85E09">
        <w:t>-</w:t>
      </w:r>
      <w:r w:rsidRPr="00D85E09">
        <w:t>tPA (&lt;6h from symptom onset).</w:t>
      </w:r>
    </w:p>
    <w:p w14:paraId="58861C4A" w14:textId="77777777" w:rsidR="00D96B90" w:rsidRPr="00D85E09" w:rsidRDefault="00D96B90" w:rsidP="0043316B">
      <w:pPr>
        <w:pStyle w:val="ExecSummHead"/>
      </w:pPr>
      <w:r w:rsidRPr="00D85E09">
        <w:t>Section B: PRIMARY EVIDENCE</w:t>
      </w:r>
    </w:p>
    <w:p w14:paraId="2BF8300E" w14:textId="77777777" w:rsidR="00D96B90" w:rsidRPr="00D85E09" w:rsidRDefault="00D96B90" w:rsidP="0043316B">
      <w:r w:rsidRPr="00D85E09">
        <w:t>A literature search was conducted to identify all published and unpublished RCTs that could be used to directly compare the efficacy and safety of the use of MT plus usual care versus usual care alone as a treatment for patients with AIS due to a LVO. The search identified five eligible randomised trials of MT plus usual care and usual care alone ESCAPE; EXTEND-IA; MR CLEAN; REVASCAT; SWIFT PRIME which met the PICO-defined inclusion criteria. One of the pivotal studies, EXTEND-IA, was conducted in Australia and New Zealand, led by investigators from the Royal Melbourne Hospital.</w:t>
      </w:r>
    </w:p>
    <w:p w14:paraId="6B585583" w14:textId="2C733D39" w:rsidR="00D96B90" w:rsidRPr="00D85E09" w:rsidRDefault="00D96B90" w:rsidP="0043316B">
      <w:r w:rsidRPr="00D85E09">
        <w:t xml:space="preserve">The primary outcome presented in this submission was the modified Rankin </w:t>
      </w:r>
      <w:r w:rsidR="00F67AF7" w:rsidRPr="00D85E09">
        <w:t>s</w:t>
      </w:r>
      <w:r w:rsidRPr="00D85E09">
        <w:t xml:space="preserve">cale (mRS) at 90 days, which is a measure of functional ability. This primary outcome was assessed as a </w:t>
      </w:r>
      <w:r w:rsidRPr="00D85E09">
        <w:lastRenderedPageBreak/>
        <w:t>“shift analysis” of disability scores (i.e. the odds of improving by one mRS point). Secondary outcomes included functional independence (mRS 0-2 at 90 days) and mortality.</w:t>
      </w:r>
    </w:p>
    <w:p w14:paraId="36D566EB" w14:textId="77777777" w:rsidR="00D96B90" w:rsidRPr="00D85E09" w:rsidRDefault="00D96B90" w:rsidP="0043316B">
      <w:r w:rsidRPr="00D85E09">
        <w:t>For the primary outcome, the median mRS score at 90 days favoured the intervention treatment arms and was statistically significant in all five trials at 90 days compared to the control group, i.e. the lower the mRS score, the lower the degree of disability and increased functional independence. A post-hoc meta-analysis of these results, based on individual patient data (IPD), shows a pooled cOR of 2.26 (95% CI: 1.67, 3.06; p&lt;0.0001) (Goyal et al, 2016). The corresponding number needed to treat with MT to reduce disability by at least one level on the mRS for one patient was 2·6.</w:t>
      </w:r>
    </w:p>
    <w:p w14:paraId="33DA279A" w14:textId="15AE6CFF" w:rsidR="00D96B90" w:rsidRPr="00D85E09" w:rsidRDefault="00D96B90" w:rsidP="0043316B">
      <w:r w:rsidRPr="00D85E09">
        <w:t>For the secondary outcomes, 46.1% of patients in the intervention treatment arm (i.e. MT) compared to 26.4% of patients in the control arm (i.e. usual care) achieved functional independence at 90 days. This difference was statistically significant with an</w:t>
      </w:r>
      <w:r w:rsidR="00E56287" w:rsidRPr="00D85E09">
        <w:t xml:space="preserve"> odds ratio (</w:t>
      </w:r>
      <w:r w:rsidRPr="00D85E09">
        <w:t>OR</w:t>
      </w:r>
      <w:r w:rsidR="00E56287" w:rsidRPr="00D85E09">
        <w:t>)</w:t>
      </w:r>
      <w:r w:rsidRPr="00D85E09">
        <w:t>=2.39 (95% CI: 1.88, 3.04), p&lt;0.0001. For mortality, 15.3% of patients in the intervention treatment arm compared to 18.8% of patients in the control arm had died at 90 days. This difference was not statistically significant with an OR=0.78 (95% CI: 0.54, 1.12), p=0.18. The absence of heterogeneity in the meta-analyses strengthened conclusions about the consistency of effects across major subgroups of age and severity.</w:t>
      </w:r>
    </w:p>
    <w:p w14:paraId="532E1DCE" w14:textId="77777777" w:rsidR="00D96B90" w:rsidRPr="00D85E09" w:rsidRDefault="00D96B90" w:rsidP="0043316B">
      <w:r w:rsidRPr="00D85E09">
        <w:t>For the secondary outcomes, 46.1% of patients in the intervention treatment arm compared to 26.4% of patients in the control arm possessed a mRS score of 0-2 at 90 days. A mRS score of 0-2 indicated functional independence. Overall, 15.3% of patients in the intervention treatment arm compared to 18.8% of patients in the control arm had died at 90 days.</w:t>
      </w:r>
    </w:p>
    <w:p w14:paraId="74B71E5D" w14:textId="77777777" w:rsidR="00D96B90" w:rsidRPr="00D85E09" w:rsidRDefault="00D96B90" w:rsidP="00C614D4">
      <w:pPr>
        <w:rPr>
          <w:b/>
        </w:rPr>
      </w:pPr>
      <w:r w:rsidRPr="00D85E09">
        <w:rPr>
          <w:b/>
        </w:rPr>
        <w:t>Meta-analysed outcomes in the pivotal trials of MT vs usual care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Meta-analysed outcomes in the pivotal trials of MT vs usual care"/>
      </w:tblPr>
      <w:tblGrid>
        <w:gridCol w:w="2942"/>
        <w:gridCol w:w="1954"/>
        <w:gridCol w:w="1954"/>
        <w:gridCol w:w="2437"/>
      </w:tblGrid>
      <w:tr w:rsidR="00D96B90" w:rsidRPr="00D85E09" w14:paraId="2444CEF2" w14:textId="77777777" w:rsidTr="00033497">
        <w:trPr>
          <w:trHeight w:val="20"/>
          <w:jc w:val="center"/>
        </w:trPr>
        <w:tc>
          <w:tcPr>
            <w:tcW w:w="1584" w:type="pct"/>
            <w:vMerge w:val="restart"/>
            <w:shd w:val="clear" w:color="auto" w:fill="auto"/>
            <w:tcMar>
              <w:top w:w="0" w:type="dxa"/>
              <w:left w:w="108" w:type="dxa"/>
              <w:bottom w:w="0" w:type="dxa"/>
              <w:right w:w="108" w:type="dxa"/>
            </w:tcMar>
            <w:hideMark/>
          </w:tcPr>
          <w:p w14:paraId="3014BD1D" w14:textId="77777777" w:rsidR="00D96B90" w:rsidRPr="00D85E09" w:rsidRDefault="00D96B90" w:rsidP="0043316B">
            <w:pPr>
              <w:pStyle w:val="Tabletext"/>
              <w:keepNext w:val="0"/>
              <w:widowControl w:val="0"/>
              <w:rPr>
                <w:b/>
              </w:rPr>
            </w:pPr>
            <w:r w:rsidRPr="00D85E09">
              <w:rPr>
                <w:b/>
              </w:rPr>
              <w:t>Outcome</w:t>
            </w:r>
          </w:p>
        </w:tc>
        <w:tc>
          <w:tcPr>
            <w:tcW w:w="1052" w:type="pct"/>
            <w:shd w:val="clear" w:color="auto" w:fill="auto"/>
            <w:tcMar>
              <w:top w:w="0" w:type="dxa"/>
              <w:left w:w="108" w:type="dxa"/>
              <w:bottom w:w="0" w:type="dxa"/>
              <w:right w:w="108" w:type="dxa"/>
            </w:tcMar>
            <w:vAlign w:val="center"/>
            <w:hideMark/>
          </w:tcPr>
          <w:p w14:paraId="26A7C798" w14:textId="491766F4" w:rsidR="00D96B90" w:rsidRPr="00D85E09" w:rsidRDefault="00D96B90" w:rsidP="0043316B">
            <w:pPr>
              <w:pStyle w:val="Tabletext"/>
              <w:keepNext w:val="0"/>
              <w:widowControl w:val="0"/>
              <w:jc w:val="center"/>
              <w:rPr>
                <w:b/>
              </w:rPr>
            </w:pPr>
            <w:r w:rsidRPr="00D85E09">
              <w:rPr>
                <w:b/>
              </w:rPr>
              <w:t>Intervention – MT</w:t>
            </w:r>
          </w:p>
        </w:tc>
        <w:tc>
          <w:tcPr>
            <w:tcW w:w="1052" w:type="pct"/>
            <w:shd w:val="clear" w:color="auto" w:fill="auto"/>
            <w:noWrap/>
            <w:tcMar>
              <w:top w:w="0" w:type="dxa"/>
              <w:left w:w="108" w:type="dxa"/>
              <w:bottom w:w="0" w:type="dxa"/>
              <w:right w:w="108" w:type="dxa"/>
            </w:tcMar>
            <w:vAlign w:val="center"/>
            <w:hideMark/>
          </w:tcPr>
          <w:p w14:paraId="0DA0E5B1" w14:textId="77777777" w:rsidR="00D96B90" w:rsidRPr="00D85E09" w:rsidRDefault="00D96B90" w:rsidP="0043316B">
            <w:pPr>
              <w:pStyle w:val="Tabletext"/>
              <w:keepNext w:val="0"/>
              <w:widowControl w:val="0"/>
              <w:jc w:val="center"/>
              <w:rPr>
                <w:b/>
              </w:rPr>
            </w:pPr>
            <w:r w:rsidRPr="00D85E09">
              <w:rPr>
                <w:b/>
                <w:color w:val="000000"/>
              </w:rPr>
              <w:t>Control – Usual care</w:t>
            </w:r>
          </w:p>
        </w:tc>
        <w:tc>
          <w:tcPr>
            <w:tcW w:w="1312" w:type="pct"/>
            <w:vMerge w:val="restart"/>
            <w:shd w:val="clear" w:color="auto" w:fill="auto"/>
            <w:tcMar>
              <w:top w:w="0" w:type="dxa"/>
              <w:left w:w="108" w:type="dxa"/>
              <w:bottom w:w="0" w:type="dxa"/>
              <w:right w:w="108" w:type="dxa"/>
            </w:tcMar>
            <w:vAlign w:val="center"/>
            <w:hideMark/>
          </w:tcPr>
          <w:p w14:paraId="7098781C" w14:textId="77777777" w:rsidR="00D96B90" w:rsidRPr="00D85E09" w:rsidRDefault="00D96B90" w:rsidP="0043316B">
            <w:pPr>
              <w:pStyle w:val="Tabletext"/>
              <w:keepNext w:val="0"/>
              <w:widowControl w:val="0"/>
              <w:jc w:val="center"/>
              <w:rPr>
                <w:b/>
              </w:rPr>
            </w:pPr>
            <w:r w:rsidRPr="00D85E09">
              <w:rPr>
                <w:b/>
              </w:rPr>
              <w:t>OR [95% CI]</w:t>
            </w:r>
          </w:p>
        </w:tc>
      </w:tr>
      <w:tr w:rsidR="00D96B90" w:rsidRPr="00D85E09" w14:paraId="7FD494F3" w14:textId="77777777" w:rsidTr="00033497">
        <w:trPr>
          <w:trHeight w:val="20"/>
          <w:jc w:val="center"/>
        </w:trPr>
        <w:tc>
          <w:tcPr>
            <w:tcW w:w="1584" w:type="pct"/>
            <w:vMerge/>
            <w:tcMar>
              <w:top w:w="0" w:type="dxa"/>
              <w:left w:w="108" w:type="dxa"/>
              <w:bottom w:w="0" w:type="dxa"/>
              <w:right w:w="108" w:type="dxa"/>
            </w:tcMar>
          </w:tcPr>
          <w:p w14:paraId="7EC3EEA8" w14:textId="77777777" w:rsidR="00D96B90" w:rsidRPr="00D85E09" w:rsidRDefault="00D96B90" w:rsidP="0043316B">
            <w:pPr>
              <w:pStyle w:val="Tabletext"/>
              <w:keepNext w:val="0"/>
              <w:widowControl w:val="0"/>
              <w:rPr>
                <w:b/>
              </w:rPr>
            </w:pPr>
          </w:p>
        </w:tc>
        <w:tc>
          <w:tcPr>
            <w:tcW w:w="1052" w:type="pct"/>
            <w:tcMar>
              <w:top w:w="0" w:type="dxa"/>
              <w:left w:w="108" w:type="dxa"/>
              <w:bottom w:w="0" w:type="dxa"/>
              <w:right w:w="108" w:type="dxa"/>
            </w:tcMar>
            <w:vAlign w:val="center"/>
            <w:hideMark/>
          </w:tcPr>
          <w:p w14:paraId="3DA78D94" w14:textId="77777777" w:rsidR="00D96B90" w:rsidRPr="00D85E09" w:rsidRDefault="00D96B90" w:rsidP="0043316B">
            <w:pPr>
              <w:pStyle w:val="Tabletext"/>
              <w:keepNext w:val="0"/>
              <w:widowControl w:val="0"/>
              <w:jc w:val="center"/>
              <w:rPr>
                <w:b/>
              </w:rPr>
            </w:pPr>
            <w:r w:rsidRPr="00D85E09">
              <w:rPr>
                <w:b/>
              </w:rPr>
              <w:t>n /N (%)</w:t>
            </w:r>
          </w:p>
        </w:tc>
        <w:tc>
          <w:tcPr>
            <w:tcW w:w="1052" w:type="pct"/>
            <w:noWrap/>
            <w:tcMar>
              <w:top w:w="0" w:type="dxa"/>
              <w:left w:w="108" w:type="dxa"/>
              <w:bottom w:w="0" w:type="dxa"/>
              <w:right w:w="108" w:type="dxa"/>
            </w:tcMar>
            <w:vAlign w:val="center"/>
            <w:hideMark/>
          </w:tcPr>
          <w:p w14:paraId="5FEF4BFE" w14:textId="77777777" w:rsidR="00D96B90" w:rsidRPr="00D85E09" w:rsidRDefault="00D96B90" w:rsidP="0043316B">
            <w:pPr>
              <w:pStyle w:val="Tabletext"/>
              <w:keepNext w:val="0"/>
              <w:widowControl w:val="0"/>
              <w:jc w:val="center"/>
              <w:rPr>
                <w:b/>
              </w:rPr>
            </w:pPr>
            <w:r w:rsidRPr="00D85E09">
              <w:rPr>
                <w:b/>
              </w:rPr>
              <w:t>n /N (%)</w:t>
            </w:r>
          </w:p>
        </w:tc>
        <w:tc>
          <w:tcPr>
            <w:tcW w:w="0" w:type="auto"/>
            <w:vMerge/>
            <w:vAlign w:val="center"/>
            <w:hideMark/>
          </w:tcPr>
          <w:p w14:paraId="7A433852" w14:textId="77777777" w:rsidR="00D96B90" w:rsidRPr="00D85E09" w:rsidRDefault="00D96B90" w:rsidP="0043316B">
            <w:pPr>
              <w:pStyle w:val="Tabletext"/>
              <w:keepNext w:val="0"/>
              <w:widowControl w:val="0"/>
            </w:pPr>
          </w:p>
        </w:tc>
      </w:tr>
      <w:tr w:rsidR="00D96B90" w:rsidRPr="00D85E09" w14:paraId="0E092A47" w14:textId="77777777" w:rsidTr="00033497">
        <w:trPr>
          <w:trHeight w:val="20"/>
          <w:jc w:val="center"/>
        </w:trPr>
        <w:tc>
          <w:tcPr>
            <w:tcW w:w="5000" w:type="pct"/>
            <w:gridSpan w:val="4"/>
            <w:tcMar>
              <w:top w:w="0" w:type="dxa"/>
              <w:left w:w="108" w:type="dxa"/>
              <w:bottom w:w="0" w:type="dxa"/>
              <w:right w:w="108" w:type="dxa"/>
            </w:tcMar>
            <w:vAlign w:val="center"/>
          </w:tcPr>
          <w:p w14:paraId="19633587" w14:textId="77777777" w:rsidR="00D96B90" w:rsidRPr="00D85E09" w:rsidRDefault="00D96B90" w:rsidP="0043316B">
            <w:pPr>
              <w:pStyle w:val="Tabletext"/>
              <w:keepNext w:val="0"/>
              <w:widowControl w:val="0"/>
              <w:rPr>
                <w:i/>
              </w:rPr>
            </w:pPr>
            <w:r w:rsidRPr="00D85E09">
              <w:rPr>
                <w:i/>
              </w:rPr>
              <w:t>Primary outcome</w:t>
            </w:r>
          </w:p>
        </w:tc>
      </w:tr>
      <w:tr w:rsidR="00D96B90" w:rsidRPr="00D85E09" w14:paraId="603253AE" w14:textId="77777777" w:rsidTr="00033497">
        <w:trPr>
          <w:trHeight w:val="20"/>
          <w:jc w:val="center"/>
        </w:trPr>
        <w:tc>
          <w:tcPr>
            <w:tcW w:w="1584" w:type="pct"/>
            <w:tcMar>
              <w:top w:w="0" w:type="dxa"/>
              <w:left w:w="108" w:type="dxa"/>
              <w:bottom w:w="0" w:type="dxa"/>
              <w:right w:w="108" w:type="dxa"/>
            </w:tcMar>
            <w:vAlign w:val="center"/>
            <w:hideMark/>
          </w:tcPr>
          <w:p w14:paraId="10A79C0B" w14:textId="77777777" w:rsidR="00D96B90" w:rsidRPr="00D85E09" w:rsidRDefault="00D96B90" w:rsidP="0043316B">
            <w:pPr>
              <w:pStyle w:val="Tabletext"/>
              <w:keepNext w:val="0"/>
              <w:widowControl w:val="0"/>
            </w:pPr>
            <w:r w:rsidRPr="00D85E09">
              <w:t>mRS score reduction (shift analysis)</w:t>
            </w:r>
          </w:p>
        </w:tc>
        <w:tc>
          <w:tcPr>
            <w:tcW w:w="1052" w:type="pct"/>
            <w:tcMar>
              <w:top w:w="0" w:type="dxa"/>
              <w:left w:w="108" w:type="dxa"/>
              <w:bottom w:w="0" w:type="dxa"/>
              <w:right w:w="108" w:type="dxa"/>
            </w:tcMar>
            <w:vAlign w:val="center"/>
            <w:hideMark/>
          </w:tcPr>
          <w:p w14:paraId="091A18F5" w14:textId="77777777" w:rsidR="00D96B90" w:rsidRPr="00D85E09" w:rsidRDefault="00D96B90" w:rsidP="0043316B">
            <w:pPr>
              <w:pStyle w:val="Tabletext"/>
              <w:keepNext w:val="0"/>
              <w:widowControl w:val="0"/>
              <w:jc w:val="center"/>
            </w:pPr>
            <w:r w:rsidRPr="00D85E09">
              <w:t>-</w:t>
            </w:r>
          </w:p>
        </w:tc>
        <w:tc>
          <w:tcPr>
            <w:tcW w:w="1052" w:type="pct"/>
            <w:tcMar>
              <w:top w:w="0" w:type="dxa"/>
              <w:left w:w="108" w:type="dxa"/>
              <w:bottom w:w="0" w:type="dxa"/>
              <w:right w:w="108" w:type="dxa"/>
            </w:tcMar>
            <w:vAlign w:val="center"/>
            <w:hideMark/>
          </w:tcPr>
          <w:p w14:paraId="493C2301" w14:textId="77777777" w:rsidR="00D96B90" w:rsidRPr="00D85E09" w:rsidRDefault="00D96B90" w:rsidP="0043316B">
            <w:pPr>
              <w:pStyle w:val="Tabletext"/>
              <w:keepNext w:val="0"/>
              <w:widowControl w:val="0"/>
              <w:jc w:val="center"/>
            </w:pPr>
            <w:r w:rsidRPr="00D85E09">
              <w:t>-</w:t>
            </w:r>
          </w:p>
        </w:tc>
        <w:tc>
          <w:tcPr>
            <w:tcW w:w="1312" w:type="pct"/>
            <w:tcMar>
              <w:top w:w="0" w:type="dxa"/>
              <w:left w:w="108" w:type="dxa"/>
              <w:bottom w:w="0" w:type="dxa"/>
              <w:right w:w="108" w:type="dxa"/>
            </w:tcMar>
            <w:vAlign w:val="center"/>
            <w:hideMark/>
          </w:tcPr>
          <w:p w14:paraId="2317B974" w14:textId="77777777" w:rsidR="00D96B90" w:rsidRPr="00D85E09" w:rsidRDefault="00D96B90" w:rsidP="0043316B">
            <w:pPr>
              <w:pStyle w:val="Tabletext"/>
              <w:keepNext w:val="0"/>
              <w:widowControl w:val="0"/>
              <w:jc w:val="center"/>
            </w:pPr>
            <w:r w:rsidRPr="00D85E09">
              <w:t>2.26 (1.67, 3.06) p&lt;0·0001</w:t>
            </w:r>
            <w:r w:rsidRPr="00D85E09">
              <w:rPr>
                <w:vertAlign w:val="superscript"/>
              </w:rPr>
              <w:t>a</w:t>
            </w:r>
          </w:p>
        </w:tc>
      </w:tr>
      <w:tr w:rsidR="00D96B90" w:rsidRPr="00D85E09" w14:paraId="5F91D5B2" w14:textId="77777777" w:rsidTr="00033497">
        <w:trPr>
          <w:trHeight w:val="20"/>
          <w:jc w:val="center"/>
        </w:trPr>
        <w:tc>
          <w:tcPr>
            <w:tcW w:w="5000" w:type="pct"/>
            <w:gridSpan w:val="4"/>
            <w:tcMar>
              <w:top w:w="0" w:type="dxa"/>
              <w:left w:w="108" w:type="dxa"/>
              <w:bottom w:w="0" w:type="dxa"/>
              <w:right w:w="108" w:type="dxa"/>
            </w:tcMar>
            <w:vAlign w:val="center"/>
          </w:tcPr>
          <w:p w14:paraId="05C1316D" w14:textId="77777777" w:rsidR="00D96B90" w:rsidRPr="00D85E09" w:rsidRDefault="00D96B90" w:rsidP="0043316B">
            <w:pPr>
              <w:pStyle w:val="Tabletext"/>
              <w:keepNext w:val="0"/>
              <w:widowControl w:val="0"/>
              <w:rPr>
                <w:i/>
              </w:rPr>
            </w:pPr>
            <w:r w:rsidRPr="00D85E09">
              <w:rPr>
                <w:i/>
              </w:rPr>
              <w:t>Secondary outcomes</w:t>
            </w:r>
          </w:p>
        </w:tc>
      </w:tr>
      <w:tr w:rsidR="00D96B90" w:rsidRPr="00D85E09" w14:paraId="5A82A9EF" w14:textId="77777777" w:rsidTr="00033497">
        <w:trPr>
          <w:trHeight w:val="20"/>
          <w:jc w:val="center"/>
        </w:trPr>
        <w:tc>
          <w:tcPr>
            <w:tcW w:w="1584" w:type="pct"/>
            <w:tcMar>
              <w:top w:w="0" w:type="dxa"/>
              <w:left w:w="108" w:type="dxa"/>
              <w:bottom w:w="0" w:type="dxa"/>
              <w:right w:w="108" w:type="dxa"/>
            </w:tcMar>
            <w:vAlign w:val="center"/>
            <w:hideMark/>
          </w:tcPr>
          <w:p w14:paraId="78C00938" w14:textId="77777777" w:rsidR="00D96B90" w:rsidRPr="00D85E09" w:rsidRDefault="00D96B90" w:rsidP="0043316B">
            <w:pPr>
              <w:pStyle w:val="Tabletext"/>
              <w:keepNext w:val="0"/>
              <w:widowControl w:val="0"/>
            </w:pPr>
            <w:r w:rsidRPr="00D85E09">
              <w:t>mRS score 0-2 at 90 days</w:t>
            </w:r>
          </w:p>
        </w:tc>
        <w:tc>
          <w:tcPr>
            <w:tcW w:w="1052" w:type="pct"/>
            <w:tcMar>
              <w:top w:w="0" w:type="dxa"/>
              <w:left w:w="108" w:type="dxa"/>
              <w:bottom w:w="0" w:type="dxa"/>
              <w:right w:w="108" w:type="dxa"/>
            </w:tcMar>
            <w:vAlign w:val="center"/>
            <w:hideMark/>
          </w:tcPr>
          <w:p w14:paraId="7A2E9756" w14:textId="77777777" w:rsidR="00D96B90" w:rsidRPr="00D85E09" w:rsidRDefault="00D96B90" w:rsidP="0043316B">
            <w:pPr>
              <w:pStyle w:val="Tabletext"/>
              <w:keepNext w:val="0"/>
              <w:widowControl w:val="0"/>
              <w:jc w:val="center"/>
            </w:pPr>
            <w:r w:rsidRPr="00D85E09">
              <w:t>292/633 (46.1%)</w:t>
            </w:r>
          </w:p>
        </w:tc>
        <w:tc>
          <w:tcPr>
            <w:tcW w:w="1052" w:type="pct"/>
            <w:tcMar>
              <w:top w:w="0" w:type="dxa"/>
              <w:left w:w="108" w:type="dxa"/>
              <w:bottom w:w="0" w:type="dxa"/>
              <w:right w:w="108" w:type="dxa"/>
            </w:tcMar>
            <w:vAlign w:val="center"/>
            <w:hideMark/>
          </w:tcPr>
          <w:p w14:paraId="6870B0F5" w14:textId="77777777" w:rsidR="00D96B90" w:rsidRPr="00D85E09" w:rsidRDefault="00D96B90" w:rsidP="0043316B">
            <w:pPr>
              <w:pStyle w:val="Tabletext"/>
              <w:keepNext w:val="0"/>
              <w:widowControl w:val="0"/>
              <w:jc w:val="center"/>
            </w:pPr>
            <w:r w:rsidRPr="00D85E09">
              <w:t>170/645 (26.4%)</w:t>
            </w:r>
          </w:p>
        </w:tc>
        <w:tc>
          <w:tcPr>
            <w:tcW w:w="1312" w:type="pct"/>
            <w:tcMar>
              <w:top w:w="0" w:type="dxa"/>
              <w:left w:w="108" w:type="dxa"/>
              <w:bottom w:w="0" w:type="dxa"/>
              <w:right w:w="108" w:type="dxa"/>
            </w:tcMar>
            <w:vAlign w:val="center"/>
            <w:hideMark/>
          </w:tcPr>
          <w:p w14:paraId="46418470" w14:textId="77777777" w:rsidR="00D96B90" w:rsidRPr="00D85E09" w:rsidRDefault="00D96B90" w:rsidP="0043316B">
            <w:pPr>
              <w:pStyle w:val="Tabletext"/>
              <w:keepNext w:val="0"/>
              <w:widowControl w:val="0"/>
              <w:jc w:val="center"/>
            </w:pPr>
            <w:r w:rsidRPr="00D85E09">
              <w:t>2.39 [1.88, 3.04], p&lt;0.00001</w:t>
            </w:r>
            <w:r w:rsidRPr="00D85E09">
              <w:rPr>
                <w:vertAlign w:val="superscript"/>
              </w:rPr>
              <w:t>b</w:t>
            </w:r>
          </w:p>
        </w:tc>
      </w:tr>
      <w:tr w:rsidR="00D96B90" w:rsidRPr="00D85E09" w14:paraId="650424C0" w14:textId="77777777" w:rsidTr="00033497">
        <w:trPr>
          <w:trHeight w:val="20"/>
          <w:jc w:val="center"/>
        </w:trPr>
        <w:tc>
          <w:tcPr>
            <w:tcW w:w="1584" w:type="pct"/>
            <w:tcMar>
              <w:top w:w="0" w:type="dxa"/>
              <w:left w:w="108" w:type="dxa"/>
              <w:bottom w:w="0" w:type="dxa"/>
              <w:right w:w="108" w:type="dxa"/>
            </w:tcMar>
            <w:vAlign w:val="center"/>
            <w:hideMark/>
          </w:tcPr>
          <w:p w14:paraId="61BE0938" w14:textId="77777777" w:rsidR="00D96B90" w:rsidRPr="00D85E09" w:rsidRDefault="00D96B90" w:rsidP="0043316B">
            <w:pPr>
              <w:pStyle w:val="Tabletext"/>
              <w:keepNext w:val="0"/>
              <w:widowControl w:val="0"/>
            </w:pPr>
            <w:r w:rsidRPr="00D85E09">
              <w:t>Mortality at 90 days</w:t>
            </w:r>
          </w:p>
        </w:tc>
        <w:tc>
          <w:tcPr>
            <w:tcW w:w="1052" w:type="pct"/>
            <w:tcMar>
              <w:top w:w="0" w:type="dxa"/>
              <w:left w:w="108" w:type="dxa"/>
              <w:bottom w:w="0" w:type="dxa"/>
              <w:right w:w="108" w:type="dxa"/>
            </w:tcMar>
            <w:vAlign w:val="center"/>
            <w:hideMark/>
          </w:tcPr>
          <w:p w14:paraId="5274898D" w14:textId="77777777" w:rsidR="00D96B90" w:rsidRPr="00D85E09" w:rsidRDefault="00D96B90" w:rsidP="0043316B">
            <w:pPr>
              <w:pStyle w:val="Tabletext"/>
              <w:keepNext w:val="0"/>
              <w:widowControl w:val="0"/>
              <w:jc w:val="center"/>
            </w:pPr>
            <w:r w:rsidRPr="00D85E09">
              <w:t>97/634 (15.3)</w:t>
            </w:r>
          </w:p>
        </w:tc>
        <w:tc>
          <w:tcPr>
            <w:tcW w:w="1052" w:type="pct"/>
            <w:tcMar>
              <w:top w:w="0" w:type="dxa"/>
              <w:left w:w="108" w:type="dxa"/>
              <w:bottom w:w="0" w:type="dxa"/>
              <w:right w:w="108" w:type="dxa"/>
            </w:tcMar>
            <w:vAlign w:val="center"/>
            <w:hideMark/>
          </w:tcPr>
          <w:p w14:paraId="5BCDC8C1" w14:textId="77777777" w:rsidR="00D96B90" w:rsidRPr="00D85E09" w:rsidRDefault="00D96B90" w:rsidP="0043316B">
            <w:pPr>
              <w:pStyle w:val="Tabletext"/>
              <w:keepNext w:val="0"/>
              <w:widowControl w:val="0"/>
              <w:jc w:val="center"/>
            </w:pPr>
            <w:r w:rsidRPr="00D85E09">
              <w:t>122/649 (18.8)</w:t>
            </w:r>
          </w:p>
        </w:tc>
        <w:tc>
          <w:tcPr>
            <w:tcW w:w="1312" w:type="pct"/>
            <w:tcMar>
              <w:top w:w="0" w:type="dxa"/>
              <w:left w:w="108" w:type="dxa"/>
              <w:bottom w:w="0" w:type="dxa"/>
              <w:right w:w="108" w:type="dxa"/>
            </w:tcMar>
            <w:hideMark/>
          </w:tcPr>
          <w:p w14:paraId="009B687D" w14:textId="77777777" w:rsidR="00D96B90" w:rsidRPr="00D85E09" w:rsidRDefault="00D96B90" w:rsidP="0043316B">
            <w:pPr>
              <w:pStyle w:val="Tabletext"/>
              <w:keepNext w:val="0"/>
              <w:widowControl w:val="0"/>
              <w:jc w:val="center"/>
            </w:pPr>
            <w:r w:rsidRPr="00D85E09">
              <w:t>0.78 [0.54, 1.12], p=0.18</w:t>
            </w:r>
            <w:r w:rsidRPr="00D85E09">
              <w:rPr>
                <w:vertAlign w:val="superscript"/>
              </w:rPr>
              <w:t>b</w:t>
            </w:r>
          </w:p>
        </w:tc>
      </w:tr>
    </w:tbl>
    <w:p w14:paraId="6B02D36F" w14:textId="5AE0D31C" w:rsidR="00D96B90" w:rsidRPr="00D85E09" w:rsidRDefault="00D96B90" w:rsidP="0043316B">
      <w:pPr>
        <w:pStyle w:val="Tablefootnote"/>
        <w:rPr>
          <w:lang w:val="en-AU"/>
        </w:rPr>
      </w:pPr>
      <w:r w:rsidRPr="00D85E09">
        <w:rPr>
          <w:lang w:val="en-AU"/>
        </w:rPr>
        <w:t xml:space="preserve">Abbreviations: CI, confidence interval; mRS, modified Rankin </w:t>
      </w:r>
      <w:r w:rsidR="00F67AF7" w:rsidRPr="00D85E09">
        <w:rPr>
          <w:lang w:val="en-AU"/>
        </w:rPr>
        <w:t>s</w:t>
      </w:r>
      <w:r w:rsidRPr="00D85E09">
        <w:rPr>
          <w:lang w:val="en-AU"/>
        </w:rPr>
        <w:t>cale; MT, mechanical thrombectomy; OR, odds ratio</w:t>
      </w:r>
    </w:p>
    <w:p w14:paraId="66762E07" w14:textId="77777777" w:rsidR="00D96B90" w:rsidRPr="00D85E09" w:rsidRDefault="00D96B90" w:rsidP="0043316B">
      <w:pPr>
        <w:pStyle w:val="Tablefootnote"/>
        <w:rPr>
          <w:lang w:val="en-AU"/>
        </w:rPr>
      </w:pPr>
      <w:r w:rsidRPr="00D85E09">
        <w:rPr>
          <w:vertAlign w:val="superscript"/>
          <w:lang w:val="en-AU"/>
        </w:rPr>
        <w:t xml:space="preserve">a </w:t>
      </w:r>
      <w:r w:rsidRPr="00D85E09">
        <w:rPr>
          <w:lang w:val="en-AU"/>
        </w:rPr>
        <w:t>Common odds ratio indicating the odds of improvement of one point on the mRS. Based on IPD meta-analysis by Goyal (2016).</w:t>
      </w:r>
    </w:p>
    <w:p w14:paraId="5ED0A12D" w14:textId="755EDD80" w:rsidR="00D96B90" w:rsidRPr="00D85E09" w:rsidRDefault="00D96B90" w:rsidP="0043316B">
      <w:pPr>
        <w:pStyle w:val="Tablefootnote"/>
        <w:rPr>
          <w:lang w:val="en-AU"/>
        </w:rPr>
      </w:pPr>
      <w:r w:rsidRPr="00D85E09">
        <w:rPr>
          <w:vertAlign w:val="superscript"/>
          <w:lang w:val="en-AU"/>
        </w:rPr>
        <w:t>b</w:t>
      </w:r>
      <w:r w:rsidRPr="00D85E09">
        <w:rPr>
          <w:lang w:val="en-AU"/>
        </w:rPr>
        <w:t xml:space="preserve"> OR [95% CI] calculated using Review Manager 5.3 for this submission.</w:t>
      </w:r>
    </w:p>
    <w:p w14:paraId="53647335" w14:textId="77777777" w:rsidR="0043316B" w:rsidRPr="00D85E09" w:rsidRDefault="0043316B" w:rsidP="0043316B"/>
    <w:p w14:paraId="04C42500" w14:textId="77777777" w:rsidR="00D96B90" w:rsidRPr="00D85E09" w:rsidRDefault="00D96B90" w:rsidP="0043316B">
      <w:r w:rsidRPr="00D85E09">
        <w:t xml:space="preserve">In general, the pivotal trials also included a greater proportion of subjects who achieved early neurologic improvement, possessed milder impairment post-stroke and higher Barthel Index </w:t>
      </w:r>
      <w:r w:rsidRPr="00D85E09">
        <w:lastRenderedPageBreak/>
        <w:t>(BI, a measure of daily living capability) score compared to the control arm. Additionally, there was 100% reduction in the perfusion-lesion volume for patients treated with intervention treatment, compared to 37% reduction for those in the control arm.</w:t>
      </w:r>
    </w:p>
    <w:p w14:paraId="73CC28D2" w14:textId="77777777" w:rsidR="00D96B90" w:rsidRPr="00D85E09" w:rsidRDefault="00D96B90" w:rsidP="0043316B">
      <w:r w:rsidRPr="00D85E09">
        <w:t>Overall, the safety data suggest that MT is associated with an increased risk of certain complications compared to usual care alone; in particular, procedural complications and hematoma. However, these risks should be balanced against the poor prognosis of many patients with AIS and the net benefits of treatment with MT in terms of functional outcomes. Furthermore, any adverse effects resulting directly from the procedure would be expected to occur within the 90-day duration of the trial. Therefore, the long-term safety profile of MT relative to usual care is expected to be similar to the 90-day safety profile reported in the clinical trial.</w:t>
      </w:r>
    </w:p>
    <w:p w14:paraId="7A46E67D" w14:textId="77777777" w:rsidR="00D96B90" w:rsidRPr="00D85E09" w:rsidRDefault="00D96B90" w:rsidP="0043316B">
      <w:r w:rsidRPr="00D85E09">
        <w:t>The evidence presented demonstrates that treatment with MT in addition to usual care is superior to usual care alone in terms of effectiveness and non-inferior in terms of safety. A modelled cost-utility analysis is presented to support the cost-effectiveness of MT in addition to usual care.</w:t>
      </w:r>
    </w:p>
    <w:p w14:paraId="0D054053" w14:textId="77777777" w:rsidR="00D96B90" w:rsidRPr="00D85E09" w:rsidRDefault="00D96B90" w:rsidP="0043316B">
      <w:pPr>
        <w:pStyle w:val="ExecSummHead"/>
        <w:widowControl w:val="0"/>
      </w:pPr>
      <w:r w:rsidRPr="00D85E09">
        <w:t>Section C: SYNTHESIS WITH OTHER EVIDENCE</w:t>
      </w:r>
    </w:p>
    <w:p w14:paraId="1D816DD2" w14:textId="77777777" w:rsidR="00D96B90" w:rsidRPr="00D85E09" w:rsidRDefault="00D96B90" w:rsidP="0043316B">
      <w:pPr>
        <w:pStyle w:val="Heading4"/>
        <w:keepLines w:val="0"/>
        <w:widowControl w:val="0"/>
        <w:rPr>
          <w:lang w:val="en-AU"/>
        </w:rPr>
      </w:pPr>
      <w:r w:rsidRPr="00D85E09">
        <w:rPr>
          <w:lang w:val="en-AU"/>
        </w:rPr>
        <w:t>Applicability of trial population to those for whom listing is sought</w:t>
      </w:r>
    </w:p>
    <w:p w14:paraId="095ED793" w14:textId="77777777" w:rsidR="00D96B90" w:rsidRPr="00D85E09" w:rsidRDefault="00D96B90" w:rsidP="0043316B">
      <w:r w:rsidRPr="00D85E09">
        <w:t xml:space="preserve">The application of MT in clinical practice aims to identify all patients with LVO ischaemic stroke who could potentially benefit from this therapy. Hence, the targeted population is relatively broad, limited only to “patients with confirmed diagnosis of acute ischaemic stroke caused by large vessel occlusion of the anterior circulation”. Despite demonstrating uniformly favourable results for MT relative to usual care, each of the 5 pivotal RCTs had some differences in terms of the populations enrolled and circumstances of use. Thus, a series of subgroup analyses </w:t>
      </w:r>
      <w:r w:rsidRPr="00D85E09">
        <w:rPr>
          <w:rFonts w:eastAsia="MS Gothic"/>
        </w:rPr>
        <w:t>of the primary endpoint were presented to examine possible effect modifications. These analyses, based on IPD, showed no heterogeneity of treatment effect across pre-specified subgroups for reduced disability (Goyal, 2016). Effect sizes</w:t>
      </w:r>
      <w:r w:rsidRPr="00D85E09">
        <w:t xml:space="preserve"> </w:t>
      </w:r>
      <w:r w:rsidRPr="00D85E09">
        <w:rPr>
          <w:rFonts w:eastAsia="MS Gothic"/>
        </w:rPr>
        <w:t xml:space="preserve">favouring MT over usual care were present in several strata of special interest, including in patients aged 80 years or older (cOR 3·68, 95% CI: 1·95–6·92), those randomised more than 300 min after symptom onset (1·76, 1·05–2·97), and those not eligible for intravenous alteplase (cOR 2·43, 95% CI: 1·30–4·55). </w:t>
      </w:r>
      <w:r w:rsidRPr="00D85E09">
        <w:t>This supports the use of an intention-to-treat (ITT) approach in the base case of the economic evaluation.</w:t>
      </w:r>
    </w:p>
    <w:p w14:paraId="1680E46B" w14:textId="24C3A149" w:rsidR="00D96B90" w:rsidRPr="00D85E09" w:rsidRDefault="00D96B90" w:rsidP="0043316B">
      <w:r w:rsidRPr="00D85E09">
        <w:t>For patients who are eligible for IV</w:t>
      </w:r>
      <w:r w:rsidR="00300BB6" w:rsidRPr="00D85E09">
        <w:t>-</w:t>
      </w:r>
      <w:r w:rsidRPr="00D85E09">
        <w:t xml:space="preserve">tPA, the baseline characteristics of patients in the Australian EXTEND-IA study appear to be similar to those of the meta-analysed IPD population. A subgroup analysis of the MR CLEAN study shows that patients who are </w:t>
      </w:r>
      <w:r w:rsidRPr="00D85E09">
        <w:lastRenderedPageBreak/>
        <w:t>ineligible for IV</w:t>
      </w:r>
      <w:r w:rsidR="00300BB6" w:rsidRPr="00D85E09">
        <w:t>-</w:t>
      </w:r>
      <w:r w:rsidRPr="00D85E09">
        <w:t>tPA are more likely to be slightly older and suffer vascular comorbidities; however, the clinical efficacy of MT relative to untreated patients remains similar in this subgroup. Furthermore, the reasons for contraindication for IV</w:t>
      </w:r>
      <w:r w:rsidR="00300BB6" w:rsidRPr="00D85E09">
        <w:t>-</w:t>
      </w:r>
      <w:r w:rsidRPr="00D85E09">
        <w:t>tPA observed in the trial are consistent with clinical practice guidelines used in Australia. Therefore, the results of the meta-analysis presented in Section B are also applicable to Australian patients that are ineligible to receive IV</w:t>
      </w:r>
      <w:r w:rsidR="00300BB6" w:rsidRPr="00D85E09">
        <w:t>-</w:t>
      </w:r>
      <w:r w:rsidRPr="00D85E09">
        <w:t>tPA.</w:t>
      </w:r>
    </w:p>
    <w:p w14:paraId="69C79152" w14:textId="77777777" w:rsidR="00D96B90" w:rsidRPr="00D85E09" w:rsidRDefault="00D96B90" w:rsidP="0043316B">
      <w:pPr>
        <w:pStyle w:val="Heading4"/>
        <w:keepLines w:val="0"/>
        <w:widowControl w:val="0"/>
        <w:rPr>
          <w:lang w:val="en-AU"/>
        </w:rPr>
      </w:pPr>
      <w:r w:rsidRPr="00D85E09">
        <w:rPr>
          <w:lang w:val="en-AU"/>
        </w:rPr>
        <w:t>Utility values used in the economic model</w:t>
      </w:r>
    </w:p>
    <w:p w14:paraId="281ED653" w14:textId="77777777" w:rsidR="00D96B90" w:rsidRPr="00D85E09" w:rsidRDefault="00D96B90" w:rsidP="0043316B">
      <w:r w:rsidRPr="00D85E09">
        <w:t>The Section D model defines its health states according to mRS scores 0 to 5 (plus mRS 6 for death). The source of additional QALYs for MT vs usual care lies in that a greater proportion of patients are in lower mRS health states in the MT arm over time. Utility values were identified via a literature review. The base case values are informed by Sturm et al (2002), reporting utility values from the North East Melbourne Stroke Incidence Study (NEMESIS). Sensitivity analysis explored other values, suggesting this dataset may be conservative (i.e., underestimation of the cost-effectiveness of MT).</w:t>
      </w:r>
    </w:p>
    <w:p w14:paraId="4210F855" w14:textId="77777777" w:rsidR="00D96B90" w:rsidRPr="00D85E09" w:rsidRDefault="00D96B90" w:rsidP="00C614D4">
      <w:pPr>
        <w:rPr>
          <w:b/>
        </w:rPr>
      </w:pPr>
      <w:r w:rsidRPr="00D85E09">
        <w:rPr>
          <w:b/>
        </w:rPr>
        <w:t>Summary of utility inputs for the Section D cost-effectiveness model</w:t>
      </w:r>
    </w:p>
    <w:tbl>
      <w:tblPr>
        <w:tblStyle w:val="TableGrid"/>
        <w:tblW w:w="5000" w:type="pct"/>
        <w:tblLook w:val="04A0" w:firstRow="1" w:lastRow="0" w:firstColumn="1" w:lastColumn="0" w:noHBand="0" w:noVBand="1"/>
        <w:tblDescription w:val="This table is a summary of utility inputs for the Section D cost-effectiveness model"/>
      </w:tblPr>
      <w:tblGrid>
        <w:gridCol w:w="6068"/>
        <w:gridCol w:w="3219"/>
      </w:tblGrid>
      <w:tr w:rsidR="00D96B90" w:rsidRPr="00D85E09" w14:paraId="3BCD592F" w14:textId="77777777" w:rsidTr="00BE6331">
        <w:trPr>
          <w:tblHeader/>
        </w:trPr>
        <w:tc>
          <w:tcPr>
            <w:tcW w:w="3267" w:type="pct"/>
            <w:tcBorders>
              <w:top w:val="single" w:sz="4" w:space="0" w:color="000000"/>
              <w:left w:val="single" w:sz="4" w:space="0" w:color="000000"/>
              <w:bottom w:val="single" w:sz="4" w:space="0" w:color="000000"/>
              <w:right w:val="single" w:sz="4" w:space="0" w:color="000000"/>
            </w:tcBorders>
            <w:hideMark/>
          </w:tcPr>
          <w:p w14:paraId="2013A7FA" w14:textId="77777777" w:rsidR="00D96B90" w:rsidRPr="00D85E09" w:rsidRDefault="00D96B90" w:rsidP="0043316B">
            <w:pPr>
              <w:pStyle w:val="Tabletext"/>
              <w:keepNext w:val="0"/>
              <w:widowControl w:val="0"/>
              <w:rPr>
                <w:b/>
              </w:rPr>
            </w:pPr>
            <w:r w:rsidRPr="00D85E09">
              <w:t>Post-stroke disability by mRS</w:t>
            </w:r>
          </w:p>
        </w:tc>
        <w:tc>
          <w:tcPr>
            <w:tcW w:w="1733" w:type="pct"/>
            <w:tcBorders>
              <w:top w:val="single" w:sz="4" w:space="0" w:color="000000"/>
              <w:left w:val="single" w:sz="4" w:space="0" w:color="000000"/>
              <w:bottom w:val="single" w:sz="4" w:space="0" w:color="000000"/>
              <w:right w:val="single" w:sz="4" w:space="0" w:color="000000"/>
            </w:tcBorders>
            <w:hideMark/>
          </w:tcPr>
          <w:p w14:paraId="2D1FE628" w14:textId="77777777" w:rsidR="00D96B90" w:rsidRPr="00D85E09" w:rsidRDefault="00D96B90" w:rsidP="0043316B">
            <w:pPr>
              <w:pStyle w:val="Tabletext"/>
              <w:keepNext w:val="0"/>
              <w:widowControl w:val="0"/>
              <w:rPr>
                <w:b/>
              </w:rPr>
            </w:pPr>
            <w:r w:rsidRPr="00D85E09">
              <w:rPr>
                <w:b/>
              </w:rPr>
              <w:t>Utility input (base case)</w:t>
            </w:r>
          </w:p>
        </w:tc>
      </w:tr>
      <w:tr w:rsidR="00D96B90" w:rsidRPr="00D85E09" w14:paraId="09004FC6" w14:textId="77777777" w:rsidTr="00033497">
        <w:trPr>
          <w:trHeight w:val="254"/>
        </w:trPr>
        <w:tc>
          <w:tcPr>
            <w:tcW w:w="3267" w:type="pct"/>
            <w:tcBorders>
              <w:top w:val="single" w:sz="4" w:space="0" w:color="000000"/>
              <w:left w:val="single" w:sz="4" w:space="0" w:color="000000"/>
              <w:bottom w:val="single" w:sz="4" w:space="0" w:color="000000"/>
              <w:right w:val="single" w:sz="4" w:space="0" w:color="000000"/>
            </w:tcBorders>
            <w:hideMark/>
          </w:tcPr>
          <w:p w14:paraId="4FE332F2" w14:textId="77777777" w:rsidR="00D96B90" w:rsidRPr="00D85E09" w:rsidRDefault="00D96B90" w:rsidP="0043316B">
            <w:pPr>
              <w:pStyle w:val="Tabletext"/>
              <w:keepNext w:val="0"/>
              <w:widowControl w:val="0"/>
            </w:pPr>
            <w:r w:rsidRPr="00D85E09">
              <w:t>0: No symptoms at all</w:t>
            </w:r>
          </w:p>
        </w:tc>
        <w:tc>
          <w:tcPr>
            <w:tcW w:w="1733" w:type="pct"/>
            <w:tcBorders>
              <w:top w:val="single" w:sz="4" w:space="0" w:color="000000"/>
              <w:left w:val="single" w:sz="4" w:space="0" w:color="000000"/>
              <w:bottom w:val="single" w:sz="4" w:space="0" w:color="000000"/>
              <w:right w:val="single" w:sz="4" w:space="0" w:color="000000"/>
            </w:tcBorders>
            <w:hideMark/>
          </w:tcPr>
          <w:p w14:paraId="5A2643B5" w14:textId="77777777" w:rsidR="00D96B90" w:rsidRPr="00D85E09" w:rsidRDefault="00D96B90" w:rsidP="0043316B">
            <w:pPr>
              <w:pStyle w:val="Tabletext"/>
              <w:keepNext w:val="0"/>
              <w:widowControl w:val="0"/>
            </w:pPr>
            <w:r w:rsidRPr="00D85E09">
              <w:t>0.63</w:t>
            </w:r>
          </w:p>
        </w:tc>
      </w:tr>
      <w:tr w:rsidR="00D96B90" w:rsidRPr="00D85E09" w14:paraId="2B261C7D" w14:textId="77777777" w:rsidTr="00033497">
        <w:tc>
          <w:tcPr>
            <w:tcW w:w="3267" w:type="pct"/>
            <w:tcBorders>
              <w:top w:val="single" w:sz="4" w:space="0" w:color="000000"/>
              <w:left w:val="single" w:sz="4" w:space="0" w:color="000000"/>
              <w:bottom w:val="single" w:sz="4" w:space="0" w:color="000000"/>
              <w:right w:val="single" w:sz="4" w:space="0" w:color="000000"/>
            </w:tcBorders>
            <w:hideMark/>
          </w:tcPr>
          <w:p w14:paraId="6C010A50" w14:textId="77777777" w:rsidR="00D96B90" w:rsidRPr="00D85E09" w:rsidRDefault="00D96B90" w:rsidP="0043316B">
            <w:pPr>
              <w:pStyle w:val="Tabletext"/>
              <w:keepNext w:val="0"/>
              <w:widowControl w:val="0"/>
            </w:pPr>
            <w:r w:rsidRPr="00D85E09">
              <w:t>1: No significant disability despite symptoms</w:t>
            </w:r>
          </w:p>
        </w:tc>
        <w:tc>
          <w:tcPr>
            <w:tcW w:w="1733" w:type="pct"/>
            <w:tcBorders>
              <w:top w:val="single" w:sz="4" w:space="0" w:color="000000"/>
              <w:left w:val="single" w:sz="4" w:space="0" w:color="000000"/>
              <w:bottom w:val="single" w:sz="4" w:space="0" w:color="000000"/>
              <w:right w:val="single" w:sz="4" w:space="0" w:color="000000"/>
            </w:tcBorders>
            <w:hideMark/>
          </w:tcPr>
          <w:p w14:paraId="7EF57F6B" w14:textId="77777777" w:rsidR="00D96B90" w:rsidRPr="00D85E09" w:rsidRDefault="00D96B90" w:rsidP="0043316B">
            <w:pPr>
              <w:pStyle w:val="Tabletext"/>
              <w:keepNext w:val="0"/>
              <w:widowControl w:val="0"/>
            </w:pPr>
            <w:r w:rsidRPr="00D85E09">
              <w:t>0.63</w:t>
            </w:r>
          </w:p>
        </w:tc>
      </w:tr>
      <w:tr w:rsidR="00D96B90" w:rsidRPr="00D85E09" w14:paraId="78492FD5" w14:textId="77777777" w:rsidTr="00033497">
        <w:tc>
          <w:tcPr>
            <w:tcW w:w="3267" w:type="pct"/>
            <w:tcBorders>
              <w:top w:val="single" w:sz="4" w:space="0" w:color="000000"/>
              <w:left w:val="single" w:sz="4" w:space="0" w:color="000000"/>
              <w:bottom w:val="single" w:sz="4" w:space="0" w:color="000000"/>
              <w:right w:val="single" w:sz="4" w:space="0" w:color="000000"/>
            </w:tcBorders>
            <w:hideMark/>
          </w:tcPr>
          <w:p w14:paraId="701FC18C" w14:textId="77777777" w:rsidR="00D96B90" w:rsidRPr="00D85E09" w:rsidRDefault="00D96B90" w:rsidP="0043316B">
            <w:pPr>
              <w:pStyle w:val="Tabletext"/>
              <w:keepNext w:val="0"/>
              <w:widowControl w:val="0"/>
            </w:pPr>
            <w:r w:rsidRPr="00D85E09">
              <w:t>2: Slight disability</w:t>
            </w:r>
          </w:p>
        </w:tc>
        <w:tc>
          <w:tcPr>
            <w:tcW w:w="1733" w:type="pct"/>
            <w:tcBorders>
              <w:top w:val="single" w:sz="4" w:space="0" w:color="000000"/>
              <w:left w:val="single" w:sz="4" w:space="0" w:color="000000"/>
              <w:bottom w:val="single" w:sz="4" w:space="0" w:color="000000"/>
              <w:right w:val="single" w:sz="4" w:space="0" w:color="000000"/>
            </w:tcBorders>
            <w:hideMark/>
          </w:tcPr>
          <w:p w14:paraId="0D510568" w14:textId="77777777" w:rsidR="00D96B90" w:rsidRPr="00D85E09" w:rsidRDefault="00D96B90" w:rsidP="0043316B">
            <w:pPr>
              <w:pStyle w:val="Tabletext"/>
              <w:keepNext w:val="0"/>
              <w:widowControl w:val="0"/>
            </w:pPr>
            <w:r w:rsidRPr="00D85E09">
              <w:t>0.40</w:t>
            </w:r>
          </w:p>
        </w:tc>
      </w:tr>
      <w:tr w:rsidR="00D96B90" w:rsidRPr="00D85E09" w14:paraId="3E644907" w14:textId="77777777" w:rsidTr="00033497">
        <w:tc>
          <w:tcPr>
            <w:tcW w:w="3267" w:type="pct"/>
            <w:tcBorders>
              <w:top w:val="single" w:sz="4" w:space="0" w:color="000000"/>
              <w:left w:val="single" w:sz="4" w:space="0" w:color="000000"/>
              <w:bottom w:val="single" w:sz="4" w:space="0" w:color="000000"/>
              <w:right w:val="single" w:sz="4" w:space="0" w:color="000000"/>
            </w:tcBorders>
            <w:hideMark/>
          </w:tcPr>
          <w:p w14:paraId="2ABD0267" w14:textId="77777777" w:rsidR="00D96B90" w:rsidRPr="00D85E09" w:rsidRDefault="00D96B90" w:rsidP="0043316B">
            <w:pPr>
              <w:pStyle w:val="Tabletext"/>
              <w:keepNext w:val="0"/>
              <w:widowControl w:val="0"/>
            </w:pPr>
            <w:r w:rsidRPr="00D85E09">
              <w:t>3: Moderate disability</w:t>
            </w:r>
          </w:p>
        </w:tc>
        <w:tc>
          <w:tcPr>
            <w:tcW w:w="1733" w:type="pct"/>
            <w:tcBorders>
              <w:top w:val="single" w:sz="4" w:space="0" w:color="000000"/>
              <w:left w:val="single" w:sz="4" w:space="0" w:color="000000"/>
              <w:bottom w:val="single" w:sz="4" w:space="0" w:color="000000"/>
              <w:right w:val="single" w:sz="4" w:space="0" w:color="000000"/>
            </w:tcBorders>
            <w:hideMark/>
          </w:tcPr>
          <w:p w14:paraId="3012055B" w14:textId="77777777" w:rsidR="00D96B90" w:rsidRPr="00D85E09" w:rsidRDefault="00D96B90" w:rsidP="0043316B">
            <w:pPr>
              <w:pStyle w:val="Tabletext"/>
              <w:keepNext w:val="0"/>
              <w:widowControl w:val="0"/>
            </w:pPr>
            <w:r w:rsidRPr="00D85E09">
              <w:t>0.18</w:t>
            </w:r>
          </w:p>
        </w:tc>
      </w:tr>
      <w:tr w:rsidR="00D96B90" w:rsidRPr="00D85E09" w14:paraId="113013EA" w14:textId="77777777" w:rsidTr="00033497">
        <w:tc>
          <w:tcPr>
            <w:tcW w:w="3267" w:type="pct"/>
            <w:tcBorders>
              <w:top w:val="single" w:sz="4" w:space="0" w:color="000000"/>
              <w:left w:val="single" w:sz="4" w:space="0" w:color="000000"/>
              <w:bottom w:val="single" w:sz="4" w:space="0" w:color="000000"/>
              <w:right w:val="single" w:sz="4" w:space="0" w:color="000000"/>
            </w:tcBorders>
            <w:hideMark/>
          </w:tcPr>
          <w:p w14:paraId="28526AA2" w14:textId="77777777" w:rsidR="00D96B90" w:rsidRPr="00D85E09" w:rsidRDefault="00D96B90" w:rsidP="0043316B">
            <w:pPr>
              <w:pStyle w:val="Tabletext"/>
              <w:keepNext w:val="0"/>
              <w:widowControl w:val="0"/>
            </w:pPr>
            <w:r w:rsidRPr="00D85E09">
              <w:t>4: Moderately severe disability</w:t>
            </w:r>
          </w:p>
        </w:tc>
        <w:tc>
          <w:tcPr>
            <w:tcW w:w="1733" w:type="pct"/>
            <w:tcBorders>
              <w:top w:val="single" w:sz="4" w:space="0" w:color="000000"/>
              <w:left w:val="single" w:sz="4" w:space="0" w:color="000000"/>
              <w:bottom w:val="single" w:sz="4" w:space="0" w:color="000000"/>
              <w:right w:val="single" w:sz="4" w:space="0" w:color="000000"/>
            </w:tcBorders>
            <w:hideMark/>
          </w:tcPr>
          <w:p w14:paraId="7CD1A190" w14:textId="77777777" w:rsidR="00D96B90" w:rsidRPr="00D85E09" w:rsidRDefault="00D96B90" w:rsidP="0043316B">
            <w:pPr>
              <w:pStyle w:val="Tabletext"/>
              <w:keepNext w:val="0"/>
              <w:widowControl w:val="0"/>
            </w:pPr>
            <w:r w:rsidRPr="00D85E09">
              <w:t>0.06</w:t>
            </w:r>
          </w:p>
        </w:tc>
      </w:tr>
      <w:tr w:rsidR="00D96B90" w:rsidRPr="00D85E09" w14:paraId="316923B5" w14:textId="77777777" w:rsidTr="00033497">
        <w:tc>
          <w:tcPr>
            <w:tcW w:w="3267" w:type="pct"/>
            <w:tcBorders>
              <w:top w:val="single" w:sz="4" w:space="0" w:color="000000"/>
              <w:left w:val="single" w:sz="4" w:space="0" w:color="000000"/>
              <w:bottom w:val="single" w:sz="4" w:space="0" w:color="000000"/>
              <w:right w:val="single" w:sz="4" w:space="0" w:color="000000"/>
            </w:tcBorders>
            <w:hideMark/>
          </w:tcPr>
          <w:p w14:paraId="7C78C28F" w14:textId="77777777" w:rsidR="00D96B90" w:rsidRPr="00D85E09" w:rsidRDefault="00D96B90" w:rsidP="0043316B">
            <w:pPr>
              <w:pStyle w:val="Tabletext"/>
              <w:keepNext w:val="0"/>
              <w:widowControl w:val="0"/>
            </w:pPr>
            <w:r w:rsidRPr="00D85E09">
              <w:t>5: Severe disability</w:t>
            </w:r>
          </w:p>
        </w:tc>
        <w:tc>
          <w:tcPr>
            <w:tcW w:w="1733" w:type="pct"/>
            <w:tcBorders>
              <w:top w:val="single" w:sz="4" w:space="0" w:color="000000"/>
              <w:left w:val="single" w:sz="4" w:space="0" w:color="000000"/>
              <w:bottom w:val="single" w:sz="4" w:space="0" w:color="000000"/>
              <w:right w:val="single" w:sz="4" w:space="0" w:color="000000"/>
            </w:tcBorders>
            <w:hideMark/>
          </w:tcPr>
          <w:p w14:paraId="3FCCDDE3" w14:textId="77777777" w:rsidR="00D96B90" w:rsidRPr="00D85E09" w:rsidRDefault="00D96B90" w:rsidP="0043316B">
            <w:pPr>
              <w:pStyle w:val="Tabletext"/>
              <w:keepNext w:val="0"/>
              <w:widowControl w:val="0"/>
            </w:pPr>
            <w:r w:rsidRPr="00D85E09">
              <w:t>0.02</w:t>
            </w:r>
          </w:p>
        </w:tc>
      </w:tr>
      <w:tr w:rsidR="00D96B90" w:rsidRPr="00D85E09" w14:paraId="62EAE664" w14:textId="77777777" w:rsidTr="00033497">
        <w:tc>
          <w:tcPr>
            <w:tcW w:w="3267" w:type="pct"/>
            <w:tcBorders>
              <w:top w:val="single" w:sz="4" w:space="0" w:color="000000"/>
              <w:left w:val="single" w:sz="4" w:space="0" w:color="000000"/>
              <w:bottom w:val="single" w:sz="4" w:space="0" w:color="000000"/>
              <w:right w:val="single" w:sz="4" w:space="0" w:color="000000"/>
            </w:tcBorders>
            <w:hideMark/>
          </w:tcPr>
          <w:p w14:paraId="298BB338" w14:textId="77777777" w:rsidR="00D96B90" w:rsidRPr="00D85E09" w:rsidRDefault="00D96B90" w:rsidP="0043316B">
            <w:pPr>
              <w:pStyle w:val="Tabletext"/>
              <w:keepNext w:val="0"/>
              <w:widowControl w:val="0"/>
            </w:pPr>
            <w:r w:rsidRPr="00D85E09">
              <w:t>6: Death</w:t>
            </w:r>
          </w:p>
        </w:tc>
        <w:tc>
          <w:tcPr>
            <w:tcW w:w="1733" w:type="pct"/>
            <w:tcBorders>
              <w:top w:val="single" w:sz="4" w:space="0" w:color="000000"/>
              <w:left w:val="single" w:sz="4" w:space="0" w:color="000000"/>
              <w:bottom w:val="single" w:sz="4" w:space="0" w:color="000000"/>
              <w:right w:val="single" w:sz="4" w:space="0" w:color="000000"/>
            </w:tcBorders>
            <w:hideMark/>
          </w:tcPr>
          <w:p w14:paraId="6F67245D" w14:textId="77777777" w:rsidR="00D96B90" w:rsidRPr="00D85E09" w:rsidRDefault="00D96B90" w:rsidP="0043316B">
            <w:pPr>
              <w:pStyle w:val="Tabletext"/>
              <w:keepNext w:val="0"/>
              <w:widowControl w:val="0"/>
            </w:pPr>
            <w:r w:rsidRPr="00D85E09">
              <w:t>0</w:t>
            </w:r>
          </w:p>
        </w:tc>
      </w:tr>
    </w:tbl>
    <w:p w14:paraId="689565AA" w14:textId="21CB1716" w:rsidR="00D96B90" w:rsidRPr="00D85E09" w:rsidRDefault="00D96B90" w:rsidP="0043316B">
      <w:pPr>
        <w:pStyle w:val="Tablefootnote"/>
        <w:rPr>
          <w:lang w:val="en-AU"/>
        </w:rPr>
      </w:pPr>
      <w:r w:rsidRPr="00D85E09">
        <w:rPr>
          <w:lang w:val="en-AU"/>
        </w:rPr>
        <w:t>Abbreviation: BI, mRS, modified Rankin Score. Source: Sturm et al (2002)</w:t>
      </w:r>
    </w:p>
    <w:p w14:paraId="07416077" w14:textId="77777777" w:rsidR="0043316B" w:rsidRPr="00D85E09" w:rsidRDefault="0043316B" w:rsidP="005B6B4C"/>
    <w:p w14:paraId="466A14B5" w14:textId="77777777" w:rsidR="00D96B90" w:rsidRPr="00D85E09" w:rsidRDefault="00D96B90" w:rsidP="0043316B">
      <w:pPr>
        <w:pStyle w:val="Heading4"/>
        <w:keepLines w:val="0"/>
        <w:widowControl w:val="0"/>
        <w:rPr>
          <w:lang w:val="en-AU"/>
        </w:rPr>
      </w:pPr>
      <w:r w:rsidRPr="00D85E09">
        <w:rPr>
          <w:lang w:val="en-AU"/>
        </w:rPr>
        <w:t>Selection of costing data</w:t>
      </w:r>
    </w:p>
    <w:p w14:paraId="6EA93772" w14:textId="77777777" w:rsidR="00D96B90" w:rsidRPr="00D85E09" w:rsidRDefault="00D96B90" w:rsidP="0043316B">
      <w:r w:rsidRPr="00D85E09">
        <w:t>The proposed MBS fee is $3500. The total per-procedural cost is $18,308.49. Cost savings as a result of superior functional outcomes offered by MT are estimated based on the published evidence via a literature review. As would be expected, patients with mRS 5 (i.e., bedridden, incontinent, constant care) incur far more costs for care ($17,943 per annum) than those who are less dependent (e.g., $1,431 per annum for mRS 0-1) even in the long run.</w:t>
      </w:r>
    </w:p>
    <w:p w14:paraId="4509362F" w14:textId="77777777" w:rsidR="00D96B90" w:rsidRPr="00D85E09" w:rsidRDefault="00D96B90" w:rsidP="0043316B">
      <w:pPr>
        <w:pStyle w:val="Heading4"/>
        <w:keepLines w:val="0"/>
        <w:widowControl w:val="0"/>
        <w:rPr>
          <w:lang w:val="en-AU"/>
        </w:rPr>
      </w:pPr>
      <w:r w:rsidRPr="00D85E09">
        <w:rPr>
          <w:lang w:val="en-AU"/>
        </w:rPr>
        <w:t>Extrapolation of trial based evidence beyond the duration of the trials</w:t>
      </w:r>
    </w:p>
    <w:p w14:paraId="0D707F05" w14:textId="3D734D12" w:rsidR="00D96B90" w:rsidRPr="00D85E09" w:rsidRDefault="00D96B90" w:rsidP="0043316B">
      <w:r w:rsidRPr="00D85E09">
        <w:t xml:space="preserve">Extrapolation is a necessary and adequate element for a cost-effectiveness assessment of MT. While all procedural costs are absorbed at baseline, much of the functional benefits </w:t>
      </w:r>
      <w:r w:rsidRPr="00D85E09">
        <w:lastRenderedPageBreak/>
        <w:t>offered by MT (and thus their QoL/cost implications) would persist into the future and for many patients be permanent. Indeed, a life-time model can only fully account for mortality benefits offered by MT during the acute phase. The Section D model also captures any improvement (i.e., rehabilitation effects) or deterioration of mRS over time. Also, the base case model accounts for stroke recurrence. These natural history parameters were informed by the locally</w:t>
      </w:r>
      <w:r w:rsidR="00300BB6" w:rsidRPr="00D85E09">
        <w:t>-</w:t>
      </w:r>
      <w:r w:rsidRPr="00D85E09">
        <w:t>relevant published evidence.</w:t>
      </w:r>
    </w:p>
    <w:p w14:paraId="2FC5A368" w14:textId="77777777" w:rsidR="00D96B90" w:rsidRPr="00D85E09" w:rsidRDefault="00D96B90" w:rsidP="0043316B">
      <w:pPr>
        <w:pStyle w:val="ExecSummHead"/>
        <w:widowControl w:val="0"/>
      </w:pPr>
      <w:r w:rsidRPr="00D85E09">
        <w:t>Section D: ECONOMIC EVALUATION</w:t>
      </w:r>
    </w:p>
    <w:p w14:paraId="4C1A9649" w14:textId="77777777" w:rsidR="00D96B90" w:rsidRPr="00D85E09" w:rsidRDefault="00D96B90" w:rsidP="0043316B">
      <w:bookmarkStart w:id="17" w:name="_Toc227744848"/>
      <w:bookmarkStart w:id="18" w:name="_Toc362251186"/>
      <w:r w:rsidRPr="00D85E09">
        <w:t>A stepped economic evaluation is performed with the base case incremental cost-effectiveness ratio (ICER) being produced from a life-time cost-utility analysis, as shown in the table below. The ICER is $12,880 per QALY gain, demonstrating MT’s very favourable cost-effectiveness vs usual care. Expectedly, the model time horizon affects the ICERs; nonetheless, the grossly conservative 5-year model still returns an ICER less than $50,000. A range of sensitivity analysis strongly supported the robustness of these results.</w:t>
      </w:r>
    </w:p>
    <w:p w14:paraId="33044FA1" w14:textId="77777777" w:rsidR="00D96B90" w:rsidRPr="00D85E09" w:rsidRDefault="00D96B90" w:rsidP="0043316B">
      <w:pPr>
        <w:rPr>
          <w:b/>
        </w:rPr>
      </w:pPr>
      <w:r w:rsidRPr="00D85E09">
        <w:rPr>
          <w:b/>
        </w:rPr>
        <w:t>Cost-effectiveness evidence supporting the MBS listing of MT</w:t>
      </w:r>
    </w:p>
    <w:tbl>
      <w:tblPr>
        <w:tblStyle w:val="TableGrid"/>
        <w:tblW w:w="0" w:type="auto"/>
        <w:tblLook w:val="04A0" w:firstRow="1" w:lastRow="0" w:firstColumn="1" w:lastColumn="0" w:noHBand="0" w:noVBand="1"/>
        <w:tblDescription w:val="This table shows the cost-effectiveness evidence suporting the MBS listing of MT"/>
      </w:tblPr>
      <w:tblGrid>
        <w:gridCol w:w="4219"/>
        <w:gridCol w:w="1595"/>
        <w:gridCol w:w="1595"/>
        <w:gridCol w:w="1595"/>
      </w:tblGrid>
      <w:tr w:rsidR="00D96B90" w:rsidRPr="00D85E09" w14:paraId="36BDDC1A" w14:textId="77777777" w:rsidTr="00033497">
        <w:trPr>
          <w:tblHeader/>
        </w:trPr>
        <w:tc>
          <w:tcPr>
            <w:tcW w:w="4219" w:type="dxa"/>
            <w:tcBorders>
              <w:top w:val="single" w:sz="4" w:space="0" w:color="000000"/>
              <w:left w:val="single" w:sz="4" w:space="0" w:color="000000"/>
              <w:bottom w:val="single" w:sz="4" w:space="0" w:color="000000"/>
              <w:right w:val="single" w:sz="4" w:space="0" w:color="000000"/>
            </w:tcBorders>
            <w:hideMark/>
          </w:tcPr>
          <w:p w14:paraId="476F968D" w14:textId="77777777" w:rsidR="00D96B90" w:rsidRPr="00D85E09" w:rsidRDefault="00D96B90" w:rsidP="0043316B">
            <w:pPr>
              <w:pStyle w:val="Tabletext"/>
              <w:keepNext w:val="0"/>
              <w:widowControl w:val="0"/>
              <w:spacing w:before="40"/>
              <w:rPr>
                <w:b/>
              </w:rPr>
            </w:pPr>
            <w:r w:rsidRPr="00D85E09">
              <w:rPr>
                <w:b/>
              </w:rPr>
              <w:t>Analysis</w:t>
            </w:r>
          </w:p>
        </w:tc>
        <w:tc>
          <w:tcPr>
            <w:tcW w:w="1595" w:type="dxa"/>
            <w:tcBorders>
              <w:top w:val="single" w:sz="4" w:space="0" w:color="000000"/>
              <w:left w:val="single" w:sz="4" w:space="0" w:color="000000"/>
              <w:bottom w:val="single" w:sz="4" w:space="0" w:color="000000"/>
              <w:right w:val="single" w:sz="4" w:space="0" w:color="000000"/>
            </w:tcBorders>
            <w:hideMark/>
          </w:tcPr>
          <w:p w14:paraId="1EEF6881" w14:textId="77777777" w:rsidR="00D96B90" w:rsidRPr="00D85E09" w:rsidRDefault="00D96B90" w:rsidP="0043316B">
            <w:pPr>
              <w:pStyle w:val="Tabletext"/>
              <w:keepNext w:val="0"/>
              <w:widowControl w:val="0"/>
              <w:spacing w:before="40"/>
              <w:ind w:left="12"/>
              <w:jc w:val="center"/>
            </w:pPr>
            <w:r w:rsidRPr="00D85E09">
              <w:t>Inc. effectiveness</w:t>
            </w:r>
          </w:p>
        </w:tc>
        <w:tc>
          <w:tcPr>
            <w:tcW w:w="1595" w:type="dxa"/>
            <w:tcBorders>
              <w:top w:val="single" w:sz="4" w:space="0" w:color="000000"/>
              <w:left w:val="single" w:sz="4" w:space="0" w:color="000000"/>
              <w:bottom w:val="single" w:sz="4" w:space="0" w:color="000000"/>
              <w:right w:val="single" w:sz="4" w:space="0" w:color="000000"/>
            </w:tcBorders>
            <w:hideMark/>
          </w:tcPr>
          <w:p w14:paraId="6188E910" w14:textId="77777777" w:rsidR="00D96B90" w:rsidRPr="00D85E09" w:rsidRDefault="00D96B90" w:rsidP="0043316B">
            <w:pPr>
              <w:pStyle w:val="Tabletext"/>
              <w:keepNext w:val="0"/>
              <w:widowControl w:val="0"/>
              <w:spacing w:before="40"/>
              <w:ind w:left="12"/>
              <w:jc w:val="center"/>
            </w:pPr>
            <w:r w:rsidRPr="00D85E09">
              <w:t>Inc. costs</w:t>
            </w:r>
          </w:p>
        </w:tc>
        <w:tc>
          <w:tcPr>
            <w:tcW w:w="1595" w:type="dxa"/>
            <w:tcBorders>
              <w:top w:val="single" w:sz="4" w:space="0" w:color="000000"/>
              <w:left w:val="single" w:sz="4" w:space="0" w:color="000000"/>
              <w:bottom w:val="single" w:sz="4" w:space="0" w:color="000000"/>
              <w:right w:val="single" w:sz="4" w:space="0" w:color="000000"/>
            </w:tcBorders>
            <w:hideMark/>
          </w:tcPr>
          <w:p w14:paraId="5C620099" w14:textId="77777777" w:rsidR="00D96B90" w:rsidRPr="00D85E09" w:rsidRDefault="00D96B90" w:rsidP="0043316B">
            <w:pPr>
              <w:pStyle w:val="Tabletext"/>
              <w:keepNext w:val="0"/>
              <w:widowControl w:val="0"/>
              <w:spacing w:before="40"/>
              <w:ind w:left="12"/>
              <w:jc w:val="center"/>
            </w:pPr>
            <w:r w:rsidRPr="00D85E09">
              <w:t>ICERs</w:t>
            </w:r>
          </w:p>
        </w:tc>
      </w:tr>
      <w:tr w:rsidR="00D96B90" w:rsidRPr="00D85E09" w14:paraId="6F29062A" w14:textId="77777777" w:rsidTr="00033497">
        <w:tc>
          <w:tcPr>
            <w:tcW w:w="4219" w:type="dxa"/>
            <w:tcBorders>
              <w:top w:val="single" w:sz="4" w:space="0" w:color="000000"/>
              <w:left w:val="single" w:sz="4" w:space="0" w:color="000000"/>
              <w:bottom w:val="single" w:sz="4" w:space="0" w:color="000000"/>
              <w:right w:val="nil"/>
            </w:tcBorders>
            <w:hideMark/>
          </w:tcPr>
          <w:p w14:paraId="2CB1A837" w14:textId="77777777" w:rsidR="00D96B90" w:rsidRPr="00D85E09" w:rsidRDefault="00D96B90" w:rsidP="0043316B">
            <w:pPr>
              <w:pStyle w:val="Tabletext"/>
              <w:keepNext w:val="0"/>
              <w:widowControl w:val="0"/>
              <w:spacing w:before="40"/>
            </w:pPr>
            <w:r w:rsidRPr="00D85E09">
              <w:t>Trial based</w:t>
            </w:r>
          </w:p>
        </w:tc>
        <w:tc>
          <w:tcPr>
            <w:tcW w:w="1595" w:type="dxa"/>
            <w:tcBorders>
              <w:top w:val="single" w:sz="4" w:space="0" w:color="000000"/>
              <w:left w:val="nil"/>
              <w:bottom w:val="single" w:sz="4" w:space="0" w:color="000000"/>
              <w:right w:val="nil"/>
            </w:tcBorders>
          </w:tcPr>
          <w:p w14:paraId="368F067F"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nil"/>
            </w:tcBorders>
          </w:tcPr>
          <w:p w14:paraId="27F8F8AD"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single" w:sz="4" w:space="0" w:color="000000"/>
            </w:tcBorders>
          </w:tcPr>
          <w:p w14:paraId="1568C3B7" w14:textId="77777777" w:rsidR="00D96B90" w:rsidRPr="00D85E09" w:rsidRDefault="00D96B90" w:rsidP="0043316B">
            <w:pPr>
              <w:pStyle w:val="Tabletext"/>
              <w:keepNext w:val="0"/>
              <w:widowControl w:val="0"/>
              <w:spacing w:before="40"/>
              <w:ind w:left="12"/>
              <w:jc w:val="center"/>
            </w:pPr>
          </w:p>
        </w:tc>
      </w:tr>
      <w:tr w:rsidR="00D96B90" w:rsidRPr="00D85E09" w14:paraId="578DE008"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13DE6C6D" w14:textId="77777777" w:rsidR="00D96B90" w:rsidRPr="00D85E09" w:rsidRDefault="00D96B90" w:rsidP="0043316B">
            <w:pPr>
              <w:pStyle w:val="Tabletext"/>
              <w:keepNext w:val="0"/>
              <w:widowControl w:val="0"/>
              <w:spacing w:before="40"/>
              <w:ind w:left="142"/>
            </w:pPr>
            <w:r w:rsidRPr="00D85E09">
              <w:t>in terms of additional independent person at 90 days (mRS0-2), MT cost only</w:t>
            </w:r>
          </w:p>
        </w:tc>
        <w:tc>
          <w:tcPr>
            <w:tcW w:w="1595" w:type="dxa"/>
            <w:tcBorders>
              <w:top w:val="single" w:sz="4" w:space="0" w:color="000000"/>
              <w:left w:val="single" w:sz="4" w:space="0" w:color="000000"/>
              <w:bottom w:val="single" w:sz="4" w:space="0" w:color="000000"/>
              <w:right w:val="single" w:sz="4" w:space="0" w:color="000000"/>
            </w:tcBorders>
            <w:hideMark/>
          </w:tcPr>
          <w:p w14:paraId="56F24C1E" w14:textId="77777777" w:rsidR="00D96B90" w:rsidRPr="00D85E09" w:rsidRDefault="00D96B90" w:rsidP="0043316B">
            <w:pPr>
              <w:pStyle w:val="Tabletext"/>
              <w:keepNext w:val="0"/>
              <w:widowControl w:val="0"/>
              <w:spacing w:before="40"/>
              <w:ind w:left="12"/>
              <w:jc w:val="center"/>
            </w:pPr>
            <w:r w:rsidRPr="00D85E09">
              <w:t>0.1950</w:t>
            </w:r>
          </w:p>
        </w:tc>
        <w:tc>
          <w:tcPr>
            <w:tcW w:w="1595" w:type="dxa"/>
            <w:tcBorders>
              <w:top w:val="single" w:sz="4" w:space="0" w:color="000000"/>
              <w:left w:val="single" w:sz="4" w:space="0" w:color="000000"/>
              <w:bottom w:val="single" w:sz="4" w:space="0" w:color="000000"/>
              <w:right w:val="single" w:sz="4" w:space="0" w:color="000000"/>
            </w:tcBorders>
            <w:hideMark/>
          </w:tcPr>
          <w:p w14:paraId="285EEF6B" w14:textId="77777777" w:rsidR="00D96B90" w:rsidRPr="00D85E09" w:rsidRDefault="00D96B90" w:rsidP="0043316B">
            <w:pPr>
              <w:pStyle w:val="Tabletext"/>
              <w:keepNext w:val="0"/>
              <w:widowControl w:val="0"/>
              <w:spacing w:before="40"/>
              <w:ind w:left="12"/>
              <w:jc w:val="center"/>
            </w:pPr>
            <w:r w:rsidRPr="00D85E09">
              <w:t>$18,308</w:t>
            </w:r>
          </w:p>
        </w:tc>
        <w:tc>
          <w:tcPr>
            <w:tcW w:w="1595" w:type="dxa"/>
            <w:tcBorders>
              <w:top w:val="single" w:sz="4" w:space="0" w:color="000000"/>
              <w:left w:val="single" w:sz="4" w:space="0" w:color="000000"/>
              <w:bottom w:val="single" w:sz="4" w:space="0" w:color="000000"/>
              <w:right w:val="single" w:sz="4" w:space="0" w:color="000000"/>
            </w:tcBorders>
            <w:hideMark/>
          </w:tcPr>
          <w:p w14:paraId="5D13B183" w14:textId="77777777" w:rsidR="00D96B90" w:rsidRPr="00D85E09" w:rsidRDefault="00D96B90" w:rsidP="0043316B">
            <w:pPr>
              <w:pStyle w:val="Tabletext"/>
              <w:keepNext w:val="0"/>
              <w:widowControl w:val="0"/>
              <w:spacing w:before="40"/>
              <w:ind w:left="12"/>
              <w:jc w:val="center"/>
            </w:pPr>
            <w:r w:rsidRPr="00D85E09">
              <w:t>$93,890</w:t>
            </w:r>
          </w:p>
        </w:tc>
      </w:tr>
      <w:tr w:rsidR="00D96B90" w:rsidRPr="00D85E09" w14:paraId="49679E5F" w14:textId="77777777" w:rsidTr="00033497">
        <w:tc>
          <w:tcPr>
            <w:tcW w:w="4219" w:type="dxa"/>
            <w:tcBorders>
              <w:top w:val="single" w:sz="4" w:space="0" w:color="000000"/>
              <w:left w:val="single" w:sz="4" w:space="0" w:color="000000"/>
              <w:bottom w:val="single" w:sz="4" w:space="0" w:color="000000"/>
              <w:right w:val="nil"/>
            </w:tcBorders>
            <w:hideMark/>
          </w:tcPr>
          <w:p w14:paraId="78D86CE4" w14:textId="77777777" w:rsidR="00D96B90" w:rsidRPr="00D85E09" w:rsidRDefault="00D96B90" w:rsidP="0043316B">
            <w:pPr>
              <w:pStyle w:val="Tabletext"/>
              <w:keepNext w:val="0"/>
              <w:widowControl w:val="0"/>
              <w:spacing w:before="40"/>
            </w:pPr>
            <w:r w:rsidRPr="00D85E09">
              <w:t>12-month analysis</w:t>
            </w:r>
          </w:p>
        </w:tc>
        <w:tc>
          <w:tcPr>
            <w:tcW w:w="1595" w:type="dxa"/>
            <w:tcBorders>
              <w:top w:val="single" w:sz="4" w:space="0" w:color="000000"/>
              <w:left w:val="nil"/>
              <w:bottom w:val="single" w:sz="4" w:space="0" w:color="000000"/>
              <w:right w:val="nil"/>
            </w:tcBorders>
          </w:tcPr>
          <w:p w14:paraId="21D66CCD"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nil"/>
            </w:tcBorders>
          </w:tcPr>
          <w:p w14:paraId="3A18C59F"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single" w:sz="4" w:space="0" w:color="000000"/>
            </w:tcBorders>
          </w:tcPr>
          <w:p w14:paraId="636233BC" w14:textId="77777777" w:rsidR="00D96B90" w:rsidRPr="00D85E09" w:rsidRDefault="00D96B90" w:rsidP="0043316B">
            <w:pPr>
              <w:pStyle w:val="Tabletext"/>
              <w:keepNext w:val="0"/>
              <w:widowControl w:val="0"/>
              <w:spacing w:before="40"/>
              <w:ind w:left="12"/>
              <w:jc w:val="center"/>
            </w:pPr>
          </w:p>
        </w:tc>
      </w:tr>
      <w:tr w:rsidR="00D96B90" w:rsidRPr="00D85E09" w14:paraId="3A8F2EA1"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27336BA5" w14:textId="77777777" w:rsidR="00D96B90" w:rsidRPr="00D85E09" w:rsidRDefault="00D96B90" w:rsidP="0043316B">
            <w:pPr>
              <w:pStyle w:val="Tabletext"/>
              <w:keepNext w:val="0"/>
              <w:widowControl w:val="0"/>
              <w:spacing w:before="40"/>
              <w:ind w:left="142"/>
            </w:pPr>
            <w:r w:rsidRPr="00D85E09">
              <w:t>in terms of additional independent person at 90 days (mRS0-2), 12-month costs</w:t>
            </w:r>
          </w:p>
        </w:tc>
        <w:tc>
          <w:tcPr>
            <w:tcW w:w="1595" w:type="dxa"/>
            <w:tcBorders>
              <w:top w:val="single" w:sz="4" w:space="0" w:color="000000"/>
              <w:left w:val="single" w:sz="4" w:space="0" w:color="000000"/>
              <w:bottom w:val="single" w:sz="4" w:space="0" w:color="000000"/>
              <w:right w:val="single" w:sz="4" w:space="0" w:color="000000"/>
            </w:tcBorders>
            <w:hideMark/>
          </w:tcPr>
          <w:p w14:paraId="7AB55734" w14:textId="77777777" w:rsidR="00D96B90" w:rsidRPr="00D85E09" w:rsidRDefault="00D96B90" w:rsidP="0043316B">
            <w:pPr>
              <w:pStyle w:val="Tabletext"/>
              <w:keepNext w:val="0"/>
              <w:widowControl w:val="0"/>
              <w:spacing w:before="40"/>
              <w:ind w:left="12"/>
              <w:jc w:val="center"/>
            </w:pPr>
            <w:r w:rsidRPr="00D85E09">
              <w:t>0.1950</w:t>
            </w:r>
          </w:p>
        </w:tc>
        <w:tc>
          <w:tcPr>
            <w:tcW w:w="1595" w:type="dxa"/>
            <w:tcBorders>
              <w:top w:val="single" w:sz="4" w:space="0" w:color="000000"/>
              <w:left w:val="single" w:sz="4" w:space="0" w:color="000000"/>
              <w:bottom w:val="single" w:sz="4" w:space="0" w:color="000000"/>
              <w:right w:val="single" w:sz="4" w:space="0" w:color="000000"/>
            </w:tcBorders>
            <w:hideMark/>
          </w:tcPr>
          <w:p w14:paraId="19DF63EC" w14:textId="77777777" w:rsidR="00D96B90" w:rsidRPr="00D85E09" w:rsidRDefault="00D96B90" w:rsidP="0043316B">
            <w:pPr>
              <w:pStyle w:val="Tabletext"/>
              <w:keepNext w:val="0"/>
              <w:widowControl w:val="0"/>
              <w:spacing w:before="40"/>
              <w:ind w:left="12"/>
              <w:jc w:val="center"/>
            </w:pPr>
            <w:r w:rsidRPr="00D85E09">
              <w:t>$17,837</w:t>
            </w:r>
          </w:p>
        </w:tc>
        <w:tc>
          <w:tcPr>
            <w:tcW w:w="1595" w:type="dxa"/>
            <w:tcBorders>
              <w:top w:val="single" w:sz="4" w:space="0" w:color="000000"/>
              <w:left w:val="single" w:sz="4" w:space="0" w:color="000000"/>
              <w:bottom w:val="single" w:sz="4" w:space="0" w:color="000000"/>
              <w:right w:val="single" w:sz="4" w:space="0" w:color="000000"/>
            </w:tcBorders>
            <w:hideMark/>
          </w:tcPr>
          <w:p w14:paraId="2A091C4B" w14:textId="77777777" w:rsidR="00D96B90" w:rsidRPr="00D85E09" w:rsidRDefault="00D96B90" w:rsidP="0043316B">
            <w:pPr>
              <w:pStyle w:val="Tabletext"/>
              <w:keepNext w:val="0"/>
              <w:widowControl w:val="0"/>
              <w:spacing w:before="40"/>
              <w:ind w:left="12"/>
              <w:jc w:val="center"/>
            </w:pPr>
            <w:r w:rsidRPr="00D85E09">
              <w:t>$91,473</w:t>
            </w:r>
          </w:p>
        </w:tc>
      </w:tr>
      <w:tr w:rsidR="00D96B90" w:rsidRPr="00D85E09" w14:paraId="432ABEC9"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21FCB7F9" w14:textId="77777777" w:rsidR="00D96B90" w:rsidRPr="00D85E09" w:rsidRDefault="00D96B90" w:rsidP="0043316B">
            <w:pPr>
              <w:pStyle w:val="Tabletext"/>
              <w:keepNext w:val="0"/>
              <w:widowControl w:val="0"/>
              <w:spacing w:before="40"/>
              <w:ind w:left="142"/>
            </w:pPr>
            <w:r w:rsidRPr="00D85E09">
              <w:t>in terms of life years, 12-month costs</w:t>
            </w:r>
          </w:p>
        </w:tc>
        <w:tc>
          <w:tcPr>
            <w:tcW w:w="1595" w:type="dxa"/>
            <w:tcBorders>
              <w:top w:val="single" w:sz="4" w:space="0" w:color="000000"/>
              <w:left w:val="single" w:sz="4" w:space="0" w:color="000000"/>
              <w:bottom w:val="single" w:sz="4" w:space="0" w:color="000000"/>
              <w:right w:val="single" w:sz="4" w:space="0" w:color="000000"/>
            </w:tcBorders>
            <w:hideMark/>
          </w:tcPr>
          <w:p w14:paraId="772A8AFE" w14:textId="77777777" w:rsidR="00D96B90" w:rsidRPr="00D85E09" w:rsidRDefault="00D96B90" w:rsidP="0043316B">
            <w:pPr>
              <w:pStyle w:val="Tabletext"/>
              <w:keepNext w:val="0"/>
              <w:widowControl w:val="0"/>
              <w:spacing w:before="40"/>
              <w:ind w:left="12"/>
              <w:jc w:val="center"/>
            </w:pPr>
            <w:r w:rsidRPr="00D85E09">
              <w:t>0.0492</w:t>
            </w:r>
          </w:p>
        </w:tc>
        <w:tc>
          <w:tcPr>
            <w:tcW w:w="1595" w:type="dxa"/>
            <w:tcBorders>
              <w:top w:val="single" w:sz="4" w:space="0" w:color="000000"/>
              <w:left w:val="single" w:sz="4" w:space="0" w:color="000000"/>
              <w:bottom w:val="single" w:sz="4" w:space="0" w:color="000000"/>
              <w:right w:val="single" w:sz="4" w:space="0" w:color="000000"/>
            </w:tcBorders>
            <w:hideMark/>
          </w:tcPr>
          <w:p w14:paraId="362333AD" w14:textId="77777777" w:rsidR="00D96B90" w:rsidRPr="00D85E09" w:rsidRDefault="00D96B90" w:rsidP="0043316B">
            <w:pPr>
              <w:pStyle w:val="Tabletext"/>
              <w:keepNext w:val="0"/>
              <w:widowControl w:val="0"/>
              <w:spacing w:before="40"/>
              <w:ind w:left="12"/>
              <w:jc w:val="center"/>
            </w:pPr>
            <w:r w:rsidRPr="00D85E09">
              <w:t>$17,837</w:t>
            </w:r>
          </w:p>
        </w:tc>
        <w:tc>
          <w:tcPr>
            <w:tcW w:w="1595" w:type="dxa"/>
            <w:tcBorders>
              <w:top w:val="single" w:sz="4" w:space="0" w:color="000000"/>
              <w:left w:val="single" w:sz="4" w:space="0" w:color="000000"/>
              <w:bottom w:val="single" w:sz="4" w:space="0" w:color="000000"/>
              <w:right w:val="single" w:sz="4" w:space="0" w:color="000000"/>
            </w:tcBorders>
            <w:hideMark/>
          </w:tcPr>
          <w:p w14:paraId="7F8241FF" w14:textId="77777777" w:rsidR="00D96B90" w:rsidRPr="00D85E09" w:rsidRDefault="00D96B90" w:rsidP="0043316B">
            <w:pPr>
              <w:pStyle w:val="Tabletext"/>
              <w:keepNext w:val="0"/>
              <w:widowControl w:val="0"/>
              <w:spacing w:before="40"/>
              <w:ind w:left="12"/>
              <w:jc w:val="center"/>
            </w:pPr>
            <w:r w:rsidRPr="00D85E09">
              <w:t>$362,403</w:t>
            </w:r>
          </w:p>
        </w:tc>
      </w:tr>
      <w:tr w:rsidR="00D96B90" w:rsidRPr="00D85E09" w14:paraId="27B83514"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59E5F544" w14:textId="77777777" w:rsidR="00D96B90" w:rsidRPr="00D85E09" w:rsidRDefault="00D96B90" w:rsidP="0043316B">
            <w:pPr>
              <w:pStyle w:val="Tabletext"/>
              <w:keepNext w:val="0"/>
              <w:widowControl w:val="0"/>
              <w:spacing w:before="40"/>
              <w:ind w:left="142"/>
            </w:pPr>
            <w:r w:rsidRPr="00D85E09">
              <w:t>in terms of QALYs years, 12-month costs</w:t>
            </w:r>
          </w:p>
        </w:tc>
        <w:tc>
          <w:tcPr>
            <w:tcW w:w="1595" w:type="dxa"/>
            <w:tcBorders>
              <w:top w:val="single" w:sz="4" w:space="0" w:color="000000"/>
              <w:left w:val="single" w:sz="4" w:space="0" w:color="000000"/>
              <w:bottom w:val="single" w:sz="4" w:space="0" w:color="000000"/>
              <w:right w:val="single" w:sz="4" w:space="0" w:color="000000"/>
            </w:tcBorders>
            <w:hideMark/>
          </w:tcPr>
          <w:p w14:paraId="65FF2025" w14:textId="77777777" w:rsidR="00D96B90" w:rsidRPr="00D85E09" w:rsidRDefault="00D96B90" w:rsidP="0043316B">
            <w:pPr>
              <w:pStyle w:val="Tabletext"/>
              <w:keepNext w:val="0"/>
              <w:widowControl w:val="0"/>
              <w:spacing w:before="40"/>
              <w:ind w:left="12"/>
              <w:jc w:val="center"/>
            </w:pPr>
            <w:r w:rsidRPr="00D85E09">
              <w:t>0.0937</w:t>
            </w:r>
          </w:p>
        </w:tc>
        <w:tc>
          <w:tcPr>
            <w:tcW w:w="1595" w:type="dxa"/>
            <w:tcBorders>
              <w:top w:val="single" w:sz="4" w:space="0" w:color="000000"/>
              <w:left w:val="single" w:sz="4" w:space="0" w:color="000000"/>
              <w:bottom w:val="single" w:sz="4" w:space="0" w:color="000000"/>
              <w:right w:val="single" w:sz="4" w:space="0" w:color="000000"/>
            </w:tcBorders>
            <w:hideMark/>
          </w:tcPr>
          <w:p w14:paraId="0781219B" w14:textId="77777777" w:rsidR="00D96B90" w:rsidRPr="00D85E09" w:rsidRDefault="00D96B90" w:rsidP="0043316B">
            <w:pPr>
              <w:pStyle w:val="Tabletext"/>
              <w:keepNext w:val="0"/>
              <w:widowControl w:val="0"/>
              <w:spacing w:before="40"/>
              <w:ind w:left="12"/>
              <w:jc w:val="center"/>
            </w:pPr>
            <w:r w:rsidRPr="00D85E09">
              <w:t>$17,837</w:t>
            </w:r>
          </w:p>
        </w:tc>
        <w:tc>
          <w:tcPr>
            <w:tcW w:w="1595" w:type="dxa"/>
            <w:tcBorders>
              <w:top w:val="single" w:sz="4" w:space="0" w:color="000000"/>
              <w:left w:val="single" w:sz="4" w:space="0" w:color="000000"/>
              <w:bottom w:val="single" w:sz="4" w:space="0" w:color="000000"/>
              <w:right w:val="single" w:sz="4" w:space="0" w:color="000000"/>
            </w:tcBorders>
            <w:hideMark/>
          </w:tcPr>
          <w:p w14:paraId="7FF2FBF0" w14:textId="77777777" w:rsidR="00D96B90" w:rsidRPr="00D85E09" w:rsidRDefault="00D96B90" w:rsidP="0043316B">
            <w:pPr>
              <w:pStyle w:val="Tabletext"/>
              <w:keepNext w:val="0"/>
              <w:widowControl w:val="0"/>
              <w:spacing w:before="40"/>
              <w:ind w:left="12"/>
              <w:jc w:val="center"/>
            </w:pPr>
            <w:r w:rsidRPr="00D85E09">
              <w:t>$190,361</w:t>
            </w:r>
          </w:p>
        </w:tc>
      </w:tr>
      <w:tr w:rsidR="00D96B90" w:rsidRPr="00D85E09" w14:paraId="4FED0F00" w14:textId="77777777" w:rsidTr="00033497">
        <w:tc>
          <w:tcPr>
            <w:tcW w:w="4219" w:type="dxa"/>
            <w:tcBorders>
              <w:top w:val="single" w:sz="4" w:space="0" w:color="000000"/>
              <w:left w:val="single" w:sz="4" w:space="0" w:color="000000"/>
              <w:bottom w:val="single" w:sz="4" w:space="0" w:color="000000"/>
              <w:right w:val="nil"/>
            </w:tcBorders>
            <w:hideMark/>
          </w:tcPr>
          <w:p w14:paraId="60D902BA" w14:textId="77777777" w:rsidR="00D96B90" w:rsidRPr="00D85E09" w:rsidRDefault="00D96B90" w:rsidP="0043316B">
            <w:pPr>
              <w:pStyle w:val="Tabletext"/>
              <w:keepNext w:val="0"/>
              <w:widowControl w:val="0"/>
              <w:spacing w:before="40"/>
            </w:pPr>
            <w:r w:rsidRPr="00D85E09">
              <w:t>5-year analysis</w:t>
            </w:r>
          </w:p>
        </w:tc>
        <w:tc>
          <w:tcPr>
            <w:tcW w:w="1595" w:type="dxa"/>
            <w:tcBorders>
              <w:top w:val="single" w:sz="4" w:space="0" w:color="000000"/>
              <w:left w:val="nil"/>
              <w:bottom w:val="single" w:sz="4" w:space="0" w:color="000000"/>
              <w:right w:val="nil"/>
            </w:tcBorders>
          </w:tcPr>
          <w:p w14:paraId="004A77D6"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nil"/>
            </w:tcBorders>
          </w:tcPr>
          <w:p w14:paraId="43E3ED30"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single" w:sz="4" w:space="0" w:color="000000"/>
            </w:tcBorders>
          </w:tcPr>
          <w:p w14:paraId="1A0F16DE" w14:textId="77777777" w:rsidR="00D96B90" w:rsidRPr="00D85E09" w:rsidRDefault="00D96B90" w:rsidP="0043316B">
            <w:pPr>
              <w:pStyle w:val="Tabletext"/>
              <w:keepNext w:val="0"/>
              <w:widowControl w:val="0"/>
              <w:spacing w:before="40"/>
              <w:ind w:left="12"/>
              <w:jc w:val="center"/>
            </w:pPr>
          </w:p>
        </w:tc>
      </w:tr>
      <w:tr w:rsidR="00D96B90" w:rsidRPr="00D85E09" w14:paraId="2EDA1592"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5465505C" w14:textId="77777777" w:rsidR="00D96B90" w:rsidRPr="00D85E09" w:rsidRDefault="00D96B90" w:rsidP="0043316B">
            <w:pPr>
              <w:pStyle w:val="Tabletext"/>
              <w:keepNext w:val="0"/>
              <w:widowControl w:val="0"/>
              <w:spacing w:before="40"/>
              <w:ind w:left="142"/>
            </w:pPr>
            <w:r w:rsidRPr="00D85E09">
              <w:t>in terms of life years, 5 year costs</w:t>
            </w:r>
          </w:p>
        </w:tc>
        <w:tc>
          <w:tcPr>
            <w:tcW w:w="1595" w:type="dxa"/>
            <w:tcBorders>
              <w:top w:val="single" w:sz="4" w:space="0" w:color="000000"/>
              <w:left w:val="single" w:sz="4" w:space="0" w:color="000000"/>
              <w:bottom w:val="single" w:sz="4" w:space="0" w:color="000000"/>
              <w:right w:val="single" w:sz="4" w:space="0" w:color="000000"/>
            </w:tcBorders>
            <w:hideMark/>
          </w:tcPr>
          <w:p w14:paraId="4DC8BFB3" w14:textId="77777777" w:rsidR="00D96B90" w:rsidRPr="00D85E09" w:rsidRDefault="00D96B90" w:rsidP="0043316B">
            <w:pPr>
              <w:pStyle w:val="Tabletext"/>
              <w:keepNext w:val="0"/>
              <w:widowControl w:val="0"/>
              <w:spacing w:before="40"/>
              <w:ind w:left="12"/>
              <w:jc w:val="center"/>
            </w:pPr>
            <w:r w:rsidRPr="00D85E09">
              <w:t>0.2912</w:t>
            </w:r>
          </w:p>
        </w:tc>
        <w:tc>
          <w:tcPr>
            <w:tcW w:w="1595" w:type="dxa"/>
            <w:tcBorders>
              <w:top w:val="single" w:sz="4" w:space="0" w:color="000000"/>
              <w:left w:val="single" w:sz="4" w:space="0" w:color="000000"/>
              <w:bottom w:val="single" w:sz="4" w:space="0" w:color="000000"/>
              <w:right w:val="single" w:sz="4" w:space="0" w:color="000000"/>
            </w:tcBorders>
            <w:hideMark/>
          </w:tcPr>
          <w:p w14:paraId="296F0D8C" w14:textId="77777777" w:rsidR="00D96B90" w:rsidRPr="00D85E09" w:rsidRDefault="00D96B90" w:rsidP="0043316B">
            <w:pPr>
              <w:pStyle w:val="Tabletext"/>
              <w:keepNext w:val="0"/>
              <w:widowControl w:val="0"/>
              <w:spacing w:before="40"/>
              <w:ind w:left="12"/>
              <w:jc w:val="center"/>
            </w:pPr>
            <w:r w:rsidRPr="00D85E09">
              <w:t>$15,255</w:t>
            </w:r>
          </w:p>
        </w:tc>
        <w:tc>
          <w:tcPr>
            <w:tcW w:w="1595" w:type="dxa"/>
            <w:tcBorders>
              <w:top w:val="single" w:sz="4" w:space="0" w:color="000000"/>
              <w:left w:val="single" w:sz="4" w:space="0" w:color="000000"/>
              <w:bottom w:val="single" w:sz="4" w:space="0" w:color="000000"/>
              <w:right w:val="single" w:sz="4" w:space="0" w:color="000000"/>
            </w:tcBorders>
            <w:hideMark/>
          </w:tcPr>
          <w:p w14:paraId="24676D55" w14:textId="77777777" w:rsidR="00D96B90" w:rsidRPr="00D85E09" w:rsidRDefault="00D96B90" w:rsidP="0043316B">
            <w:pPr>
              <w:pStyle w:val="Tabletext"/>
              <w:keepNext w:val="0"/>
              <w:widowControl w:val="0"/>
              <w:spacing w:before="40"/>
              <w:ind w:left="12"/>
              <w:jc w:val="center"/>
            </w:pPr>
            <w:r w:rsidRPr="00D85E09">
              <w:t>$52,388</w:t>
            </w:r>
          </w:p>
        </w:tc>
      </w:tr>
      <w:tr w:rsidR="00D96B90" w:rsidRPr="00D85E09" w14:paraId="6C0C0C00"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7F7A44A6" w14:textId="77777777" w:rsidR="00D96B90" w:rsidRPr="00D85E09" w:rsidRDefault="00D96B90" w:rsidP="0043316B">
            <w:pPr>
              <w:pStyle w:val="Tabletext"/>
              <w:keepNext w:val="0"/>
              <w:widowControl w:val="0"/>
              <w:spacing w:before="40"/>
              <w:ind w:left="142"/>
            </w:pPr>
            <w:r w:rsidRPr="00D85E09">
              <w:t>in terms of QALYs years, 5 year costs</w:t>
            </w:r>
          </w:p>
        </w:tc>
        <w:tc>
          <w:tcPr>
            <w:tcW w:w="1595" w:type="dxa"/>
            <w:tcBorders>
              <w:top w:val="single" w:sz="4" w:space="0" w:color="000000"/>
              <w:left w:val="single" w:sz="4" w:space="0" w:color="000000"/>
              <w:bottom w:val="single" w:sz="4" w:space="0" w:color="000000"/>
              <w:right w:val="single" w:sz="4" w:space="0" w:color="000000"/>
            </w:tcBorders>
            <w:hideMark/>
          </w:tcPr>
          <w:p w14:paraId="10A88081" w14:textId="77777777" w:rsidR="00D96B90" w:rsidRPr="00D85E09" w:rsidRDefault="00D96B90" w:rsidP="0043316B">
            <w:pPr>
              <w:pStyle w:val="Tabletext"/>
              <w:keepNext w:val="0"/>
              <w:widowControl w:val="0"/>
              <w:spacing w:before="40"/>
              <w:ind w:left="12"/>
              <w:jc w:val="center"/>
            </w:pPr>
            <w:r w:rsidRPr="00D85E09">
              <w:t>0.3504</w:t>
            </w:r>
          </w:p>
        </w:tc>
        <w:tc>
          <w:tcPr>
            <w:tcW w:w="1595" w:type="dxa"/>
            <w:tcBorders>
              <w:top w:val="single" w:sz="4" w:space="0" w:color="000000"/>
              <w:left w:val="single" w:sz="4" w:space="0" w:color="000000"/>
              <w:bottom w:val="single" w:sz="4" w:space="0" w:color="000000"/>
              <w:right w:val="single" w:sz="4" w:space="0" w:color="000000"/>
            </w:tcBorders>
            <w:hideMark/>
          </w:tcPr>
          <w:p w14:paraId="2B56936E" w14:textId="77777777" w:rsidR="00D96B90" w:rsidRPr="00D85E09" w:rsidRDefault="00D96B90" w:rsidP="0043316B">
            <w:pPr>
              <w:pStyle w:val="Tabletext"/>
              <w:keepNext w:val="0"/>
              <w:widowControl w:val="0"/>
              <w:spacing w:before="40"/>
              <w:ind w:left="12"/>
              <w:jc w:val="center"/>
            </w:pPr>
            <w:r w:rsidRPr="00D85E09">
              <w:t>$15,255</w:t>
            </w:r>
          </w:p>
        </w:tc>
        <w:tc>
          <w:tcPr>
            <w:tcW w:w="1595" w:type="dxa"/>
            <w:tcBorders>
              <w:top w:val="single" w:sz="4" w:space="0" w:color="000000"/>
              <w:left w:val="single" w:sz="4" w:space="0" w:color="000000"/>
              <w:bottom w:val="single" w:sz="4" w:space="0" w:color="000000"/>
              <w:right w:val="single" w:sz="4" w:space="0" w:color="000000"/>
            </w:tcBorders>
            <w:hideMark/>
          </w:tcPr>
          <w:p w14:paraId="3362B023" w14:textId="77777777" w:rsidR="00D96B90" w:rsidRPr="00D85E09" w:rsidRDefault="00D96B90" w:rsidP="0043316B">
            <w:pPr>
              <w:pStyle w:val="Tabletext"/>
              <w:keepNext w:val="0"/>
              <w:widowControl w:val="0"/>
              <w:spacing w:before="40"/>
              <w:ind w:left="12"/>
              <w:jc w:val="center"/>
            </w:pPr>
            <w:r w:rsidRPr="00D85E09">
              <w:t>$43,542</w:t>
            </w:r>
          </w:p>
        </w:tc>
      </w:tr>
      <w:tr w:rsidR="00D96B90" w:rsidRPr="00D85E09" w14:paraId="1BAC2E2A" w14:textId="77777777" w:rsidTr="00033497">
        <w:tc>
          <w:tcPr>
            <w:tcW w:w="4219" w:type="dxa"/>
            <w:tcBorders>
              <w:top w:val="single" w:sz="4" w:space="0" w:color="000000"/>
              <w:left w:val="single" w:sz="4" w:space="0" w:color="000000"/>
              <w:bottom w:val="single" w:sz="4" w:space="0" w:color="000000"/>
              <w:right w:val="nil"/>
            </w:tcBorders>
            <w:hideMark/>
          </w:tcPr>
          <w:p w14:paraId="25353B50" w14:textId="77777777" w:rsidR="00D96B90" w:rsidRPr="00D85E09" w:rsidRDefault="00D96B90" w:rsidP="0043316B">
            <w:pPr>
              <w:pStyle w:val="Tabletext"/>
              <w:keepNext w:val="0"/>
              <w:widowControl w:val="0"/>
              <w:spacing w:before="40"/>
            </w:pPr>
            <w:r w:rsidRPr="00D85E09">
              <w:t>10-year analysis</w:t>
            </w:r>
          </w:p>
        </w:tc>
        <w:tc>
          <w:tcPr>
            <w:tcW w:w="1595" w:type="dxa"/>
            <w:tcBorders>
              <w:top w:val="single" w:sz="4" w:space="0" w:color="000000"/>
              <w:left w:val="nil"/>
              <w:bottom w:val="single" w:sz="4" w:space="0" w:color="000000"/>
              <w:right w:val="nil"/>
            </w:tcBorders>
          </w:tcPr>
          <w:p w14:paraId="06312157"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nil"/>
            </w:tcBorders>
          </w:tcPr>
          <w:p w14:paraId="25D8BFB4"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single" w:sz="4" w:space="0" w:color="000000"/>
            </w:tcBorders>
          </w:tcPr>
          <w:p w14:paraId="073F1F9B" w14:textId="77777777" w:rsidR="00D96B90" w:rsidRPr="00D85E09" w:rsidRDefault="00D96B90" w:rsidP="0043316B">
            <w:pPr>
              <w:pStyle w:val="Tabletext"/>
              <w:keepNext w:val="0"/>
              <w:widowControl w:val="0"/>
              <w:spacing w:before="40"/>
              <w:ind w:left="12"/>
              <w:jc w:val="center"/>
            </w:pPr>
          </w:p>
        </w:tc>
      </w:tr>
      <w:tr w:rsidR="00D96B90" w:rsidRPr="00D85E09" w14:paraId="3B3E753C"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3773C538" w14:textId="77777777" w:rsidR="00D96B90" w:rsidRPr="00D85E09" w:rsidRDefault="00D96B90" w:rsidP="0043316B">
            <w:pPr>
              <w:pStyle w:val="Tabletext"/>
              <w:keepNext w:val="0"/>
              <w:widowControl w:val="0"/>
              <w:spacing w:before="40"/>
              <w:ind w:left="142"/>
            </w:pPr>
            <w:r w:rsidRPr="00D85E09">
              <w:t>in terms of life years, 10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6F61C584" w14:textId="77777777" w:rsidR="00D96B90" w:rsidRPr="00D85E09" w:rsidRDefault="00D96B90" w:rsidP="0043316B">
            <w:pPr>
              <w:pStyle w:val="Tabletext"/>
              <w:keepNext w:val="0"/>
              <w:widowControl w:val="0"/>
              <w:spacing w:before="40"/>
              <w:ind w:left="12"/>
              <w:jc w:val="center"/>
            </w:pPr>
            <w:r w:rsidRPr="00D85E09">
              <w:t>0.5074</w:t>
            </w:r>
          </w:p>
        </w:tc>
        <w:tc>
          <w:tcPr>
            <w:tcW w:w="1595" w:type="dxa"/>
            <w:tcBorders>
              <w:top w:val="single" w:sz="4" w:space="0" w:color="000000"/>
              <w:left w:val="single" w:sz="4" w:space="0" w:color="000000"/>
              <w:bottom w:val="single" w:sz="4" w:space="0" w:color="000000"/>
              <w:right w:val="single" w:sz="4" w:space="0" w:color="000000"/>
            </w:tcBorders>
            <w:hideMark/>
          </w:tcPr>
          <w:p w14:paraId="14E3406F" w14:textId="77777777" w:rsidR="00D96B90" w:rsidRPr="00D85E09" w:rsidRDefault="00D96B90" w:rsidP="0043316B">
            <w:pPr>
              <w:pStyle w:val="Tabletext"/>
              <w:keepNext w:val="0"/>
              <w:widowControl w:val="0"/>
              <w:spacing w:before="40"/>
              <w:ind w:left="12"/>
              <w:jc w:val="center"/>
            </w:pPr>
            <w:r w:rsidRPr="00D85E09">
              <w:t>$13,048</w:t>
            </w:r>
          </w:p>
        </w:tc>
        <w:tc>
          <w:tcPr>
            <w:tcW w:w="1595" w:type="dxa"/>
            <w:tcBorders>
              <w:top w:val="single" w:sz="4" w:space="0" w:color="000000"/>
              <w:left w:val="single" w:sz="4" w:space="0" w:color="000000"/>
              <w:bottom w:val="single" w:sz="4" w:space="0" w:color="000000"/>
              <w:right w:val="single" w:sz="4" w:space="0" w:color="000000"/>
            </w:tcBorders>
            <w:hideMark/>
          </w:tcPr>
          <w:p w14:paraId="6D2B8FF4" w14:textId="77777777" w:rsidR="00D96B90" w:rsidRPr="00D85E09" w:rsidRDefault="00D96B90" w:rsidP="0043316B">
            <w:pPr>
              <w:pStyle w:val="Tabletext"/>
              <w:keepNext w:val="0"/>
              <w:widowControl w:val="0"/>
              <w:spacing w:before="40"/>
              <w:ind w:left="12"/>
              <w:jc w:val="center"/>
            </w:pPr>
            <w:r w:rsidRPr="00D85E09">
              <w:t>$25,716</w:t>
            </w:r>
          </w:p>
        </w:tc>
      </w:tr>
      <w:tr w:rsidR="00D96B90" w:rsidRPr="00D85E09" w14:paraId="6DF9AD37"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6624405B" w14:textId="77777777" w:rsidR="00D96B90" w:rsidRPr="00D85E09" w:rsidRDefault="00D96B90" w:rsidP="0043316B">
            <w:pPr>
              <w:pStyle w:val="Tabletext"/>
              <w:keepNext w:val="0"/>
              <w:widowControl w:val="0"/>
              <w:spacing w:before="40"/>
              <w:ind w:left="142"/>
            </w:pPr>
            <w:r w:rsidRPr="00D85E09">
              <w:t>in terms of QALYs years, 10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17C5E0CB" w14:textId="77777777" w:rsidR="00D96B90" w:rsidRPr="00D85E09" w:rsidRDefault="00D96B90" w:rsidP="0043316B">
            <w:pPr>
              <w:pStyle w:val="Tabletext"/>
              <w:keepNext w:val="0"/>
              <w:widowControl w:val="0"/>
              <w:spacing w:before="40"/>
              <w:ind w:left="12"/>
              <w:jc w:val="center"/>
            </w:pPr>
            <w:r w:rsidRPr="00D85E09">
              <w:t>0.5730</w:t>
            </w:r>
          </w:p>
        </w:tc>
        <w:tc>
          <w:tcPr>
            <w:tcW w:w="1595" w:type="dxa"/>
            <w:tcBorders>
              <w:top w:val="single" w:sz="4" w:space="0" w:color="000000"/>
              <w:left w:val="single" w:sz="4" w:space="0" w:color="000000"/>
              <w:bottom w:val="single" w:sz="4" w:space="0" w:color="000000"/>
              <w:right w:val="single" w:sz="4" w:space="0" w:color="000000"/>
            </w:tcBorders>
            <w:hideMark/>
          </w:tcPr>
          <w:p w14:paraId="1D4D7748" w14:textId="77777777" w:rsidR="00D96B90" w:rsidRPr="00D85E09" w:rsidRDefault="00D96B90" w:rsidP="0043316B">
            <w:pPr>
              <w:pStyle w:val="Tabletext"/>
              <w:keepNext w:val="0"/>
              <w:widowControl w:val="0"/>
              <w:spacing w:before="40"/>
              <w:ind w:left="12"/>
              <w:jc w:val="center"/>
            </w:pPr>
            <w:r w:rsidRPr="00D85E09">
              <w:t>$13,048</w:t>
            </w:r>
          </w:p>
        </w:tc>
        <w:tc>
          <w:tcPr>
            <w:tcW w:w="1595" w:type="dxa"/>
            <w:tcBorders>
              <w:top w:val="single" w:sz="4" w:space="0" w:color="000000"/>
              <w:left w:val="single" w:sz="4" w:space="0" w:color="000000"/>
              <w:bottom w:val="single" w:sz="4" w:space="0" w:color="000000"/>
              <w:right w:val="single" w:sz="4" w:space="0" w:color="000000"/>
            </w:tcBorders>
            <w:hideMark/>
          </w:tcPr>
          <w:p w14:paraId="3FE5CD16" w14:textId="77777777" w:rsidR="00D96B90" w:rsidRPr="00D85E09" w:rsidRDefault="00D96B90" w:rsidP="0043316B">
            <w:pPr>
              <w:pStyle w:val="Tabletext"/>
              <w:keepNext w:val="0"/>
              <w:widowControl w:val="0"/>
              <w:spacing w:before="40"/>
              <w:ind w:left="12"/>
              <w:jc w:val="center"/>
            </w:pPr>
            <w:r w:rsidRPr="00D85E09">
              <w:t>$22,773</w:t>
            </w:r>
          </w:p>
        </w:tc>
      </w:tr>
      <w:tr w:rsidR="00D96B90" w:rsidRPr="00D85E09" w14:paraId="5B293AA3" w14:textId="77777777" w:rsidTr="00033497">
        <w:tc>
          <w:tcPr>
            <w:tcW w:w="4219" w:type="dxa"/>
            <w:tcBorders>
              <w:top w:val="single" w:sz="4" w:space="0" w:color="000000"/>
              <w:left w:val="single" w:sz="4" w:space="0" w:color="000000"/>
              <w:bottom w:val="single" w:sz="4" w:space="0" w:color="000000"/>
              <w:right w:val="single" w:sz="4" w:space="0" w:color="auto"/>
            </w:tcBorders>
            <w:hideMark/>
          </w:tcPr>
          <w:p w14:paraId="1E770A39" w14:textId="77777777" w:rsidR="00D96B90" w:rsidRPr="00D85E09" w:rsidRDefault="00D96B90" w:rsidP="0043316B">
            <w:pPr>
              <w:pStyle w:val="Tabletext"/>
              <w:keepNext w:val="0"/>
              <w:widowControl w:val="0"/>
              <w:spacing w:before="40"/>
            </w:pPr>
            <w:r w:rsidRPr="00D85E09">
              <w:t>20-year analysis</w:t>
            </w:r>
          </w:p>
        </w:tc>
        <w:tc>
          <w:tcPr>
            <w:tcW w:w="1595" w:type="dxa"/>
            <w:tcBorders>
              <w:top w:val="single" w:sz="4" w:space="0" w:color="000000"/>
              <w:left w:val="single" w:sz="4" w:space="0" w:color="auto"/>
              <w:bottom w:val="single" w:sz="4" w:space="0" w:color="000000"/>
              <w:right w:val="nil"/>
            </w:tcBorders>
          </w:tcPr>
          <w:p w14:paraId="57CFEE45"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single" w:sz="4" w:space="0" w:color="auto"/>
            </w:tcBorders>
          </w:tcPr>
          <w:p w14:paraId="5EF4A46E"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single" w:sz="4" w:space="0" w:color="auto"/>
              <w:bottom w:val="single" w:sz="4" w:space="0" w:color="000000"/>
              <w:right w:val="single" w:sz="4" w:space="0" w:color="000000"/>
            </w:tcBorders>
          </w:tcPr>
          <w:p w14:paraId="6A550838" w14:textId="77777777" w:rsidR="00D96B90" w:rsidRPr="00D85E09" w:rsidRDefault="00D96B90" w:rsidP="0043316B">
            <w:pPr>
              <w:pStyle w:val="Tabletext"/>
              <w:keepNext w:val="0"/>
              <w:widowControl w:val="0"/>
              <w:spacing w:before="40"/>
              <w:ind w:left="12"/>
              <w:jc w:val="center"/>
            </w:pPr>
          </w:p>
        </w:tc>
      </w:tr>
      <w:tr w:rsidR="00D96B90" w:rsidRPr="00D85E09" w14:paraId="127E2BFA"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57BB6770" w14:textId="77777777" w:rsidR="00D96B90" w:rsidRPr="00D85E09" w:rsidRDefault="00D96B90" w:rsidP="0043316B">
            <w:pPr>
              <w:pStyle w:val="Tabletext"/>
              <w:keepNext w:val="0"/>
              <w:widowControl w:val="0"/>
              <w:spacing w:before="40"/>
              <w:ind w:left="142"/>
            </w:pPr>
            <w:r w:rsidRPr="00D85E09">
              <w:t>in terms of life years, 20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4B7C26ED" w14:textId="77777777" w:rsidR="00D96B90" w:rsidRPr="00D85E09" w:rsidRDefault="00D96B90" w:rsidP="0043316B">
            <w:pPr>
              <w:pStyle w:val="Tabletext"/>
              <w:keepNext w:val="0"/>
              <w:widowControl w:val="0"/>
              <w:spacing w:before="40"/>
              <w:ind w:left="12"/>
              <w:jc w:val="center"/>
            </w:pPr>
            <w:r w:rsidRPr="00D85E09">
              <w:t>0.7247</w:t>
            </w:r>
          </w:p>
        </w:tc>
        <w:tc>
          <w:tcPr>
            <w:tcW w:w="1595" w:type="dxa"/>
            <w:tcBorders>
              <w:top w:val="single" w:sz="4" w:space="0" w:color="000000"/>
              <w:left w:val="single" w:sz="4" w:space="0" w:color="000000"/>
              <w:bottom w:val="single" w:sz="4" w:space="0" w:color="000000"/>
              <w:right w:val="single" w:sz="4" w:space="0" w:color="000000"/>
            </w:tcBorders>
            <w:hideMark/>
          </w:tcPr>
          <w:p w14:paraId="74EE39DF" w14:textId="77777777" w:rsidR="00D96B90" w:rsidRPr="00D85E09" w:rsidRDefault="00D96B90" w:rsidP="0043316B">
            <w:pPr>
              <w:pStyle w:val="Tabletext"/>
              <w:keepNext w:val="0"/>
              <w:widowControl w:val="0"/>
              <w:spacing w:before="40"/>
              <w:ind w:left="12"/>
              <w:jc w:val="center"/>
            </w:pPr>
            <w:r w:rsidRPr="00D85E09">
              <w:t>$11,027</w:t>
            </w:r>
          </w:p>
        </w:tc>
        <w:tc>
          <w:tcPr>
            <w:tcW w:w="1595" w:type="dxa"/>
            <w:tcBorders>
              <w:top w:val="single" w:sz="4" w:space="0" w:color="000000"/>
              <w:left w:val="single" w:sz="4" w:space="0" w:color="000000"/>
              <w:bottom w:val="single" w:sz="4" w:space="0" w:color="000000"/>
              <w:right w:val="single" w:sz="4" w:space="0" w:color="000000"/>
            </w:tcBorders>
            <w:hideMark/>
          </w:tcPr>
          <w:p w14:paraId="722F0FCD" w14:textId="77777777" w:rsidR="00D96B90" w:rsidRPr="00D85E09" w:rsidRDefault="00D96B90" w:rsidP="0043316B">
            <w:pPr>
              <w:pStyle w:val="Tabletext"/>
              <w:keepNext w:val="0"/>
              <w:widowControl w:val="0"/>
              <w:spacing w:before="40"/>
              <w:ind w:left="12"/>
              <w:jc w:val="center"/>
            </w:pPr>
            <w:r w:rsidRPr="00D85E09">
              <w:t>$15,216</w:t>
            </w:r>
          </w:p>
        </w:tc>
      </w:tr>
      <w:tr w:rsidR="00D96B90" w:rsidRPr="00D85E09" w14:paraId="690D5328"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0D69DD15" w14:textId="77777777" w:rsidR="00D96B90" w:rsidRPr="00D85E09" w:rsidRDefault="00D96B90" w:rsidP="0043316B">
            <w:pPr>
              <w:pStyle w:val="Tabletext"/>
              <w:keepNext w:val="0"/>
              <w:widowControl w:val="0"/>
              <w:spacing w:before="40"/>
              <w:ind w:left="142"/>
            </w:pPr>
            <w:r w:rsidRPr="00D85E09">
              <w:t>in terms of QALYs years, 20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31531824" w14:textId="77777777" w:rsidR="00D96B90" w:rsidRPr="00D85E09" w:rsidRDefault="00D96B90" w:rsidP="0043316B">
            <w:pPr>
              <w:pStyle w:val="Tabletext"/>
              <w:keepNext w:val="0"/>
              <w:widowControl w:val="0"/>
              <w:spacing w:before="40"/>
              <w:ind w:left="12"/>
              <w:jc w:val="center"/>
            </w:pPr>
            <w:r w:rsidRPr="00D85E09">
              <w:t>0.7870</w:t>
            </w:r>
          </w:p>
        </w:tc>
        <w:tc>
          <w:tcPr>
            <w:tcW w:w="1595" w:type="dxa"/>
            <w:tcBorders>
              <w:top w:val="single" w:sz="4" w:space="0" w:color="000000"/>
              <w:left w:val="single" w:sz="4" w:space="0" w:color="000000"/>
              <w:bottom w:val="single" w:sz="4" w:space="0" w:color="000000"/>
              <w:right w:val="single" w:sz="4" w:space="0" w:color="000000"/>
            </w:tcBorders>
            <w:hideMark/>
          </w:tcPr>
          <w:p w14:paraId="5BD1E8AE" w14:textId="77777777" w:rsidR="00D96B90" w:rsidRPr="00D85E09" w:rsidRDefault="00D96B90" w:rsidP="0043316B">
            <w:pPr>
              <w:pStyle w:val="Tabletext"/>
              <w:keepNext w:val="0"/>
              <w:widowControl w:val="0"/>
              <w:spacing w:before="40"/>
              <w:ind w:left="12"/>
              <w:jc w:val="center"/>
            </w:pPr>
            <w:r w:rsidRPr="00D85E09">
              <w:t>$11,027</w:t>
            </w:r>
          </w:p>
        </w:tc>
        <w:tc>
          <w:tcPr>
            <w:tcW w:w="1595" w:type="dxa"/>
            <w:tcBorders>
              <w:top w:val="single" w:sz="4" w:space="0" w:color="000000"/>
              <w:left w:val="single" w:sz="4" w:space="0" w:color="000000"/>
              <w:bottom w:val="single" w:sz="4" w:space="0" w:color="000000"/>
              <w:right w:val="single" w:sz="4" w:space="0" w:color="000000"/>
            </w:tcBorders>
            <w:hideMark/>
          </w:tcPr>
          <w:p w14:paraId="1ED83F9E" w14:textId="77777777" w:rsidR="00D96B90" w:rsidRPr="00D85E09" w:rsidRDefault="00D96B90" w:rsidP="0043316B">
            <w:pPr>
              <w:pStyle w:val="Tabletext"/>
              <w:keepNext w:val="0"/>
              <w:widowControl w:val="0"/>
              <w:spacing w:before="40"/>
              <w:ind w:left="12"/>
              <w:jc w:val="center"/>
            </w:pPr>
            <w:r w:rsidRPr="00D85E09">
              <w:t>$14,012</w:t>
            </w:r>
          </w:p>
        </w:tc>
      </w:tr>
      <w:tr w:rsidR="00D96B90" w:rsidRPr="00D85E09" w14:paraId="1039A7C3" w14:textId="77777777" w:rsidTr="00033497">
        <w:tc>
          <w:tcPr>
            <w:tcW w:w="4219" w:type="dxa"/>
            <w:tcBorders>
              <w:top w:val="single" w:sz="4" w:space="0" w:color="000000"/>
              <w:left w:val="single" w:sz="4" w:space="0" w:color="000000"/>
              <w:bottom w:val="single" w:sz="4" w:space="0" w:color="000000"/>
              <w:right w:val="nil"/>
            </w:tcBorders>
            <w:hideMark/>
          </w:tcPr>
          <w:p w14:paraId="3F3C1FAA" w14:textId="77777777" w:rsidR="00D96B90" w:rsidRPr="00D85E09" w:rsidRDefault="00D96B90" w:rsidP="0043316B">
            <w:pPr>
              <w:pStyle w:val="Tabletext"/>
              <w:keepNext w:val="0"/>
              <w:widowControl w:val="0"/>
              <w:spacing w:before="40"/>
              <w:rPr>
                <w:b/>
              </w:rPr>
            </w:pPr>
            <w:r w:rsidRPr="00D85E09">
              <w:rPr>
                <w:b/>
              </w:rPr>
              <w:t>Life-time analysis (base case)</w:t>
            </w:r>
          </w:p>
        </w:tc>
        <w:tc>
          <w:tcPr>
            <w:tcW w:w="1595" w:type="dxa"/>
            <w:tcBorders>
              <w:top w:val="single" w:sz="4" w:space="0" w:color="000000"/>
              <w:left w:val="nil"/>
              <w:bottom w:val="single" w:sz="4" w:space="0" w:color="000000"/>
              <w:right w:val="nil"/>
            </w:tcBorders>
          </w:tcPr>
          <w:p w14:paraId="00979973"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nil"/>
            </w:tcBorders>
          </w:tcPr>
          <w:p w14:paraId="52E67857" w14:textId="77777777" w:rsidR="00D96B90" w:rsidRPr="00D85E09" w:rsidRDefault="00D96B90" w:rsidP="0043316B">
            <w:pPr>
              <w:pStyle w:val="Tabletext"/>
              <w:keepNext w:val="0"/>
              <w:widowControl w:val="0"/>
              <w:spacing w:before="40"/>
              <w:ind w:left="12"/>
              <w:jc w:val="center"/>
            </w:pPr>
          </w:p>
        </w:tc>
        <w:tc>
          <w:tcPr>
            <w:tcW w:w="1595" w:type="dxa"/>
            <w:tcBorders>
              <w:top w:val="single" w:sz="4" w:space="0" w:color="000000"/>
              <w:left w:val="nil"/>
              <w:bottom w:val="single" w:sz="4" w:space="0" w:color="000000"/>
              <w:right w:val="single" w:sz="4" w:space="0" w:color="000000"/>
            </w:tcBorders>
          </w:tcPr>
          <w:p w14:paraId="6EA377D9" w14:textId="77777777" w:rsidR="00D96B90" w:rsidRPr="00D85E09" w:rsidRDefault="00D96B90" w:rsidP="0043316B">
            <w:pPr>
              <w:pStyle w:val="Tabletext"/>
              <w:keepNext w:val="0"/>
              <w:widowControl w:val="0"/>
              <w:spacing w:before="40"/>
              <w:ind w:left="12"/>
              <w:jc w:val="center"/>
            </w:pPr>
          </w:p>
        </w:tc>
      </w:tr>
      <w:tr w:rsidR="00D96B90" w:rsidRPr="00D85E09" w14:paraId="002B8306"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0EE594EC" w14:textId="77777777" w:rsidR="00D96B90" w:rsidRPr="00D85E09" w:rsidRDefault="00D96B90" w:rsidP="0043316B">
            <w:pPr>
              <w:pStyle w:val="Tabletext"/>
              <w:keepNext w:val="0"/>
              <w:widowControl w:val="0"/>
              <w:spacing w:before="40"/>
              <w:ind w:left="142"/>
              <w:rPr>
                <w:b/>
              </w:rPr>
            </w:pPr>
            <w:r w:rsidRPr="00D85E09">
              <w:rPr>
                <w:b/>
              </w:rPr>
              <w:t>in terms of life years, life-time year costs</w:t>
            </w:r>
          </w:p>
        </w:tc>
        <w:tc>
          <w:tcPr>
            <w:tcW w:w="1595" w:type="dxa"/>
            <w:tcBorders>
              <w:top w:val="single" w:sz="4" w:space="0" w:color="000000"/>
              <w:left w:val="single" w:sz="4" w:space="0" w:color="000000"/>
              <w:bottom w:val="single" w:sz="4" w:space="0" w:color="000000"/>
              <w:right w:val="single" w:sz="4" w:space="0" w:color="000000"/>
            </w:tcBorders>
            <w:hideMark/>
          </w:tcPr>
          <w:p w14:paraId="188ED43D" w14:textId="77777777" w:rsidR="00D96B90" w:rsidRPr="00D85E09" w:rsidRDefault="00D96B90" w:rsidP="0043316B">
            <w:pPr>
              <w:pStyle w:val="Tabletext"/>
              <w:keepNext w:val="0"/>
              <w:widowControl w:val="0"/>
              <w:spacing w:before="40"/>
              <w:ind w:left="12"/>
              <w:jc w:val="center"/>
            </w:pPr>
            <w:r w:rsidRPr="00D85E09">
              <w:t>0.7691</w:t>
            </w:r>
          </w:p>
        </w:tc>
        <w:tc>
          <w:tcPr>
            <w:tcW w:w="1595" w:type="dxa"/>
            <w:tcBorders>
              <w:top w:val="single" w:sz="4" w:space="0" w:color="000000"/>
              <w:left w:val="single" w:sz="4" w:space="0" w:color="000000"/>
              <w:bottom w:val="single" w:sz="4" w:space="0" w:color="000000"/>
              <w:right w:val="single" w:sz="4" w:space="0" w:color="000000"/>
            </w:tcBorders>
            <w:hideMark/>
          </w:tcPr>
          <w:p w14:paraId="3A70EBF9" w14:textId="77777777" w:rsidR="00D96B90" w:rsidRPr="00D85E09" w:rsidRDefault="00D96B90" w:rsidP="0043316B">
            <w:pPr>
              <w:pStyle w:val="Tabletext"/>
              <w:keepNext w:val="0"/>
              <w:widowControl w:val="0"/>
              <w:spacing w:before="40"/>
              <w:ind w:left="12"/>
              <w:jc w:val="center"/>
            </w:pPr>
            <w:r w:rsidRPr="00D85E09">
              <w:t>$10,666</w:t>
            </w:r>
          </w:p>
        </w:tc>
        <w:tc>
          <w:tcPr>
            <w:tcW w:w="1595" w:type="dxa"/>
            <w:tcBorders>
              <w:top w:val="single" w:sz="4" w:space="0" w:color="000000"/>
              <w:left w:val="single" w:sz="4" w:space="0" w:color="000000"/>
              <w:bottom w:val="single" w:sz="4" w:space="0" w:color="000000"/>
              <w:right w:val="single" w:sz="4" w:space="0" w:color="000000"/>
            </w:tcBorders>
            <w:hideMark/>
          </w:tcPr>
          <w:p w14:paraId="191971B2" w14:textId="77777777" w:rsidR="00D96B90" w:rsidRPr="00D85E09" w:rsidRDefault="00D96B90" w:rsidP="0043316B">
            <w:pPr>
              <w:pStyle w:val="Tabletext"/>
              <w:keepNext w:val="0"/>
              <w:widowControl w:val="0"/>
              <w:spacing w:before="40"/>
              <w:ind w:left="12"/>
              <w:jc w:val="center"/>
            </w:pPr>
            <w:r w:rsidRPr="00D85E09">
              <w:t>$13,868</w:t>
            </w:r>
          </w:p>
        </w:tc>
      </w:tr>
      <w:tr w:rsidR="00D96B90" w:rsidRPr="00D85E09" w14:paraId="05A22B06" w14:textId="77777777" w:rsidTr="00033497">
        <w:tc>
          <w:tcPr>
            <w:tcW w:w="4219" w:type="dxa"/>
            <w:tcBorders>
              <w:top w:val="single" w:sz="4" w:space="0" w:color="000000"/>
              <w:left w:val="single" w:sz="4" w:space="0" w:color="000000"/>
              <w:bottom w:val="single" w:sz="4" w:space="0" w:color="000000"/>
              <w:right w:val="single" w:sz="4" w:space="0" w:color="000000"/>
            </w:tcBorders>
            <w:hideMark/>
          </w:tcPr>
          <w:p w14:paraId="204E29FD" w14:textId="77777777" w:rsidR="00D96B90" w:rsidRPr="00D85E09" w:rsidRDefault="00D96B90" w:rsidP="0043316B">
            <w:pPr>
              <w:pStyle w:val="Tabletext"/>
              <w:keepNext w:val="0"/>
              <w:widowControl w:val="0"/>
              <w:spacing w:before="40"/>
              <w:ind w:left="142"/>
              <w:rPr>
                <w:b/>
              </w:rPr>
            </w:pPr>
            <w:r w:rsidRPr="00D85E09">
              <w:rPr>
                <w:b/>
              </w:rPr>
              <w:t>in terms of QALYs years, life-time year costs</w:t>
            </w:r>
          </w:p>
        </w:tc>
        <w:tc>
          <w:tcPr>
            <w:tcW w:w="1595" w:type="dxa"/>
            <w:tcBorders>
              <w:top w:val="single" w:sz="4" w:space="0" w:color="000000"/>
              <w:left w:val="single" w:sz="4" w:space="0" w:color="000000"/>
              <w:bottom w:val="single" w:sz="4" w:space="0" w:color="000000"/>
              <w:right w:val="single" w:sz="4" w:space="0" w:color="000000"/>
            </w:tcBorders>
            <w:hideMark/>
          </w:tcPr>
          <w:p w14:paraId="71AD9A36" w14:textId="77777777" w:rsidR="00D96B90" w:rsidRPr="00D85E09" w:rsidRDefault="00D96B90" w:rsidP="0043316B">
            <w:pPr>
              <w:pStyle w:val="Tabletext"/>
              <w:keepNext w:val="0"/>
              <w:widowControl w:val="0"/>
              <w:spacing w:before="40"/>
              <w:ind w:left="12"/>
              <w:jc w:val="center"/>
            </w:pPr>
            <w:r w:rsidRPr="00D85E09">
              <w:t>0.8281</w:t>
            </w:r>
          </w:p>
        </w:tc>
        <w:tc>
          <w:tcPr>
            <w:tcW w:w="1595" w:type="dxa"/>
            <w:tcBorders>
              <w:top w:val="single" w:sz="4" w:space="0" w:color="000000"/>
              <w:left w:val="single" w:sz="4" w:space="0" w:color="000000"/>
              <w:bottom w:val="single" w:sz="4" w:space="0" w:color="000000"/>
              <w:right w:val="single" w:sz="4" w:space="0" w:color="000000"/>
            </w:tcBorders>
            <w:hideMark/>
          </w:tcPr>
          <w:p w14:paraId="2C0206E6" w14:textId="77777777" w:rsidR="00D96B90" w:rsidRPr="00D85E09" w:rsidRDefault="00D96B90" w:rsidP="0043316B">
            <w:pPr>
              <w:pStyle w:val="Tabletext"/>
              <w:keepNext w:val="0"/>
              <w:widowControl w:val="0"/>
              <w:spacing w:before="40"/>
              <w:ind w:left="12"/>
              <w:jc w:val="center"/>
            </w:pPr>
            <w:r w:rsidRPr="00D85E09">
              <w:t>$10,666</w:t>
            </w:r>
          </w:p>
        </w:tc>
        <w:tc>
          <w:tcPr>
            <w:tcW w:w="1595" w:type="dxa"/>
            <w:tcBorders>
              <w:top w:val="single" w:sz="4" w:space="0" w:color="000000"/>
              <w:left w:val="single" w:sz="4" w:space="0" w:color="000000"/>
              <w:bottom w:val="single" w:sz="4" w:space="0" w:color="000000"/>
              <w:right w:val="single" w:sz="4" w:space="0" w:color="000000"/>
            </w:tcBorders>
            <w:hideMark/>
          </w:tcPr>
          <w:p w14:paraId="64CF7401" w14:textId="77777777" w:rsidR="00D96B90" w:rsidRPr="00D85E09" w:rsidRDefault="00D96B90" w:rsidP="0043316B">
            <w:pPr>
              <w:pStyle w:val="Tabletext"/>
              <w:keepNext w:val="0"/>
              <w:widowControl w:val="0"/>
              <w:spacing w:before="40"/>
              <w:ind w:left="12"/>
              <w:jc w:val="center"/>
            </w:pPr>
            <w:r w:rsidRPr="00D85E09">
              <w:t>$12,880</w:t>
            </w:r>
          </w:p>
        </w:tc>
      </w:tr>
      <w:bookmarkEnd w:id="17"/>
      <w:bookmarkEnd w:id="18"/>
    </w:tbl>
    <w:p w14:paraId="395944CB" w14:textId="7B5D1DBA" w:rsidR="0043316B" w:rsidRPr="00D85E09" w:rsidRDefault="0043316B" w:rsidP="0043316B">
      <w:pPr>
        <w:pStyle w:val="ExecSummHead"/>
        <w:widowControl w:val="0"/>
      </w:pPr>
      <w:r w:rsidRPr="00D85E09">
        <w:br w:type="page"/>
      </w:r>
    </w:p>
    <w:p w14:paraId="30B101C1" w14:textId="77777777" w:rsidR="00D96B90" w:rsidRPr="00D85E09" w:rsidRDefault="00D96B90" w:rsidP="0043316B">
      <w:pPr>
        <w:pStyle w:val="ExecSummHead"/>
        <w:widowControl w:val="0"/>
      </w:pPr>
      <w:r w:rsidRPr="00D85E09">
        <w:lastRenderedPageBreak/>
        <w:t>Section E: BUDGET IMPLICATIONS</w:t>
      </w:r>
    </w:p>
    <w:p w14:paraId="119D1312" w14:textId="3D7D1994" w:rsidR="00D96B90" w:rsidRPr="00D85E09" w:rsidRDefault="00D96B90" w:rsidP="0043316B">
      <w:r w:rsidRPr="00D85E09">
        <w:t>The available epidemiological data suggests an estimated total of 18,320 AIS cases due to LVO in 2016. The eligibility for MT is estimated to be met by up to 2,700 cases if a full uptake is achieved (i.e., the procedure is given to all potentially eligible patients; private and public combined). However, the infrastructure to provide adequate “hyperacute” care is suboptimal in Australia (National Stroke Foundation 2015). For example, IV</w:t>
      </w:r>
      <w:r w:rsidR="00300BB6" w:rsidRPr="00D85E09">
        <w:t>-</w:t>
      </w:r>
      <w:r w:rsidRPr="00D85E09">
        <w:t>tPA was given in only 7% of all ischaemic stroke cases. The number of MT procedures will be therefore limited by the case load capacity available in Australia; currently there are six private centres offering the service, each performing on average 10 procedures each year. The case load capacity analysis estimates that up to 10 private centres would be offering the service by the fifth year of listing; each centre performing on average 15 procedures each year. This equates to $393,750 in Year 5 for the proposed service. The total MBS costs for that year (including other services such as anaesthetics and imaging tests) would be $578,687.</w:t>
      </w:r>
    </w:p>
    <w:p w14:paraId="51F157BB" w14:textId="77777777" w:rsidR="00D96B90" w:rsidRPr="00D85E09" w:rsidRDefault="00D96B90" w:rsidP="0043316B">
      <w:r w:rsidRPr="00D85E09">
        <w:t>The availability of MT on the MBS is estimated to provide cost savings to the wider Australian healthcare system: from $884,244 in Year 1, rising to $2,456,232 in Year 5. Broader societal benefits and indirect cost savings from avoided impact on productivity costs and reduced carer burden are also anticipated as result of improved access to MT.</w:t>
      </w:r>
    </w:p>
    <w:p w14:paraId="32BF71A2" w14:textId="77777777" w:rsidR="00D96B90" w:rsidRPr="00D85E09" w:rsidRDefault="00D96B90" w:rsidP="0043316B">
      <w:pPr>
        <w:pStyle w:val="ExecSummHead"/>
        <w:widowControl w:val="0"/>
      </w:pPr>
      <w:r w:rsidRPr="00D85E09">
        <w:t>Section F: ADDITIONAL RELEVANT INFORMATION</w:t>
      </w:r>
    </w:p>
    <w:p w14:paraId="75771F60" w14:textId="77777777" w:rsidR="00D96B90" w:rsidRPr="00D85E09" w:rsidRDefault="00D96B90" w:rsidP="0043316B">
      <w:r w:rsidRPr="00D85E09">
        <w:t>Lack of definitive funding arrangements for non-implantable medical technology used to deliver MBS services is a barrier to effective adoption of new services implemented following Medical Services Advisory Committee (MSAC) evaluation.</w:t>
      </w:r>
    </w:p>
    <w:p w14:paraId="75FBA9AC" w14:textId="26023F62" w:rsidR="00D96B90" w:rsidRPr="00D85E09" w:rsidRDefault="00D96B90" w:rsidP="0043316B">
      <w:r w:rsidRPr="00D85E09">
        <w:t>This is a consequence of the ‘disconnect’ between positive advice for listing from MSAC and new MBS services using non-implanted technology. This arises due to the absence of a definitive funding pathway for non-implanted technology - i.e. do not meet Prostheses List criteria. As a consequence</w:t>
      </w:r>
      <w:r w:rsidR="00490DFA">
        <w:t>,</w:t>
      </w:r>
      <w:r w:rsidRPr="00D85E09">
        <w:t xml:space="preserve"> adoption of new MBS items may be suboptimal, with opportunities to use technology that is more clinically and cost</w:t>
      </w:r>
      <w:r w:rsidR="00300BB6" w:rsidRPr="00D85E09">
        <w:t>-</w:t>
      </w:r>
      <w:r w:rsidRPr="00D85E09">
        <w:t>effective lost.</w:t>
      </w:r>
    </w:p>
    <w:p w14:paraId="52A918CE" w14:textId="77777777" w:rsidR="00D96B90" w:rsidRPr="00D85E09" w:rsidRDefault="00D96B90" w:rsidP="0043316B">
      <w:r w:rsidRPr="00D85E09">
        <w:t>This is relevant for the current Application – MT devices used to deliver the proposed service do not meet the criteria for inclusion on the Prostheses List (PL) as they are not a permanent surgical implant. Furthermore, due to the emergency nature of MT, case-by-case, pre-intervention, device funding requests cannot be considered by private health insurers.</w:t>
      </w:r>
    </w:p>
    <w:p w14:paraId="3C297146" w14:textId="77777777" w:rsidR="00D96B90" w:rsidRPr="00D85E09" w:rsidRDefault="00D96B90" w:rsidP="0043316B">
      <w:r w:rsidRPr="00D85E09">
        <w:t xml:space="preserve">For the current Application - should positive advice from MSAC lead to the implementation of a MT MBS item – we propose that MSAC and the Department of Health (DOH) consult to determine how stent retrieval devices could be funded under Part C of the existing PL arrangements (e.g. Health Minister consideration for inclusion on Part C of the PL - as was </w:t>
      </w:r>
      <w:r w:rsidRPr="00D85E09">
        <w:lastRenderedPageBreak/>
        <w:t xml:space="preserve">the step taken for Cardiac Remote Monitoring Systems; Application 1197.1) or through the </w:t>
      </w:r>
      <w:r w:rsidRPr="00D85E09">
        <w:rPr>
          <w:i/>
        </w:rPr>
        <w:t>selective expansion</w:t>
      </w:r>
      <w:r w:rsidRPr="00D85E09">
        <w:t xml:space="preserve"> of the PL criteria to include non-implantable devices associated with new MBS services.</w:t>
      </w:r>
    </w:p>
    <w:p w14:paraId="1CEB6D7D" w14:textId="77777777" w:rsidR="00D96B90" w:rsidRPr="00D85E09" w:rsidRDefault="00D96B90" w:rsidP="0043316B">
      <w:pPr>
        <w:pStyle w:val="ExecSummHead"/>
        <w:widowControl w:val="0"/>
      </w:pPr>
      <w:r w:rsidRPr="00D85E09">
        <w:t>Conclusions</w:t>
      </w:r>
    </w:p>
    <w:p w14:paraId="0ED40CD6" w14:textId="48CC1200" w:rsidR="00D96B90" w:rsidRPr="00D85E09" w:rsidRDefault="00D96B90" w:rsidP="0043316B">
      <w:r w:rsidRPr="00D85E09">
        <w:t>There is high</w:t>
      </w:r>
      <w:r w:rsidR="00300BB6" w:rsidRPr="00D85E09">
        <w:t xml:space="preserve"> </w:t>
      </w:r>
      <w:r w:rsidRPr="00D85E09">
        <w:t xml:space="preserve">quality evidence demonstrating that in comparison to usual care, MT significantly improves functional outcomes for patients with AIS. These findings have led to strong positive recommendations in international and local clinical practice guidelines, and are likely to transform the manner in which acute stroke care is delivered in Australia. The economic evaluation presented in this submission assumes that the improved functional outcomes in patients treated with MT translate to improved quality of life and reduced care costs in the long-term. This produces a base case ICER of $12,880 per QALY, a </w:t>
      </w:r>
      <w:r w:rsidR="00F67AF7" w:rsidRPr="00D85E09">
        <w:t>f</w:t>
      </w:r>
      <w:r w:rsidRPr="00D85E09">
        <w:t>igure which is robust to a range of conservative sensitivity analyses. Medtronic looks forward to working with MSAC in order to facilitate access to this important technology.</w:t>
      </w:r>
    </w:p>
    <w:bookmarkEnd w:id="5"/>
    <w:bookmarkEnd w:id="6"/>
    <w:bookmarkEnd w:id="7"/>
    <w:bookmarkEnd w:id="8"/>
    <w:p w14:paraId="77FD1899" w14:textId="77777777" w:rsidR="00D96B90" w:rsidRPr="00D85E09" w:rsidRDefault="00D96B90" w:rsidP="0043316B">
      <w:pPr>
        <w:widowControl w:val="0"/>
      </w:pPr>
    </w:p>
    <w:p w14:paraId="2A6DE920" w14:textId="77777777" w:rsidR="005C5403" w:rsidRPr="00D85E09" w:rsidRDefault="005C5403" w:rsidP="0043316B">
      <w:pPr>
        <w:widowControl w:val="0"/>
        <w:sectPr w:rsidR="005C5403" w:rsidRPr="00D85E09" w:rsidSect="00033497">
          <w:headerReference w:type="default" r:id="rId17"/>
          <w:footerReference w:type="default" r:id="rId18"/>
          <w:pgSz w:w="11907" w:h="16834" w:code="9"/>
          <w:pgMar w:top="1304" w:right="1418" w:bottom="1418" w:left="1418" w:header="720" w:footer="720" w:gutter="0"/>
          <w:paperSrc w:first="7" w:other="7"/>
          <w:pgNumType w:fmt="lowerRoman" w:start="1"/>
          <w:cols w:space="720"/>
          <w:noEndnote/>
          <w:docGrid w:linePitch="299"/>
        </w:sectPr>
      </w:pPr>
    </w:p>
    <w:p w14:paraId="0087F17B" w14:textId="543A642B" w:rsidR="003C467C" w:rsidRPr="00D85E09" w:rsidRDefault="00604050" w:rsidP="0043316B">
      <w:pPr>
        <w:pStyle w:val="Heading1"/>
        <w:keepNext w:val="0"/>
        <w:pageBreakBefore w:val="0"/>
        <w:widowControl w:val="0"/>
        <w:numPr>
          <w:ilvl w:val="0"/>
          <w:numId w:val="0"/>
        </w:numPr>
        <w:ind w:left="360" w:hanging="360"/>
        <w:rPr>
          <w:lang w:val="en-AU"/>
        </w:rPr>
      </w:pPr>
      <w:bookmarkStart w:id="19" w:name="_Toc452990493"/>
      <w:bookmarkStart w:id="20" w:name="_Toc452990613"/>
      <w:bookmarkStart w:id="21" w:name="_Toc452997366"/>
      <w:bookmarkStart w:id="22" w:name="_Toc453065230"/>
      <w:r>
        <w:rPr>
          <w:lang w:val="en-AU"/>
        </w:rPr>
        <w:lastRenderedPageBreak/>
        <w:t>Table of C</w:t>
      </w:r>
      <w:r w:rsidR="008E3B5C" w:rsidRPr="00D85E09">
        <w:rPr>
          <w:lang w:val="en-AU"/>
        </w:rPr>
        <w:t>ontents</w:t>
      </w:r>
      <w:bookmarkEnd w:id="19"/>
      <w:bookmarkEnd w:id="20"/>
      <w:bookmarkEnd w:id="21"/>
      <w:bookmarkEnd w:id="22"/>
    </w:p>
    <w:sdt>
      <w:sdtPr>
        <w:rPr>
          <w:b w:val="0"/>
          <w:bCs w:val="0"/>
          <w:caps w:val="0"/>
          <w:noProof w:val="0"/>
        </w:rPr>
        <w:id w:val="-1680964983"/>
        <w:docPartObj>
          <w:docPartGallery w:val="Table of Contents"/>
          <w:docPartUnique/>
        </w:docPartObj>
      </w:sdtPr>
      <w:sdtContent>
        <w:p w14:paraId="2AF5351E" w14:textId="6E53BB4A" w:rsidR="00BF35BC" w:rsidRDefault="00033497" w:rsidP="00BF35BC">
          <w:pPr>
            <w:pStyle w:val="TOC1"/>
            <w:ind w:left="992" w:hanging="992"/>
            <w:rPr>
              <w:rFonts w:asciiTheme="minorHAnsi" w:hAnsiTheme="minorHAnsi" w:cstheme="minorBidi"/>
              <w:b w:val="0"/>
              <w:bCs w:val="0"/>
              <w:caps w:val="0"/>
              <w:lang w:eastAsia="en-AU"/>
            </w:rPr>
          </w:pPr>
          <w:r w:rsidRPr="00D85E09">
            <w:fldChar w:fldCharType="begin"/>
          </w:r>
          <w:r w:rsidRPr="00D85E09">
            <w:instrText xml:space="preserve"> TOC \o "1-3" \h \z \u </w:instrText>
          </w:r>
          <w:r w:rsidRPr="00D85E09">
            <w:fldChar w:fldCharType="separate"/>
          </w:r>
          <w:hyperlink w:anchor="_Toc453065229" w:history="1">
            <w:r w:rsidR="00BF35BC" w:rsidRPr="00604235">
              <w:rPr>
                <w:rStyle w:val="Hyperlink"/>
              </w:rPr>
              <w:t>Executive Summary</w:t>
            </w:r>
            <w:r w:rsidR="00BF35BC">
              <w:rPr>
                <w:webHidden/>
              </w:rPr>
              <w:tab/>
            </w:r>
            <w:r w:rsidR="00BF35BC">
              <w:rPr>
                <w:webHidden/>
              </w:rPr>
              <w:fldChar w:fldCharType="begin"/>
            </w:r>
            <w:r w:rsidR="00BF35BC">
              <w:rPr>
                <w:webHidden/>
              </w:rPr>
              <w:instrText xml:space="preserve"> PAGEREF _Toc453065229 \h </w:instrText>
            </w:r>
            <w:r w:rsidR="00BF35BC">
              <w:rPr>
                <w:webHidden/>
              </w:rPr>
            </w:r>
            <w:r w:rsidR="00BF35BC">
              <w:rPr>
                <w:webHidden/>
              </w:rPr>
              <w:fldChar w:fldCharType="separate"/>
            </w:r>
            <w:r w:rsidR="00A456ED">
              <w:rPr>
                <w:webHidden/>
              </w:rPr>
              <w:t>i</w:t>
            </w:r>
            <w:r w:rsidR="00BF35BC">
              <w:rPr>
                <w:webHidden/>
              </w:rPr>
              <w:fldChar w:fldCharType="end"/>
            </w:r>
          </w:hyperlink>
        </w:p>
        <w:p w14:paraId="1C038F2D" w14:textId="78CB70FB" w:rsidR="00BF35BC" w:rsidRDefault="00B76E8C" w:rsidP="00BF35BC">
          <w:pPr>
            <w:pStyle w:val="TOC1"/>
            <w:ind w:left="992" w:hanging="992"/>
            <w:rPr>
              <w:rFonts w:asciiTheme="minorHAnsi" w:hAnsiTheme="minorHAnsi" w:cstheme="minorBidi"/>
              <w:b w:val="0"/>
              <w:bCs w:val="0"/>
              <w:caps w:val="0"/>
              <w:lang w:eastAsia="en-AU"/>
            </w:rPr>
          </w:pPr>
          <w:hyperlink w:anchor="_Toc453065230" w:history="1">
            <w:r w:rsidR="00BF35BC" w:rsidRPr="00604235">
              <w:rPr>
                <w:rStyle w:val="Hyperlink"/>
              </w:rPr>
              <w:t>Table of Contents</w:t>
            </w:r>
            <w:r w:rsidR="00BF35BC">
              <w:rPr>
                <w:webHidden/>
              </w:rPr>
              <w:tab/>
            </w:r>
            <w:r w:rsidR="00BF35BC">
              <w:rPr>
                <w:webHidden/>
              </w:rPr>
              <w:fldChar w:fldCharType="begin"/>
            </w:r>
            <w:r w:rsidR="00BF35BC">
              <w:rPr>
                <w:webHidden/>
              </w:rPr>
              <w:instrText xml:space="preserve"> PAGEREF _Toc453065230 \h </w:instrText>
            </w:r>
            <w:r w:rsidR="00BF35BC">
              <w:rPr>
                <w:webHidden/>
              </w:rPr>
            </w:r>
            <w:r w:rsidR="00BF35BC">
              <w:rPr>
                <w:webHidden/>
              </w:rPr>
              <w:fldChar w:fldCharType="separate"/>
            </w:r>
            <w:r w:rsidR="00A456ED">
              <w:rPr>
                <w:webHidden/>
              </w:rPr>
              <w:t>xii</w:t>
            </w:r>
            <w:r w:rsidR="00BF35BC">
              <w:rPr>
                <w:webHidden/>
              </w:rPr>
              <w:fldChar w:fldCharType="end"/>
            </w:r>
          </w:hyperlink>
        </w:p>
        <w:p w14:paraId="4F986B91" w14:textId="19D5B9AD" w:rsidR="00BF35BC" w:rsidRDefault="00B76E8C" w:rsidP="00BF35BC">
          <w:pPr>
            <w:pStyle w:val="TOC1"/>
            <w:ind w:left="992" w:hanging="992"/>
            <w:rPr>
              <w:rFonts w:asciiTheme="minorHAnsi" w:hAnsiTheme="minorHAnsi" w:cstheme="minorBidi"/>
              <w:b w:val="0"/>
              <w:bCs w:val="0"/>
              <w:caps w:val="0"/>
              <w:lang w:eastAsia="en-AU"/>
            </w:rPr>
          </w:pPr>
          <w:hyperlink w:anchor="_Toc453065231" w:history="1">
            <w:r w:rsidR="00BF35BC" w:rsidRPr="00604235">
              <w:rPr>
                <w:rStyle w:val="Hyperlink"/>
              </w:rPr>
              <w:t>List of Tables</w:t>
            </w:r>
            <w:r w:rsidR="00BF35BC">
              <w:rPr>
                <w:webHidden/>
              </w:rPr>
              <w:tab/>
            </w:r>
            <w:r w:rsidR="00BF35BC">
              <w:rPr>
                <w:webHidden/>
              </w:rPr>
              <w:fldChar w:fldCharType="begin"/>
            </w:r>
            <w:r w:rsidR="00BF35BC">
              <w:rPr>
                <w:webHidden/>
              </w:rPr>
              <w:instrText xml:space="preserve"> PAGEREF _Toc453065231 \h </w:instrText>
            </w:r>
            <w:r w:rsidR="00BF35BC">
              <w:rPr>
                <w:webHidden/>
              </w:rPr>
            </w:r>
            <w:r w:rsidR="00BF35BC">
              <w:rPr>
                <w:webHidden/>
              </w:rPr>
              <w:fldChar w:fldCharType="separate"/>
            </w:r>
            <w:r w:rsidR="00A456ED">
              <w:rPr>
                <w:webHidden/>
              </w:rPr>
              <w:t>xvi</w:t>
            </w:r>
            <w:r w:rsidR="00BF35BC">
              <w:rPr>
                <w:webHidden/>
              </w:rPr>
              <w:fldChar w:fldCharType="end"/>
            </w:r>
          </w:hyperlink>
        </w:p>
        <w:p w14:paraId="256378B0" w14:textId="4FD12577" w:rsidR="00BF35BC" w:rsidRDefault="00B76E8C" w:rsidP="00BF35BC">
          <w:pPr>
            <w:pStyle w:val="TOC1"/>
            <w:ind w:left="992" w:hanging="992"/>
            <w:rPr>
              <w:rFonts w:asciiTheme="minorHAnsi" w:hAnsiTheme="minorHAnsi" w:cstheme="minorBidi"/>
              <w:b w:val="0"/>
              <w:bCs w:val="0"/>
              <w:caps w:val="0"/>
              <w:lang w:eastAsia="en-AU"/>
            </w:rPr>
          </w:pPr>
          <w:hyperlink w:anchor="_Toc453065232" w:history="1">
            <w:r w:rsidR="00BF35BC" w:rsidRPr="00604235">
              <w:rPr>
                <w:rStyle w:val="Hyperlink"/>
              </w:rPr>
              <w:t>List of Figures</w:t>
            </w:r>
            <w:r w:rsidR="00BF35BC">
              <w:rPr>
                <w:webHidden/>
              </w:rPr>
              <w:tab/>
            </w:r>
            <w:r w:rsidR="00BF35BC">
              <w:rPr>
                <w:webHidden/>
              </w:rPr>
              <w:fldChar w:fldCharType="begin"/>
            </w:r>
            <w:r w:rsidR="00BF35BC">
              <w:rPr>
                <w:webHidden/>
              </w:rPr>
              <w:instrText xml:space="preserve"> PAGEREF _Toc453065232 \h </w:instrText>
            </w:r>
            <w:r w:rsidR="00BF35BC">
              <w:rPr>
                <w:webHidden/>
              </w:rPr>
            </w:r>
            <w:r w:rsidR="00BF35BC">
              <w:rPr>
                <w:webHidden/>
              </w:rPr>
              <w:fldChar w:fldCharType="separate"/>
            </w:r>
            <w:r w:rsidR="00A456ED">
              <w:rPr>
                <w:webHidden/>
              </w:rPr>
              <w:t>xx</w:t>
            </w:r>
            <w:r w:rsidR="00BF35BC">
              <w:rPr>
                <w:webHidden/>
              </w:rPr>
              <w:fldChar w:fldCharType="end"/>
            </w:r>
          </w:hyperlink>
        </w:p>
        <w:p w14:paraId="7419B7B3" w14:textId="352E5C40" w:rsidR="00BF35BC" w:rsidRDefault="00B76E8C" w:rsidP="00BF35BC">
          <w:pPr>
            <w:pStyle w:val="TOC1"/>
            <w:ind w:left="992" w:hanging="992"/>
            <w:rPr>
              <w:rFonts w:asciiTheme="minorHAnsi" w:hAnsiTheme="minorHAnsi" w:cstheme="minorBidi"/>
              <w:b w:val="0"/>
              <w:bCs w:val="0"/>
              <w:caps w:val="0"/>
              <w:lang w:eastAsia="en-AU"/>
            </w:rPr>
          </w:pPr>
          <w:hyperlink w:anchor="_Toc453065233" w:history="1">
            <w:r w:rsidR="00BF35BC" w:rsidRPr="00604235">
              <w:rPr>
                <w:rStyle w:val="Hyperlink"/>
              </w:rPr>
              <w:t>List of Appendices and Attachments</w:t>
            </w:r>
            <w:r w:rsidR="00BF35BC">
              <w:rPr>
                <w:webHidden/>
              </w:rPr>
              <w:tab/>
            </w:r>
            <w:r w:rsidR="00BF35BC">
              <w:rPr>
                <w:webHidden/>
              </w:rPr>
              <w:fldChar w:fldCharType="begin"/>
            </w:r>
            <w:r w:rsidR="00BF35BC">
              <w:rPr>
                <w:webHidden/>
              </w:rPr>
              <w:instrText xml:space="preserve"> PAGEREF _Toc453065233 \h </w:instrText>
            </w:r>
            <w:r w:rsidR="00BF35BC">
              <w:rPr>
                <w:webHidden/>
              </w:rPr>
            </w:r>
            <w:r w:rsidR="00BF35BC">
              <w:rPr>
                <w:webHidden/>
              </w:rPr>
              <w:fldChar w:fldCharType="separate"/>
            </w:r>
            <w:r w:rsidR="00A456ED">
              <w:rPr>
                <w:webHidden/>
              </w:rPr>
              <w:t>xxi</w:t>
            </w:r>
            <w:r w:rsidR="00BF35BC">
              <w:rPr>
                <w:webHidden/>
              </w:rPr>
              <w:fldChar w:fldCharType="end"/>
            </w:r>
          </w:hyperlink>
        </w:p>
        <w:p w14:paraId="19A93DF9" w14:textId="6521BA9B" w:rsidR="00BF35BC" w:rsidRDefault="00B76E8C" w:rsidP="00BF35BC">
          <w:pPr>
            <w:pStyle w:val="TOC1"/>
            <w:ind w:left="992" w:hanging="992"/>
            <w:rPr>
              <w:rFonts w:asciiTheme="minorHAnsi" w:hAnsiTheme="minorHAnsi" w:cstheme="minorBidi"/>
              <w:b w:val="0"/>
              <w:bCs w:val="0"/>
              <w:caps w:val="0"/>
              <w:lang w:eastAsia="en-AU"/>
            </w:rPr>
          </w:pPr>
          <w:hyperlink w:anchor="_Toc453065234" w:history="1">
            <w:r w:rsidR="00BF35BC" w:rsidRPr="00604235">
              <w:rPr>
                <w:rStyle w:val="Hyperlink"/>
              </w:rPr>
              <w:t>List of Electronic Files</w:t>
            </w:r>
            <w:r w:rsidR="00BF35BC">
              <w:rPr>
                <w:webHidden/>
              </w:rPr>
              <w:tab/>
            </w:r>
            <w:r w:rsidR="00BF35BC">
              <w:rPr>
                <w:webHidden/>
              </w:rPr>
              <w:fldChar w:fldCharType="begin"/>
            </w:r>
            <w:r w:rsidR="00BF35BC">
              <w:rPr>
                <w:webHidden/>
              </w:rPr>
              <w:instrText xml:space="preserve"> PAGEREF _Toc453065234 \h </w:instrText>
            </w:r>
            <w:r w:rsidR="00BF35BC">
              <w:rPr>
                <w:webHidden/>
              </w:rPr>
            </w:r>
            <w:r w:rsidR="00BF35BC">
              <w:rPr>
                <w:webHidden/>
              </w:rPr>
              <w:fldChar w:fldCharType="separate"/>
            </w:r>
            <w:r w:rsidR="00A456ED">
              <w:rPr>
                <w:webHidden/>
              </w:rPr>
              <w:t>xxi</w:t>
            </w:r>
            <w:r w:rsidR="00BF35BC">
              <w:rPr>
                <w:webHidden/>
              </w:rPr>
              <w:fldChar w:fldCharType="end"/>
            </w:r>
          </w:hyperlink>
        </w:p>
        <w:p w14:paraId="0CBB3B53" w14:textId="677C9FC2" w:rsidR="00BF35BC" w:rsidRDefault="00B76E8C" w:rsidP="00BF35BC">
          <w:pPr>
            <w:pStyle w:val="TOC1"/>
            <w:ind w:left="992" w:hanging="992"/>
            <w:rPr>
              <w:rFonts w:asciiTheme="minorHAnsi" w:hAnsiTheme="minorHAnsi" w:cstheme="minorBidi"/>
              <w:b w:val="0"/>
              <w:bCs w:val="0"/>
              <w:caps w:val="0"/>
              <w:lang w:eastAsia="en-AU"/>
            </w:rPr>
          </w:pPr>
          <w:hyperlink w:anchor="_Toc453065235" w:history="1">
            <w:r w:rsidR="00BF35BC" w:rsidRPr="00604235">
              <w:rPr>
                <w:rStyle w:val="Hyperlink"/>
              </w:rPr>
              <w:t>List of Abbreviations</w:t>
            </w:r>
            <w:r w:rsidR="00BF35BC">
              <w:rPr>
                <w:webHidden/>
              </w:rPr>
              <w:tab/>
            </w:r>
            <w:r w:rsidR="00BF35BC">
              <w:rPr>
                <w:webHidden/>
              </w:rPr>
              <w:fldChar w:fldCharType="begin"/>
            </w:r>
            <w:r w:rsidR="00BF35BC">
              <w:rPr>
                <w:webHidden/>
              </w:rPr>
              <w:instrText xml:space="preserve"> PAGEREF _Toc453065235 \h </w:instrText>
            </w:r>
            <w:r w:rsidR="00BF35BC">
              <w:rPr>
                <w:webHidden/>
              </w:rPr>
            </w:r>
            <w:r w:rsidR="00BF35BC">
              <w:rPr>
                <w:webHidden/>
              </w:rPr>
              <w:fldChar w:fldCharType="separate"/>
            </w:r>
            <w:r w:rsidR="00A456ED">
              <w:rPr>
                <w:webHidden/>
              </w:rPr>
              <w:t>xxii</w:t>
            </w:r>
            <w:r w:rsidR="00BF35BC">
              <w:rPr>
                <w:webHidden/>
              </w:rPr>
              <w:fldChar w:fldCharType="end"/>
            </w:r>
          </w:hyperlink>
        </w:p>
        <w:p w14:paraId="05DF85AB" w14:textId="17271620" w:rsidR="00BF35BC" w:rsidRDefault="00B76E8C" w:rsidP="00BF35BC">
          <w:pPr>
            <w:pStyle w:val="TOC1"/>
            <w:ind w:left="992" w:hanging="992"/>
            <w:rPr>
              <w:rFonts w:asciiTheme="minorHAnsi" w:hAnsiTheme="minorHAnsi" w:cstheme="minorBidi"/>
              <w:b w:val="0"/>
              <w:bCs w:val="0"/>
              <w:caps w:val="0"/>
              <w:lang w:eastAsia="en-AU"/>
            </w:rPr>
          </w:pPr>
          <w:hyperlink w:anchor="_Toc453065236" w:history="1">
            <w:r w:rsidR="00BF35BC" w:rsidRPr="00604235">
              <w:rPr>
                <w:rStyle w:val="Hyperlink"/>
              </w:rPr>
              <w:t>A.</w:t>
            </w:r>
            <w:r w:rsidR="00BF35BC">
              <w:rPr>
                <w:rFonts w:asciiTheme="minorHAnsi" w:hAnsiTheme="minorHAnsi" w:cstheme="minorBidi"/>
                <w:b w:val="0"/>
                <w:bCs w:val="0"/>
                <w:caps w:val="0"/>
                <w:lang w:eastAsia="en-AU"/>
              </w:rPr>
              <w:tab/>
            </w:r>
            <w:r w:rsidR="00BF35BC" w:rsidRPr="00604235">
              <w:rPr>
                <w:rStyle w:val="Hyperlink"/>
              </w:rPr>
              <w:t>Details of the Proposed Service and its intended use on the MBS</w:t>
            </w:r>
            <w:r w:rsidR="00BF35BC">
              <w:rPr>
                <w:webHidden/>
              </w:rPr>
              <w:tab/>
            </w:r>
            <w:r w:rsidR="00BF35BC">
              <w:rPr>
                <w:webHidden/>
              </w:rPr>
              <w:fldChar w:fldCharType="begin"/>
            </w:r>
            <w:r w:rsidR="00BF35BC">
              <w:rPr>
                <w:webHidden/>
              </w:rPr>
              <w:instrText xml:space="preserve"> PAGEREF _Toc453065236 \h </w:instrText>
            </w:r>
            <w:r w:rsidR="00BF35BC">
              <w:rPr>
                <w:webHidden/>
              </w:rPr>
            </w:r>
            <w:r w:rsidR="00BF35BC">
              <w:rPr>
                <w:webHidden/>
              </w:rPr>
              <w:fldChar w:fldCharType="separate"/>
            </w:r>
            <w:r w:rsidR="00A456ED">
              <w:rPr>
                <w:webHidden/>
              </w:rPr>
              <w:t>1</w:t>
            </w:r>
            <w:r w:rsidR="00BF35BC">
              <w:rPr>
                <w:webHidden/>
              </w:rPr>
              <w:fldChar w:fldCharType="end"/>
            </w:r>
          </w:hyperlink>
        </w:p>
        <w:p w14:paraId="6B17B288" w14:textId="7C877C5D" w:rsidR="00BF35BC" w:rsidRDefault="00B76E8C" w:rsidP="00BF35BC">
          <w:pPr>
            <w:pStyle w:val="TOC2"/>
            <w:ind w:right="0" w:hanging="992"/>
            <w:rPr>
              <w:rFonts w:asciiTheme="minorHAnsi" w:hAnsiTheme="minorHAnsi" w:cstheme="minorBidi"/>
              <w:smallCaps w:val="0"/>
              <w:lang w:eastAsia="en-AU"/>
            </w:rPr>
          </w:pPr>
          <w:hyperlink w:anchor="_Toc453065237" w:history="1">
            <w:r w:rsidR="00BF35BC" w:rsidRPr="00604235">
              <w:rPr>
                <w:rStyle w:val="Hyperlink"/>
              </w:rPr>
              <w:t>A.1</w:t>
            </w:r>
            <w:r w:rsidR="00BF35BC">
              <w:rPr>
                <w:rFonts w:asciiTheme="minorHAnsi" w:hAnsiTheme="minorHAnsi" w:cstheme="minorBidi"/>
                <w:smallCaps w:val="0"/>
                <w:lang w:eastAsia="en-AU"/>
              </w:rPr>
              <w:tab/>
            </w:r>
            <w:r w:rsidR="00BF35BC" w:rsidRPr="00604235">
              <w:rPr>
                <w:rStyle w:val="Hyperlink"/>
              </w:rPr>
              <w:t>Background</w:t>
            </w:r>
            <w:r w:rsidR="00BF35BC">
              <w:rPr>
                <w:webHidden/>
              </w:rPr>
              <w:tab/>
            </w:r>
            <w:r w:rsidR="00BF35BC">
              <w:rPr>
                <w:webHidden/>
              </w:rPr>
              <w:fldChar w:fldCharType="begin"/>
            </w:r>
            <w:r w:rsidR="00BF35BC">
              <w:rPr>
                <w:webHidden/>
              </w:rPr>
              <w:instrText xml:space="preserve"> PAGEREF _Toc453065237 \h </w:instrText>
            </w:r>
            <w:r w:rsidR="00BF35BC">
              <w:rPr>
                <w:webHidden/>
              </w:rPr>
            </w:r>
            <w:r w:rsidR="00BF35BC">
              <w:rPr>
                <w:webHidden/>
              </w:rPr>
              <w:fldChar w:fldCharType="separate"/>
            </w:r>
            <w:r w:rsidR="00A456ED">
              <w:rPr>
                <w:webHidden/>
              </w:rPr>
              <w:t>1</w:t>
            </w:r>
            <w:r w:rsidR="00BF35BC">
              <w:rPr>
                <w:webHidden/>
              </w:rPr>
              <w:fldChar w:fldCharType="end"/>
            </w:r>
          </w:hyperlink>
        </w:p>
        <w:p w14:paraId="0728FB34" w14:textId="43A7132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38" w:history="1">
            <w:r w:rsidR="00BF35BC" w:rsidRPr="00604235">
              <w:rPr>
                <w:rStyle w:val="Hyperlink"/>
                <w:noProof/>
              </w:rPr>
              <w:t>A.1.1</w:t>
            </w:r>
            <w:r w:rsidR="00BF35BC">
              <w:rPr>
                <w:rFonts w:asciiTheme="minorHAnsi" w:hAnsiTheme="minorHAnsi" w:cstheme="minorBidi"/>
                <w:i w:val="0"/>
                <w:iCs w:val="0"/>
                <w:noProof/>
                <w:sz w:val="22"/>
                <w:szCs w:val="22"/>
                <w:lang w:eastAsia="en-AU"/>
              </w:rPr>
              <w:tab/>
            </w:r>
            <w:r w:rsidR="00BF35BC" w:rsidRPr="00604235">
              <w:rPr>
                <w:rStyle w:val="Hyperlink"/>
                <w:noProof/>
              </w:rPr>
              <w:t>Submission history</w:t>
            </w:r>
            <w:r w:rsidR="00BF35BC">
              <w:rPr>
                <w:noProof/>
                <w:webHidden/>
              </w:rPr>
              <w:tab/>
            </w:r>
            <w:r w:rsidR="00BF35BC">
              <w:rPr>
                <w:noProof/>
                <w:webHidden/>
              </w:rPr>
              <w:fldChar w:fldCharType="begin"/>
            </w:r>
            <w:r w:rsidR="00BF35BC">
              <w:rPr>
                <w:noProof/>
                <w:webHidden/>
              </w:rPr>
              <w:instrText xml:space="preserve"> PAGEREF _Toc453065238 \h </w:instrText>
            </w:r>
            <w:r w:rsidR="00BF35BC">
              <w:rPr>
                <w:noProof/>
                <w:webHidden/>
              </w:rPr>
            </w:r>
            <w:r w:rsidR="00BF35BC">
              <w:rPr>
                <w:noProof/>
                <w:webHidden/>
              </w:rPr>
              <w:fldChar w:fldCharType="separate"/>
            </w:r>
            <w:r w:rsidR="00A456ED">
              <w:rPr>
                <w:noProof/>
                <w:webHidden/>
              </w:rPr>
              <w:t>1</w:t>
            </w:r>
            <w:r w:rsidR="00BF35BC">
              <w:rPr>
                <w:noProof/>
                <w:webHidden/>
              </w:rPr>
              <w:fldChar w:fldCharType="end"/>
            </w:r>
          </w:hyperlink>
        </w:p>
        <w:p w14:paraId="4A39ADAA" w14:textId="46682604"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39" w:history="1">
            <w:r w:rsidR="00BF35BC" w:rsidRPr="00604235">
              <w:rPr>
                <w:rStyle w:val="Hyperlink"/>
                <w:noProof/>
              </w:rPr>
              <w:t>A.1.2</w:t>
            </w:r>
            <w:r w:rsidR="00BF35BC">
              <w:rPr>
                <w:rFonts w:asciiTheme="minorHAnsi" w:hAnsiTheme="minorHAnsi" w:cstheme="minorBidi"/>
                <w:i w:val="0"/>
                <w:iCs w:val="0"/>
                <w:noProof/>
                <w:sz w:val="22"/>
                <w:szCs w:val="22"/>
                <w:lang w:eastAsia="en-AU"/>
              </w:rPr>
              <w:tab/>
            </w:r>
            <w:r w:rsidR="00BF35BC" w:rsidRPr="00604235">
              <w:rPr>
                <w:rStyle w:val="Hyperlink"/>
                <w:noProof/>
              </w:rPr>
              <w:t>Clinical overview</w:t>
            </w:r>
            <w:r w:rsidR="00BF35BC">
              <w:rPr>
                <w:noProof/>
                <w:webHidden/>
              </w:rPr>
              <w:tab/>
            </w:r>
            <w:r w:rsidR="00BF35BC">
              <w:rPr>
                <w:noProof/>
                <w:webHidden/>
              </w:rPr>
              <w:fldChar w:fldCharType="begin"/>
            </w:r>
            <w:r w:rsidR="00BF35BC">
              <w:rPr>
                <w:noProof/>
                <w:webHidden/>
              </w:rPr>
              <w:instrText xml:space="preserve"> PAGEREF _Toc453065239 \h </w:instrText>
            </w:r>
            <w:r w:rsidR="00BF35BC">
              <w:rPr>
                <w:noProof/>
                <w:webHidden/>
              </w:rPr>
            </w:r>
            <w:r w:rsidR="00BF35BC">
              <w:rPr>
                <w:noProof/>
                <w:webHidden/>
              </w:rPr>
              <w:fldChar w:fldCharType="separate"/>
            </w:r>
            <w:r w:rsidR="00A456ED">
              <w:rPr>
                <w:noProof/>
                <w:webHidden/>
              </w:rPr>
              <w:t>4</w:t>
            </w:r>
            <w:r w:rsidR="00BF35BC">
              <w:rPr>
                <w:noProof/>
                <w:webHidden/>
              </w:rPr>
              <w:fldChar w:fldCharType="end"/>
            </w:r>
          </w:hyperlink>
        </w:p>
        <w:p w14:paraId="21C8404E" w14:textId="7117CBFD"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40" w:history="1">
            <w:r w:rsidR="00BF35BC" w:rsidRPr="00604235">
              <w:rPr>
                <w:rStyle w:val="Hyperlink"/>
                <w:noProof/>
              </w:rPr>
              <w:t>A.1.3</w:t>
            </w:r>
            <w:r w:rsidR="00BF35BC">
              <w:rPr>
                <w:rFonts w:asciiTheme="minorHAnsi" w:hAnsiTheme="minorHAnsi" w:cstheme="minorBidi"/>
                <w:i w:val="0"/>
                <w:iCs w:val="0"/>
                <w:noProof/>
                <w:sz w:val="22"/>
                <w:szCs w:val="22"/>
                <w:lang w:eastAsia="en-AU"/>
              </w:rPr>
              <w:tab/>
            </w:r>
            <w:r w:rsidR="00BF35BC" w:rsidRPr="00604235">
              <w:rPr>
                <w:rStyle w:val="Hyperlink"/>
                <w:noProof/>
              </w:rPr>
              <w:t>Description of the service</w:t>
            </w:r>
            <w:r w:rsidR="00BF35BC">
              <w:rPr>
                <w:noProof/>
                <w:webHidden/>
              </w:rPr>
              <w:tab/>
            </w:r>
            <w:r w:rsidR="00BF35BC">
              <w:rPr>
                <w:noProof/>
                <w:webHidden/>
              </w:rPr>
              <w:fldChar w:fldCharType="begin"/>
            </w:r>
            <w:r w:rsidR="00BF35BC">
              <w:rPr>
                <w:noProof/>
                <w:webHidden/>
              </w:rPr>
              <w:instrText xml:space="preserve"> PAGEREF _Toc453065240 \h </w:instrText>
            </w:r>
            <w:r w:rsidR="00BF35BC">
              <w:rPr>
                <w:noProof/>
                <w:webHidden/>
              </w:rPr>
            </w:r>
            <w:r w:rsidR="00BF35BC">
              <w:rPr>
                <w:noProof/>
                <w:webHidden/>
              </w:rPr>
              <w:fldChar w:fldCharType="separate"/>
            </w:r>
            <w:r w:rsidR="00A456ED">
              <w:rPr>
                <w:noProof/>
                <w:webHidden/>
              </w:rPr>
              <w:t>7</w:t>
            </w:r>
            <w:r w:rsidR="00BF35BC">
              <w:rPr>
                <w:noProof/>
                <w:webHidden/>
              </w:rPr>
              <w:fldChar w:fldCharType="end"/>
            </w:r>
          </w:hyperlink>
        </w:p>
        <w:p w14:paraId="1A57B93E" w14:textId="5AB767DA" w:rsidR="00BF35BC" w:rsidRDefault="00B76E8C" w:rsidP="00BF35BC">
          <w:pPr>
            <w:pStyle w:val="TOC2"/>
            <w:ind w:right="0" w:hanging="992"/>
            <w:rPr>
              <w:rFonts w:asciiTheme="minorHAnsi" w:hAnsiTheme="minorHAnsi" w:cstheme="minorBidi"/>
              <w:smallCaps w:val="0"/>
              <w:lang w:eastAsia="en-AU"/>
            </w:rPr>
          </w:pPr>
          <w:hyperlink w:anchor="_Toc453065241" w:history="1">
            <w:r w:rsidR="00BF35BC" w:rsidRPr="00604235">
              <w:rPr>
                <w:rStyle w:val="Hyperlink"/>
              </w:rPr>
              <w:t>A.2</w:t>
            </w:r>
            <w:r w:rsidR="00BF35BC">
              <w:rPr>
                <w:rFonts w:asciiTheme="minorHAnsi" w:hAnsiTheme="minorHAnsi" w:cstheme="minorBidi"/>
                <w:smallCaps w:val="0"/>
                <w:lang w:eastAsia="en-AU"/>
              </w:rPr>
              <w:tab/>
            </w:r>
            <w:r w:rsidR="00BF35BC" w:rsidRPr="00604235">
              <w:rPr>
                <w:rStyle w:val="Hyperlink"/>
              </w:rPr>
              <w:t>Indications and requested restrictions</w:t>
            </w:r>
            <w:r w:rsidR="00BF35BC">
              <w:rPr>
                <w:webHidden/>
              </w:rPr>
              <w:tab/>
            </w:r>
            <w:r w:rsidR="00BF35BC">
              <w:rPr>
                <w:webHidden/>
              </w:rPr>
              <w:fldChar w:fldCharType="begin"/>
            </w:r>
            <w:r w:rsidR="00BF35BC">
              <w:rPr>
                <w:webHidden/>
              </w:rPr>
              <w:instrText xml:space="preserve"> PAGEREF _Toc453065241 \h </w:instrText>
            </w:r>
            <w:r w:rsidR="00BF35BC">
              <w:rPr>
                <w:webHidden/>
              </w:rPr>
            </w:r>
            <w:r w:rsidR="00BF35BC">
              <w:rPr>
                <w:webHidden/>
              </w:rPr>
              <w:fldChar w:fldCharType="separate"/>
            </w:r>
            <w:r w:rsidR="00A456ED">
              <w:rPr>
                <w:webHidden/>
              </w:rPr>
              <w:t>10</w:t>
            </w:r>
            <w:r w:rsidR="00BF35BC">
              <w:rPr>
                <w:webHidden/>
              </w:rPr>
              <w:fldChar w:fldCharType="end"/>
            </w:r>
          </w:hyperlink>
        </w:p>
        <w:p w14:paraId="326A4F40" w14:textId="39B61488"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42" w:history="1">
            <w:r w:rsidR="00BF35BC" w:rsidRPr="00604235">
              <w:rPr>
                <w:rStyle w:val="Hyperlink"/>
                <w:noProof/>
              </w:rPr>
              <w:t>A.2.1</w:t>
            </w:r>
            <w:r w:rsidR="00BF35BC">
              <w:rPr>
                <w:rFonts w:asciiTheme="minorHAnsi" w:hAnsiTheme="minorHAnsi" w:cstheme="minorBidi"/>
                <w:i w:val="0"/>
                <w:iCs w:val="0"/>
                <w:noProof/>
                <w:sz w:val="22"/>
                <w:szCs w:val="22"/>
                <w:lang w:eastAsia="en-AU"/>
              </w:rPr>
              <w:tab/>
            </w:r>
            <w:r w:rsidR="00BF35BC" w:rsidRPr="00604235">
              <w:rPr>
                <w:rStyle w:val="Hyperlink"/>
                <w:noProof/>
              </w:rPr>
              <w:t>Regulatory status</w:t>
            </w:r>
            <w:r w:rsidR="00BF35BC">
              <w:rPr>
                <w:noProof/>
                <w:webHidden/>
              </w:rPr>
              <w:tab/>
            </w:r>
            <w:r w:rsidR="00BF35BC">
              <w:rPr>
                <w:noProof/>
                <w:webHidden/>
              </w:rPr>
              <w:fldChar w:fldCharType="begin"/>
            </w:r>
            <w:r w:rsidR="00BF35BC">
              <w:rPr>
                <w:noProof/>
                <w:webHidden/>
              </w:rPr>
              <w:instrText xml:space="preserve"> PAGEREF _Toc453065242 \h </w:instrText>
            </w:r>
            <w:r w:rsidR="00BF35BC">
              <w:rPr>
                <w:noProof/>
                <w:webHidden/>
              </w:rPr>
            </w:r>
            <w:r w:rsidR="00BF35BC">
              <w:rPr>
                <w:noProof/>
                <w:webHidden/>
              </w:rPr>
              <w:fldChar w:fldCharType="separate"/>
            </w:r>
            <w:r w:rsidR="00A456ED">
              <w:rPr>
                <w:noProof/>
                <w:webHidden/>
              </w:rPr>
              <w:t>10</w:t>
            </w:r>
            <w:r w:rsidR="00BF35BC">
              <w:rPr>
                <w:noProof/>
                <w:webHidden/>
              </w:rPr>
              <w:fldChar w:fldCharType="end"/>
            </w:r>
          </w:hyperlink>
        </w:p>
        <w:p w14:paraId="336F07EB" w14:textId="0E200000"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43" w:history="1">
            <w:r w:rsidR="00BF35BC" w:rsidRPr="00604235">
              <w:rPr>
                <w:rStyle w:val="Hyperlink"/>
                <w:noProof/>
              </w:rPr>
              <w:t>A.2.2</w:t>
            </w:r>
            <w:r w:rsidR="00BF35BC">
              <w:rPr>
                <w:rFonts w:asciiTheme="minorHAnsi" w:hAnsiTheme="minorHAnsi" w:cstheme="minorBidi"/>
                <w:i w:val="0"/>
                <w:iCs w:val="0"/>
                <w:noProof/>
                <w:sz w:val="22"/>
                <w:szCs w:val="22"/>
                <w:lang w:eastAsia="en-AU"/>
              </w:rPr>
              <w:tab/>
            </w:r>
            <w:r w:rsidR="00BF35BC" w:rsidRPr="00604235">
              <w:rPr>
                <w:rStyle w:val="Hyperlink"/>
                <w:noProof/>
              </w:rPr>
              <w:t>Existing reimbursement arrangements</w:t>
            </w:r>
            <w:r w:rsidR="00BF35BC">
              <w:rPr>
                <w:noProof/>
                <w:webHidden/>
              </w:rPr>
              <w:tab/>
            </w:r>
            <w:r w:rsidR="00BF35BC">
              <w:rPr>
                <w:noProof/>
                <w:webHidden/>
              </w:rPr>
              <w:fldChar w:fldCharType="begin"/>
            </w:r>
            <w:r w:rsidR="00BF35BC">
              <w:rPr>
                <w:noProof/>
                <w:webHidden/>
              </w:rPr>
              <w:instrText xml:space="preserve"> PAGEREF _Toc453065243 \h </w:instrText>
            </w:r>
            <w:r w:rsidR="00BF35BC">
              <w:rPr>
                <w:noProof/>
                <w:webHidden/>
              </w:rPr>
            </w:r>
            <w:r w:rsidR="00BF35BC">
              <w:rPr>
                <w:noProof/>
                <w:webHidden/>
              </w:rPr>
              <w:fldChar w:fldCharType="separate"/>
            </w:r>
            <w:r w:rsidR="00A456ED">
              <w:rPr>
                <w:noProof/>
                <w:webHidden/>
              </w:rPr>
              <w:t>13</w:t>
            </w:r>
            <w:r w:rsidR="00BF35BC">
              <w:rPr>
                <w:noProof/>
                <w:webHidden/>
              </w:rPr>
              <w:fldChar w:fldCharType="end"/>
            </w:r>
          </w:hyperlink>
        </w:p>
        <w:p w14:paraId="458F88A7" w14:textId="0A8D688E"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44" w:history="1">
            <w:r w:rsidR="00BF35BC" w:rsidRPr="00604235">
              <w:rPr>
                <w:rStyle w:val="Hyperlink"/>
                <w:noProof/>
              </w:rPr>
              <w:t>A.2.3</w:t>
            </w:r>
            <w:r w:rsidR="00BF35BC">
              <w:rPr>
                <w:rFonts w:asciiTheme="minorHAnsi" w:hAnsiTheme="minorHAnsi" w:cstheme="minorBidi"/>
                <w:i w:val="0"/>
                <w:iCs w:val="0"/>
                <w:noProof/>
                <w:sz w:val="22"/>
                <w:szCs w:val="22"/>
                <w:lang w:eastAsia="en-AU"/>
              </w:rPr>
              <w:tab/>
            </w:r>
            <w:r w:rsidR="00BF35BC" w:rsidRPr="00604235">
              <w:rPr>
                <w:rStyle w:val="Hyperlink"/>
                <w:noProof/>
              </w:rPr>
              <w:t>Proposed listing of service</w:t>
            </w:r>
            <w:r w:rsidR="00BF35BC">
              <w:rPr>
                <w:noProof/>
                <w:webHidden/>
              </w:rPr>
              <w:tab/>
            </w:r>
            <w:r w:rsidR="00BF35BC">
              <w:rPr>
                <w:noProof/>
                <w:webHidden/>
              </w:rPr>
              <w:fldChar w:fldCharType="begin"/>
            </w:r>
            <w:r w:rsidR="00BF35BC">
              <w:rPr>
                <w:noProof/>
                <w:webHidden/>
              </w:rPr>
              <w:instrText xml:space="preserve"> PAGEREF _Toc453065244 \h </w:instrText>
            </w:r>
            <w:r w:rsidR="00BF35BC">
              <w:rPr>
                <w:noProof/>
                <w:webHidden/>
              </w:rPr>
            </w:r>
            <w:r w:rsidR="00BF35BC">
              <w:rPr>
                <w:noProof/>
                <w:webHidden/>
              </w:rPr>
              <w:fldChar w:fldCharType="separate"/>
            </w:r>
            <w:r w:rsidR="00A456ED">
              <w:rPr>
                <w:noProof/>
                <w:webHidden/>
              </w:rPr>
              <w:t>13</w:t>
            </w:r>
            <w:r w:rsidR="00BF35BC">
              <w:rPr>
                <w:noProof/>
                <w:webHidden/>
              </w:rPr>
              <w:fldChar w:fldCharType="end"/>
            </w:r>
          </w:hyperlink>
        </w:p>
        <w:p w14:paraId="2E7A570B" w14:textId="46AC232D" w:rsidR="00BF35BC" w:rsidRDefault="00B76E8C" w:rsidP="00BF35BC">
          <w:pPr>
            <w:pStyle w:val="TOC2"/>
            <w:ind w:right="0" w:hanging="992"/>
            <w:rPr>
              <w:rFonts w:asciiTheme="minorHAnsi" w:hAnsiTheme="minorHAnsi" w:cstheme="minorBidi"/>
              <w:smallCaps w:val="0"/>
              <w:lang w:eastAsia="en-AU"/>
            </w:rPr>
          </w:pPr>
          <w:hyperlink w:anchor="_Toc453065245" w:history="1">
            <w:r w:rsidR="00BF35BC" w:rsidRPr="00604235">
              <w:rPr>
                <w:rStyle w:val="Hyperlink"/>
              </w:rPr>
              <w:t>A.3</w:t>
            </w:r>
            <w:r w:rsidR="00BF35BC">
              <w:rPr>
                <w:rFonts w:asciiTheme="minorHAnsi" w:hAnsiTheme="minorHAnsi" w:cstheme="minorBidi"/>
                <w:smallCaps w:val="0"/>
                <w:lang w:eastAsia="en-AU"/>
              </w:rPr>
              <w:tab/>
            </w:r>
            <w:r w:rsidR="00BF35BC" w:rsidRPr="00604235">
              <w:rPr>
                <w:rStyle w:val="Hyperlink"/>
              </w:rPr>
              <w:t>Intervention details</w:t>
            </w:r>
            <w:r w:rsidR="00BF35BC">
              <w:rPr>
                <w:webHidden/>
              </w:rPr>
              <w:tab/>
            </w:r>
            <w:r w:rsidR="00BF35BC">
              <w:rPr>
                <w:webHidden/>
              </w:rPr>
              <w:fldChar w:fldCharType="begin"/>
            </w:r>
            <w:r w:rsidR="00BF35BC">
              <w:rPr>
                <w:webHidden/>
              </w:rPr>
              <w:instrText xml:space="preserve"> PAGEREF _Toc453065245 \h </w:instrText>
            </w:r>
            <w:r w:rsidR="00BF35BC">
              <w:rPr>
                <w:webHidden/>
              </w:rPr>
            </w:r>
            <w:r w:rsidR="00BF35BC">
              <w:rPr>
                <w:webHidden/>
              </w:rPr>
              <w:fldChar w:fldCharType="separate"/>
            </w:r>
            <w:r w:rsidR="00A456ED">
              <w:rPr>
                <w:webHidden/>
              </w:rPr>
              <w:t>14</w:t>
            </w:r>
            <w:r w:rsidR="00BF35BC">
              <w:rPr>
                <w:webHidden/>
              </w:rPr>
              <w:fldChar w:fldCharType="end"/>
            </w:r>
          </w:hyperlink>
        </w:p>
        <w:p w14:paraId="266A1BD0" w14:textId="0AC92A37"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46" w:history="1">
            <w:r w:rsidR="00BF35BC" w:rsidRPr="00604235">
              <w:rPr>
                <w:rStyle w:val="Hyperlink"/>
                <w:noProof/>
              </w:rPr>
              <w:t>A.3.1</w:t>
            </w:r>
            <w:r w:rsidR="00BF35BC">
              <w:rPr>
                <w:rFonts w:asciiTheme="minorHAnsi" w:hAnsiTheme="minorHAnsi" w:cstheme="minorBidi"/>
                <w:i w:val="0"/>
                <w:iCs w:val="0"/>
                <w:noProof/>
                <w:sz w:val="22"/>
                <w:szCs w:val="22"/>
                <w:lang w:eastAsia="en-AU"/>
              </w:rPr>
              <w:tab/>
            </w:r>
            <w:r w:rsidR="00BF35BC" w:rsidRPr="00604235">
              <w:rPr>
                <w:rStyle w:val="Hyperlink"/>
                <w:noProof/>
              </w:rPr>
              <w:t>Delivery of the intervention</w:t>
            </w:r>
            <w:r w:rsidR="00BF35BC">
              <w:rPr>
                <w:noProof/>
                <w:webHidden/>
              </w:rPr>
              <w:tab/>
            </w:r>
            <w:r w:rsidR="00BF35BC">
              <w:rPr>
                <w:noProof/>
                <w:webHidden/>
              </w:rPr>
              <w:fldChar w:fldCharType="begin"/>
            </w:r>
            <w:r w:rsidR="00BF35BC">
              <w:rPr>
                <w:noProof/>
                <w:webHidden/>
              </w:rPr>
              <w:instrText xml:space="preserve"> PAGEREF _Toc453065246 \h </w:instrText>
            </w:r>
            <w:r w:rsidR="00BF35BC">
              <w:rPr>
                <w:noProof/>
                <w:webHidden/>
              </w:rPr>
            </w:r>
            <w:r w:rsidR="00BF35BC">
              <w:rPr>
                <w:noProof/>
                <w:webHidden/>
              </w:rPr>
              <w:fldChar w:fldCharType="separate"/>
            </w:r>
            <w:r w:rsidR="00A456ED">
              <w:rPr>
                <w:noProof/>
                <w:webHidden/>
              </w:rPr>
              <w:t>14</w:t>
            </w:r>
            <w:r w:rsidR="00BF35BC">
              <w:rPr>
                <w:noProof/>
                <w:webHidden/>
              </w:rPr>
              <w:fldChar w:fldCharType="end"/>
            </w:r>
          </w:hyperlink>
        </w:p>
        <w:p w14:paraId="4FB9B3BB" w14:textId="600F1A31"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47" w:history="1">
            <w:r w:rsidR="00BF35BC" w:rsidRPr="00604235">
              <w:rPr>
                <w:rStyle w:val="Hyperlink"/>
                <w:noProof/>
              </w:rPr>
              <w:t>A.3.2</w:t>
            </w:r>
            <w:r w:rsidR="00BF35BC">
              <w:rPr>
                <w:rFonts w:asciiTheme="minorHAnsi" w:hAnsiTheme="minorHAnsi" w:cstheme="minorBidi"/>
                <w:i w:val="0"/>
                <w:iCs w:val="0"/>
                <w:noProof/>
                <w:sz w:val="22"/>
                <w:szCs w:val="22"/>
                <w:lang w:eastAsia="en-AU"/>
              </w:rPr>
              <w:tab/>
            </w:r>
            <w:r w:rsidR="00BF35BC" w:rsidRPr="00604235">
              <w:rPr>
                <w:rStyle w:val="Hyperlink"/>
                <w:noProof/>
              </w:rPr>
              <w:t>Other healthcare resources</w:t>
            </w:r>
            <w:r w:rsidR="00BF35BC">
              <w:rPr>
                <w:noProof/>
                <w:webHidden/>
              </w:rPr>
              <w:tab/>
            </w:r>
            <w:r w:rsidR="00BF35BC">
              <w:rPr>
                <w:noProof/>
                <w:webHidden/>
              </w:rPr>
              <w:fldChar w:fldCharType="begin"/>
            </w:r>
            <w:r w:rsidR="00BF35BC">
              <w:rPr>
                <w:noProof/>
                <w:webHidden/>
              </w:rPr>
              <w:instrText xml:space="preserve"> PAGEREF _Toc453065247 \h </w:instrText>
            </w:r>
            <w:r w:rsidR="00BF35BC">
              <w:rPr>
                <w:noProof/>
                <w:webHidden/>
              </w:rPr>
            </w:r>
            <w:r w:rsidR="00BF35BC">
              <w:rPr>
                <w:noProof/>
                <w:webHidden/>
              </w:rPr>
              <w:fldChar w:fldCharType="separate"/>
            </w:r>
            <w:r w:rsidR="00A456ED">
              <w:rPr>
                <w:noProof/>
                <w:webHidden/>
              </w:rPr>
              <w:t>17</w:t>
            </w:r>
            <w:r w:rsidR="00BF35BC">
              <w:rPr>
                <w:noProof/>
                <w:webHidden/>
              </w:rPr>
              <w:fldChar w:fldCharType="end"/>
            </w:r>
          </w:hyperlink>
        </w:p>
        <w:p w14:paraId="2230FD7A" w14:textId="69E28FD5" w:rsidR="00BF35BC" w:rsidRDefault="00B76E8C" w:rsidP="00BF35BC">
          <w:pPr>
            <w:pStyle w:val="TOC2"/>
            <w:ind w:right="0" w:hanging="992"/>
            <w:rPr>
              <w:rFonts w:asciiTheme="minorHAnsi" w:hAnsiTheme="minorHAnsi" w:cstheme="minorBidi"/>
              <w:smallCaps w:val="0"/>
              <w:lang w:eastAsia="en-AU"/>
            </w:rPr>
          </w:pPr>
          <w:hyperlink w:anchor="_Toc453065248" w:history="1">
            <w:r w:rsidR="00BF35BC" w:rsidRPr="00604235">
              <w:rPr>
                <w:rStyle w:val="Hyperlink"/>
              </w:rPr>
              <w:t>A.4</w:t>
            </w:r>
            <w:r w:rsidR="00BF35BC">
              <w:rPr>
                <w:rFonts w:asciiTheme="minorHAnsi" w:hAnsiTheme="minorHAnsi" w:cstheme="minorBidi"/>
                <w:smallCaps w:val="0"/>
                <w:lang w:eastAsia="en-AU"/>
              </w:rPr>
              <w:tab/>
            </w:r>
            <w:r w:rsidR="00BF35BC" w:rsidRPr="00604235">
              <w:rPr>
                <w:rStyle w:val="Hyperlink"/>
              </w:rPr>
              <w:t>Main comparator</w:t>
            </w:r>
            <w:r w:rsidR="00BF35BC">
              <w:rPr>
                <w:webHidden/>
              </w:rPr>
              <w:tab/>
            </w:r>
            <w:r w:rsidR="00BF35BC">
              <w:rPr>
                <w:webHidden/>
              </w:rPr>
              <w:fldChar w:fldCharType="begin"/>
            </w:r>
            <w:r w:rsidR="00BF35BC">
              <w:rPr>
                <w:webHidden/>
              </w:rPr>
              <w:instrText xml:space="preserve"> PAGEREF _Toc453065248 \h </w:instrText>
            </w:r>
            <w:r w:rsidR="00BF35BC">
              <w:rPr>
                <w:webHidden/>
              </w:rPr>
            </w:r>
            <w:r w:rsidR="00BF35BC">
              <w:rPr>
                <w:webHidden/>
              </w:rPr>
              <w:fldChar w:fldCharType="separate"/>
            </w:r>
            <w:r w:rsidR="00A456ED">
              <w:rPr>
                <w:webHidden/>
              </w:rPr>
              <w:t>17</w:t>
            </w:r>
            <w:r w:rsidR="00BF35BC">
              <w:rPr>
                <w:webHidden/>
              </w:rPr>
              <w:fldChar w:fldCharType="end"/>
            </w:r>
          </w:hyperlink>
        </w:p>
        <w:p w14:paraId="4C79046A" w14:textId="3AEEA145" w:rsidR="00BF35BC" w:rsidRDefault="00B76E8C" w:rsidP="00BF35BC">
          <w:pPr>
            <w:pStyle w:val="TOC2"/>
            <w:ind w:right="0" w:hanging="992"/>
            <w:rPr>
              <w:rFonts w:asciiTheme="minorHAnsi" w:hAnsiTheme="minorHAnsi" w:cstheme="minorBidi"/>
              <w:smallCaps w:val="0"/>
              <w:lang w:eastAsia="en-AU"/>
            </w:rPr>
          </w:pPr>
          <w:hyperlink w:anchor="_Toc453065249" w:history="1">
            <w:r w:rsidR="00BF35BC" w:rsidRPr="00604235">
              <w:rPr>
                <w:rStyle w:val="Hyperlink"/>
              </w:rPr>
              <w:t>A.5</w:t>
            </w:r>
            <w:r w:rsidR="00BF35BC">
              <w:rPr>
                <w:rFonts w:asciiTheme="minorHAnsi" w:hAnsiTheme="minorHAnsi" w:cstheme="minorBidi"/>
                <w:smallCaps w:val="0"/>
                <w:lang w:eastAsia="en-AU"/>
              </w:rPr>
              <w:tab/>
            </w:r>
            <w:r w:rsidR="00BF35BC" w:rsidRPr="00604235">
              <w:rPr>
                <w:rStyle w:val="Hyperlink"/>
              </w:rPr>
              <w:t>Current and proposed clinical management algorithms</w:t>
            </w:r>
            <w:r w:rsidR="00BF35BC">
              <w:rPr>
                <w:webHidden/>
              </w:rPr>
              <w:tab/>
            </w:r>
            <w:r w:rsidR="00BF35BC">
              <w:rPr>
                <w:webHidden/>
              </w:rPr>
              <w:fldChar w:fldCharType="begin"/>
            </w:r>
            <w:r w:rsidR="00BF35BC">
              <w:rPr>
                <w:webHidden/>
              </w:rPr>
              <w:instrText xml:space="preserve"> PAGEREF _Toc453065249 \h </w:instrText>
            </w:r>
            <w:r w:rsidR="00BF35BC">
              <w:rPr>
                <w:webHidden/>
              </w:rPr>
            </w:r>
            <w:r w:rsidR="00BF35BC">
              <w:rPr>
                <w:webHidden/>
              </w:rPr>
              <w:fldChar w:fldCharType="separate"/>
            </w:r>
            <w:r w:rsidR="00A456ED">
              <w:rPr>
                <w:webHidden/>
              </w:rPr>
              <w:t>18</w:t>
            </w:r>
            <w:r w:rsidR="00BF35BC">
              <w:rPr>
                <w:webHidden/>
              </w:rPr>
              <w:fldChar w:fldCharType="end"/>
            </w:r>
          </w:hyperlink>
        </w:p>
        <w:p w14:paraId="59AB4134" w14:textId="73ECFAD9"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50" w:history="1">
            <w:r w:rsidR="00BF35BC" w:rsidRPr="00604235">
              <w:rPr>
                <w:rStyle w:val="Hyperlink"/>
                <w:noProof/>
              </w:rPr>
              <w:t>A.5.1</w:t>
            </w:r>
            <w:r w:rsidR="00BF35BC">
              <w:rPr>
                <w:rFonts w:asciiTheme="minorHAnsi" w:hAnsiTheme="minorHAnsi" w:cstheme="minorBidi"/>
                <w:i w:val="0"/>
                <w:iCs w:val="0"/>
                <w:noProof/>
                <w:sz w:val="22"/>
                <w:szCs w:val="22"/>
                <w:lang w:eastAsia="en-AU"/>
              </w:rPr>
              <w:tab/>
            </w:r>
            <w:r w:rsidR="00BF35BC" w:rsidRPr="00604235">
              <w:rPr>
                <w:rStyle w:val="Hyperlink"/>
                <w:noProof/>
              </w:rPr>
              <w:t>Summary of clinical practice guidelines and Australian protocols</w:t>
            </w:r>
            <w:r w:rsidR="00BF35BC">
              <w:rPr>
                <w:noProof/>
                <w:webHidden/>
              </w:rPr>
              <w:tab/>
            </w:r>
            <w:r w:rsidR="00BF35BC">
              <w:rPr>
                <w:noProof/>
                <w:webHidden/>
              </w:rPr>
              <w:fldChar w:fldCharType="begin"/>
            </w:r>
            <w:r w:rsidR="00BF35BC">
              <w:rPr>
                <w:noProof/>
                <w:webHidden/>
              </w:rPr>
              <w:instrText xml:space="preserve"> PAGEREF _Toc453065250 \h </w:instrText>
            </w:r>
            <w:r w:rsidR="00BF35BC">
              <w:rPr>
                <w:noProof/>
                <w:webHidden/>
              </w:rPr>
            </w:r>
            <w:r w:rsidR="00BF35BC">
              <w:rPr>
                <w:noProof/>
                <w:webHidden/>
              </w:rPr>
              <w:fldChar w:fldCharType="separate"/>
            </w:r>
            <w:r w:rsidR="00A456ED">
              <w:rPr>
                <w:noProof/>
                <w:webHidden/>
              </w:rPr>
              <w:t>18</w:t>
            </w:r>
            <w:r w:rsidR="00BF35BC">
              <w:rPr>
                <w:noProof/>
                <w:webHidden/>
              </w:rPr>
              <w:fldChar w:fldCharType="end"/>
            </w:r>
          </w:hyperlink>
        </w:p>
        <w:p w14:paraId="19F15AE8" w14:textId="3B3FCE4B"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51" w:history="1">
            <w:r w:rsidR="00BF35BC" w:rsidRPr="00604235">
              <w:rPr>
                <w:rStyle w:val="Hyperlink"/>
                <w:noProof/>
              </w:rPr>
              <w:t>A.5.2</w:t>
            </w:r>
            <w:r w:rsidR="00BF35BC">
              <w:rPr>
                <w:rFonts w:asciiTheme="minorHAnsi" w:hAnsiTheme="minorHAnsi" w:cstheme="minorBidi"/>
                <w:i w:val="0"/>
                <w:iCs w:val="0"/>
                <w:noProof/>
                <w:sz w:val="22"/>
                <w:szCs w:val="22"/>
                <w:lang w:eastAsia="en-AU"/>
              </w:rPr>
              <w:tab/>
            </w:r>
            <w:r w:rsidR="00BF35BC" w:rsidRPr="00604235">
              <w:rPr>
                <w:rStyle w:val="Hyperlink"/>
                <w:noProof/>
              </w:rPr>
              <w:t>Proposed clinical algorithm</w:t>
            </w:r>
            <w:r w:rsidR="00BF35BC">
              <w:rPr>
                <w:noProof/>
                <w:webHidden/>
              </w:rPr>
              <w:tab/>
            </w:r>
            <w:r w:rsidR="00BF35BC">
              <w:rPr>
                <w:noProof/>
                <w:webHidden/>
              </w:rPr>
              <w:fldChar w:fldCharType="begin"/>
            </w:r>
            <w:r w:rsidR="00BF35BC">
              <w:rPr>
                <w:noProof/>
                <w:webHidden/>
              </w:rPr>
              <w:instrText xml:space="preserve"> PAGEREF _Toc453065251 \h </w:instrText>
            </w:r>
            <w:r w:rsidR="00BF35BC">
              <w:rPr>
                <w:noProof/>
                <w:webHidden/>
              </w:rPr>
            </w:r>
            <w:r w:rsidR="00BF35BC">
              <w:rPr>
                <w:noProof/>
                <w:webHidden/>
              </w:rPr>
              <w:fldChar w:fldCharType="separate"/>
            </w:r>
            <w:r w:rsidR="00A456ED">
              <w:rPr>
                <w:noProof/>
                <w:webHidden/>
              </w:rPr>
              <w:t>25</w:t>
            </w:r>
            <w:r w:rsidR="00BF35BC">
              <w:rPr>
                <w:noProof/>
                <w:webHidden/>
              </w:rPr>
              <w:fldChar w:fldCharType="end"/>
            </w:r>
          </w:hyperlink>
        </w:p>
        <w:p w14:paraId="5B394927" w14:textId="58AB53B0" w:rsidR="00BF35BC" w:rsidRDefault="00B76E8C" w:rsidP="00BF35BC">
          <w:pPr>
            <w:pStyle w:val="TOC2"/>
            <w:ind w:right="0" w:hanging="992"/>
            <w:rPr>
              <w:rFonts w:asciiTheme="minorHAnsi" w:hAnsiTheme="minorHAnsi" w:cstheme="minorBidi"/>
              <w:smallCaps w:val="0"/>
              <w:lang w:eastAsia="en-AU"/>
            </w:rPr>
          </w:pPr>
          <w:hyperlink w:anchor="_Toc453065252" w:history="1">
            <w:r w:rsidR="00BF35BC" w:rsidRPr="00604235">
              <w:rPr>
                <w:rStyle w:val="Hyperlink"/>
              </w:rPr>
              <w:t>A.6</w:t>
            </w:r>
            <w:r w:rsidR="00BF35BC">
              <w:rPr>
                <w:rFonts w:asciiTheme="minorHAnsi" w:hAnsiTheme="minorHAnsi" w:cstheme="minorBidi"/>
                <w:smallCaps w:val="0"/>
                <w:lang w:eastAsia="en-AU"/>
              </w:rPr>
              <w:tab/>
            </w:r>
            <w:r w:rsidR="00BF35BC" w:rsidRPr="00604235">
              <w:rPr>
                <w:rStyle w:val="Hyperlink"/>
              </w:rPr>
              <w:t>Differences between the proposed intervention and the main comparator(s)</w:t>
            </w:r>
            <w:r w:rsidR="00BF35BC">
              <w:rPr>
                <w:webHidden/>
              </w:rPr>
              <w:tab/>
            </w:r>
            <w:r w:rsidR="00BF35BC">
              <w:rPr>
                <w:webHidden/>
              </w:rPr>
              <w:fldChar w:fldCharType="begin"/>
            </w:r>
            <w:r w:rsidR="00BF35BC">
              <w:rPr>
                <w:webHidden/>
              </w:rPr>
              <w:instrText xml:space="preserve"> PAGEREF _Toc453065252 \h </w:instrText>
            </w:r>
            <w:r w:rsidR="00BF35BC">
              <w:rPr>
                <w:webHidden/>
              </w:rPr>
            </w:r>
            <w:r w:rsidR="00BF35BC">
              <w:rPr>
                <w:webHidden/>
              </w:rPr>
              <w:fldChar w:fldCharType="separate"/>
            </w:r>
            <w:r w:rsidR="00A456ED">
              <w:rPr>
                <w:webHidden/>
              </w:rPr>
              <w:t>27</w:t>
            </w:r>
            <w:r w:rsidR="00BF35BC">
              <w:rPr>
                <w:webHidden/>
              </w:rPr>
              <w:fldChar w:fldCharType="end"/>
            </w:r>
          </w:hyperlink>
        </w:p>
        <w:p w14:paraId="3FB832F6" w14:textId="55A541B1" w:rsidR="00BF35BC" w:rsidRDefault="00B76E8C" w:rsidP="00BF35BC">
          <w:pPr>
            <w:pStyle w:val="TOC1"/>
            <w:ind w:left="992" w:hanging="992"/>
            <w:rPr>
              <w:rFonts w:asciiTheme="minorHAnsi" w:hAnsiTheme="minorHAnsi" w:cstheme="minorBidi"/>
              <w:b w:val="0"/>
              <w:bCs w:val="0"/>
              <w:caps w:val="0"/>
              <w:lang w:eastAsia="en-AU"/>
            </w:rPr>
          </w:pPr>
          <w:hyperlink w:anchor="_Toc453065253" w:history="1">
            <w:r w:rsidR="00BF35BC" w:rsidRPr="00604235">
              <w:rPr>
                <w:rStyle w:val="Hyperlink"/>
              </w:rPr>
              <w:t>B.</w:t>
            </w:r>
            <w:r w:rsidR="00BF35BC">
              <w:rPr>
                <w:rFonts w:asciiTheme="minorHAnsi" w:hAnsiTheme="minorHAnsi" w:cstheme="minorBidi"/>
                <w:b w:val="0"/>
                <w:bCs w:val="0"/>
                <w:caps w:val="0"/>
                <w:lang w:eastAsia="en-AU"/>
              </w:rPr>
              <w:tab/>
            </w:r>
            <w:r w:rsidR="00BF35BC" w:rsidRPr="00604235">
              <w:rPr>
                <w:rStyle w:val="Hyperlink"/>
              </w:rPr>
              <w:t>Clinical Evaluation for the Main Indication</w:t>
            </w:r>
            <w:r w:rsidR="00BF35BC">
              <w:rPr>
                <w:webHidden/>
              </w:rPr>
              <w:tab/>
            </w:r>
            <w:r w:rsidR="00BF35BC">
              <w:rPr>
                <w:webHidden/>
              </w:rPr>
              <w:fldChar w:fldCharType="begin"/>
            </w:r>
            <w:r w:rsidR="00BF35BC">
              <w:rPr>
                <w:webHidden/>
              </w:rPr>
              <w:instrText xml:space="preserve"> PAGEREF _Toc453065253 \h </w:instrText>
            </w:r>
            <w:r w:rsidR="00BF35BC">
              <w:rPr>
                <w:webHidden/>
              </w:rPr>
            </w:r>
            <w:r w:rsidR="00BF35BC">
              <w:rPr>
                <w:webHidden/>
              </w:rPr>
              <w:fldChar w:fldCharType="separate"/>
            </w:r>
            <w:r w:rsidR="00A456ED">
              <w:rPr>
                <w:webHidden/>
              </w:rPr>
              <w:t>30</w:t>
            </w:r>
            <w:r w:rsidR="00BF35BC">
              <w:rPr>
                <w:webHidden/>
              </w:rPr>
              <w:fldChar w:fldCharType="end"/>
            </w:r>
          </w:hyperlink>
        </w:p>
        <w:p w14:paraId="1887E062" w14:textId="125C9D39" w:rsidR="00BF35BC" w:rsidRDefault="00B76E8C" w:rsidP="00BF35BC">
          <w:pPr>
            <w:pStyle w:val="TOC2"/>
            <w:ind w:right="0" w:hanging="992"/>
            <w:rPr>
              <w:rFonts w:asciiTheme="minorHAnsi" w:hAnsiTheme="minorHAnsi" w:cstheme="minorBidi"/>
              <w:smallCaps w:val="0"/>
              <w:lang w:eastAsia="en-AU"/>
            </w:rPr>
          </w:pPr>
          <w:hyperlink w:anchor="_Toc453065254" w:history="1">
            <w:r w:rsidR="00BF35BC" w:rsidRPr="00604235">
              <w:rPr>
                <w:rStyle w:val="Hyperlink"/>
              </w:rPr>
              <w:t>B.1</w:t>
            </w:r>
            <w:r w:rsidR="00BF35BC">
              <w:rPr>
                <w:rFonts w:asciiTheme="minorHAnsi" w:hAnsiTheme="minorHAnsi" w:cstheme="minorBidi"/>
                <w:smallCaps w:val="0"/>
                <w:lang w:eastAsia="en-AU"/>
              </w:rPr>
              <w:tab/>
            </w:r>
            <w:r w:rsidR="00BF35BC" w:rsidRPr="00604235">
              <w:rPr>
                <w:rStyle w:val="Hyperlink"/>
              </w:rPr>
              <w:t>Description of search strategies</w:t>
            </w:r>
            <w:r w:rsidR="00BF35BC">
              <w:rPr>
                <w:webHidden/>
              </w:rPr>
              <w:tab/>
            </w:r>
            <w:r w:rsidR="00BF35BC">
              <w:rPr>
                <w:webHidden/>
              </w:rPr>
              <w:fldChar w:fldCharType="begin"/>
            </w:r>
            <w:r w:rsidR="00BF35BC">
              <w:rPr>
                <w:webHidden/>
              </w:rPr>
              <w:instrText xml:space="preserve"> PAGEREF _Toc453065254 \h </w:instrText>
            </w:r>
            <w:r w:rsidR="00BF35BC">
              <w:rPr>
                <w:webHidden/>
              </w:rPr>
            </w:r>
            <w:r w:rsidR="00BF35BC">
              <w:rPr>
                <w:webHidden/>
              </w:rPr>
              <w:fldChar w:fldCharType="separate"/>
            </w:r>
            <w:r w:rsidR="00A456ED">
              <w:rPr>
                <w:webHidden/>
              </w:rPr>
              <w:t>31</w:t>
            </w:r>
            <w:r w:rsidR="00BF35BC">
              <w:rPr>
                <w:webHidden/>
              </w:rPr>
              <w:fldChar w:fldCharType="end"/>
            </w:r>
          </w:hyperlink>
        </w:p>
        <w:p w14:paraId="2FB7E15A" w14:textId="0862F372" w:rsidR="00BF35BC" w:rsidRDefault="00B76E8C" w:rsidP="00BF35BC">
          <w:pPr>
            <w:pStyle w:val="TOC2"/>
            <w:ind w:right="0" w:hanging="992"/>
            <w:rPr>
              <w:rFonts w:asciiTheme="minorHAnsi" w:hAnsiTheme="minorHAnsi" w:cstheme="minorBidi"/>
              <w:smallCaps w:val="0"/>
              <w:lang w:eastAsia="en-AU"/>
            </w:rPr>
          </w:pPr>
          <w:hyperlink w:anchor="_Toc453065255" w:history="1">
            <w:r w:rsidR="00BF35BC" w:rsidRPr="00604235">
              <w:rPr>
                <w:rStyle w:val="Hyperlink"/>
              </w:rPr>
              <w:t>B.2</w:t>
            </w:r>
            <w:r w:rsidR="00BF35BC">
              <w:rPr>
                <w:rFonts w:asciiTheme="minorHAnsi" w:hAnsiTheme="minorHAnsi" w:cstheme="minorBidi"/>
                <w:smallCaps w:val="0"/>
                <w:lang w:eastAsia="en-AU"/>
              </w:rPr>
              <w:tab/>
            </w:r>
            <w:r w:rsidR="00BF35BC" w:rsidRPr="00604235">
              <w:rPr>
                <w:rStyle w:val="Hyperlink"/>
              </w:rPr>
              <w:t>Listing of all direct randomised trials</w:t>
            </w:r>
            <w:r w:rsidR="00BF35BC">
              <w:rPr>
                <w:webHidden/>
              </w:rPr>
              <w:tab/>
            </w:r>
            <w:r w:rsidR="00BF35BC">
              <w:rPr>
                <w:webHidden/>
              </w:rPr>
              <w:fldChar w:fldCharType="begin"/>
            </w:r>
            <w:r w:rsidR="00BF35BC">
              <w:rPr>
                <w:webHidden/>
              </w:rPr>
              <w:instrText xml:space="preserve"> PAGEREF _Toc453065255 \h </w:instrText>
            </w:r>
            <w:r w:rsidR="00BF35BC">
              <w:rPr>
                <w:webHidden/>
              </w:rPr>
            </w:r>
            <w:r w:rsidR="00BF35BC">
              <w:rPr>
                <w:webHidden/>
              </w:rPr>
              <w:fldChar w:fldCharType="separate"/>
            </w:r>
            <w:r w:rsidR="00A456ED">
              <w:rPr>
                <w:webHidden/>
              </w:rPr>
              <w:t>33</w:t>
            </w:r>
            <w:r w:rsidR="00BF35BC">
              <w:rPr>
                <w:webHidden/>
              </w:rPr>
              <w:fldChar w:fldCharType="end"/>
            </w:r>
          </w:hyperlink>
        </w:p>
        <w:p w14:paraId="3C4CF3B1" w14:textId="517D875A"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56" w:history="1">
            <w:r w:rsidR="00BF35BC" w:rsidRPr="00604235">
              <w:rPr>
                <w:rStyle w:val="Hyperlink"/>
                <w:noProof/>
              </w:rPr>
              <w:t>B.2.1</w:t>
            </w:r>
            <w:r w:rsidR="00BF35BC">
              <w:rPr>
                <w:rFonts w:asciiTheme="minorHAnsi" w:hAnsiTheme="minorHAnsi" w:cstheme="minorBidi"/>
                <w:i w:val="0"/>
                <w:iCs w:val="0"/>
                <w:noProof/>
                <w:sz w:val="22"/>
                <w:szCs w:val="22"/>
                <w:lang w:eastAsia="en-AU"/>
              </w:rPr>
              <w:tab/>
            </w:r>
            <w:r w:rsidR="00BF35BC" w:rsidRPr="00604235">
              <w:rPr>
                <w:rStyle w:val="Hyperlink"/>
                <w:noProof/>
              </w:rPr>
              <w:t>Identification of included studies</w:t>
            </w:r>
            <w:r w:rsidR="00BF35BC">
              <w:rPr>
                <w:noProof/>
                <w:webHidden/>
              </w:rPr>
              <w:tab/>
            </w:r>
            <w:r w:rsidR="00BF35BC">
              <w:rPr>
                <w:noProof/>
                <w:webHidden/>
              </w:rPr>
              <w:fldChar w:fldCharType="begin"/>
            </w:r>
            <w:r w:rsidR="00BF35BC">
              <w:rPr>
                <w:noProof/>
                <w:webHidden/>
              </w:rPr>
              <w:instrText xml:space="preserve"> PAGEREF _Toc453065256 \h </w:instrText>
            </w:r>
            <w:r w:rsidR="00BF35BC">
              <w:rPr>
                <w:noProof/>
                <w:webHidden/>
              </w:rPr>
            </w:r>
            <w:r w:rsidR="00BF35BC">
              <w:rPr>
                <w:noProof/>
                <w:webHidden/>
              </w:rPr>
              <w:fldChar w:fldCharType="separate"/>
            </w:r>
            <w:r w:rsidR="00A456ED">
              <w:rPr>
                <w:noProof/>
                <w:webHidden/>
              </w:rPr>
              <w:t>33</w:t>
            </w:r>
            <w:r w:rsidR="00BF35BC">
              <w:rPr>
                <w:noProof/>
                <w:webHidden/>
              </w:rPr>
              <w:fldChar w:fldCharType="end"/>
            </w:r>
          </w:hyperlink>
        </w:p>
        <w:p w14:paraId="6F2D9767" w14:textId="3EF567D4"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57" w:history="1">
            <w:r w:rsidR="00BF35BC" w:rsidRPr="00604235">
              <w:rPr>
                <w:rStyle w:val="Hyperlink"/>
                <w:noProof/>
              </w:rPr>
              <w:t>B.2.2</w:t>
            </w:r>
            <w:r w:rsidR="00BF35BC">
              <w:rPr>
                <w:rFonts w:asciiTheme="minorHAnsi" w:hAnsiTheme="minorHAnsi" w:cstheme="minorBidi"/>
                <w:i w:val="0"/>
                <w:iCs w:val="0"/>
                <w:noProof/>
                <w:sz w:val="22"/>
                <w:szCs w:val="22"/>
                <w:lang w:eastAsia="en-AU"/>
              </w:rPr>
              <w:tab/>
            </w:r>
            <w:r w:rsidR="00BF35BC" w:rsidRPr="00604235">
              <w:rPr>
                <w:rStyle w:val="Hyperlink"/>
                <w:noProof/>
              </w:rPr>
              <w:t>Master list of trials</w:t>
            </w:r>
            <w:r w:rsidR="00BF35BC">
              <w:rPr>
                <w:noProof/>
                <w:webHidden/>
              </w:rPr>
              <w:tab/>
            </w:r>
            <w:r w:rsidR="00BF35BC">
              <w:rPr>
                <w:noProof/>
                <w:webHidden/>
              </w:rPr>
              <w:fldChar w:fldCharType="begin"/>
            </w:r>
            <w:r w:rsidR="00BF35BC">
              <w:rPr>
                <w:noProof/>
                <w:webHidden/>
              </w:rPr>
              <w:instrText xml:space="preserve"> PAGEREF _Toc453065257 \h </w:instrText>
            </w:r>
            <w:r w:rsidR="00BF35BC">
              <w:rPr>
                <w:noProof/>
                <w:webHidden/>
              </w:rPr>
            </w:r>
            <w:r w:rsidR="00BF35BC">
              <w:rPr>
                <w:noProof/>
                <w:webHidden/>
              </w:rPr>
              <w:fldChar w:fldCharType="separate"/>
            </w:r>
            <w:r w:rsidR="00A456ED">
              <w:rPr>
                <w:noProof/>
                <w:webHidden/>
              </w:rPr>
              <w:t>36</w:t>
            </w:r>
            <w:r w:rsidR="00BF35BC">
              <w:rPr>
                <w:noProof/>
                <w:webHidden/>
              </w:rPr>
              <w:fldChar w:fldCharType="end"/>
            </w:r>
          </w:hyperlink>
        </w:p>
        <w:p w14:paraId="43163CE9" w14:textId="0DB29231"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58" w:history="1">
            <w:r w:rsidR="00BF35BC" w:rsidRPr="00604235">
              <w:rPr>
                <w:rStyle w:val="Hyperlink"/>
                <w:noProof/>
              </w:rPr>
              <w:t>B.2.3</w:t>
            </w:r>
            <w:r w:rsidR="00BF35BC">
              <w:rPr>
                <w:rFonts w:asciiTheme="minorHAnsi" w:hAnsiTheme="minorHAnsi" w:cstheme="minorBidi"/>
                <w:i w:val="0"/>
                <w:iCs w:val="0"/>
                <w:noProof/>
                <w:sz w:val="22"/>
                <w:szCs w:val="22"/>
                <w:lang w:eastAsia="en-AU"/>
              </w:rPr>
              <w:tab/>
            </w:r>
            <w:r w:rsidR="00BF35BC" w:rsidRPr="00604235">
              <w:rPr>
                <w:rStyle w:val="Hyperlink"/>
                <w:noProof/>
              </w:rPr>
              <w:t>Summary of included studies</w:t>
            </w:r>
            <w:r w:rsidR="00BF35BC">
              <w:rPr>
                <w:noProof/>
                <w:webHidden/>
              </w:rPr>
              <w:tab/>
            </w:r>
            <w:r w:rsidR="00BF35BC">
              <w:rPr>
                <w:noProof/>
                <w:webHidden/>
              </w:rPr>
              <w:fldChar w:fldCharType="begin"/>
            </w:r>
            <w:r w:rsidR="00BF35BC">
              <w:rPr>
                <w:noProof/>
                <w:webHidden/>
              </w:rPr>
              <w:instrText xml:space="preserve"> PAGEREF _Toc453065258 \h </w:instrText>
            </w:r>
            <w:r w:rsidR="00BF35BC">
              <w:rPr>
                <w:noProof/>
                <w:webHidden/>
              </w:rPr>
            </w:r>
            <w:r w:rsidR="00BF35BC">
              <w:rPr>
                <w:noProof/>
                <w:webHidden/>
              </w:rPr>
              <w:fldChar w:fldCharType="separate"/>
            </w:r>
            <w:r w:rsidR="00A456ED">
              <w:rPr>
                <w:noProof/>
                <w:webHidden/>
              </w:rPr>
              <w:t>38</w:t>
            </w:r>
            <w:r w:rsidR="00BF35BC">
              <w:rPr>
                <w:noProof/>
                <w:webHidden/>
              </w:rPr>
              <w:fldChar w:fldCharType="end"/>
            </w:r>
          </w:hyperlink>
        </w:p>
        <w:p w14:paraId="472B7F1A" w14:textId="717E6543" w:rsidR="00BF35BC" w:rsidRDefault="00B76E8C" w:rsidP="00BF35BC">
          <w:pPr>
            <w:pStyle w:val="TOC2"/>
            <w:ind w:right="0" w:hanging="992"/>
            <w:rPr>
              <w:rFonts w:asciiTheme="minorHAnsi" w:hAnsiTheme="minorHAnsi" w:cstheme="minorBidi"/>
              <w:smallCaps w:val="0"/>
              <w:lang w:eastAsia="en-AU"/>
            </w:rPr>
          </w:pPr>
          <w:hyperlink w:anchor="_Toc453065259" w:history="1">
            <w:r w:rsidR="00BF35BC" w:rsidRPr="00604235">
              <w:rPr>
                <w:rStyle w:val="Hyperlink"/>
              </w:rPr>
              <w:t>B.3</w:t>
            </w:r>
            <w:r w:rsidR="00BF35BC">
              <w:rPr>
                <w:rFonts w:asciiTheme="minorHAnsi" w:hAnsiTheme="minorHAnsi" w:cstheme="minorBidi"/>
                <w:smallCaps w:val="0"/>
                <w:lang w:eastAsia="en-AU"/>
              </w:rPr>
              <w:tab/>
            </w:r>
            <w:r w:rsidR="00BF35BC" w:rsidRPr="00604235">
              <w:rPr>
                <w:rStyle w:val="Hyperlink"/>
              </w:rPr>
              <w:t>Assessment of the measures taken to minimise bias</w:t>
            </w:r>
            <w:r w:rsidR="00BF35BC">
              <w:rPr>
                <w:webHidden/>
              </w:rPr>
              <w:tab/>
            </w:r>
            <w:r w:rsidR="00BF35BC">
              <w:rPr>
                <w:webHidden/>
              </w:rPr>
              <w:fldChar w:fldCharType="begin"/>
            </w:r>
            <w:r w:rsidR="00BF35BC">
              <w:rPr>
                <w:webHidden/>
              </w:rPr>
              <w:instrText xml:space="preserve"> PAGEREF _Toc453065259 \h </w:instrText>
            </w:r>
            <w:r w:rsidR="00BF35BC">
              <w:rPr>
                <w:webHidden/>
              </w:rPr>
            </w:r>
            <w:r w:rsidR="00BF35BC">
              <w:rPr>
                <w:webHidden/>
              </w:rPr>
              <w:fldChar w:fldCharType="separate"/>
            </w:r>
            <w:r w:rsidR="00A456ED">
              <w:rPr>
                <w:webHidden/>
              </w:rPr>
              <w:t>49</w:t>
            </w:r>
            <w:r w:rsidR="00BF35BC">
              <w:rPr>
                <w:webHidden/>
              </w:rPr>
              <w:fldChar w:fldCharType="end"/>
            </w:r>
          </w:hyperlink>
        </w:p>
        <w:p w14:paraId="6AB7D4B8" w14:textId="2412C91B"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0" w:history="1">
            <w:r w:rsidR="00BF35BC" w:rsidRPr="00604235">
              <w:rPr>
                <w:rStyle w:val="Hyperlink"/>
                <w:noProof/>
              </w:rPr>
              <w:t>B.3.1</w:t>
            </w:r>
            <w:r w:rsidR="00BF35BC">
              <w:rPr>
                <w:rFonts w:asciiTheme="minorHAnsi" w:hAnsiTheme="minorHAnsi" w:cstheme="minorBidi"/>
                <w:i w:val="0"/>
                <w:iCs w:val="0"/>
                <w:noProof/>
                <w:sz w:val="22"/>
                <w:szCs w:val="22"/>
                <w:lang w:eastAsia="en-AU"/>
              </w:rPr>
              <w:tab/>
            </w:r>
            <w:r w:rsidR="00BF35BC" w:rsidRPr="00604235">
              <w:rPr>
                <w:rStyle w:val="Hyperlink"/>
                <w:noProof/>
              </w:rPr>
              <w:t>Randomisation and blinding</w:t>
            </w:r>
            <w:r w:rsidR="00BF35BC">
              <w:rPr>
                <w:noProof/>
                <w:webHidden/>
              </w:rPr>
              <w:tab/>
            </w:r>
            <w:r w:rsidR="00BF35BC">
              <w:rPr>
                <w:noProof/>
                <w:webHidden/>
              </w:rPr>
              <w:fldChar w:fldCharType="begin"/>
            </w:r>
            <w:r w:rsidR="00BF35BC">
              <w:rPr>
                <w:noProof/>
                <w:webHidden/>
              </w:rPr>
              <w:instrText xml:space="preserve"> PAGEREF _Toc453065260 \h </w:instrText>
            </w:r>
            <w:r w:rsidR="00BF35BC">
              <w:rPr>
                <w:noProof/>
                <w:webHidden/>
              </w:rPr>
            </w:r>
            <w:r w:rsidR="00BF35BC">
              <w:rPr>
                <w:noProof/>
                <w:webHidden/>
              </w:rPr>
              <w:fldChar w:fldCharType="separate"/>
            </w:r>
            <w:r w:rsidR="00A456ED">
              <w:rPr>
                <w:noProof/>
                <w:webHidden/>
              </w:rPr>
              <w:t>49</w:t>
            </w:r>
            <w:r w:rsidR="00BF35BC">
              <w:rPr>
                <w:noProof/>
                <w:webHidden/>
              </w:rPr>
              <w:fldChar w:fldCharType="end"/>
            </w:r>
          </w:hyperlink>
        </w:p>
        <w:p w14:paraId="2968939A" w14:textId="1932621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1" w:history="1">
            <w:r w:rsidR="00BF35BC" w:rsidRPr="00604235">
              <w:rPr>
                <w:rStyle w:val="Hyperlink"/>
                <w:noProof/>
              </w:rPr>
              <w:t>B.3.2</w:t>
            </w:r>
            <w:r w:rsidR="00BF35BC">
              <w:rPr>
                <w:rFonts w:asciiTheme="minorHAnsi" w:hAnsiTheme="minorHAnsi" w:cstheme="minorBidi"/>
                <w:i w:val="0"/>
                <w:iCs w:val="0"/>
                <w:noProof/>
                <w:sz w:val="22"/>
                <w:szCs w:val="22"/>
                <w:lang w:eastAsia="en-AU"/>
              </w:rPr>
              <w:tab/>
            </w:r>
            <w:r w:rsidR="00BF35BC" w:rsidRPr="00604235">
              <w:rPr>
                <w:rStyle w:val="Hyperlink"/>
                <w:noProof/>
              </w:rPr>
              <w:t>Handling of missing data</w:t>
            </w:r>
            <w:r w:rsidR="00BF35BC">
              <w:rPr>
                <w:noProof/>
                <w:webHidden/>
              </w:rPr>
              <w:tab/>
            </w:r>
            <w:r w:rsidR="00BF35BC">
              <w:rPr>
                <w:noProof/>
                <w:webHidden/>
              </w:rPr>
              <w:fldChar w:fldCharType="begin"/>
            </w:r>
            <w:r w:rsidR="00BF35BC">
              <w:rPr>
                <w:noProof/>
                <w:webHidden/>
              </w:rPr>
              <w:instrText xml:space="preserve"> PAGEREF _Toc453065261 \h </w:instrText>
            </w:r>
            <w:r w:rsidR="00BF35BC">
              <w:rPr>
                <w:noProof/>
                <w:webHidden/>
              </w:rPr>
            </w:r>
            <w:r w:rsidR="00BF35BC">
              <w:rPr>
                <w:noProof/>
                <w:webHidden/>
              </w:rPr>
              <w:fldChar w:fldCharType="separate"/>
            </w:r>
            <w:r w:rsidR="00A456ED">
              <w:rPr>
                <w:noProof/>
                <w:webHidden/>
              </w:rPr>
              <w:t>52</w:t>
            </w:r>
            <w:r w:rsidR="00BF35BC">
              <w:rPr>
                <w:noProof/>
                <w:webHidden/>
              </w:rPr>
              <w:fldChar w:fldCharType="end"/>
            </w:r>
          </w:hyperlink>
        </w:p>
        <w:p w14:paraId="2BF33EFB" w14:textId="5B773A9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2" w:history="1">
            <w:r w:rsidR="00BF35BC" w:rsidRPr="00604235">
              <w:rPr>
                <w:rStyle w:val="Hyperlink"/>
                <w:noProof/>
              </w:rPr>
              <w:t>B.3.3</w:t>
            </w:r>
            <w:r w:rsidR="00BF35BC">
              <w:rPr>
                <w:rFonts w:asciiTheme="minorHAnsi" w:hAnsiTheme="minorHAnsi" w:cstheme="minorBidi"/>
                <w:i w:val="0"/>
                <w:iCs w:val="0"/>
                <w:noProof/>
                <w:sz w:val="22"/>
                <w:szCs w:val="22"/>
                <w:lang w:eastAsia="en-AU"/>
              </w:rPr>
              <w:tab/>
            </w:r>
            <w:r w:rsidR="00BF35BC" w:rsidRPr="00604235">
              <w:rPr>
                <w:rStyle w:val="Hyperlink"/>
                <w:noProof/>
              </w:rPr>
              <w:t>Flow of participants</w:t>
            </w:r>
            <w:r w:rsidR="00BF35BC">
              <w:rPr>
                <w:noProof/>
                <w:webHidden/>
              </w:rPr>
              <w:tab/>
            </w:r>
            <w:r w:rsidR="00BF35BC">
              <w:rPr>
                <w:noProof/>
                <w:webHidden/>
              </w:rPr>
              <w:fldChar w:fldCharType="begin"/>
            </w:r>
            <w:r w:rsidR="00BF35BC">
              <w:rPr>
                <w:noProof/>
                <w:webHidden/>
              </w:rPr>
              <w:instrText xml:space="preserve"> PAGEREF _Toc453065262 \h </w:instrText>
            </w:r>
            <w:r w:rsidR="00BF35BC">
              <w:rPr>
                <w:noProof/>
                <w:webHidden/>
              </w:rPr>
            </w:r>
            <w:r w:rsidR="00BF35BC">
              <w:rPr>
                <w:noProof/>
                <w:webHidden/>
              </w:rPr>
              <w:fldChar w:fldCharType="separate"/>
            </w:r>
            <w:r w:rsidR="00A456ED">
              <w:rPr>
                <w:noProof/>
                <w:webHidden/>
              </w:rPr>
              <w:t>53</w:t>
            </w:r>
            <w:r w:rsidR="00BF35BC">
              <w:rPr>
                <w:noProof/>
                <w:webHidden/>
              </w:rPr>
              <w:fldChar w:fldCharType="end"/>
            </w:r>
          </w:hyperlink>
        </w:p>
        <w:p w14:paraId="2DC3FA54" w14:textId="7761EC15" w:rsidR="00BF35BC" w:rsidRDefault="00B76E8C" w:rsidP="00BF35BC">
          <w:pPr>
            <w:pStyle w:val="TOC2"/>
            <w:ind w:right="0" w:hanging="992"/>
            <w:rPr>
              <w:rFonts w:asciiTheme="minorHAnsi" w:hAnsiTheme="minorHAnsi" w:cstheme="minorBidi"/>
              <w:smallCaps w:val="0"/>
              <w:lang w:eastAsia="en-AU"/>
            </w:rPr>
          </w:pPr>
          <w:hyperlink w:anchor="_Toc453065263" w:history="1">
            <w:r w:rsidR="00BF35BC" w:rsidRPr="00604235">
              <w:rPr>
                <w:rStyle w:val="Hyperlink"/>
              </w:rPr>
              <w:t>B.4</w:t>
            </w:r>
            <w:r w:rsidR="00BF35BC">
              <w:rPr>
                <w:rFonts w:asciiTheme="minorHAnsi" w:hAnsiTheme="minorHAnsi" w:cstheme="minorBidi"/>
                <w:smallCaps w:val="0"/>
                <w:lang w:eastAsia="en-AU"/>
              </w:rPr>
              <w:tab/>
            </w:r>
            <w:r w:rsidR="00BF35BC" w:rsidRPr="00604235">
              <w:rPr>
                <w:rStyle w:val="Hyperlink"/>
              </w:rPr>
              <w:t>Characteristics of the direct randomised trials</w:t>
            </w:r>
            <w:r w:rsidR="00BF35BC">
              <w:rPr>
                <w:webHidden/>
              </w:rPr>
              <w:tab/>
            </w:r>
            <w:r w:rsidR="00BF35BC">
              <w:rPr>
                <w:webHidden/>
              </w:rPr>
              <w:fldChar w:fldCharType="begin"/>
            </w:r>
            <w:r w:rsidR="00BF35BC">
              <w:rPr>
                <w:webHidden/>
              </w:rPr>
              <w:instrText xml:space="preserve"> PAGEREF _Toc453065263 \h </w:instrText>
            </w:r>
            <w:r w:rsidR="00BF35BC">
              <w:rPr>
                <w:webHidden/>
              </w:rPr>
            </w:r>
            <w:r w:rsidR="00BF35BC">
              <w:rPr>
                <w:webHidden/>
              </w:rPr>
              <w:fldChar w:fldCharType="separate"/>
            </w:r>
            <w:r w:rsidR="00A456ED">
              <w:rPr>
                <w:webHidden/>
              </w:rPr>
              <w:t>56</w:t>
            </w:r>
            <w:r w:rsidR="00BF35BC">
              <w:rPr>
                <w:webHidden/>
              </w:rPr>
              <w:fldChar w:fldCharType="end"/>
            </w:r>
          </w:hyperlink>
        </w:p>
        <w:p w14:paraId="52672582" w14:textId="6F534962"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4" w:history="1">
            <w:r w:rsidR="00BF35BC" w:rsidRPr="00604235">
              <w:rPr>
                <w:rStyle w:val="Hyperlink"/>
                <w:noProof/>
              </w:rPr>
              <w:t>B.4.1</w:t>
            </w:r>
            <w:r w:rsidR="00BF35BC">
              <w:rPr>
                <w:rFonts w:asciiTheme="minorHAnsi" w:hAnsiTheme="minorHAnsi" w:cstheme="minorBidi"/>
                <w:i w:val="0"/>
                <w:iCs w:val="0"/>
                <w:noProof/>
                <w:sz w:val="22"/>
                <w:szCs w:val="22"/>
                <w:lang w:eastAsia="en-AU"/>
              </w:rPr>
              <w:tab/>
            </w:r>
            <w:r w:rsidR="00BF35BC" w:rsidRPr="00604235">
              <w:rPr>
                <w:rStyle w:val="Hyperlink"/>
                <w:noProof/>
              </w:rPr>
              <w:t>Eligibility criteria</w:t>
            </w:r>
            <w:r w:rsidR="00BF35BC">
              <w:rPr>
                <w:noProof/>
                <w:webHidden/>
              </w:rPr>
              <w:tab/>
            </w:r>
            <w:r w:rsidR="00BF35BC">
              <w:rPr>
                <w:noProof/>
                <w:webHidden/>
              </w:rPr>
              <w:fldChar w:fldCharType="begin"/>
            </w:r>
            <w:r w:rsidR="00BF35BC">
              <w:rPr>
                <w:noProof/>
                <w:webHidden/>
              </w:rPr>
              <w:instrText xml:space="preserve"> PAGEREF _Toc453065264 \h </w:instrText>
            </w:r>
            <w:r w:rsidR="00BF35BC">
              <w:rPr>
                <w:noProof/>
                <w:webHidden/>
              </w:rPr>
            </w:r>
            <w:r w:rsidR="00BF35BC">
              <w:rPr>
                <w:noProof/>
                <w:webHidden/>
              </w:rPr>
              <w:fldChar w:fldCharType="separate"/>
            </w:r>
            <w:r w:rsidR="00A456ED">
              <w:rPr>
                <w:noProof/>
                <w:webHidden/>
              </w:rPr>
              <w:t>56</w:t>
            </w:r>
            <w:r w:rsidR="00BF35BC">
              <w:rPr>
                <w:noProof/>
                <w:webHidden/>
              </w:rPr>
              <w:fldChar w:fldCharType="end"/>
            </w:r>
          </w:hyperlink>
        </w:p>
        <w:p w14:paraId="5A16C085" w14:textId="6B9A95CD"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5" w:history="1">
            <w:r w:rsidR="00BF35BC" w:rsidRPr="00604235">
              <w:rPr>
                <w:rStyle w:val="Hyperlink"/>
                <w:noProof/>
              </w:rPr>
              <w:t>B.4.2</w:t>
            </w:r>
            <w:r w:rsidR="00BF35BC">
              <w:rPr>
                <w:rFonts w:asciiTheme="minorHAnsi" w:hAnsiTheme="minorHAnsi" w:cstheme="minorBidi"/>
                <w:i w:val="0"/>
                <w:iCs w:val="0"/>
                <w:noProof/>
                <w:sz w:val="22"/>
                <w:szCs w:val="22"/>
                <w:lang w:eastAsia="en-AU"/>
              </w:rPr>
              <w:tab/>
            </w:r>
            <w:r w:rsidR="00BF35BC" w:rsidRPr="00604235">
              <w:rPr>
                <w:rStyle w:val="Hyperlink"/>
                <w:noProof/>
              </w:rPr>
              <w:t>Patient baseline characteristics</w:t>
            </w:r>
            <w:r w:rsidR="00BF35BC">
              <w:rPr>
                <w:noProof/>
                <w:webHidden/>
              </w:rPr>
              <w:tab/>
            </w:r>
            <w:r w:rsidR="00BF35BC">
              <w:rPr>
                <w:noProof/>
                <w:webHidden/>
              </w:rPr>
              <w:fldChar w:fldCharType="begin"/>
            </w:r>
            <w:r w:rsidR="00BF35BC">
              <w:rPr>
                <w:noProof/>
                <w:webHidden/>
              </w:rPr>
              <w:instrText xml:space="preserve"> PAGEREF _Toc453065265 \h </w:instrText>
            </w:r>
            <w:r w:rsidR="00BF35BC">
              <w:rPr>
                <w:noProof/>
                <w:webHidden/>
              </w:rPr>
            </w:r>
            <w:r w:rsidR="00BF35BC">
              <w:rPr>
                <w:noProof/>
                <w:webHidden/>
              </w:rPr>
              <w:fldChar w:fldCharType="separate"/>
            </w:r>
            <w:r w:rsidR="00A456ED">
              <w:rPr>
                <w:noProof/>
                <w:webHidden/>
              </w:rPr>
              <w:t>63</w:t>
            </w:r>
            <w:r w:rsidR="00BF35BC">
              <w:rPr>
                <w:noProof/>
                <w:webHidden/>
              </w:rPr>
              <w:fldChar w:fldCharType="end"/>
            </w:r>
          </w:hyperlink>
        </w:p>
        <w:p w14:paraId="35E4956B" w14:textId="3B62DA14"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6" w:history="1">
            <w:r w:rsidR="00BF35BC" w:rsidRPr="00604235">
              <w:rPr>
                <w:rStyle w:val="Hyperlink"/>
                <w:noProof/>
              </w:rPr>
              <w:t>B.4.3</w:t>
            </w:r>
            <w:r w:rsidR="00BF35BC">
              <w:rPr>
                <w:rFonts w:asciiTheme="minorHAnsi" w:hAnsiTheme="minorHAnsi" w:cstheme="minorBidi"/>
                <w:i w:val="0"/>
                <w:iCs w:val="0"/>
                <w:noProof/>
                <w:sz w:val="22"/>
                <w:szCs w:val="22"/>
                <w:lang w:eastAsia="en-AU"/>
              </w:rPr>
              <w:tab/>
            </w:r>
            <w:r w:rsidR="00BF35BC" w:rsidRPr="00604235">
              <w:rPr>
                <w:rStyle w:val="Hyperlink"/>
                <w:noProof/>
              </w:rPr>
              <w:t>Interventions compared by the randomised trials</w:t>
            </w:r>
            <w:r w:rsidR="00BF35BC">
              <w:rPr>
                <w:noProof/>
                <w:webHidden/>
              </w:rPr>
              <w:tab/>
            </w:r>
            <w:r w:rsidR="00BF35BC">
              <w:rPr>
                <w:noProof/>
                <w:webHidden/>
              </w:rPr>
              <w:fldChar w:fldCharType="begin"/>
            </w:r>
            <w:r w:rsidR="00BF35BC">
              <w:rPr>
                <w:noProof/>
                <w:webHidden/>
              </w:rPr>
              <w:instrText xml:space="preserve"> PAGEREF _Toc453065266 \h </w:instrText>
            </w:r>
            <w:r w:rsidR="00BF35BC">
              <w:rPr>
                <w:noProof/>
                <w:webHidden/>
              </w:rPr>
            </w:r>
            <w:r w:rsidR="00BF35BC">
              <w:rPr>
                <w:noProof/>
                <w:webHidden/>
              </w:rPr>
              <w:fldChar w:fldCharType="separate"/>
            </w:r>
            <w:r w:rsidR="00A456ED">
              <w:rPr>
                <w:noProof/>
                <w:webHidden/>
              </w:rPr>
              <w:t>66</w:t>
            </w:r>
            <w:r w:rsidR="00BF35BC">
              <w:rPr>
                <w:noProof/>
                <w:webHidden/>
              </w:rPr>
              <w:fldChar w:fldCharType="end"/>
            </w:r>
          </w:hyperlink>
        </w:p>
        <w:p w14:paraId="1D450151" w14:textId="0D106B8B" w:rsidR="00BF35BC" w:rsidRDefault="00B76E8C" w:rsidP="00BF35BC">
          <w:pPr>
            <w:pStyle w:val="TOC2"/>
            <w:ind w:right="0" w:hanging="992"/>
            <w:rPr>
              <w:rFonts w:asciiTheme="minorHAnsi" w:hAnsiTheme="minorHAnsi" w:cstheme="minorBidi"/>
              <w:smallCaps w:val="0"/>
              <w:lang w:eastAsia="en-AU"/>
            </w:rPr>
          </w:pPr>
          <w:hyperlink w:anchor="_Toc453065267" w:history="1">
            <w:r w:rsidR="00BF35BC" w:rsidRPr="00604235">
              <w:rPr>
                <w:rStyle w:val="Hyperlink"/>
              </w:rPr>
              <w:t>B.5</w:t>
            </w:r>
            <w:r w:rsidR="00BF35BC">
              <w:rPr>
                <w:rFonts w:asciiTheme="minorHAnsi" w:hAnsiTheme="minorHAnsi" w:cstheme="minorBidi"/>
                <w:smallCaps w:val="0"/>
                <w:lang w:eastAsia="en-AU"/>
              </w:rPr>
              <w:tab/>
            </w:r>
            <w:r w:rsidR="00BF35BC" w:rsidRPr="00604235">
              <w:rPr>
                <w:rStyle w:val="Hyperlink"/>
              </w:rPr>
              <w:t>Outcome measures and analysis</w:t>
            </w:r>
            <w:r w:rsidR="00BF35BC">
              <w:rPr>
                <w:webHidden/>
              </w:rPr>
              <w:tab/>
            </w:r>
            <w:r w:rsidR="00BF35BC">
              <w:rPr>
                <w:webHidden/>
              </w:rPr>
              <w:fldChar w:fldCharType="begin"/>
            </w:r>
            <w:r w:rsidR="00BF35BC">
              <w:rPr>
                <w:webHidden/>
              </w:rPr>
              <w:instrText xml:space="preserve"> PAGEREF _Toc453065267 \h </w:instrText>
            </w:r>
            <w:r w:rsidR="00BF35BC">
              <w:rPr>
                <w:webHidden/>
              </w:rPr>
            </w:r>
            <w:r w:rsidR="00BF35BC">
              <w:rPr>
                <w:webHidden/>
              </w:rPr>
              <w:fldChar w:fldCharType="separate"/>
            </w:r>
            <w:r w:rsidR="00A456ED">
              <w:rPr>
                <w:webHidden/>
              </w:rPr>
              <w:t>68</w:t>
            </w:r>
            <w:r w:rsidR="00BF35BC">
              <w:rPr>
                <w:webHidden/>
              </w:rPr>
              <w:fldChar w:fldCharType="end"/>
            </w:r>
          </w:hyperlink>
        </w:p>
        <w:p w14:paraId="7B5032ED" w14:textId="25D195B1"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8" w:history="1">
            <w:r w:rsidR="00BF35BC" w:rsidRPr="00604235">
              <w:rPr>
                <w:rStyle w:val="Hyperlink"/>
                <w:noProof/>
              </w:rPr>
              <w:t>B.5.1</w:t>
            </w:r>
            <w:r w:rsidR="00BF35BC">
              <w:rPr>
                <w:rFonts w:asciiTheme="minorHAnsi" w:hAnsiTheme="minorHAnsi" w:cstheme="minorBidi"/>
                <w:i w:val="0"/>
                <w:iCs w:val="0"/>
                <w:noProof/>
                <w:sz w:val="22"/>
                <w:szCs w:val="22"/>
                <w:lang w:eastAsia="en-AU"/>
              </w:rPr>
              <w:tab/>
            </w:r>
            <w:r w:rsidR="00BF35BC" w:rsidRPr="00604235">
              <w:rPr>
                <w:rStyle w:val="Hyperlink"/>
                <w:noProof/>
              </w:rPr>
              <w:t>Primary outcome</w:t>
            </w:r>
            <w:r w:rsidR="00BF35BC">
              <w:rPr>
                <w:noProof/>
                <w:webHidden/>
              </w:rPr>
              <w:tab/>
            </w:r>
            <w:r w:rsidR="00BF35BC">
              <w:rPr>
                <w:noProof/>
                <w:webHidden/>
              </w:rPr>
              <w:fldChar w:fldCharType="begin"/>
            </w:r>
            <w:r w:rsidR="00BF35BC">
              <w:rPr>
                <w:noProof/>
                <w:webHidden/>
              </w:rPr>
              <w:instrText xml:space="preserve"> PAGEREF _Toc453065268 \h </w:instrText>
            </w:r>
            <w:r w:rsidR="00BF35BC">
              <w:rPr>
                <w:noProof/>
                <w:webHidden/>
              </w:rPr>
            </w:r>
            <w:r w:rsidR="00BF35BC">
              <w:rPr>
                <w:noProof/>
                <w:webHidden/>
              </w:rPr>
              <w:fldChar w:fldCharType="separate"/>
            </w:r>
            <w:r w:rsidR="00A456ED">
              <w:rPr>
                <w:noProof/>
                <w:webHidden/>
              </w:rPr>
              <w:t>68</w:t>
            </w:r>
            <w:r w:rsidR="00BF35BC">
              <w:rPr>
                <w:noProof/>
                <w:webHidden/>
              </w:rPr>
              <w:fldChar w:fldCharType="end"/>
            </w:r>
          </w:hyperlink>
        </w:p>
        <w:p w14:paraId="4EBE9845" w14:textId="65ED4DBE"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69" w:history="1">
            <w:r w:rsidR="00BF35BC" w:rsidRPr="00604235">
              <w:rPr>
                <w:rStyle w:val="Hyperlink"/>
                <w:noProof/>
              </w:rPr>
              <w:t>B.5.2</w:t>
            </w:r>
            <w:r w:rsidR="00BF35BC">
              <w:rPr>
                <w:rFonts w:asciiTheme="minorHAnsi" w:hAnsiTheme="minorHAnsi" w:cstheme="minorBidi"/>
                <w:i w:val="0"/>
                <w:iCs w:val="0"/>
                <w:noProof/>
                <w:sz w:val="22"/>
                <w:szCs w:val="22"/>
                <w:lang w:eastAsia="en-AU"/>
              </w:rPr>
              <w:tab/>
            </w:r>
            <w:r w:rsidR="00BF35BC" w:rsidRPr="00604235">
              <w:rPr>
                <w:rStyle w:val="Hyperlink"/>
                <w:noProof/>
              </w:rPr>
              <w:t>Secondary outcomes</w:t>
            </w:r>
            <w:r w:rsidR="00BF35BC">
              <w:rPr>
                <w:noProof/>
                <w:webHidden/>
              </w:rPr>
              <w:tab/>
            </w:r>
            <w:r w:rsidR="00BF35BC">
              <w:rPr>
                <w:noProof/>
                <w:webHidden/>
              </w:rPr>
              <w:fldChar w:fldCharType="begin"/>
            </w:r>
            <w:r w:rsidR="00BF35BC">
              <w:rPr>
                <w:noProof/>
                <w:webHidden/>
              </w:rPr>
              <w:instrText xml:space="preserve"> PAGEREF _Toc453065269 \h </w:instrText>
            </w:r>
            <w:r w:rsidR="00BF35BC">
              <w:rPr>
                <w:noProof/>
                <w:webHidden/>
              </w:rPr>
            </w:r>
            <w:r w:rsidR="00BF35BC">
              <w:rPr>
                <w:noProof/>
                <w:webHidden/>
              </w:rPr>
              <w:fldChar w:fldCharType="separate"/>
            </w:r>
            <w:r w:rsidR="00A456ED">
              <w:rPr>
                <w:noProof/>
                <w:webHidden/>
              </w:rPr>
              <w:t>71</w:t>
            </w:r>
            <w:r w:rsidR="00BF35BC">
              <w:rPr>
                <w:noProof/>
                <w:webHidden/>
              </w:rPr>
              <w:fldChar w:fldCharType="end"/>
            </w:r>
          </w:hyperlink>
        </w:p>
        <w:p w14:paraId="00E477BF" w14:textId="4ADFC86B"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70" w:history="1">
            <w:r w:rsidR="00BF35BC" w:rsidRPr="00604235">
              <w:rPr>
                <w:rStyle w:val="Hyperlink"/>
                <w:noProof/>
              </w:rPr>
              <w:t>B.5.3</w:t>
            </w:r>
            <w:r w:rsidR="00BF35BC">
              <w:rPr>
                <w:rFonts w:asciiTheme="minorHAnsi" w:hAnsiTheme="minorHAnsi" w:cstheme="minorBidi"/>
                <w:i w:val="0"/>
                <w:iCs w:val="0"/>
                <w:noProof/>
                <w:sz w:val="22"/>
                <w:szCs w:val="22"/>
                <w:lang w:eastAsia="en-AU"/>
              </w:rPr>
              <w:tab/>
            </w:r>
            <w:r w:rsidR="00BF35BC" w:rsidRPr="00604235">
              <w:rPr>
                <w:rStyle w:val="Hyperlink"/>
                <w:noProof/>
              </w:rPr>
              <w:t>Outcomes presented in the submission</w:t>
            </w:r>
            <w:r w:rsidR="00BF35BC">
              <w:rPr>
                <w:noProof/>
                <w:webHidden/>
              </w:rPr>
              <w:tab/>
            </w:r>
            <w:r w:rsidR="00BF35BC">
              <w:rPr>
                <w:noProof/>
                <w:webHidden/>
              </w:rPr>
              <w:fldChar w:fldCharType="begin"/>
            </w:r>
            <w:r w:rsidR="00BF35BC">
              <w:rPr>
                <w:noProof/>
                <w:webHidden/>
              </w:rPr>
              <w:instrText xml:space="preserve"> PAGEREF _Toc453065270 \h </w:instrText>
            </w:r>
            <w:r w:rsidR="00BF35BC">
              <w:rPr>
                <w:noProof/>
                <w:webHidden/>
              </w:rPr>
            </w:r>
            <w:r w:rsidR="00BF35BC">
              <w:rPr>
                <w:noProof/>
                <w:webHidden/>
              </w:rPr>
              <w:fldChar w:fldCharType="separate"/>
            </w:r>
            <w:r w:rsidR="00A456ED">
              <w:rPr>
                <w:noProof/>
                <w:webHidden/>
              </w:rPr>
              <w:t>73</w:t>
            </w:r>
            <w:r w:rsidR="00BF35BC">
              <w:rPr>
                <w:noProof/>
                <w:webHidden/>
              </w:rPr>
              <w:fldChar w:fldCharType="end"/>
            </w:r>
          </w:hyperlink>
        </w:p>
        <w:p w14:paraId="57D28458" w14:textId="766BBB57" w:rsidR="00BF35BC" w:rsidRDefault="00B76E8C" w:rsidP="00BF35BC">
          <w:pPr>
            <w:pStyle w:val="TOC2"/>
            <w:ind w:right="0" w:hanging="992"/>
            <w:rPr>
              <w:rFonts w:asciiTheme="minorHAnsi" w:hAnsiTheme="minorHAnsi" w:cstheme="minorBidi"/>
              <w:smallCaps w:val="0"/>
              <w:lang w:eastAsia="en-AU"/>
            </w:rPr>
          </w:pPr>
          <w:hyperlink w:anchor="_Toc453065271" w:history="1">
            <w:r w:rsidR="00BF35BC" w:rsidRPr="00604235">
              <w:rPr>
                <w:rStyle w:val="Hyperlink"/>
              </w:rPr>
              <w:t>B.6</w:t>
            </w:r>
            <w:r w:rsidR="00BF35BC">
              <w:rPr>
                <w:rFonts w:asciiTheme="minorHAnsi" w:hAnsiTheme="minorHAnsi" w:cstheme="minorBidi"/>
                <w:smallCaps w:val="0"/>
                <w:lang w:eastAsia="en-AU"/>
              </w:rPr>
              <w:tab/>
            </w:r>
            <w:r w:rsidR="00BF35BC" w:rsidRPr="00604235">
              <w:rPr>
                <w:rStyle w:val="Hyperlink"/>
              </w:rPr>
              <w:t>Systematic overview of the results of the direct randomised trials</w:t>
            </w:r>
            <w:r w:rsidR="00BF35BC">
              <w:rPr>
                <w:webHidden/>
              </w:rPr>
              <w:tab/>
            </w:r>
            <w:r w:rsidR="00BF35BC">
              <w:rPr>
                <w:webHidden/>
              </w:rPr>
              <w:fldChar w:fldCharType="begin"/>
            </w:r>
            <w:r w:rsidR="00BF35BC">
              <w:rPr>
                <w:webHidden/>
              </w:rPr>
              <w:instrText xml:space="preserve"> PAGEREF _Toc453065271 \h </w:instrText>
            </w:r>
            <w:r w:rsidR="00BF35BC">
              <w:rPr>
                <w:webHidden/>
              </w:rPr>
            </w:r>
            <w:r w:rsidR="00BF35BC">
              <w:rPr>
                <w:webHidden/>
              </w:rPr>
              <w:fldChar w:fldCharType="separate"/>
            </w:r>
            <w:r w:rsidR="00A456ED">
              <w:rPr>
                <w:webHidden/>
              </w:rPr>
              <w:t>77</w:t>
            </w:r>
            <w:r w:rsidR="00BF35BC">
              <w:rPr>
                <w:webHidden/>
              </w:rPr>
              <w:fldChar w:fldCharType="end"/>
            </w:r>
          </w:hyperlink>
        </w:p>
        <w:p w14:paraId="422C1962" w14:textId="55745EC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72" w:history="1">
            <w:r w:rsidR="00BF35BC" w:rsidRPr="00604235">
              <w:rPr>
                <w:rStyle w:val="Hyperlink"/>
                <w:noProof/>
              </w:rPr>
              <w:t>B.6.1</w:t>
            </w:r>
            <w:r w:rsidR="00BF35BC">
              <w:rPr>
                <w:rFonts w:asciiTheme="minorHAnsi" w:hAnsiTheme="minorHAnsi" w:cstheme="minorBidi"/>
                <w:i w:val="0"/>
                <w:iCs w:val="0"/>
                <w:noProof/>
                <w:sz w:val="22"/>
                <w:szCs w:val="22"/>
                <w:lang w:eastAsia="en-AU"/>
              </w:rPr>
              <w:tab/>
            </w:r>
            <w:r w:rsidR="00BF35BC" w:rsidRPr="00604235">
              <w:rPr>
                <w:rStyle w:val="Hyperlink"/>
                <w:noProof/>
              </w:rPr>
              <w:t>Primary efficacy outcome: mRS score at 90 days</w:t>
            </w:r>
            <w:r w:rsidR="00BF35BC">
              <w:rPr>
                <w:noProof/>
                <w:webHidden/>
              </w:rPr>
              <w:tab/>
            </w:r>
            <w:r w:rsidR="00BF35BC">
              <w:rPr>
                <w:noProof/>
                <w:webHidden/>
              </w:rPr>
              <w:fldChar w:fldCharType="begin"/>
            </w:r>
            <w:r w:rsidR="00BF35BC">
              <w:rPr>
                <w:noProof/>
                <w:webHidden/>
              </w:rPr>
              <w:instrText xml:space="preserve"> PAGEREF _Toc453065272 \h </w:instrText>
            </w:r>
            <w:r w:rsidR="00BF35BC">
              <w:rPr>
                <w:noProof/>
                <w:webHidden/>
              </w:rPr>
            </w:r>
            <w:r w:rsidR="00BF35BC">
              <w:rPr>
                <w:noProof/>
                <w:webHidden/>
              </w:rPr>
              <w:fldChar w:fldCharType="separate"/>
            </w:r>
            <w:r w:rsidR="00A456ED">
              <w:rPr>
                <w:noProof/>
                <w:webHidden/>
              </w:rPr>
              <w:t>77</w:t>
            </w:r>
            <w:r w:rsidR="00BF35BC">
              <w:rPr>
                <w:noProof/>
                <w:webHidden/>
              </w:rPr>
              <w:fldChar w:fldCharType="end"/>
            </w:r>
          </w:hyperlink>
        </w:p>
        <w:p w14:paraId="30D69BBF" w14:textId="0F214E8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73" w:history="1">
            <w:r w:rsidR="00BF35BC" w:rsidRPr="00604235">
              <w:rPr>
                <w:rStyle w:val="Hyperlink"/>
                <w:noProof/>
              </w:rPr>
              <w:t>B.6.2</w:t>
            </w:r>
            <w:r w:rsidR="00BF35BC">
              <w:rPr>
                <w:rFonts w:asciiTheme="minorHAnsi" w:hAnsiTheme="minorHAnsi" w:cstheme="minorBidi"/>
                <w:i w:val="0"/>
                <w:iCs w:val="0"/>
                <w:noProof/>
                <w:sz w:val="22"/>
                <w:szCs w:val="22"/>
                <w:lang w:eastAsia="en-AU"/>
              </w:rPr>
              <w:tab/>
            </w:r>
            <w:r w:rsidR="00BF35BC" w:rsidRPr="00604235">
              <w:rPr>
                <w:rStyle w:val="Hyperlink"/>
                <w:noProof/>
              </w:rPr>
              <w:t>Secondary efficacy outcomes</w:t>
            </w:r>
            <w:r w:rsidR="00BF35BC">
              <w:rPr>
                <w:noProof/>
                <w:webHidden/>
              </w:rPr>
              <w:tab/>
            </w:r>
            <w:r w:rsidR="00BF35BC">
              <w:rPr>
                <w:noProof/>
                <w:webHidden/>
              </w:rPr>
              <w:fldChar w:fldCharType="begin"/>
            </w:r>
            <w:r w:rsidR="00BF35BC">
              <w:rPr>
                <w:noProof/>
                <w:webHidden/>
              </w:rPr>
              <w:instrText xml:space="preserve"> PAGEREF _Toc453065273 \h </w:instrText>
            </w:r>
            <w:r w:rsidR="00BF35BC">
              <w:rPr>
                <w:noProof/>
                <w:webHidden/>
              </w:rPr>
            </w:r>
            <w:r w:rsidR="00BF35BC">
              <w:rPr>
                <w:noProof/>
                <w:webHidden/>
              </w:rPr>
              <w:fldChar w:fldCharType="separate"/>
            </w:r>
            <w:r w:rsidR="00A456ED">
              <w:rPr>
                <w:noProof/>
                <w:webHidden/>
              </w:rPr>
              <w:t>81</w:t>
            </w:r>
            <w:r w:rsidR="00BF35BC">
              <w:rPr>
                <w:noProof/>
                <w:webHidden/>
              </w:rPr>
              <w:fldChar w:fldCharType="end"/>
            </w:r>
          </w:hyperlink>
        </w:p>
        <w:p w14:paraId="3421AB61" w14:textId="6FA9547F"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74" w:history="1">
            <w:r w:rsidR="00BF35BC" w:rsidRPr="00604235">
              <w:rPr>
                <w:rStyle w:val="Hyperlink"/>
                <w:noProof/>
              </w:rPr>
              <w:t>B.6.3</w:t>
            </w:r>
            <w:r w:rsidR="00BF35BC">
              <w:rPr>
                <w:rFonts w:asciiTheme="minorHAnsi" w:hAnsiTheme="minorHAnsi" w:cstheme="minorBidi"/>
                <w:i w:val="0"/>
                <w:iCs w:val="0"/>
                <w:noProof/>
                <w:sz w:val="22"/>
                <w:szCs w:val="22"/>
                <w:lang w:eastAsia="en-AU"/>
              </w:rPr>
              <w:tab/>
            </w:r>
            <w:r w:rsidR="00BF35BC" w:rsidRPr="00604235">
              <w:rPr>
                <w:rStyle w:val="Hyperlink"/>
                <w:noProof/>
              </w:rPr>
              <w:t>Safety data</w:t>
            </w:r>
            <w:r w:rsidR="00BF35BC">
              <w:rPr>
                <w:noProof/>
                <w:webHidden/>
              </w:rPr>
              <w:tab/>
            </w:r>
            <w:r w:rsidR="00BF35BC">
              <w:rPr>
                <w:noProof/>
                <w:webHidden/>
              </w:rPr>
              <w:fldChar w:fldCharType="begin"/>
            </w:r>
            <w:r w:rsidR="00BF35BC">
              <w:rPr>
                <w:noProof/>
                <w:webHidden/>
              </w:rPr>
              <w:instrText xml:space="preserve"> PAGEREF _Toc453065274 \h </w:instrText>
            </w:r>
            <w:r w:rsidR="00BF35BC">
              <w:rPr>
                <w:noProof/>
                <w:webHidden/>
              </w:rPr>
            </w:r>
            <w:r w:rsidR="00BF35BC">
              <w:rPr>
                <w:noProof/>
                <w:webHidden/>
              </w:rPr>
              <w:fldChar w:fldCharType="separate"/>
            </w:r>
            <w:r w:rsidR="00A456ED">
              <w:rPr>
                <w:noProof/>
                <w:webHidden/>
              </w:rPr>
              <w:t>87</w:t>
            </w:r>
            <w:r w:rsidR="00BF35BC">
              <w:rPr>
                <w:noProof/>
                <w:webHidden/>
              </w:rPr>
              <w:fldChar w:fldCharType="end"/>
            </w:r>
          </w:hyperlink>
        </w:p>
        <w:p w14:paraId="0AB87C89" w14:textId="0EDB9A46" w:rsidR="00BF35BC" w:rsidRDefault="00B76E8C" w:rsidP="00BF35BC">
          <w:pPr>
            <w:pStyle w:val="TOC2"/>
            <w:ind w:right="0" w:hanging="992"/>
            <w:rPr>
              <w:rFonts w:asciiTheme="minorHAnsi" w:hAnsiTheme="minorHAnsi" w:cstheme="minorBidi"/>
              <w:smallCaps w:val="0"/>
              <w:lang w:eastAsia="en-AU"/>
            </w:rPr>
          </w:pPr>
          <w:hyperlink w:anchor="_Toc453065275" w:history="1">
            <w:r w:rsidR="00BF35BC" w:rsidRPr="00604235">
              <w:rPr>
                <w:rStyle w:val="Hyperlink"/>
              </w:rPr>
              <w:t>B.7</w:t>
            </w:r>
            <w:r w:rsidR="00BF35BC">
              <w:rPr>
                <w:rFonts w:asciiTheme="minorHAnsi" w:hAnsiTheme="minorHAnsi" w:cstheme="minorBidi"/>
                <w:smallCaps w:val="0"/>
                <w:lang w:eastAsia="en-AU"/>
              </w:rPr>
              <w:tab/>
            </w:r>
            <w:r w:rsidR="00BF35BC" w:rsidRPr="00604235">
              <w:rPr>
                <w:rStyle w:val="Hyperlink"/>
              </w:rPr>
              <w:t>Extended assessment of comparative harms</w:t>
            </w:r>
            <w:r w:rsidR="00BF35BC">
              <w:rPr>
                <w:webHidden/>
              </w:rPr>
              <w:tab/>
            </w:r>
            <w:r w:rsidR="00BF35BC">
              <w:rPr>
                <w:webHidden/>
              </w:rPr>
              <w:fldChar w:fldCharType="begin"/>
            </w:r>
            <w:r w:rsidR="00BF35BC">
              <w:rPr>
                <w:webHidden/>
              </w:rPr>
              <w:instrText xml:space="preserve"> PAGEREF _Toc453065275 \h </w:instrText>
            </w:r>
            <w:r w:rsidR="00BF35BC">
              <w:rPr>
                <w:webHidden/>
              </w:rPr>
            </w:r>
            <w:r w:rsidR="00BF35BC">
              <w:rPr>
                <w:webHidden/>
              </w:rPr>
              <w:fldChar w:fldCharType="separate"/>
            </w:r>
            <w:r w:rsidR="00A456ED">
              <w:rPr>
                <w:webHidden/>
              </w:rPr>
              <w:t>89</w:t>
            </w:r>
            <w:r w:rsidR="00BF35BC">
              <w:rPr>
                <w:webHidden/>
              </w:rPr>
              <w:fldChar w:fldCharType="end"/>
            </w:r>
          </w:hyperlink>
        </w:p>
        <w:p w14:paraId="628E5481" w14:textId="15D9C472" w:rsidR="00BF35BC" w:rsidRDefault="00B76E8C" w:rsidP="00BF35BC">
          <w:pPr>
            <w:pStyle w:val="TOC2"/>
            <w:ind w:right="0" w:hanging="992"/>
            <w:rPr>
              <w:rFonts w:asciiTheme="minorHAnsi" w:hAnsiTheme="minorHAnsi" w:cstheme="minorBidi"/>
              <w:smallCaps w:val="0"/>
              <w:lang w:eastAsia="en-AU"/>
            </w:rPr>
          </w:pPr>
          <w:hyperlink w:anchor="_Toc453065276" w:history="1">
            <w:r w:rsidR="00BF35BC" w:rsidRPr="00604235">
              <w:rPr>
                <w:rStyle w:val="Hyperlink"/>
              </w:rPr>
              <w:t>B.8</w:t>
            </w:r>
            <w:r w:rsidR="00BF35BC">
              <w:rPr>
                <w:rFonts w:asciiTheme="minorHAnsi" w:hAnsiTheme="minorHAnsi" w:cstheme="minorBidi"/>
                <w:smallCaps w:val="0"/>
                <w:lang w:eastAsia="en-AU"/>
              </w:rPr>
              <w:tab/>
            </w:r>
            <w:r w:rsidR="00BF35BC" w:rsidRPr="00604235">
              <w:rPr>
                <w:rStyle w:val="Hyperlink"/>
              </w:rPr>
              <w:t>Interpretation of the clinical evidence</w:t>
            </w:r>
            <w:r w:rsidR="00BF35BC">
              <w:rPr>
                <w:webHidden/>
              </w:rPr>
              <w:tab/>
            </w:r>
            <w:r w:rsidR="00BF35BC">
              <w:rPr>
                <w:webHidden/>
              </w:rPr>
              <w:fldChar w:fldCharType="begin"/>
            </w:r>
            <w:r w:rsidR="00BF35BC">
              <w:rPr>
                <w:webHidden/>
              </w:rPr>
              <w:instrText xml:space="preserve"> PAGEREF _Toc453065276 \h </w:instrText>
            </w:r>
            <w:r w:rsidR="00BF35BC">
              <w:rPr>
                <w:webHidden/>
              </w:rPr>
            </w:r>
            <w:r w:rsidR="00BF35BC">
              <w:rPr>
                <w:webHidden/>
              </w:rPr>
              <w:fldChar w:fldCharType="separate"/>
            </w:r>
            <w:r w:rsidR="00A456ED">
              <w:rPr>
                <w:webHidden/>
              </w:rPr>
              <w:t>90</w:t>
            </w:r>
            <w:r w:rsidR="00BF35BC">
              <w:rPr>
                <w:webHidden/>
              </w:rPr>
              <w:fldChar w:fldCharType="end"/>
            </w:r>
          </w:hyperlink>
        </w:p>
        <w:p w14:paraId="094CD6AC" w14:textId="0CD50C2E" w:rsidR="00BF35BC" w:rsidRDefault="00B76E8C" w:rsidP="00BF35BC">
          <w:pPr>
            <w:pStyle w:val="TOC1"/>
            <w:ind w:left="992" w:hanging="992"/>
            <w:rPr>
              <w:rFonts w:asciiTheme="minorHAnsi" w:hAnsiTheme="minorHAnsi" w:cstheme="minorBidi"/>
              <w:b w:val="0"/>
              <w:bCs w:val="0"/>
              <w:caps w:val="0"/>
              <w:lang w:eastAsia="en-AU"/>
            </w:rPr>
          </w:pPr>
          <w:hyperlink w:anchor="_Toc453065277" w:history="1">
            <w:r w:rsidR="00BF35BC" w:rsidRPr="00604235">
              <w:rPr>
                <w:rStyle w:val="Hyperlink"/>
              </w:rPr>
              <w:t>C.</w:t>
            </w:r>
            <w:r w:rsidR="00BF35BC">
              <w:rPr>
                <w:rFonts w:asciiTheme="minorHAnsi" w:hAnsiTheme="minorHAnsi" w:cstheme="minorBidi"/>
                <w:b w:val="0"/>
                <w:bCs w:val="0"/>
                <w:caps w:val="0"/>
                <w:lang w:eastAsia="en-AU"/>
              </w:rPr>
              <w:tab/>
            </w:r>
            <w:r w:rsidR="00BF35BC" w:rsidRPr="00604235">
              <w:rPr>
                <w:rStyle w:val="Hyperlink"/>
              </w:rPr>
              <w:t>Translating the clinical evaluation to the listing requested for inclusion in the economic evaluation</w:t>
            </w:r>
            <w:r w:rsidR="00BF35BC">
              <w:rPr>
                <w:webHidden/>
              </w:rPr>
              <w:tab/>
            </w:r>
            <w:r w:rsidR="00BF35BC">
              <w:rPr>
                <w:webHidden/>
              </w:rPr>
              <w:fldChar w:fldCharType="begin"/>
            </w:r>
            <w:r w:rsidR="00BF35BC">
              <w:rPr>
                <w:webHidden/>
              </w:rPr>
              <w:instrText xml:space="preserve"> PAGEREF _Toc453065277 \h </w:instrText>
            </w:r>
            <w:r w:rsidR="00BF35BC">
              <w:rPr>
                <w:webHidden/>
              </w:rPr>
            </w:r>
            <w:r w:rsidR="00BF35BC">
              <w:rPr>
                <w:webHidden/>
              </w:rPr>
              <w:fldChar w:fldCharType="separate"/>
            </w:r>
            <w:r w:rsidR="00A456ED">
              <w:rPr>
                <w:webHidden/>
              </w:rPr>
              <w:t>91</w:t>
            </w:r>
            <w:r w:rsidR="00BF35BC">
              <w:rPr>
                <w:webHidden/>
              </w:rPr>
              <w:fldChar w:fldCharType="end"/>
            </w:r>
          </w:hyperlink>
        </w:p>
        <w:p w14:paraId="63D436FC" w14:textId="2D8DE876" w:rsidR="00BF35BC" w:rsidRDefault="00B76E8C" w:rsidP="00BF35BC">
          <w:pPr>
            <w:pStyle w:val="TOC2"/>
            <w:ind w:right="0" w:hanging="992"/>
            <w:rPr>
              <w:rFonts w:asciiTheme="minorHAnsi" w:hAnsiTheme="minorHAnsi" w:cstheme="minorBidi"/>
              <w:smallCaps w:val="0"/>
              <w:lang w:eastAsia="en-AU"/>
            </w:rPr>
          </w:pPr>
          <w:hyperlink w:anchor="_Toc453065278" w:history="1">
            <w:r w:rsidR="00BF35BC" w:rsidRPr="00604235">
              <w:rPr>
                <w:rStyle w:val="Hyperlink"/>
              </w:rPr>
              <w:t>C.1</w:t>
            </w:r>
            <w:r w:rsidR="00BF35BC">
              <w:rPr>
                <w:rFonts w:asciiTheme="minorHAnsi" w:hAnsiTheme="minorHAnsi" w:cstheme="minorBidi"/>
                <w:smallCaps w:val="0"/>
                <w:lang w:eastAsia="en-AU"/>
              </w:rPr>
              <w:tab/>
            </w:r>
            <w:r w:rsidR="00BF35BC" w:rsidRPr="00604235">
              <w:rPr>
                <w:rStyle w:val="Hyperlink"/>
              </w:rPr>
              <w:t>Identification of issues to be addressed</w:t>
            </w:r>
            <w:r w:rsidR="00BF35BC">
              <w:rPr>
                <w:webHidden/>
              </w:rPr>
              <w:tab/>
            </w:r>
            <w:r w:rsidR="00BF35BC">
              <w:rPr>
                <w:webHidden/>
              </w:rPr>
              <w:fldChar w:fldCharType="begin"/>
            </w:r>
            <w:r w:rsidR="00BF35BC">
              <w:rPr>
                <w:webHidden/>
              </w:rPr>
              <w:instrText xml:space="preserve"> PAGEREF _Toc453065278 \h </w:instrText>
            </w:r>
            <w:r w:rsidR="00BF35BC">
              <w:rPr>
                <w:webHidden/>
              </w:rPr>
            </w:r>
            <w:r w:rsidR="00BF35BC">
              <w:rPr>
                <w:webHidden/>
              </w:rPr>
              <w:fldChar w:fldCharType="separate"/>
            </w:r>
            <w:r w:rsidR="00A456ED">
              <w:rPr>
                <w:webHidden/>
              </w:rPr>
              <w:t>91</w:t>
            </w:r>
            <w:r w:rsidR="00BF35BC">
              <w:rPr>
                <w:webHidden/>
              </w:rPr>
              <w:fldChar w:fldCharType="end"/>
            </w:r>
          </w:hyperlink>
        </w:p>
        <w:p w14:paraId="5F4E4BB8" w14:textId="1B6DC099" w:rsidR="00BF35BC" w:rsidRDefault="00B76E8C" w:rsidP="00BF35BC">
          <w:pPr>
            <w:pStyle w:val="TOC2"/>
            <w:ind w:right="0" w:hanging="992"/>
            <w:rPr>
              <w:rFonts w:asciiTheme="minorHAnsi" w:hAnsiTheme="minorHAnsi" w:cstheme="minorBidi"/>
              <w:smallCaps w:val="0"/>
              <w:lang w:eastAsia="en-AU"/>
            </w:rPr>
          </w:pPr>
          <w:hyperlink w:anchor="_Toc453065279" w:history="1">
            <w:r w:rsidR="00BF35BC" w:rsidRPr="00604235">
              <w:rPr>
                <w:rStyle w:val="Hyperlink"/>
              </w:rPr>
              <w:t>C.2</w:t>
            </w:r>
            <w:r w:rsidR="00BF35BC">
              <w:rPr>
                <w:rFonts w:asciiTheme="minorHAnsi" w:hAnsiTheme="minorHAnsi" w:cstheme="minorBidi"/>
                <w:smallCaps w:val="0"/>
                <w:lang w:eastAsia="en-AU"/>
              </w:rPr>
              <w:tab/>
            </w:r>
            <w:r w:rsidR="00BF35BC" w:rsidRPr="00604235">
              <w:rPr>
                <w:rStyle w:val="Hyperlink"/>
              </w:rPr>
              <w:t>Applicability of clinical trial data to the requested MBS listing</w:t>
            </w:r>
            <w:r w:rsidR="00BF35BC">
              <w:rPr>
                <w:webHidden/>
              </w:rPr>
              <w:tab/>
            </w:r>
            <w:r w:rsidR="00BF35BC">
              <w:rPr>
                <w:webHidden/>
              </w:rPr>
              <w:fldChar w:fldCharType="begin"/>
            </w:r>
            <w:r w:rsidR="00BF35BC">
              <w:rPr>
                <w:webHidden/>
              </w:rPr>
              <w:instrText xml:space="preserve"> PAGEREF _Toc453065279 \h </w:instrText>
            </w:r>
            <w:r w:rsidR="00BF35BC">
              <w:rPr>
                <w:webHidden/>
              </w:rPr>
            </w:r>
            <w:r w:rsidR="00BF35BC">
              <w:rPr>
                <w:webHidden/>
              </w:rPr>
              <w:fldChar w:fldCharType="separate"/>
            </w:r>
            <w:r w:rsidR="00A456ED">
              <w:rPr>
                <w:webHidden/>
              </w:rPr>
              <w:t>96</w:t>
            </w:r>
            <w:r w:rsidR="00BF35BC">
              <w:rPr>
                <w:webHidden/>
              </w:rPr>
              <w:fldChar w:fldCharType="end"/>
            </w:r>
          </w:hyperlink>
        </w:p>
        <w:p w14:paraId="59BBBA71" w14:textId="101D3646"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0" w:history="1">
            <w:r w:rsidR="00BF35BC" w:rsidRPr="00604235">
              <w:rPr>
                <w:rStyle w:val="Hyperlink"/>
                <w:noProof/>
              </w:rPr>
              <w:t>C.2.1</w:t>
            </w:r>
            <w:r w:rsidR="00BF35BC">
              <w:rPr>
                <w:rFonts w:asciiTheme="minorHAnsi" w:hAnsiTheme="minorHAnsi" w:cstheme="minorBidi"/>
                <w:i w:val="0"/>
                <w:iCs w:val="0"/>
                <w:noProof/>
                <w:sz w:val="22"/>
                <w:szCs w:val="22"/>
                <w:lang w:eastAsia="en-AU"/>
              </w:rPr>
              <w:tab/>
            </w:r>
            <w:r w:rsidR="00BF35BC" w:rsidRPr="00604235">
              <w:rPr>
                <w:rStyle w:val="Hyperlink"/>
                <w:noProof/>
              </w:rPr>
              <w:t>Focused analytical plan</w:t>
            </w:r>
            <w:r w:rsidR="00BF35BC">
              <w:rPr>
                <w:noProof/>
                <w:webHidden/>
              </w:rPr>
              <w:tab/>
            </w:r>
            <w:r w:rsidR="00BF35BC">
              <w:rPr>
                <w:noProof/>
                <w:webHidden/>
              </w:rPr>
              <w:fldChar w:fldCharType="begin"/>
            </w:r>
            <w:r w:rsidR="00BF35BC">
              <w:rPr>
                <w:noProof/>
                <w:webHidden/>
              </w:rPr>
              <w:instrText xml:space="preserve"> PAGEREF _Toc453065280 \h </w:instrText>
            </w:r>
            <w:r w:rsidR="00BF35BC">
              <w:rPr>
                <w:noProof/>
                <w:webHidden/>
              </w:rPr>
            </w:r>
            <w:r w:rsidR="00BF35BC">
              <w:rPr>
                <w:noProof/>
                <w:webHidden/>
              </w:rPr>
              <w:fldChar w:fldCharType="separate"/>
            </w:r>
            <w:r w:rsidR="00A456ED">
              <w:rPr>
                <w:noProof/>
                <w:webHidden/>
              </w:rPr>
              <w:t>98</w:t>
            </w:r>
            <w:r w:rsidR="00BF35BC">
              <w:rPr>
                <w:noProof/>
                <w:webHidden/>
              </w:rPr>
              <w:fldChar w:fldCharType="end"/>
            </w:r>
          </w:hyperlink>
        </w:p>
        <w:p w14:paraId="11EC70C6" w14:textId="64221C1E"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1" w:history="1">
            <w:r w:rsidR="00BF35BC" w:rsidRPr="00604235">
              <w:rPr>
                <w:rStyle w:val="Hyperlink"/>
                <w:noProof/>
              </w:rPr>
              <w:t>C.2.2</w:t>
            </w:r>
            <w:r w:rsidR="00BF35BC">
              <w:rPr>
                <w:rFonts w:asciiTheme="minorHAnsi" w:hAnsiTheme="minorHAnsi" w:cstheme="minorBidi"/>
                <w:i w:val="0"/>
                <w:iCs w:val="0"/>
                <w:noProof/>
                <w:sz w:val="22"/>
                <w:szCs w:val="22"/>
                <w:lang w:eastAsia="en-AU"/>
              </w:rPr>
              <w:tab/>
            </w:r>
            <w:r w:rsidR="00BF35BC" w:rsidRPr="00604235">
              <w:rPr>
                <w:rStyle w:val="Hyperlink"/>
                <w:noProof/>
              </w:rPr>
              <w:t>Results of the pre-modelling study</w:t>
            </w:r>
            <w:r w:rsidR="00BF35BC">
              <w:rPr>
                <w:noProof/>
                <w:webHidden/>
              </w:rPr>
              <w:tab/>
            </w:r>
            <w:r w:rsidR="00BF35BC">
              <w:rPr>
                <w:noProof/>
                <w:webHidden/>
              </w:rPr>
              <w:fldChar w:fldCharType="begin"/>
            </w:r>
            <w:r w:rsidR="00BF35BC">
              <w:rPr>
                <w:noProof/>
                <w:webHidden/>
              </w:rPr>
              <w:instrText xml:space="preserve"> PAGEREF _Toc453065281 \h </w:instrText>
            </w:r>
            <w:r w:rsidR="00BF35BC">
              <w:rPr>
                <w:noProof/>
                <w:webHidden/>
              </w:rPr>
            </w:r>
            <w:r w:rsidR="00BF35BC">
              <w:rPr>
                <w:noProof/>
                <w:webHidden/>
              </w:rPr>
              <w:fldChar w:fldCharType="separate"/>
            </w:r>
            <w:r w:rsidR="00A456ED">
              <w:rPr>
                <w:noProof/>
                <w:webHidden/>
              </w:rPr>
              <w:t>101</w:t>
            </w:r>
            <w:r w:rsidR="00BF35BC">
              <w:rPr>
                <w:noProof/>
                <w:webHidden/>
              </w:rPr>
              <w:fldChar w:fldCharType="end"/>
            </w:r>
          </w:hyperlink>
        </w:p>
        <w:p w14:paraId="36AF08BD" w14:textId="375E5CC9"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2" w:history="1">
            <w:r w:rsidR="00BF35BC" w:rsidRPr="00604235">
              <w:rPr>
                <w:rStyle w:val="Hyperlink"/>
                <w:noProof/>
              </w:rPr>
              <w:t>C.2.3</w:t>
            </w:r>
            <w:r w:rsidR="00BF35BC">
              <w:rPr>
                <w:rFonts w:asciiTheme="minorHAnsi" w:hAnsiTheme="minorHAnsi" w:cstheme="minorBidi"/>
                <w:i w:val="0"/>
                <w:iCs w:val="0"/>
                <w:noProof/>
                <w:sz w:val="22"/>
                <w:szCs w:val="22"/>
                <w:lang w:eastAsia="en-AU"/>
              </w:rPr>
              <w:tab/>
            </w:r>
            <w:r w:rsidR="00BF35BC" w:rsidRPr="00604235">
              <w:rPr>
                <w:rStyle w:val="Hyperlink"/>
                <w:noProof/>
              </w:rPr>
              <w:t>Relationship of the pre-modelling study to the economic model</w:t>
            </w:r>
            <w:r w:rsidR="00BF35BC">
              <w:rPr>
                <w:noProof/>
                <w:webHidden/>
              </w:rPr>
              <w:tab/>
            </w:r>
            <w:r w:rsidR="00BF35BC">
              <w:rPr>
                <w:noProof/>
                <w:webHidden/>
              </w:rPr>
              <w:fldChar w:fldCharType="begin"/>
            </w:r>
            <w:r w:rsidR="00BF35BC">
              <w:rPr>
                <w:noProof/>
                <w:webHidden/>
              </w:rPr>
              <w:instrText xml:space="preserve"> PAGEREF _Toc453065282 \h </w:instrText>
            </w:r>
            <w:r w:rsidR="00BF35BC">
              <w:rPr>
                <w:noProof/>
                <w:webHidden/>
              </w:rPr>
            </w:r>
            <w:r w:rsidR="00BF35BC">
              <w:rPr>
                <w:noProof/>
                <w:webHidden/>
              </w:rPr>
              <w:fldChar w:fldCharType="separate"/>
            </w:r>
            <w:r w:rsidR="00A456ED">
              <w:rPr>
                <w:noProof/>
                <w:webHidden/>
              </w:rPr>
              <w:t>110</w:t>
            </w:r>
            <w:r w:rsidR="00BF35BC">
              <w:rPr>
                <w:noProof/>
                <w:webHidden/>
              </w:rPr>
              <w:fldChar w:fldCharType="end"/>
            </w:r>
          </w:hyperlink>
        </w:p>
        <w:p w14:paraId="73EF05F6" w14:textId="223A367C" w:rsidR="00BF35BC" w:rsidRDefault="00B76E8C" w:rsidP="00BF35BC">
          <w:pPr>
            <w:pStyle w:val="TOC2"/>
            <w:ind w:right="0" w:hanging="992"/>
            <w:rPr>
              <w:rFonts w:asciiTheme="minorHAnsi" w:hAnsiTheme="minorHAnsi" w:cstheme="minorBidi"/>
              <w:smallCaps w:val="0"/>
              <w:lang w:eastAsia="en-AU"/>
            </w:rPr>
          </w:pPr>
          <w:hyperlink w:anchor="_Toc453065283" w:history="1">
            <w:r w:rsidR="00BF35BC" w:rsidRPr="00604235">
              <w:rPr>
                <w:rStyle w:val="Hyperlink"/>
              </w:rPr>
              <w:t>C.3</w:t>
            </w:r>
            <w:r w:rsidR="00BF35BC">
              <w:rPr>
                <w:rFonts w:asciiTheme="minorHAnsi" w:hAnsiTheme="minorHAnsi" w:cstheme="minorBidi"/>
                <w:smallCaps w:val="0"/>
                <w:lang w:eastAsia="en-AU"/>
              </w:rPr>
              <w:tab/>
            </w:r>
            <w:r w:rsidR="00BF35BC" w:rsidRPr="00604235">
              <w:rPr>
                <w:rStyle w:val="Hyperlink"/>
              </w:rPr>
              <w:t>Applicability of clinical trial data to Australian patients with acute ischaemic stroke</w:t>
            </w:r>
            <w:r w:rsidR="00BF35BC">
              <w:rPr>
                <w:webHidden/>
              </w:rPr>
              <w:tab/>
            </w:r>
            <w:r w:rsidR="00BF35BC">
              <w:rPr>
                <w:webHidden/>
              </w:rPr>
              <w:fldChar w:fldCharType="begin"/>
            </w:r>
            <w:r w:rsidR="00BF35BC">
              <w:rPr>
                <w:webHidden/>
              </w:rPr>
              <w:instrText xml:space="preserve"> PAGEREF _Toc453065283 \h </w:instrText>
            </w:r>
            <w:r w:rsidR="00BF35BC">
              <w:rPr>
                <w:webHidden/>
              </w:rPr>
            </w:r>
            <w:r w:rsidR="00BF35BC">
              <w:rPr>
                <w:webHidden/>
              </w:rPr>
              <w:fldChar w:fldCharType="separate"/>
            </w:r>
            <w:r w:rsidR="00A456ED">
              <w:rPr>
                <w:webHidden/>
              </w:rPr>
              <w:t>112</w:t>
            </w:r>
            <w:r w:rsidR="00BF35BC">
              <w:rPr>
                <w:webHidden/>
              </w:rPr>
              <w:fldChar w:fldCharType="end"/>
            </w:r>
          </w:hyperlink>
        </w:p>
        <w:p w14:paraId="33C49D43" w14:textId="3E364F0D"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4" w:history="1">
            <w:r w:rsidR="00BF35BC" w:rsidRPr="00604235">
              <w:rPr>
                <w:rStyle w:val="Hyperlink"/>
                <w:noProof/>
              </w:rPr>
              <w:t>C.3.1</w:t>
            </w:r>
            <w:r w:rsidR="00BF35BC">
              <w:rPr>
                <w:rFonts w:asciiTheme="minorHAnsi" w:hAnsiTheme="minorHAnsi" w:cstheme="minorBidi"/>
                <w:i w:val="0"/>
                <w:iCs w:val="0"/>
                <w:noProof/>
                <w:sz w:val="22"/>
                <w:szCs w:val="22"/>
                <w:lang w:eastAsia="en-AU"/>
              </w:rPr>
              <w:tab/>
            </w:r>
            <w:r w:rsidR="00BF35BC" w:rsidRPr="00604235">
              <w:rPr>
                <w:rStyle w:val="Hyperlink"/>
                <w:noProof/>
              </w:rPr>
              <w:t>Focused analytical plan</w:t>
            </w:r>
            <w:r w:rsidR="00BF35BC">
              <w:rPr>
                <w:noProof/>
                <w:webHidden/>
              </w:rPr>
              <w:tab/>
            </w:r>
            <w:r w:rsidR="00BF35BC">
              <w:rPr>
                <w:noProof/>
                <w:webHidden/>
              </w:rPr>
              <w:fldChar w:fldCharType="begin"/>
            </w:r>
            <w:r w:rsidR="00BF35BC">
              <w:rPr>
                <w:noProof/>
                <w:webHidden/>
              </w:rPr>
              <w:instrText xml:space="preserve"> PAGEREF _Toc453065284 \h </w:instrText>
            </w:r>
            <w:r w:rsidR="00BF35BC">
              <w:rPr>
                <w:noProof/>
                <w:webHidden/>
              </w:rPr>
            </w:r>
            <w:r w:rsidR="00BF35BC">
              <w:rPr>
                <w:noProof/>
                <w:webHidden/>
              </w:rPr>
              <w:fldChar w:fldCharType="separate"/>
            </w:r>
            <w:r w:rsidR="00A456ED">
              <w:rPr>
                <w:noProof/>
                <w:webHidden/>
              </w:rPr>
              <w:t>112</w:t>
            </w:r>
            <w:r w:rsidR="00BF35BC">
              <w:rPr>
                <w:noProof/>
                <w:webHidden/>
              </w:rPr>
              <w:fldChar w:fldCharType="end"/>
            </w:r>
          </w:hyperlink>
        </w:p>
        <w:p w14:paraId="18D1E697" w14:textId="015D4489"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5" w:history="1">
            <w:r w:rsidR="00BF35BC" w:rsidRPr="00604235">
              <w:rPr>
                <w:rStyle w:val="Hyperlink"/>
                <w:noProof/>
              </w:rPr>
              <w:t>C.3.2</w:t>
            </w:r>
            <w:r w:rsidR="00BF35BC">
              <w:rPr>
                <w:rFonts w:asciiTheme="minorHAnsi" w:hAnsiTheme="minorHAnsi" w:cstheme="minorBidi"/>
                <w:i w:val="0"/>
                <w:iCs w:val="0"/>
                <w:noProof/>
                <w:sz w:val="22"/>
                <w:szCs w:val="22"/>
                <w:lang w:eastAsia="en-AU"/>
              </w:rPr>
              <w:tab/>
            </w:r>
            <w:r w:rsidR="00BF35BC" w:rsidRPr="00604235">
              <w:rPr>
                <w:rStyle w:val="Hyperlink"/>
                <w:noProof/>
              </w:rPr>
              <w:t>Results of the pre-modelling study</w:t>
            </w:r>
            <w:r w:rsidR="00BF35BC">
              <w:rPr>
                <w:noProof/>
                <w:webHidden/>
              </w:rPr>
              <w:tab/>
            </w:r>
            <w:r w:rsidR="00BF35BC">
              <w:rPr>
                <w:noProof/>
                <w:webHidden/>
              </w:rPr>
              <w:fldChar w:fldCharType="begin"/>
            </w:r>
            <w:r w:rsidR="00BF35BC">
              <w:rPr>
                <w:noProof/>
                <w:webHidden/>
              </w:rPr>
              <w:instrText xml:space="preserve"> PAGEREF _Toc453065285 \h </w:instrText>
            </w:r>
            <w:r w:rsidR="00BF35BC">
              <w:rPr>
                <w:noProof/>
                <w:webHidden/>
              </w:rPr>
            </w:r>
            <w:r w:rsidR="00BF35BC">
              <w:rPr>
                <w:noProof/>
                <w:webHidden/>
              </w:rPr>
              <w:fldChar w:fldCharType="separate"/>
            </w:r>
            <w:r w:rsidR="00A456ED">
              <w:rPr>
                <w:noProof/>
                <w:webHidden/>
              </w:rPr>
              <w:t>113</w:t>
            </w:r>
            <w:r w:rsidR="00BF35BC">
              <w:rPr>
                <w:noProof/>
                <w:webHidden/>
              </w:rPr>
              <w:fldChar w:fldCharType="end"/>
            </w:r>
          </w:hyperlink>
        </w:p>
        <w:p w14:paraId="4787DAC3" w14:textId="0D987E3A"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6" w:history="1">
            <w:r w:rsidR="00BF35BC" w:rsidRPr="00604235">
              <w:rPr>
                <w:rStyle w:val="Hyperlink"/>
                <w:noProof/>
              </w:rPr>
              <w:t>C.3.3</w:t>
            </w:r>
            <w:r w:rsidR="00BF35BC">
              <w:rPr>
                <w:rFonts w:asciiTheme="minorHAnsi" w:hAnsiTheme="minorHAnsi" w:cstheme="minorBidi"/>
                <w:i w:val="0"/>
                <w:iCs w:val="0"/>
                <w:noProof/>
                <w:sz w:val="22"/>
                <w:szCs w:val="22"/>
                <w:lang w:eastAsia="en-AU"/>
              </w:rPr>
              <w:tab/>
            </w:r>
            <w:r w:rsidR="00BF35BC" w:rsidRPr="00604235">
              <w:rPr>
                <w:rStyle w:val="Hyperlink"/>
                <w:noProof/>
              </w:rPr>
              <w:t>Relationship of the pre-modelling study to the economic model</w:t>
            </w:r>
            <w:r w:rsidR="00BF35BC">
              <w:rPr>
                <w:noProof/>
                <w:webHidden/>
              </w:rPr>
              <w:tab/>
            </w:r>
            <w:r w:rsidR="00BF35BC">
              <w:rPr>
                <w:noProof/>
                <w:webHidden/>
              </w:rPr>
              <w:fldChar w:fldCharType="begin"/>
            </w:r>
            <w:r w:rsidR="00BF35BC">
              <w:rPr>
                <w:noProof/>
                <w:webHidden/>
              </w:rPr>
              <w:instrText xml:space="preserve"> PAGEREF _Toc453065286 \h </w:instrText>
            </w:r>
            <w:r w:rsidR="00BF35BC">
              <w:rPr>
                <w:noProof/>
                <w:webHidden/>
              </w:rPr>
            </w:r>
            <w:r w:rsidR="00BF35BC">
              <w:rPr>
                <w:noProof/>
                <w:webHidden/>
              </w:rPr>
              <w:fldChar w:fldCharType="separate"/>
            </w:r>
            <w:r w:rsidR="00A456ED">
              <w:rPr>
                <w:noProof/>
                <w:webHidden/>
              </w:rPr>
              <w:t>118</w:t>
            </w:r>
            <w:r w:rsidR="00BF35BC">
              <w:rPr>
                <w:noProof/>
                <w:webHidden/>
              </w:rPr>
              <w:fldChar w:fldCharType="end"/>
            </w:r>
          </w:hyperlink>
        </w:p>
        <w:p w14:paraId="41E0559D" w14:textId="654EAE33" w:rsidR="00BF35BC" w:rsidRDefault="00B76E8C" w:rsidP="00BF35BC">
          <w:pPr>
            <w:pStyle w:val="TOC2"/>
            <w:ind w:right="0" w:hanging="992"/>
            <w:rPr>
              <w:rFonts w:asciiTheme="minorHAnsi" w:hAnsiTheme="minorHAnsi" w:cstheme="minorBidi"/>
              <w:smallCaps w:val="0"/>
              <w:lang w:eastAsia="en-AU"/>
            </w:rPr>
          </w:pPr>
          <w:hyperlink w:anchor="_Toc453065287" w:history="1">
            <w:r w:rsidR="00BF35BC" w:rsidRPr="00604235">
              <w:rPr>
                <w:rStyle w:val="Hyperlink"/>
              </w:rPr>
              <w:t>C.4</w:t>
            </w:r>
            <w:r w:rsidR="00BF35BC">
              <w:rPr>
                <w:rFonts w:asciiTheme="minorHAnsi" w:hAnsiTheme="minorHAnsi" w:cstheme="minorBidi"/>
                <w:smallCaps w:val="0"/>
                <w:lang w:eastAsia="en-AU"/>
              </w:rPr>
              <w:tab/>
            </w:r>
            <w:r w:rsidR="00BF35BC" w:rsidRPr="00604235">
              <w:rPr>
                <w:rStyle w:val="Hyperlink"/>
              </w:rPr>
              <w:t>Selection of utility data</w:t>
            </w:r>
            <w:r w:rsidR="00BF35BC">
              <w:rPr>
                <w:webHidden/>
              </w:rPr>
              <w:tab/>
            </w:r>
            <w:r w:rsidR="00BF35BC">
              <w:rPr>
                <w:webHidden/>
              </w:rPr>
              <w:fldChar w:fldCharType="begin"/>
            </w:r>
            <w:r w:rsidR="00BF35BC">
              <w:rPr>
                <w:webHidden/>
              </w:rPr>
              <w:instrText xml:space="preserve"> PAGEREF _Toc453065287 \h </w:instrText>
            </w:r>
            <w:r w:rsidR="00BF35BC">
              <w:rPr>
                <w:webHidden/>
              </w:rPr>
            </w:r>
            <w:r w:rsidR="00BF35BC">
              <w:rPr>
                <w:webHidden/>
              </w:rPr>
              <w:fldChar w:fldCharType="separate"/>
            </w:r>
            <w:r w:rsidR="00A456ED">
              <w:rPr>
                <w:webHidden/>
              </w:rPr>
              <w:t>119</w:t>
            </w:r>
            <w:r w:rsidR="00BF35BC">
              <w:rPr>
                <w:webHidden/>
              </w:rPr>
              <w:fldChar w:fldCharType="end"/>
            </w:r>
          </w:hyperlink>
        </w:p>
        <w:p w14:paraId="56413BA7" w14:textId="7040C306"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8" w:history="1">
            <w:r w:rsidR="00BF35BC" w:rsidRPr="00604235">
              <w:rPr>
                <w:rStyle w:val="Hyperlink"/>
                <w:noProof/>
              </w:rPr>
              <w:t>C.4.1</w:t>
            </w:r>
            <w:r w:rsidR="00BF35BC">
              <w:rPr>
                <w:rFonts w:asciiTheme="minorHAnsi" w:hAnsiTheme="minorHAnsi" w:cstheme="minorBidi"/>
                <w:i w:val="0"/>
                <w:iCs w:val="0"/>
                <w:noProof/>
                <w:sz w:val="22"/>
                <w:szCs w:val="22"/>
                <w:lang w:eastAsia="en-AU"/>
              </w:rPr>
              <w:tab/>
            </w:r>
            <w:r w:rsidR="00BF35BC" w:rsidRPr="00604235">
              <w:rPr>
                <w:rStyle w:val="Hyperlink"/>
                <w:noProof/>
              </w:rPr>
              <w:t>Focused analytical plan</w:t>
            </w:r>
            <w:r w:rsidR="00BF35BC">
              <w:rPr>
                <w:noProof/>
                <w:webHidden/>
              </w:rPr>
              <w:tab/>
            </w:r>
            <w:r w:rsidR="00BF35BC">
              <w:rPr>
                <w:noProof/>
                <w:webHidden/>
              </w:rPr>
              <w:fldChar w:fldCharType="begin"/>
            </w:r>
            <w:r w:rsidR="00BF35BC">
              <w:rPr>
                <w:noProof/>
                <w:webHidden/>
              </w:rPr>
              <w:instrText xml:space="preserve"> PAGEREF _Toc453065288 \h </w:instrText>
            </w:r>
            <w:r w:rsidR="00BF35BC">
              <w:rPr>
                <w:noProof/>
                <w:webHidden/>
              </w:rPr>
            </w:r>
            <w:r w:rsidR="00BF35BC">
              <w:rPr>
                <w:noProof/>
                <w:webHidden/>
              </w:rPr>
              <w:fldChar w:fldCharType="separate"/>
            </w:r>
            <w:r w:rsidR="00A456ED">
              <w:rPr>
                <w:noProof/>
                <w:webHidden/>
              </w:rPr>
              <w:t>120</w:t>
            </w:r>
            <w:r w:rsidR="00BF35BC">
              <w:rPr>
                <w:noProof/>
                <w:webHidden/>
              </w:rPr>
              <w:fldChar w:fldCharType="end"/>
            </w:r>
          </w:hyperlink>
        </w:p>
        <w:p w14:paraId="1F9A6AC8" w14:textId="6D4A7F4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89" w:history="1">
            <w:r w:rsidR="00BF35BC" w:rsidRPr="00604235">
              <w:rPr>
                <w:rStyle w:val="Hyperlink"/>
                <w:noProof/>
              </w:rPr>
              <w:t>C.4.2</w:t>
            </w:r>
            <w:r w:rsidR="00BF35BC">
              <w:rPr>
                <w:rFonts w:asciiTheme="minorHAnsi" w:hAnsiTheme="minorHAnsi" w:cstheme="minorBidi"/>
                <w:i w:val="0"/>
                <w:iCs w:val="0"/>
                <w:noProof/>
                <w:sz w:val="22"/>
                <w:szCs w:val="22"/>
                <w:lang w:eastAsia="en-AU"/>
              </w:rPr>
              <w:tab/>
            </w:r>
            <w:r w:rsidR="00BF35BC" w:rsidRPr="00604235">
              <w:rPr>
                <w:rStyle w:val="Hyperlink"/>
                <w:noProof/>
              </w:rPr>
              <w:t>Results of the pre-modelling study</w:t>
            </w:r>
            <w:r w:rsidR="00BF35BC">
              <w:rPr>
                <w:noProof/>
                <w:webHidden/>
              </w:rPr>
              <w:tab/>
            </w:r>
            <w:r w:rsidR="00BF35BC">
              <w:rPr>
                <w:noProof/>
                <w:webHidden/>
              </w:rPr>
              <w:fldChar w:fldCharType="begin"/>
            </w:r>
            <w:r w:rsidR="00BF35BC">
              <w:rPr>
                <w:noProof/>
                <w:webHidden/>
              </w:rPr>
              <w:instrText xml:space="preserve"> PAGEREF _Toc453065289 \h </w:instrText>
            </w:r>
            <w:r w:rsidR="00BF35BC">
              <w:rPr>
                <w:noProof/>
                <w:webHidden/>
              </w:rPr>
            </w:r>
            <w:r w:rsidR="00BF35BC">
              <w:rPr>
                <w:noProof/>
                <w:webHidden/>
              </w:rPr>
              <w:fldChar w:fldCharType="separate"/>
            </w:r>
            <w:r w:rsidR="00A456ED">
              <w:rPr>
                <w:noProof/>
                <w:webHidden/>
              </w:rPr>
              <w:t>122</w:t>
            </w:r>
            <w:r w:rsidR="00BF35BC">
              <w:rPr>
                <w:noProof/>
                <w:webHidden/>
              </w:rPr>
              <w:fldChar w:fldCharType="end"/>
            </w:r>
          </w:hyperlink>
        </w:p>
        <w:p w14:paraId="01FF50D4" w14:textId="1F880781"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0" w:history="1">
            <w:r w:rsidR="00BF35BC" w:rsidRPr="00604235">
              <w:rPr>
                <w:rStyle w:val="Hyperlink"/>
                <w:noProof/>
              </w:rPr>
              <w:t>C.4.3</w:t>
            </w:r>
            <w:r w:rsidR="00BF35BC">
              <w:rPr>
                <w:rFonts w:asciiTheme="minorHAnsi" w:hAnsiTheme="minorHAnsi" w:cstheme="minorBidi"/>
                <w:i w:val="0"/>
                <w:iCs w:val="0"/>
                <w:noProof/>
                <w:sz w:val="22"/>
                <w:szCs w:val="22"/>
                <w:lang w:eastAsia="en-AU"/>
              </w:rPr>
              <w:tab/>
            </w:r>
            <w:r w:rsidR="00BF35BC" w:rsidRPr="00604235">
              <w:rPr>
                <w:rStyle w:val="Hyperlink"/>
                <w:noProof/>
              </w:rPr>
              <w:t>Relationship of the pre-modelling study to the economic model</w:t>
            </w:r>
            <w:r w:rsidR="00BF35BC">
              <w:rPr>
                <w:noProof/>
                <w:webHidden/>
              </w:rPr>
              <w:tab/>
            </w:r>
            <w:r w:rsidR="00BF35BC">
              <w:rPr>
                <w:noProof/>
                <w:webHidden/>
              </w:rPr>
              <w:fldChar w:fldCharType="begin"/>
            </w:r>
            <w:r w:rsidR="00BF35BC">
              <w:rPr>
                <w:noProof/>
                <w:webHidden/>
              </w:rPr>
              <w:instrText xml:space="preserve"> PAGEREF _Toc453065290 \h </w:instrText>
            </w:r>
            <w:r w:rsidR="00BF35BC">
              <w:rPr>
                <w:noProof/>
                <w:webHidden/>
              </w:rPr>
            </w:r>
            <w:r w:rsidR="00BF35BC">
              <w:rPr>
                <w:noProof/>
                <w:webHidden/>
              </w:rPr>
              <w:fldChar w:fldCharType="separate"/>
            </w:r>
            <w:r w:rsidR="00A456ED">
              <w:rPr>
                <w:noProof/>
                <w:webHidden/>
              </w:rPr>
              <w:t>127</w:t>
            </w:r>
            <w:r w:rsidR="00BF35BC">
              <w:rPr>
                <w:noProof/>
                <w:webHidden/>
              </w:rPr>
              <w:fldChar w:fldCharType="end"/>
            </w:r>
          </w:hyperlink>
        </w:p>
        <w:p w14:paraId="3ACC8425" w14:textId="22467B5A" w:rsidR="00BF35BC" w:rsidRDefault="00B76E8C" w:rsidP="00BF35BC">
          <w:pPr>
            <w:pStyle w:val="TOC2"/>
            <w:ind w:right="0" w:hanging="992"/>
            <w:rPr>
              <w:rFonts w:asciiTheme="minorHAnsi" w:hAnsiTheme="minorHAnsi" w:cstheme="minorBidi"/>
              <w:smallCaps w:val="0"/>
              <w:lang w:eastAsia="en-AU"/>
            </w:rPr>
          </w:pPr>
          <w:hyperlink w:anchor="_Toc453065291" w:history="1">
            <w:r w:rsidR="00BF35BC" w:rsidRPr="00604235">
              <w:rPr>
                <w:rStyle w:val="Hyperlink"/>
              </w:rPr>
              <w:t>C.5</w:t>
            </w:r>
            <w:r w:rsidR="00BF35BC">
              <w:rPr>
                <w:rFonts w:asciiTheme="minorHAnsi" w:hAnsiTheme="minorHAnsi" w:cstheme="minorBidi"/>
                <w:smallCaps w:val="0"/>
                <w:lang w:eastAsia="en-AU"/>
              </w:rPr>
              <w:tab/>
            </w:r>
            <w:r w:rsidR="00BF35BC" w:rsidRPr="00604235">
              <w:rPr>
                <w:rStyle w:val="Hyperlink"/>
              </w:rPr>
              <w:t>Selection of costing data</w:t>
            </w:r>
            <w:r w:rsidR="00BF35BC">
              <w:rPr>
                <w:webHidden/>
              </w:rPr>
              <w:tab/>
            </w:r>
            <w:r w:rsidR="00BF35BC">
              <w:rPr>
                <w:webHidden/>
              </w:rPr>
              <w:fldChar w:fldCharType="begin"/>
            </w:r>
            <w:r w:rsidR="00BF35BC">
              <w:rPr>
                <w:webHidden/>
              </w:rPr>
              <w:instrText xml:space="preserve"> PAGEREF _Toc453065291 \h </w:instrText>
            </w:r>
            <w:r w:rsidR="00BF35BC">
              <w:rPr>
                <w:webHidden/>
              </w:rPr>
            </w:r>
            <w:r w:rsidR="00BF35BC">
              <w:rPr>
                <w:webHidden/>
              </w:rPr>
              <w:fldChar w:fldCharType="separate"/>
            </w:r>
            <w:r w:rsidR="00A456ED">
              <w:rPr>
                <w:webHidden/>
              </w:rPr>
              <w:t>127</w:t>
            </w:r>
            <w:r w:rsidR="00BF35BC">
              <w:rPr>
                <w:webHidden/>
              </w:rPr>
              <w:fldChar w:fldCharType="end"/>
            </w:r>
          </w:hyperlink>
        </w:p>
        <w:p w14:paraId="52F662F3" w14:textId="119F6156"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2" w:history="1">
            <w:r w:rsidR="00BF35BC" w:rsidRPr="00604235">
              <w:rPr>
                <w:rStyle w:val="Hyperlink"/>
                <w:noProof/>
              </w:rPr>
              <w:t>C.5.1</w:t>
            </w:r>
            <w:r w:rsidR="00BF35BC">
              <w:rPr>
                <w:rFonts w:asciiTheme="minorHAnsi" w:hAnsiTheme="minorHAnsi" w:cstheme="minorBidi"/>
                <w:i w:val="0"/>
                <w:iCs w:val="0"/>
                <w:noProof/>
                <w:sz w:val="22"/>
                <w:szCs w:val="22"/>
                <w:lang w:eastAsia="en-AU"/>
              </w:rPr>
              <w:tab/>
            </w:r>
            <w:r w:rsidR="00BF35BC" w:rsidRPr="00604235">
              <w:rPr>
                <w:rStyle w:val="Hyperlink"/>
                <w:noProof/>
              </w:rPr>
              <w:t>Focused analytical plan</w:t>
            </w:r>
            <w:r w:rsidR="00BF35BC">
              <w:rPr>
                <w:noProof/>
                <w:webHidden/>
              </w:rPr>
              <w:tab/>
            </w:r>
            <w:r w:rsidR="00BF35BC">
              <w:rPr>
                <w:noProof/>
                <w:webHidden/>
              </w:rPr>
              <w:fldChar w:fldCharType="begin"/>
            </w:r>
            <w:r w:rsidR="00BF35BC">
              <w:rPr>
                <w:noProof/>
                <w:webHidden/>
              </w:rPr>
              <w:instrText xml:space="preserve"> PAGEREF _Toc453065292 \h </w:instrText>
            </w:r>
            <w:r w:rsidR="00BF35BC">
              <w:rPr>
                <w:noProof/>
                <w:webHidden/>
              </w:rPr>
            </w:r>
            <w:r w:rsidR="00BF35BC">
              <w:rPr>
                <w:noProof/>
                <w:webHidden/>
              </w:rPr>
              <w:fldChar w:fldCharType="separate"/>
            </w:r>
            <w:r w:rsidR="00A456ED">
              <w:rPr>
                <w:noProof/>
                <w:webHidden/>
              </w:rPr>
              <w:t>130</w:t>
            </w:r>
            <w:r w:rsidR="00BF35BC">
              <w:rPr>
                <w:noProof/>
                <w:webHidden/>
              </w:rPr>
              <w:fldChar w:fldCharType="end"/>
            </w:r>
          </w:hyperlink>
        </w:p>
        <w:p w14:paraId="513ED726" w14:textId="1F7AEB6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3" w:history="1">
            <w:r w:rsidR="00BF35BC" w:rsidRPr="00604235">
              <w:rPr>
                <w:rStyle w:val="Hyperlink"/>
                <w:noProof/>
              </w:rPr>
              <w:t>C.5.2</w:t>
            </w:r>
            <w:r w:rsidR="00BF35BC">
              <w:rPr>
                <w:rFonts w:asciiTheme="minorHAnsi" w:hAnsiTheme="minorHAnsi" w:cstheme="minorBidi"/>
                <w:i w:val="0"/>
                <w:iCs w:val="0"/>
                <w:noProof/>
                <w:sz w:val="22"/>
                <w:szCs w:val="22"/>
                <w:lang w:eastAsia="en-AU"/>
              </w:rPr>
              <w:tab/>
            </w:r>
            <w:r w:rsidR="00BF35BC" w:rsidRPr="00604235">
              <w:rPr>
                <w:rStyle w:val="Hyperlink"/>
                <w:noProof/>
              </w:rPr>
              <w:t>Results of the pre-modelling study</w:t>
            </w:r>
            <w:r w:rsidR="00BF35BC">
              <w:rPr>
                <w:noProof/>
                <w:webHidden/>
              </w:rPr>
              <w:tab/>
            </w:r>
            <w:r w:rsidR="00BF35BC">
              <w:rPr>
                <w:noProof/>
                <w:webHidden/>
              </w:rPr>
              <w:fldChar w:fldCharType="begin"/>
            </w:r>
            <w:r w:rsidR="00BF35BC">
              <w:rPr>
                <w:noProof/>
                <w:webHidden/>
              </w:rPr>
              <w:instrText xml:space="preserve"> PAGEREF _Toc453065293 \h </w:instrText>
            </w:r>
            <w:r w:rsidR="00BF35BC">
              <w:rPr>
                <w:noProof/>
                <w:webHidden/>
              </w:rPr>
            </w:r>
            <w:r w:rsidR="00BF35BC">
              <w:rPr>
                <w:noProof/>
                <w:webHidden/>
              </w:rPr>
              <w:fldChar w:fldCharType="separate"/>
            </w:r>
            <w:r w:rsidR="00A456ED">
              <w:rPr>
                <w:noProof/>
                <w:webHidden/>
              </w:rPr>
              <w:t>132</w:t>
            </w:r>
            <w:r w:rsidR="00BF35BC">
              <w:rPr>
                <w:noProof/>
                <w:webHidden/>
              </w:rPr>
              <w:fldChar w:fldCharType="end"/>
            </w:r>
          </w:hyperlink>
        </w:p>
        <w:p w14:paraId="72D0A298" w14:textId="5B866E65"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4" w:history="1">
            <w:r w:rsidR="00BF35BC" w:rsidRPr="00604235">
              <w:rPr>
                <w:rStyle w:val="Hyperlink"/>
                <w:noProof/>
              </w:rPr>
              <w:t>C.5.3</w:t>
            </w:r>
            <w:r w:rsidR="00BF35BC">
              <w:rPr>
                <w:rFonts w:asciiTheme="minorHAnsi" w:hAnsiTheme="minorHAnsi" w:cstheme="minorBidi"/>
                <w:i w:val="0"/>
                <w:iCs w:val="0"/>
                <w:noProof/>
                <w:sz w:val="22"/>
                <w:szCs w:val="22"/>
                <w:lang w:eastAsia="en-AU"/>
              </w:rPr>
              <w:tab/>
            </w:r>
            <w:r w:rsidR="00BF35BC" w:rsidRPr="00604235">
              <w:rPr>
                <w:rStyle w:val="Hyperlink"/>
                <w:noProof/>
              </w:rPr>
              <w:t>Relationship of the pre-modelling study to the economic model</w:t>
            </w:r>
            <w:r w:rsidR="00BF35BC">
              <w:rPr>
                <w:noProof/>
                <w:webHidden/>
              </w:rPr>
              <w:tab/>
            </w:r>
            <w:r w:rsidR="00BF35BC">
              <w:rPr>
                <w:noProof/>
                <w:webHidden/>
              </w:rPr>
              <w:fldChar w:fldCharType="begin"/>
            </w:r>
            <w:r w:rsidR="00BF35BC">
              <w:rPr>
                <w:noProof/>
                <w:webHidden/>
              </w:rPr>
              <w:instrText xml:space="preserve"> PAGEREF _Toc453065294 \h </w:instrText>
            </w:r>
            <w:r w:rsidR="00BF35BC">
              <w:rPr>
                <w:noProof/>
                <w:webHidden/>
              </w:rPr>
            </w:r>
            <w:r w:rsidR="00BF35BC">
              <w:rPr>
                <w:noProof/>
                <w:webHidden/>
              </w:rPr>
              <w:fldChar w:fldCharType="separate"/>
            </w:r>
            <w:r w:rsidR="00A456ED">
              <w:rPr>
                <w:noProof/>
                <w:webHidden/>
              </w:rPr>
              <w:t>143</w:t>
            </w:r>
            <w:r w:rsidR="00BF35BC">
              <w:rPr>
                <w:noProof/>
                <w:webHidden/>
              </w:rPr>
              <w:fldChar w:fldCharType="end"/>
            </w:r>
          </w:hyperlink>
        </w:p>
        <w:p w14:paraId="48FAA099" w14:textId="4C925941" w:rsidR="00BF35BC" w:rsidRDefault="00B76E8C" w:rsidP="00BF35BC">
          <w:pPr>
            <w:pStyle w:val="TOC2"/>
            <w:ind w:right="0" w:hanging="992"/>
            <w:rPr>
              <w:rFonts w:asciiTheme="minorHAnsi" w:hAnsiTheme="minorHAnsi" w:cstheme="minorBidi"/>
              <w:smallCaps w:val="0"/>
              <w:lang w:eastAsia="en-AU"/>
            </w:rPr>
          </w:pPr>
          <w:hyperlink w:anchor="_Toc453065295" w:history="1">
            <w:r w:rsidR="00BF35BC" w:rsidRPr="00604235">
              <w:rPr>
                <w:rStyle w:val="Hyperlink"/>
              </w:rPr>
              <w:t>C.6</w:t>
            </w:r>
            <w:r w:rsidR="00BF35BC">
              <w:rPr>
                <w:rFonts w:asciiTheme="minorHAnsi" w:hAnsiTheme="minorHAnsi" w:cstheme="minorBidi"/>
                <w:smallCaps w:val="0"/>
                <w:lang w:eastAsia="en-AU"/>
              </w:rPr>
              <w:tab/>
            </w:r>
            <w:r w:rsidR="00BF35BC" w:rsidRPr="00604235">
              <w:rPr>
                <w:rStyle w:val="Hyperlink"/>
              </w:rPr>
              <w:t>Risk of recurrent strokes</w:t>
            </w:r>
            <w:r w:rsidR="00BF35BC">
              <w:rPr>
                <w:webHidden/>
              </w:rPr>
              <w:tab/>
            </w:r>
            <w:r w:rsidR="00BF35BC">
              <w:rPr>
                <w:webHidden/>
              </w:rPr>
              <w:fldChar w:fldCharType="begin"/>
            </w:r>
            <w:r w:rsidR="00BF35BC">
              <w:rPr>
                <w:webHidden/>
              </w:rPr>
              <w:instrText xml:space="preserve"> PAGEREF _Toc453065295 \h </w:instrText>
            </w:r>
            <w:r w:rsidR="00BF35BC">
              <w:rPr>
                <w:webHidden/>
              </w:rPr>
            </w:r>
            <w:r w:rsidR="00BF35BC">
              <w:rPr>
                <w:webHidden/>
              </w:rPr>
              <w:fldChar w:fldCharType="separate"/>
            </w:r>
            <w:r w:rsidR="00A456ED">
              <w:rPr>
                <w:webHidden/>
              </w:rPr>
              <w:t>145</w:t>
            </w:r>
            <w:r w:rsidR="00BF35BC">
              <w:rPr>
                <w:webHidden/>
              </w:rPr>
              <w:fldChar w:fldCharType="end"/>
            </w:r>
          </w:hyperlink>
        </w:p>
        <w:p w14:paraId="51EFDF54" w14:textId="5FB0006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6" w:history="1">
            <w:r w:rsidR="00BF35BC" w:rsidRPr="00604235">
              <w:rPr>
                <w:rStyle w:val="Hyperlink"/>
                <w:noProof/>
              </w:rPr>
              <w:t>C.6.1</w:t>
            </w:r>
            <w:r w:rsidR="00BF35BC">
              <w:rPr>
                <w:rFonts w:asciiTheme="minorHAnsi" w:hAnsiTheme="minorHAnsi" w:cstheme="minorBidi"/>
                <w:i w:val="0"/>
                <w:iCs w:val="0"/>
                <w:noProof/>
                <w:sz w:val="22"/>
                <w:szCs w:val="22"/>
                <w:lang w:eastAsia="en-AU"/>
              </w:rPr>
              <w:tab/>
            </w:r>
            <w:r w:rsidR="00BF35BC" w:rsidRPr="00604235">
              <w:rPr>
                <w:rStyle w:val="Hyperlink"/>
                <w:noProof/>
              </w:rPr>
              <w:t>Focused analytical plan</w:t>
            </w:r>
            <w:r w:rsidR="00BF35BC">
              <w:rPr>
                <w:noProof/>
                <w:webHidden/>
              </w:rPr>
              <w:tab/>
            </w:r>
            <w:r w:rsidR="00BF35BC">
              <w:rPr>
                <w:noProof/>
                <w:webHidden/>
              </w:rPr>
              <w:fldChar w:fldCharType="begin"/>
            </w:r>
            <w:r w:rsidR="00BF35BC">
              <w:rPr>
                <w:noProof/>
                <w:webHidden/>
              </w:rPr>
              <w:instrText xml:space="preserve"> PAGEREF _Toc453065296 \h </w:instrText>
            </w:r>
            <w:r w:rsidR="00BF35BC">
              <w:rPr>
                <w:noProof/>
                <w:webHidden/>
              </w:rPr>
            </w:r>
            <w:r w:rsidR="00BF35BC">
              <w:rPr>
                <w:noProof/>
                <w:webHidden/>
              </w:rPr>
              <w:fldChar w:fldCharType="separate"/>
            </w:r>
            <w:r w:rsidR="00A456ED">
              <w:rPr>
                <w:noProof/>
                <w:webHidden/>
              </w:rPr>
              <w:t>145</w:t>
            </w:r>
            <w:r w:rsidR="00BF35BC">
              <w:rPr>
                <w:noProof/>
                <w:webHidden/>
              </w:rPr>
              <w:fldChar w:fldCharType="end"/>
            </w:r>
          </w:hyperlink>
        </w:p>
        <w:p w14:paraId="7A5779DF" w14:textId="564FC1FE"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7" w:history="1">
            <w:r w:rsidR="00BF35BC" w:rsidRPr="00604235">
              <w:rPr>
                <w:rStyle w:val="Hyperlink"/>
                <w:noProof/>
              </w:rPr>
              <w:t>C.6.2</w:t>
            </w:r>
            <w:r w:rsidR="00BF35BC">
              <w:rPr>
                <w:rFonts w:asciiTheme="minorHAnsi" w:hAnsiTheme="minorHAnsi" w:cstheme="minorBidi"/>
                <w:i w:val="0"/>
                <w:iCs w:val="0"/>
                <w:noProof/>
                <w:sz w:val="22"/>
                <w:szCs w:val="22"/>
                <w:lang w:eastAsia="en-AU"/>
              </w:rPr>
              <w:tab/>
            </w:r>
            <w:r w:rsidR="00BF35BC" w:rsidRPr="00604235">
              <w:rPr>
                <w:rStyle w:val="Hyperlink"/>
                <w:noProof/>
              </w:rPr>
              <w:t>Results of the pre-modelling study</w:t>
            </w:r>
            <w:r w:rsidR="00BF35BC">
              <w:rPr>
                <w:noProof/>
                <w:webHidden/>
              </w:rPr>
              <w:tab/>
            </w:r>
            <w:r w:rsidR="00BF35BC">
              <w:rPr>
                <w:noProof/>
                <w:webHidden/>
              </w:rPr>
              <w:fldChar w:fldCharType="begin"/>
            </w:r>
            <w:r w:rsidR="00BF35BC">
              <w:rPr>
                <w:noProof/>
                <w:webHidden/>
              </w:rPr>
              <w:instrText xml:space="preserve"> PAGEREF _Toc453065297 \h </w:instrText>
            </w:r>
            <w:r w:rsidR="00BF35BC">
              <w:rPr>
                <w:noProof/>
                <w:webHidden/>
              </w:rPr>
            </w:r>
            <w:r w:rsidR="00BF35BC">
              <w:rPr>
                <w:noProof/>
                <w:webHidden/>
              </w:rPr>
              <w:fldChar w:fldCharType="separate"/>
            </w:r>
            <w:r w:rsidR="00A456ED">
              <w:rPr>
                <w:noProof/>
                <w:webHidden/>
              </w:rPr>
              <w:t>146</w:t>
            </w:r>
            <w:r w:rsidR="00BF35BC">
              <w:rPr>
                <w:noProof/>
                <w:webHidden/>
              </w:rPr>
              <w:fldChar w:fldCharType="end"/>
            </w:r>
          </w:hyperlink>
        </w:p>
        <w:p w14:paraId="08EB507C" w14:textId="347E0622"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298" w:history="1">
            <w:r w:rsidR="00BF35BC" w:rsidRPr="00604235">
              <w:rPr>
                <w:rStyle w:val="Hyperlink"/>
                <w:noProof/>
              </w:rPr>
              <w:t>C.6.3</w:t>
            </w:r>
            <w:r w:rsidR="00BF35BC">
              <w:rPr>
                <w:rFonts w:asciiTheme="minorHAnsi" w:hAnsiTheme="minorHAnsi" w:cstheme="minorBidi"/>
                <w:i w:val="0"/>
                <w:iCs w:val="0"/>
                <w:noProof/>
                <w:sz w:val="22"/>
                <w:szCs w:val="22"/>
                <w:lang w:eastAsia="en-AU"/>
              </w:rPr>
              <w:tab/>
            </w:r>
            <w:r w:rsidR="00BF35BC" w:rsidRPr="00604235">
              <w:rPr>
                <w:rStyle w:val="Hyperlink"/>
                <w:noProof/>
              </w:rPr>
              <w:t>Relationship of the pre-modelling study to the economic model</w:t>
            </w:r>
            <w:r w:rsidR="00BF35BC">
              <w:rPr>
                <w:noProof/>
                <w:webHidden/>
              </w:rPr>
              <w:tab/>
            </w:r>
            <w:r w:rsidR="00BF35BC">
              <w:rPr>
                <w:noProof/>
                <w:webHidden/>
              </w:rPr>
              <w:fldChar w:fldCharType="begin"/>
            </w:r>
            <w:r w:rsidR="00BF35BC">
              <w:rPr>
                <w:noProof/>
                <w:webHidden/>
              </w:rPr>
              <w:instrText xml:space="preserve"> PAGEREF _Toc453065298 \h </w:instrText>
            </w:r>
            <w:r w:rsidR="00BF35BC">
              <w:rPr>
                <w:noProof/>
                <w:webHidden/>
              </w:rPr>
            </w:r>
            <w:r w:rsidR="00BF35BC">
              <w:rPr>
                <w:noProof/>
                <w:webHidden/>
              </w:rPr>
              <w:fldChar w:fldCharType="separate"/>
            </w:r>
            <w:r w:rsidR="00A456ED">
              <w:rPr>
                <w:noProof/>
                <w:webHidden/>
              </w:rPr>
              <w:t>148</w:t>
            </w:r>
            <w:r w:rsidR="00BF35BC">
              <w:rPr>
                <w:noProof/>
                <w:webHidden/>
              </w:rPr>
              <w:fldChar w:fldCharType="end"/>
            </w:r>
          </w:hyperlink>
        </w:p>
        <w:p w14:paraId="467B4AE3" w14:textId="553F10F9" w:rsidR="00BF35BC" w:rsidRDefault="00B76E8C" w:rsidP="00BF35BC">
          <w:pPr>
            <w:pStyle w:val="TOC2"/>
            <w:ind w:right="0" w:hanging="992"/>
            <w:rPr>
              <w:rFonts w:asciiTheme="minorHAnsi" w:hAnsiTheme="minorHAnsi" w:cstheme="minorBidi"/>
              <w:smallCaps w:val="0"/>
              <w:lang w:eastAsia="en-AU"/>
            </w:rPr>
          </w:pPr>
          <w:hyperlink w:anchor="_Toc453065299" w:history="1">
            <w:r w:rsidR="00BF35BC" w:rsidRPr="00604235">
              <w:rPr>
                <w:rStyle w:val="Hyperlink"/>
              </w:rPr>
              <w:t>C.7</w:t>
            </w:r>
            <w:r w:rsidR="00BF35BC">
              <w:rPr>
                <w:rFonts w:asciiTheme="minorHAnsi" w:hAnsiTheme="minorHAnsi" w:cstheme="minorBidi"/>
                <w:smallCaps w:val="0"/>
                <w:lang w:eastAsia="en-AU"/>
              </w:rPr>
              <w:tab/>
            </w:r>
            <w:r w:rsidR="00BF35BC" w:rsidRPr="00604235">
              <w:rPr>
                <w:rStyle w:val="Hyperlink"/>
              </w:rPr>
              <w:t>Long-term transitions in mRS scores</w:t>
            </w:r>
            <w:r w:rsidR="00BF35BC">
              <w:rPr>
                <w:webHidden/>
              </w:rPr>
              <w:tab/>
            </w:r>
            <w:r w:rsidR="00BF35BC">
              <w:rPr>
                <w:webHidden/>
              </w:rPr>
              <w:fldChar w:fldCharType="begin"/>
            </w:r>
            <w:r w:rsidR="00BF35BC">
              <w:rPr>
                <w:webHidden/>
              </w:rPr>
              <w:instrText xml:space="preserve"> PAGEREF _Toc453065299 \h </w:instrText>
            </w:r>
            <w:r w:rsidR="00BF35BC">
              <w:rPr>
                <w:webHidden/>
              </w:rPr>
            </w:r>
            <w:r w:rsidR="00BF35BC">
              <w:rPr>
                <w:webHidden/>
              </w:rPr>
              <w:fldChar w:fldCharType="separate"/>
            </w:r>
            <w:r w:rsidR="00A456ED">
              <w:rPr>
                <w:webHidden/>
              </w:rPr>
              <w:t>149</w:t>
            </w:r>
            <w:r w:rsidR="00BF35BC">
              <w:rPr>
                <w:webHidden/>
              </w:rPr>
              <w:fldChar w:fldCharType="end"/>
            </w:r>
          </w:hyperlink>
        </w:p>
        <w:p w14:paraId="02F4B5E5" w14:textId="5D22F8C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00" w:history="1">
            <w:r w:rsidR="00BF35BC" w:rsidRPr="00604235">
              <w:rPr>
                <w:rStyle w:val="Hyperlink"/>
                <w:noProof/>
              </w:rPr>
              <w:t>C.7.1</w:t>
            </w:r>
            <w:r w:rsidR="00BF35BC">
              <w:rPr>
                <w:rFonts w:asciiTheme="minorHAnsi" w:hAnsiTheme="minorHAnsi" w:cstheme="minorBidi"/>
                <w:i w:val="0"/>
                <w:iCs w:val="0"/>
                <w:noProof/>
                <w:sz w:val="22"/>
                <w:szCs w:val="22"/>
                <w:lang w:eastAsia="en-AU"/>
              </w:rPr>
              <w:tab/>
            </w:r>
            <w:r w:rsidR="00BF35BC" w:rsidRPr="00604235">
              <w:rPr>
                <w:rStyle w:val="Hyperlink"/>
                <w:noProof/>
              </w:rPr>
              <w:t>Focused analytical plan</w:t>
            </w:r>
            <w:r w:rsidR="00BF35BC">
              <w:rPr>
                <w:noProof/>
                <w:webHidden/>
              </w:rPr>
              <w:tab/>
            </w:r>
            <w:r w:rsidR="00BF35BC">
              <w:rPr>
                <w:noProof/>
                <w:webHidden/>
              </w:rPr>
              <w:fldChar w:fldCharType="begin"/>
            </w:r>
            <w:r w:rsidR="00BF35BC">
              <w:rPr>
                <w:noProof/>
                <w:webHidden/>
              </w:rPr>
              <w:instrText xml:space="preserve"> PAGEREF _Toc453065300 \h </w:instrText>
            </w:r>
            <w:r w:rsidR="00BF35BC">
              <w:rPr>
                <w:noProof/>
                <w:webHidden/>
              </w:rPr>
            </w:r>
            <w:r w:rsidR="00BF35BC">
              <w:rPr>
                <w:noProof/>
                <w:webHidden/>
              </w:rPr>
              <w:fldChar w:fldCharType="separate"/>
            </w:r>
            <w:r w:rsidR="00A456ED">
              <w:rPr>
                <w:noProof/>
                <w:webHidden/>
              </w:rPr>
              <w:t>149</w:t>
            </w:r>
            <w:r w:rsidR="00BF35BC">
              <w:rPr>
                <w:noProof/>
                <w:webHidden/>
              </w:rPr>
              <w:fldChar w:fldCharType="end"/>
            </w:r>
          </w:hyperlink>
        </w:p>
        <w:p w14:paraId="00F2B3FD" w14:textId="652C5589"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01" w:history="1">
            <w:r w:rsidR="00BF35BC" w:rsidRPr="00604235">
              <w:rPr>
                <w:rStyle w:val="Hyperlink"/>
                <w:noProof/>
              </w:rPr>
              <w:t>C.7.2</w:t>
            </w:r>
            <w:r w:rsidR="00BF35BC">
              <w:rPr>
                <w:rFonts w:asciiTheme="minorHAnsi" w:hAnsiTheme="minorHAnsi" w:cstheme="minorBidi"/>
                <w:i w:val="0"/>
                <w:iCs w:val="0"/>
                <w:noProof/>
                <w:sz w:val="22"/>
                <w:szCs w:val="22"/>
                <w:lang w:eastAsia="en-AU"/>
              </w:rPr>
              <w:tab/>
            </w:r>
            <w:r w:rsidR="00BF35BC" w:rsidRPr="00604235">
              <w:rPr>
                <w:rStyle w:val="Hyperlink"/>
                <w:noProof/>
              </w:rPr>
              <w:t>Results of the pre-modelling study</w:t>
            </w:r>
            <w:r w:rsidR="00BF35BC">
              <w:rPr>
                <w:noProof/>
                <w:webHidden/>
              </w:rPr>
              <w:tab/>
            </w:r>
            <w:r w:rsidR="00BF35BC">
              <w:rPr>
                <w:noProof/>
                <w:webHidden/>
              </w:rPr>
              <w:fldChar w:fldCharType="begin"/>
            </w:r>
            <w:r w:rsidR="00BF35BC">
              <w:rPr>
                <w:noProof/>
                <w:webHidden/>
              </w:rPr>
              <w:instrText xml:space="preserve"> PAGEREF _Toc453065301 \h </w:instrText>
            </w:r>
            <w:r w:rsidR="00BF35BC">
              <w:rPr>
                <w:noProof/>
                <w:webHidden/>
              </w:rPr>
            </w:r>
            <w:r w:rsidR="00BF35BC">
              <w:rPr>
                <w:noProof/>
                <w:webHidden/>
              </w:rPr>
              <w:fldChar w:fldCharType="separate"/>
            </w:r>
            <w:r w:rsidR="00A456ED">
              <w:rPr>
                <w:noProof/>
                <w:webHidden/>
              </w:rPr>
              <w:t>150</w:t>
            </w:r>
            <w:r w:rsidR="00BF35BC">
              <w:rPr>
                <w:noProof/>
                <w:webHidden/>
              </w:rPr>
              <w:fldChar w:fldCharType="end"/>
            </w:r>
          </w:hyperlink>
        </w:p>
        <w:p w14:paraId="79EFA150" w14:textId="0103634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02" w:history="1">
            <w:r w:rsidR="00BF35BC" w:rsidRPr="00604235">
              <w:rPr>
                <w:rStyle w:val="Hyperlink"/>
                <w:noProof/>
              </w:rPr>
              <w:t>C.7.3</w:t>
            </w:r>
            <w:r w:rsidR="00BF35BC">
              <w:rPr>
                <w:rFonts w:asciiTheme="minorHAnsi" w:hAnsiTheme="minorHAnsi" w:cstheme="minorBidi"/>
                <w:i w:val="0"/>
                <w:iCs w:val="0"/>
                <w:noProof/>
                <w:sz w:val="22"/>
                <w:szCs w:val="22"/>
                <w:lang w:eastAsia="en-AU"/>
              </w:rPr>
              <w:tab/>
            </w:r>
            <w:r w:rsidR="00BF35BC" w:rsidRPr="00604235">
              <w:rPr>
                <w:rStyle w:val="Hyperlink"/>
                <w:noProof/>
              </w:rPr>
              <w:t>Relationship of the pre-modelling study to the economic model</w:t>
            </w:r>
            <w:r w:rsidR="00BF35BC">
              <w:rPr>
                <w:noProof/>
                <w:webHidden/>
              </w:rPr>
              <w:tab/>
            </w:r>
            <w:r w:rsidR="00BF35BC">
              <w:rPr>
                <w:noProof/>
                <w:webHidden/>
              </w:rPr>
              <w:fldChar w:fldCharType="begin"/>
            </w:r>
            <w:r w:rsidR="00BF35BC">
              <w:rPr>
                <w:noProof/>
                <w:webHidden/>
              </w:rPr>
              <w:instrText xml:space="preserve"> PAGEREF _Toc453065302 \h </w:instrText>
            </w:r>
            <w:r w:rsidR="00BF35BC">
              <w:rPr>
                <w:noProof/>
                <w:webHidden/>
              </w:rPr>
            </w:r>
            <w:r w:rsidR="00BF35BC">
              <w:rPr>
                <w:noProof/>
                <w:webHidden/>
              </w:rPr>
              <w:fldChar w:fldCharType="separate"/>
            </w:r>
            <w:r w:rsidR="00A456ED">
              <w:rPr>
                <w:noProof/>
                <w:webHidden/>
              </w:rPr>
              <w:t>153</w:t>
            </w:r>
            <w:r w:rsidR="00BF35BC">
              <w:rPr>
                <w:noProof/>
                <w:webHidden/>
              </w:rPr>
              <w:fldChar w:fldCharType="end"/>
            </w:r>
          </w:hyperlink>
        </w:p>
        <w:p w14:paraId="790C77EF" w14:textId="2BEC56D8" w:rsidR="00BF35BC" w:rsidRDefault="00B76E8C" w:rsidP="00BF35BC">
          <w:pPr>
            <w:pStyle w:val="TOC1"/>
            <w:ind w:left="992" w:hanging="992"/>
            <w:rPr>
              <w:rFonts w:asciiTheme="minorHAnsi" w:hAnsiTheme="minorHAnsi" w:cstheme="minorBidi"/>
              <w:b w:val="0"/>
              <w:bCs w:val="0"/>
              <w:caps w:val="0"/>
              <w:lang w:eastAsia="en-AU"/>
            </w:rPr>
          </w:pPr>
          <w:hyperlink w:anchor="_Toc453065303" w:history="1">
            <w:r w:rsidR="00BF35BC" w:rsidRPr="00604235">
              <w:rPr>
                <w:rStyle w:val="Hyperlink"/>
              </w:rPr>
              <w:t>D.</w:t>
            </w:r>
            <w:r w:rsidR="00BF35BC">
              <w:rPr>
                <w:rFonts w:asciiTheme="minorHAnsi" w:hAnsiTheme="minorHAnsi" w:cstheme="minorBidi"/>
                <w:b w:val="0"/>
                <w:bCs w:val="0"/>
                <w:caps w:val="0"/>
                <w:lang w:eastAsia="en-AU"/>
              </w:rPr>
              <w:tab/>
            </w:r>
            <w:r w:rsidR="00BF35BC" w:rsidRPr="00604235">
              <w:rPr>
                <w:rStyle w:val="Hyperlink"/>
              </w:rPr>
              <w:t>Economic Evaluation for the Main Indication</w:t>
            </w:r>
            <w:r w:rsidR="00BF35BC">
              <w:rPr>
                <w:webHidden/>
              </w:rPr>
              <w:tab/>
            </w:r>
            <w:r w:rsidR="00BF35BC">
              <w:rPr>
                <w:webHidden/>
              </w:rPr>
              <w:fldChar w:fldCharType="begin"/>
            </w:r>
            <w:r w:rsidR="00BF35BC">
              <w:rPr>
                <w:webHidden/>
              </w:rPr>
              <w:instrText xml:space="preserve"> PAGEREF _Toc453065303 \h </w:instrText>
            </w:r>
            <w:r w:rsidR="00BF35BC">
              <w:rPr>
                <w:webHidden/>
              </w:rPr>
            </w:r>
            <w:r w:rsidR="00BF35BC">
              <w:rPr>
                <w:webHidden/>
              </w:rPr>
              <w:fldChar w:fldCharType="separate"/>
            </w:r>
            <w:r w:rsidR="00A456ED">
              <w:rPr>
                <w:webHidden/>
              </w:rPr>
              <w:t>160</w:t>
            </w:r>
            <w:r w:rsidR="00BF35BC">
              <w:rPr>
                <w:webHidden/>
              </w:rPr>
              <w:fldChar w:fldCharType="end"/>
            </w:r>
          </w:hyperlink>
        </w:p>
        <w:p w14:paraId="6E61FEFD" w14:textId="500F26F6" w:rsidR="00BF35BC" w:rsidRDefault="00B76E8C" w:rsidP="00BF35BC">
          <w:pPr>
            <w:pStyle w:val="TOC2"/>
            <w:ind w:right="0" w:hanging="992"/>
            <w:rPr>
              <w:rFonts w:asciiTheme="minorHAnsi" w:hAnsiTheme="minorHAnsi" w:cstheme="minorBidi"/>
              <w:smallCaps w:val="0"/>
              <w:lang w:eastAsia="en-AU"/>
            </w:rPr>
          </w:pPr>
          <w:hyperlink w:anchor="_Toc453065304" w:history="1">
            <w:r w:rsidR="00BF35BC" w:rsidRPr="00604235">
              <w:rPr>
                <w:rStyle w:val="Hyperlink"/>
              </w:rPr>
              <w:t>D.1</w:t>
            </w:r>
            <w:r w:rsidR="00BF35BC">
              <w:rPr>
                <w:rFonts w:asciiTheme="minorHAnsi" w:hAnsiTheme="minorHAnsi" w:cstheme="minorBidi"/>
                <w:smallCaps w:val="0"/>
                <w:lang w:eastAsia="en-AU"/>
              </w:rPr>
              <w:tab/>
            </w:r>
            <w:r w:rsidR="00BF35BC" w:rsidRPr="00604235">
              <w:rPr>
                <w:rStyle w:val="Hyperlink"/>
              </w:rPr>
              <w:t>Overview of the economic evaluation</w:t>
            </w:r>
            <w:r w:rsidR="00BF35BC">
              <w:rPr>
                <w:webHidden/>
              </w:rPr>
              <w:tab/>
            </w:r>
            <w:r w:rsidR="00BF35BC">
              <w:rPr>
                <w:webHidden/>
              </w:rPr>
              <w:fldChar w:fldCharType="begin"/>
            </w:r>
            <w:r w:rsidR="00BF35BC">
              <w:rPr>
                <w:webHidden/>
              </w:rPr>
              <w:instrText xml:space="preserve"> PAGEREF _Toc453065304 \h </w:instrText>
            </w:r>
            <w:r w:rsidR="00BF35BC">
              <w:rPr>
                <w:webHidden/>
              </w:rPr>
            </w:r>
            <w:r w:rsidR="00BF35BC">
              <w:rPr>
                <w:webHidden/>
              </w:rPr>
              <w:fldChar w:fldCharType="separate"/>
            </w:r>
            <w:r w:rsidR="00A456ED">
              <w:rPr>
                <w:webHidden/>
              </w:rPr>
              <w:t>161</w:t>
            </w:r>
            <w:r w:rsidR="00BF35BC">
              <w:rPr>
                <w:webHidden/>
              </w:rPr>
              <w:fldChar w:fldCharType="end"/>
            </w:r>
          </w:hyperlink>
        </w:p>
        <w:p w14:paraId="408010CB" w14:textId="4297500C"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05" w:history="1">
            <w:r w:rsidR="00BF35BC" w:rsidRPr="00604235">
              <w:rPr>
                <w:rStyle w:val="Hyperlink"/>
                <w:noProof/>
              </w:rPr>
              <w:t>D.1.1</w:t>
            </w:r>
            <w:r w:rsidR="00BF35BC">
              <w:rPr>
                <w:rFonts w:asciiTheme="minorHAnsi" w:hAnsiTheme="minorHAnsi" w:cstheme="minorBidi"/>
                <w:i w:val="0"/>
                <w:iCs w:val="0"/>
                <w:noProof/>
                <w:sz w:val="22"/>
                <w:szCs w:val="22"/>
                <w:lang w:eastAsia="en-AU"/>
              </w:rPr>
              <w:tab/>
            </w:r>
            <w:r w:rsidR="00BF35BC" w:rsidRPr="00604235">
              <w:rPr>
                <w:rStyle w:val="Hyperlink"/>
                <w:noProof/>
              </w:rPr>
              <w:t>Type of economic evaluation</w:t>
            </w:r>
            <w:r w:rsidR="00BF35BC">
              <w:rPr>
                <w:noProof/>
                <w:webHidden/>
              </w:rPr>
              <w:tab/>
            </w:r>
            <w:r w:rsidR="00BF35BC">
              <w:rPr>
                <w:noProof/>
                <w:webHidden/>
              </w:rPr>
              <w:fldChar w:fldCharType="begin"/>
            </w:r>
            <w:r w:rsidR="00BF35BC">
              <w:rPr>
                <w:noProof/>
                <w:webHidden/>
              </w:rPr>
              <w:instrText xml:space="preserve"> PAGEREF _Toc453065305 \h </w:instrText>
            </w:r>
            <w:r w:rsidR="00BF35BC">
              <w:rPr>
                <w:noProof/>
                <w:webHidden/>
              </w:rPr>
            </w:r>
            <w:r w:rsidR="00BF35BC">
              <w:rPr>
                <w:noProof/>
                <w:webHidden/>
              </w:rPr>
              <w:fldChar w:fldCharType="separate"/>
            </w:r>
            <w:r w:rsidR="00A456ED">
              <w:rPr>
                <w:noProof/>
                <w:webHidden/>
              </w:rPr>
              <w:t>161</w:t>
            </w:r>
            <w:r w:rsidR="00BF35BC">
              <w:rPr>
                <w:noProof/>
                <w:webHidden/>
              </w:rPr>
              <w:fldChar w:fldCharType="end"/>
            </w:r>
          </w:hyperlink>
        </w:p>
        <w:p w14:paraId="0C111058" w14:textId="498FA3B8" w:rsidR="00BF35BC" w:rsidRDefault="00B76E8C" w:rsidP="00BF35BC">
          <w:pPr>
            <w:pStyle w:val="TOC2"/>
            <w:ind w:right="0" w:hanging="992"/>
            <w:rPr>
              <w:rFonts w:asciiTheme="minorHAnsi" w:hAnsiTheme="minorHAnsi" w:cstheme="minorBidi"/>
              <w:smallCaps w:val="0"/>
              <w:lang w:eastAsia="en-AU"/>
            </w:rPr>
          </w:pPr>
          <w:hyperlink w:anchor="_Toc453065306" w:history="1">
            <w:r w:rsidR="00BF35BC" w:rsidRPr="00604235">
              <w:rPr>
                <w:rStyle w:val="Hyperlink"/>
              </w:rPr>
              <w:t>D.2</w:t>
            </w:r>
            <w:r w:rsidR="00BF35BC">
              <w:rPr>
                <w:rFonts w:asciiTheme="minorHAnsi" w:hAnsiTheme="minorHAnsi" w:cstheme="minorBidi"/>
                <w:smallCaps w:val="0"/>
                <w:lang w:eastAsia="en-AU"/>
              </w:rPr>
              <w:tab/>
            </w:r>
            <w:r w:rsidR="00BF35BC" w:rsidRPr="00604235">
              <w:rPr>
                <w:rStyle w:val="Hyperlink"/>
              </w:rPr>
              <w:t>Population and circumstances of use reflected in the economic evaluation</w:t>
            </w:r>
            <w:r w:rsidR="00BF35BC">
              <w:rPr>
                <w:webHidden/>
              </w:rPr>
              <w:tab/>
            </w:r>
            <w:r w:rsidR="00BF35BC">
              <w:rPr>
                <w:webHidden/>
              </w:rPr>
              <w:fldChar w:fldCharType="begin"/>
            </w:r>
            <w:r w:rsidR="00BF35BC">
              <w:rPr>
                <w:webHidden/>
              </w:rPr>
              <w:instrText xml:space="preserve"> PAGEREF _Toc453065306 \h </w:instrText>
            </w:r>
            <w:r w:rsidR="00BF35BC">
              <w:rPr>
                <w:webHidden/>
              </w:rPr>
            </w:r>
            <w:r w:rsidR="00BF35BC">
              <w:rPr>
                <w:webHidden/>
              </w:rPr>
              <w:fldChar w:fldCharType="separate"/>
            </w:r>
            <w:r w:rsidR="00A456ED">
              <w:rPr>
                <w:webHidden/>
              </w:rPr>
              <w:t>163</w:t>
            </w:r>
            <w:r w:rsidR="00BF35BC">
              <w:rPr>
                <w:webHidden/>
              </w:rPr>
              <w:fldChar w:fldCharType="end"/>
            </w:r>
          </w:hyperlink>
        </w:p>
        <w:p w14:paraId="05ACB639" w14:textId="624A0A4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07" w:history="1">
            <w:r w:rsidR="00BF35BC" w:rsidRPr="00604235">
              <w:rPr>
                <w:rStyle w:val="Hyperlink"/>
                <w:noProof/>
              </w:rPr>
              <w:t>D.2.1</w:t>
            </w:r>
            <w:r w:rsidR="00BF35BC">
              <w:rPr>
                <w:rFonts w:asciiTheme="minorHAnsi" w:hAnsiTheme="minorHAnsi" w:cstheme="minorBidi"/>
                <w:i w:val="0"/>
                <w:iCs w:val="0"/>
                <w:noProof/>
                <w:sz w:val="22"/>
                <w:szCs w:val="22"/>
                <w:lang w:eastAsia="en-AU"/>
              </w:rPr>
              <w:tab/>
            </w:r>
            <w:r w:rsidR="00BF35BC" w:rsidRPr="00604235">
              <w:rPr>
                <w:rStyle w:val="Hyperlink"/>
                <w:noProof/>
              </w:rPr>
              <w:t>Demographic and patient characteristics</w:t>
            </w:r>
            <w:r w:rsidR="00BF35BC">
              <w:rPr>
                <w:noProof/>
                <w:webHidden/>
              </w:rPr>
              <w:tab/>
            </w:r>
            <w:r w:rsidR="00BF35BC">
              <w:rPr>
                <w:noProof/>
                <w:webHidden/>
              </w:rPr>
              <w:fldChar w:fldCharType="begin"/>
            </w:r>
            <w:r w:rsidR="00BF35BC">
              <w:rPr>
                <w:noProof/>
                <w:webHidden/>
              </w:rPr>
              <w:instrText xml:space="preserve"> PAGEREF _Toc453065307 \h </w:instrText>
            </w:r>
            <w:r w:rsidR="00BF35BC">
              <w:rPr>
                <w:noProof/>
                <w:webHidden/>
              </w:rPr>
            </w:r>
            <w:r w:rsidR="00BF35BC">
              <w:rPr>
                <w:noProof/>
                <w:webHidden/>
              </w:rPr>
              <w:fldChar w:fldCharType="separate"/>
            </w:r>
            <w:r w:rsidR="00A456ED">
              <w:rPr>
                <w:noProof/>
                <w:webHidden/>
              </w:rPr>
              <w:t>163</w:t>
            </w:r>
            <w:r w:rsidR="00BF35BC">
              <w:rPr>
                <w:noProof/>
                <w:webHidden/>
              </w:rPr>
              <w:fldChar w:fldCharType="end"/>
            </w:r>
          </w:hyperlink>
        </w:p>
        <w:p w14:paraId="4DD7494D" w14:textId="277AB97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08" w:history="1">
            <w:r w:rsidR="00BF35BC" w:rsidRPr="00604235">
              <w:rPr>
                <w:rStyle w:val="Hyperlink"/>
                <w:noProof/>
              </w:rPr>
              <w:t>D.2.2</w:t>
            </w:r>
            <w:r w:rsidR="00BF35BC">
              <w:rPr>
                <w:rFonts w:asciiTheme="minorHAnsi" w:hAnsiTheme="minorHAnsi" w:cstheme="minorBidi"/>
                <w:i w:val="0"/>
                <w:iCs w:val="0"/>
                <w:noProof/>
                <w:sz w:val="22"/>
                <w:szCs w:val="22"/>
                <w:lang w:eastAsia="en-AU"/>
              </w:rPr>
              <w:tab/>
            </w:r>
            <w:r w:rsidR="00BF35BC" w:rsidRPr="00604235">
              <w:rPr>
                <w:rStyle w:val="Hyperlink"/>
                <w:noProof/>
              </w:rPr>
              <w:t>Circumstances of use</w:t>
            </w:r>
            <w:r w:rsidR="00BF35BC">
              <w:rPr>
                <w:noProof/>
                <w:webHidden/>
              </w:rPr>
              <w:tab/>
            </w:r>
            <w:r w:rsidR="00BF35BC">
              <w:rPr>
                <w:noProof/>
                <w:webHidden/>
              </w:rPr>
              <w:fldChar w:fldCharType="begin"/>
            </w:r>
            <w:r w:rsidR="00BF35BC">
              <w:rPr>
                <w:noProof/>
                <w:webHidden/>
              </w:rPr>
              <w:instrText xml:space="preserve"> PAGEREF _Toc453065308 \h </w:instrText>
            </w:r>
            <w:r w:rsidR="00BF35BC">
              <w:rPr>
                <w:noProof/>
                <w:webHidden/>
              </w:rPr>
            </w:r>
            <w:r w:rsidR="00BF35BC">
              <w:rPr>
                <w:noProof/>
                <w:webHidden/>
              </w:rPr>
              <w:fldChar w:fldCharType="separate"/>
            </w:r>
            <w:r w:rsidR="00A456ED">
              <w:rPr>
                <w:noProof/>
                <w:webHidden/>
              </w:rPr>
              <w:t>163</w:t>
            </w:r>
            <w:r w:rsidR="00BF35BC">
              <w:rPr>
                <w:noProof/>
                <w:webHidden/>
              </w:rPr>
              <w:fldChar w:fldCharType="end"/>
            </w:r>
          </w:hyperlink>
        </w:p>
        <w:p w14:paraId="5723E956" w14:textId="093DCDD2" w:rsidR="00BF35BC" w:rsidRDefault="00B76E8C" w:rsidP="00BF35BC">
          <w:pPr>
            <w:pStyle w:val="TOC2"/>
            <w:ind w:right="0" w:hanging="992"/>
            <w:rPr>
              <w:rFonts w:asciiTheme="minorHAnsi" w:hAnsiTheme="minorHAnsi" w:cstheme="minorBidi"/>
              <w:smallCaps w:val="0"/>
              <w:lang w:eastAsia="en-AU"/>
            </w:rPr>
          </w:pPr>
          <w:hyperlink w:anchor="_Toc453065309" w:history="1">
            <w:r w:rsidR="00BF35BC" w:rsidRPr="00604235">
              <w:rPr>
                <w:rStyle w:val="Hyperlink"/>
              </w:rPr>
              <w:t>D.3</w:t>
            </w:r>
            <w:r w:rsidR="00BF35BC">
              <w:rPr>
                <w:rFonts w:asciiTheme="minorHAnsi" w:hAnsiTheme="minorHAnsi" w:cstheme="minorBidi"/>
                <w:smallCaps w:val="0"/>
                <w:lang w:eastAsia="en-AU"/>
              </w:rPr>
              <w:tab/>
            </w:r>
            <w:r w:rsidR="00BF35BC" w:rsidRPr="00604235">
              <w:rPr>
                <w:rStyle w:val="Hyperlink"/>
              </w:rPr>
              <w:t>Structure and rationale of the economic evaluation</w:t>
            </w:r>
            <w:r w:rsidR="00BF35BC">
              <w:rPr>
                <w:webHidden/>
              </w:rPr>
              <w:tab/>
            </w:r>
            <w:r w:rsidR="00BF35BC">
              <w:rPr>
                <w:webHidden/>
              </w:rPr>
              <w:fldChar w:fldCharType="begin"/>
            </w:r>
            <w:r w:rsidR="00BF35BC">
              <w:rPr>
                <w:webHidden/>
              </w:rPr>
              <w:instrText xml:space="preserve"> PAGEREF _Toc453065309 \h </w:instrText>
            </w:r>
            <w:r w:rsidR="00BF35BC">
              <w:rPr>
                <w:webHidden/>
              </w:rPr>
            </w:r>
            <w:r w:rsidR="00BF35BC">
              <w:rPr>
                <w:webHidden/>
              </w:rPr>
              <w:fldChar w:fldCharType="separate"/>
            </w:r>
            <w:r w:rsidR="00A456ED">
              <w:rPr>
                <w:webHidden/>
              </w:rPr>
              <w:t>164</w:t>
            </w:r>
            <w:r w:rsidR="00BF35BC">
              <w:rPr>
                <w:webHidden/>
              </w:rPr>
              <w:fldChar w:fldCharType="end"/>
            </w:r>
          </w:hyperlink>
        </w:p>
        <w:p w14:paraId="17BB6455" w14:textId="5E5CBA87"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0" w:history="1">
            <w:r w:rsidR="00BF35BC" w:rsidRPr="00604235">
              <w:rPr>
                <w:rStyle w:val="Hyperlink"/>
                <w:noProof/>
              </w:rPr>
              <w:t>D.3.1</w:t>
            </w:r>
            <w:r w:rsidR="00BF35BC">
              <w:rPr>
                <w:rFonts w:asciiTheme="minorHAnsi" w:hAnsiTheme="minorHAnsi" w:cstheme="minorBidi"/>
                <w:i w:val="0"/>
                <w:iCs w:val="0"/>
                <w:noProof/>
                <w:sz w:val="22"/>
                <w:szCs w:val="22"/>
                <w:lang w:eastAsia="en-AU"/>
              </w:rPr>
              <w:tab/>
            </w:r>
            <w:r w:rsidR="00BF35BC" w:rsidRPr="00604235">
              <w:rPr>
                <w:rStyle w:val="Hyperlink"/>
                <w:noProof/>
              </w:rPr>
              <w:t>Cost-effectiveness evidence for mechanical thrombectomy in the literature</w:t>
            </w:r>
            <w:r w:rsidR="00BF35BC">
              <w:rPr>
                <w:noProof/>
                <w:webHidden/>
              </w:rPr>
              <w:tab/>
            </w:r>
            <w:r w:rsidR="00BF35BC">
              <w:rPr>
                <w:noProof/>
                <w:webHidden/>
              </w:rPr>
              <w:fldChar w:fldCharType="begin"/>
            </w:r>
            <w:r w:rsidR="00BF35BC">
              <w:rPr>
                <w:noProof/>
                <w:webHidden/>
              </w:rPr>
              <w:instrText xml:space="preserve"> PAGEREF _Toc453065310 \h </w:instrText>
            </w:r>
            <w:r w:rsidR="00BF35BC">
              <w:rPr>
                <w:noProof/>
                <w:webHidden/>
              </w:rPr>
            </w:r>
            <w:r w:rsidR="00BF35BC">
              <w:rPr>
                <w:noProof/>
                <w:webHidden/>
              </w:rPr>
              <w:fldChar w:fldCharType="separate"/>
            </w:r>
            <w:r w:rsidR="00A456ED">
              <w:rPr>
                <w:noProof/>
                <w:webHidden/>
              </w:rPr>
              <w:t>164</w:t>
            </w:r>
            <w:r w:rsidR="00BF35BC">
              <w:rPr>
                <w:noProof/>
                <w:webHidden/>
              </w:rPr>
              <w:fldChar w:fldCharType="end"/>
            </w:r>
          </w:hyperlink>
        </w:p>
        <w:p w14:paraId="0B04CD6D" w14:textId="338FA3A7"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1" w:history="1">
            <w:r w:rsidR="00BF35BC" w:rsidRPr="00604235">
              <w:rPr>
                <w:rStyle w:val="Hyperlink"/>
                <w:noProof/>
              </w:rPr>
              <w:t>D.3.2</w:t>
            </w:r>
            <w:r w:rsidR="00BF35BC">
              <w:rPr>
                <w:rFonts w:asciiTheme="minorHAnsi" w:hAnsiTheme="minorHAnsi" w:cstheme="minorBidi"/>
                <w:i w:val="0"/>
                <w:iCs w:val="0"/>
                <w:noProof/>
                <w:sz w:val="22"/>
                <w:szCs w:val="22"/>
                <w:lang w:eastAsia="en-AU"/>
              </w:rPr>
              <w:tab/>
            </w:r>
            <w:r w:rsidR="00BF35BC" w:rsidRPr="00604235">
              <w:rPr>
                <w:rStyle w:val="Hyperlink"/>
                <w:noProof/>
              </w:rPr>
              <w:t>Structure of the economic evaluation and justification</w:t>
            </w:r>
            <w:r w:rsidR="00BF35BC">
              <w:rPr>
                <w:noProof/>
                <w:webHidden/>
              </w:rPr>
              <w:tab/>
            </w:r>
            <w:r w:rsidR="00BF35BC">
              <w:rPr>
                <w:noProof/>
                <w:webHidden/>
              </w:rPr>
              <w:fldChar w:fldCharType="begin"/>
            </w:r>
            <w:r w:rsidR="00BF35BC">
              <w:rPr>
                <w:noProof/>
                <w:webHidden/>
              </w:rPr>
              <w:instrText xml:space="preserve"> PAGEREF _Toc453065311 \h </w:instrText>
            </w:r>
            <w:r w:rsidR="00BF35BC">
              <w:rPr>
                <w:noProof/>
                <w:webHidden/>
              </w:rPr>
            </w:r>
            <w:r w:rsidR="00BF35BC">
              <w:rPr>
                <w:noProof/>
                <w:webHidden/>
              </w:rPr>
              <w:fldChar w:fldCharType="separate"/>
            </w:r>
            <w:r w:rsidR="00A456ED">
              <w:rPr>
                <w:noProof/>
                <w:webHidden/>
              </w:rPr>
              <w:t>168</w:t>
            </w:r>
            <w:r w:rsidR="00BF35BC">
              <w:rPr>
                <w:noProof/>
                <w:webHidden/>
              </w:rPr>
              <w:fldChar w:fldCharType="end"/>
            </w:r>
          </w:hyperlink>
        </w:p>
        <w:p w14:paraId="52497915" w14:textId="372A56F9"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2" w:history="1">
            <w:r w:rsidR="00BF35BC" w:rsidRPr="00604235">
              <w:rPr>
                <w:rStyle w:val="Hyperlink"/>
                <w:noProof/>
              </w:rPr>
              <w:t>D.3.3</w:t>
            </w:r>
            <w:r w:rsidR="00BF35BC">
              <w:rPr>
                <w:rFonts w:asciiTheme="minorHAnsi" w:hAnsiTheme="minorHAnsi" w:cstheme="minorBidi"/>
                <w:i w:val="0"/>
                <w:iCs w:val="0"/>
                <w:noProof/>
                <w:sz w:val="22"/>
                <w:szCs w:val="22"/>
                <w:lang w:eastAsia="en-AU"/>
              </w:rPr>
              <w:tab/>
            </w:r>
            <w:r w:rsidR="00BF35BC" w:rsidRPr="00604235">
              <w:rPr>
                <w:rStyle w:val="Hyperlink"/>
                <w:noProof/>
              </w:rPr>
              <w:t>Calculation of healthcare costs and outcomes</w:t>
            </w:r>
            <w:r w:rsidR="00BF35BC">
              <w:rPr>
                <w:noProof/>
                <w:webHidden/>
              </w:rPr>
              <w:tab/>
            </w:r>
            <w:r w:rsidR="00BF35BC">
              <w:rPr>
                <w:noProof/>
                <w:webHidden/>
              </w:rPr>
              <w:fldChar w:fldCharType="begin"/>
            </w:r>
            <w:r w:rsidR="00BF35BC">
              <w:rPr>
                <w:noProof/>
                <w:webHidden/>
              </w:rPr>
              <w:instrText xml:space="preserve"> PAGEREF _Toc453065312 \h </w:instrText>
            </w:r>
            <w:r w:rsidR="00BF35BC">
              <w:rPr>
                <w:noProof/>
                <w:webHidden/>
              </w:rPr>
            </w:r>
            <w:r w:rsidR="00BF35BC">
              <w:rPr>
                <w:noProof/>
                <w:webHidden/>
              </w:rPr>
              <w:fldChar w:fldCharType="separate"/>
            </w:r>
            <w:r w:rsidR="00A456ED">
              <w:rPr>
                <w:noProof/>
                <w:webHidden/>
              </w:rPr>
              <w:t>173</w:t>
            </w:r>
            <w:r w:rsidR="00BF35BC">
              <w:rPr>
                <w:noProof/>
                <w:webHidden/>
              </w:rPr>
              <w:fldChar w:fldCharType="end"/>
            </w:r>
          </w:hyperlink>
        </w:p>
        <w:p w14:paraId="67B6F417" w14:textId="2ACD3755"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3" w:history="1">
            <w:r w:rsidR="00BF35BC" w:rsidRPr="00604235">
              <w:rPr>
                <w:rStyle w:val="Hyperlink"/>
                <w:noProof/>
              </w:rPr>
              <w:t>D.3.4</w:t>
            </w:r>
            <w:r w:rsidR="00BF35BC">
              <w:rPr>
                <w:rFonts w:asciiTheme="minorHAnsi" w:hAnsiTheme="minorHAnsi" w:cstheme="minorBidi"/>
                <w:i w:val="0"/>
                <w:iCs w:val="0"/>
                <w:noProof/>
                <w:sz w:val="22"/>
                <w:szCs w:val="22"/>
                <w:lang w:eastAsia="en-AU"/>
              </w:rPr>
              <w:tab/>
            </w:r>
            <w:r w:rsidR="00BF35BC" w:rsidRPr="00604235">
              <w:rPr>
                <w:rStyle w:val="Hyperlink"/>
                <w:noProof/>
              </w:rPr>
              <w:t>Justification of the model structure</w:t>
            </w:r>
            <w:r w:rsidR="00BF35BC">
              <w:rPr>
                <w:noProof/>
                <w:webHidden/>
              </w:rPr>
              <w:tab/>
            </w:r>
            <w:r w:rsidR="00BF35BC">
              <w:rPr>
                <w:noProof/>
                <w:webHidden/>
              </w:rPr>
              <w:fldChar w:fldCharType="begin"/>
            </w:r>
            <w:r w:rsidR="00BF35BC">
              <w:rPr>
                <w:noProof/>
                <w:webHidden/>
              </w:rPr>
              <w:instrText xml:space="preserve"> PAGEREF _Toc453065313 \h </w:instrText>
            </w:r>
            <w:r w:rsidR="00BF35BC">
              <w:rPr>
                <w:noProof/>
                <w:webHidden/>
              </w:rPr>
            </w:r>
            <w:r w:rsidR="00BF35BC">
              <w:rPr>
                <w:noProof/>
                <w:webHidden/>
              </w:rPr>
              <w:fldChar w:fldCharType="separate"/>
            </w:r>
            <w:r w:rsidR="00A456ED">
              <w:rPr>
                <w:noProof/>
                <w:webHidden/>
              </w:rPr>
              <w:t>173</w:t>
            </w:r>
            <w:r w:rsidR="00BF35BC">
              <w:rPr>
                <w:noProof/>
                <w:webHidden/>
              </w:rPr>
              <w:fldChar w:fldCharType="end"/>
            </w:r>
          </w:hyperlink>
        </w:p>
        <w:p w14:paraId="70BF11E9" w14:textId="65B80E69"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4" w:history="1">
            <w:r w:rsidR="00BF35BC" w:rsidRPr="00604235">
              <w:rPr>
                <w:rStyle w:val="Hyperlink"/>
                <w:noProof/>
              </w:rPr>
              <w:t>D.3.5</w:t>
            </w:r>
            <w:r w:rsidR="00BF35BC">
              <w:rPr>
                <w:rFonts w:asciiTheme="minorHAnsi" w:hAnsiTheme="minorHAnsi" w:cstheme="minorBidi"/>
                <w:i w:val="0"/>
                <w:iCs w:val="0"/>
                <w:noProof/>
                <w:sz w:val="22"/>
                <w:szCs w:val="22"/>
                <w:lang w:eastAsia="en-AU"/>
              </w:rPr>
              <w:tab/>
            </w:r>
            <w:r w:rsidR="00BF35BC" w:rsidRPr="00604235">
              <w:rPr>
                <w:rStyle w:val="Hyperlink"/>
                <w:noProof/>
              </w:rPr>
              <w:t>Software package</w:t>
            </w:r>
            <w:r w:rsidR="00BF35BC">
              <w:rPr>
                <w:noProof/>
                <w:webHidden/>
              </w:rPr>
              <w:tab/>
            </w:r>
            <w:r w:rsidR="00BF35BC">
              <w:rPr>
                <w:noProof/>
                <w:webHidden/>
              </w:rPr>
              <w:fldChar w:fldCharType="begin"/>
            </w:r>
            <w:r w:rsidR="00BF35BC">
              <w:rPr>
                <w:noProof/>
                <w:webHidden/>
              </w:rPr>
              <w:instrText xml:space="preserve"> PAGEREF _Toc453065314 \h </w:instrText>
            </w:r>
            <w:r w:rsidR="00BF35BC">
              <w:rPr>
                <w:noProof/>
                <w:webHidden/>
              </w:rPr>
            </w:r>
            <w:r w:rsidR="00BF35BC">
              <w:rPr>
                <w:noProof/>
                <w:webHidden/>
              </w:rPr>
              <w:fldChar w:fldCharType="separate"/>
            </w:r>
            <w:r w:rsidR="00A456ED">
              <w:rPr>
                <w:noProof/>
                <w:webHidden/>
              </w:rPr>
              <w:t>174</w:t>
            </w:r>
            <w:r w:rsidR="00BF35BC">
              <w:rPr>
                <w:noProof/>
                <w:webHidden/>
              </w:rPr>
              <w:fldChar w:fldCharType="end"/>
            </w:r>
          </w:hyperlink>
        </w:p>
        <w:p w14:paraId="6D1F05A3" w14:textId="66E7590F" w:rsidR="00BF35BC" w:rsidRDefault="00B76E8C" w:rsidP="00BF35BC">
          <w:pPr>
            <w:pStyle w:val="TOC2"/>
            <w:ind w:right="0" w:hanging="992"/>
            <w:rPr>
              <w:rFonts w:asciiTheme="minorHAnsi" w:hAnsiTheme="minorHAnsi" w:cstheme="minorBidi"/>
              <w:smallCaps w:val="0"/>
              <w:lang w:eastAsia="en-AU"/>
            </w:rPr>
          </w:pPr>
          <w:hyperlink w:anchor="_Toc453065315" w:history="1">
            <w:r w:rsidR="00BF35BC" w:rsidRPr="00604235">
              <w:rPr>
                <w:rStyle w:val="Hyperlink"/>
              </w:rPr>
              <w:t>D.4</w:t>
            </w:r>
            <w:r w:rsidR="00BF35BC">
              <w:rPr>
                <w:rFonts w:asciiTheme="minorHAnsi" w:hAnsiTheme="minorHAnsi" w:cstheme="minorBidi"/>
                <w:smallCaps w:val="0"/>
                <w:lang w:eastAsia="en-AU"/>
              </w:rPr>
              <w:tab/>
            </w:r>
            <w:r w:rsidR="00BF35BC" w:rsidRPr="00604235">
              <w:rPr>
                <w:rStyle w:val="Hyperlink"/>
              </w:rPr>
              <w:t>Variables in the economic evaluation</w:t>
            </w:r>
            <w:r w:rsidR="00BF35BC">
              <w:rPr>
                <w:webHidden/>
              </w:rPr>
              <w:tab/>
            </w:r>
            <w:r w:rsidR="00BF35BC">
              <w:rPr>
                <w:webHidden/>
              </w:rPr>
              <w:fldChar w:fldCharType="begin"/>
            </w:r>
            <w:r w:rsidR="00BF35BC">
              <w:rPr>
                <w:webHidden/>
              </w:rPr>
              <w:instrText xml:space="preserve"> PAGEREF _Toc453065315 \h </w:instrText>
            </w:r>
            <w:r w:rsidR="00BF35BC">
              <w:rPr>
                <w:webHidden/>
              </w:rPr>
            </w:r>
            <w:r w:rsidR="00BF35BC">
              <w:rPr>
                <w:webHidden/>
              </w:rPr>
              <w:fldChar w:fldCharType="separate"/>
            </w:r>
            <w:r w:rsidR="00A456ED">
              <w:rPr>
                <w:webHidden/>
              </w:rPr>
              <w:t>175</w:t>
            </w:r>
            <w:r w:rsidR="00BF35BC">
              <w:rPr>
                <w:webHidden/>
              </w:rPr>
              <w:fldChar w:fldCharType="end"/>
            </w:r>
          </w:hyperlink>
        </w:p>
        <w:p w14:paraId="5A2830EE" w14:textId="2F1C421B"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6" w:history="1">
            <w:r w:rsidR="00BF35BC" w:rsidRPr="00604235">
              <w:rPr>
                <w:rStyle w:val="Hyperlink"/>
                <w:noProof/>
              </w:rPr>
              <w:t>D.4.1</w:t>
            </w:r>
            <w:r w:rsidR="00BF35BC">
              <w:rPr>
                <w:rFonts w:asciiTheme="minorHAnsi" w:hAnsiTheme="minorHAnsi" w:cstheme="minorBidi"/>
                <w:i w:val="0"/>
                <w:iCs w:val="0"/>
                <w:noProof/>
                <w:sz w:val="22"/>
                <w:szCs w:val="22"/>
                <w:lang w:eastAsia="en-AU"/>
              </w:rPr>
              <w:tab/>
            </w:r>
            <w:r w:rsidR="00BF35BC" w:rsidRPr="00604235">
              <w:rPr>
                <w:rStyle w:val="Hyperlink"/>
                <w:noProof/>
              </w:rPr>
              <w:t>Clinical inputs</w:t>
            </w:r>
            <w:r w:rsidR="00BF35BC">
              <w:rPr>
                <w:noProof/>
                <w:webHidden/>
              </w:rPr>
              <w:tab/>
            </w:r>
            <w:r w:rsidR="00BF35BC">
              <w:rPr>
                <w:noProof/>
                <w:webHidden/>
              </w:rPr>
              <w:fldChar w:fldCharType="begin"/>
            </w:r>
            <w:r w:rsidR="00BF35BC">
              <w:rPr>
                <w:noProof/>
                <w:webHidden/>
              </w:rPr>
              <w:instrText xml:space="preserve"> PAGEREF _Toc453065316 \h </w:instrText>
            </w:r>
            <w:r w:rsidR="00BF35BC">
              <w:rPr>
                <w:noProof/>
                <w:webHidden/>
              </w:rPr>
            </w:r>
            <w:r w:rsidR="00BF35BC">
              <w:rPr>
                <w:noProof/>
                <w:webHidden/>
              </w:rPr>
              <w:fldChar w:fldCharType="separate"/>
            </w:r>
            <w:r w:rsidR="00A456ED">
              <w:rPr>
                <w:noProof/>
                <w:webHidden/>
              </w:rPr>
              <w:t>175</w:t>
            </w:r>
            <w:r w:rsidR="00BF35BC">
              <w:rPr>
                <w:noProof/>
                <w:webHidden/>
              </w:rPr>
              <w:fldChar w:fldCharType="end"/>
            </w:r>
          </w:hyperlink>
        </w:p>
        <w:p w14:paraId="52E9F7E5" w14:textId="067C1FA8"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7" w:history="1">
            <w:r w:rsidR="00BF35BC" w:rsidRPr="00604235">
              <w:rPr>
                <w:rStyle w:val="Hyperlink"/>
                <w:noProof/>
              </w:rPr>
              <w:t>D.4.2</w:t>
            </w:r>
            <w:r w:rsidR="00BF35BC">
              <w:rPr>
                <w:rFonts w:asciiTheme="minorHAnsi" w:hAnsiTheme="minorHAnsi" w:cstheme="minorBidi"/>
                <w:i w:val="0"/>
                <w:iCs w:val="0"/>
                <w:noProof/>
                <w:sz w:val="22"/>
                <w:szCs w:val="22"/>
                <w:lang w:eastAsia="en-AU"/>
              </w:rPr>
              <w:tab/>
            </w:r>
            <w:r w:rsidR="00BF35BC" w:rsidRPr="00604235">
              <w:rPr>
                <w:rStyle w:val="Hyperlink"/>
                <w:noProof/>
              </w:rPr>
              <w:t>Utility inputs</w:t>
            </w:r>
            <w:r w:rsidR="00BF35BC">
              <w:rPr>
                <w:noProof/>
                <w:webHidden/>
              </w:rPr>
              <w:tab/>
            </w:r>
            <w:r w:rsidR="00BF35BC">
              <w:rPr>
                <w:noProof/>
                <w:webHidden/>
              </w:rPr>
              <w:fldChar w:fldCharType="begin"/>
            </w:r>
            <w:r w:rsidR="00BF35BC">
              <w:rPr>
                <w:noProof/>
                <w:webHidden/>
              </w:rPr>
              <w:instrText xml:space="preserve"> PAGEREF _Toc453065317 \h </w:instrText>
            </w:r>
            <w:r w:rsidR="00BF35BC">
              <w:rPr>
                <w:noProof/>
                <w:webHidden/>
              </w:rPr>
            </w:r>
            <w:r w:rsidR="00BF35BC">
              <w:rPr>
                <w:noProof/>
                <w:webHidden/>
              </w:rPr>
              <w:fldChar w:fldCharType="separate"/>
            </w:r>
            <w:r w:rsidR="00A456ED">
              <w:rPr>
                <w:noProof/>
                <w:webHidden/>
              </w:rPr>
              <w:t>179</w:t>
            </w:r>
            <w:r w:rsidR="00BF35BC">
              <w:rPr>
                <w:noProof/>
                <w:webHidden/>
              </w:rPr>
              <w:fldChar w:fldCharType="end"/>
            </w:r>
          </w:hyperlink>
        </w:p>
        <w:p w14:paraId="74D7F96F" w14:textId="74FDE6ED"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8" w:history="1">
            <w:r w:rsidR="00BF35BC" w:rsidRPr="00604235">
              <w:rPr>
                <w:rStyle w:val="Hyperlink"/>
                <w:noProof/>
              </w:rPr>
              <w:t>D.4.3</w:t>
            </w:r>
            <w:r w:rsidR="00BF35BC">
              <w:rPr>
                <w:rFonts w:asciiTheme="minorHAnsi" w:hAnsiTheme="minorHAnsi" w:cstheme="minorBidi"/>
                <w:i w:val="0"/>
                <w:iCs w:val="0"/>
                <w:noProof/>
                <w:sz w:val="22"/>
                <w:szCs w:val="22"/>
                <w:lang w:eastAsia="en-AU"/>
              </w:rPr>
              <w:tab/>
            </w:r>
            <w:r w:rsidR="00BF35BC" w:rsidRPr="00604235">
              <w:rPr>
                <w:rStyle w:val="Hyperlink"/>
                <w:noProof/>
              </w:rPr>
              <w:t>Cost inputs</w:t>
            </w:r>
            <w:r w:rsidR="00BF35BC">
              <w:rPr>
                <w:noProof/>
                <w:webHidden/>
              </w:rPr>
              <w:tab/>
            </w:r>
            <w:r w:rsidR="00BF35BC">
              <w:rPr>
                <w:noProof/>
                <w:webHidden/>
              </w:rPr>
              <w:fldChar w:fldCharType="begin"/>
            </w:r>
            <w:r w:rsidR="00BF35BC">
              <w:rPr>
                <w:noProof/>
                <w:webHidden/>
              </w:rPr>
              <w:instrText xml:space="preserve"> PAGEREF _Toc453065318 \h </w:instrText>
            </w:r>
            <w:r w:rsidR="00BF35BC">
              <w:rPr>
                <w:noProof/>
                <w:webHidden/>
              </w:rPr>
            </w:r>
            <w:r w:rsidR="00BF35BC">
              <w:rPr>
                <w:noProof/>
                <w:webHidden/>
              </w:rPr>
              <w:fldChar w:fldCharType="separate"/>
            </w:r>
            <w:r w:rsidR="00A456ED">
              <w:rPr>
                <w:noProof/>
                <w:webHidden/>
              </w:rPr>
              <w:t>180</w:t>
            </w:r>
            <w:r w:rsidR="00BF35BC">
              <w:rPr>
                <w:noProof/>
                <w:webHidden/>
              </w:rPr>
              <w:fldChar w:fldCharType="end"/>
            </w:r>
          </w:hyperlink>
        </w:p>
        <w:p w14:paraId="1C891116" w14:textId="170AAAA3"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19" w:history="1">
            <w:r w:rsidR="00BF35BC" w:rsidRPr="00604235">
              <w:rPr>
                <w:rStyle w:val="Hyperlink"/>
                <w:noProof/>
              </w:rPr>
              <w:t>D.4.4</w:t>
            </w:r>
            <w:r w:rsidR="00BF35BC">
              <w:rPr>
                <w:rFonts w:asciiTheme="minorHAnsi" w:hAnsiTheme="minorHAnsi" w:cstheme="minorBidi"/>
                <w:i w:val="0"/>
                <w:iCs w:val="0"/>
                <w:noProof/>
                <w:sz w:val="22"/>
                <w:szCs w:val="22"/>
                <w:lang w:eastAsia="en-AU"/>
              </w:rPr>
              <w:tab/>
            </w:r>
            <w:r w:rsidR="00BF35BC" w:rsidRPr="00604235">
              <w:rPr>
                <w:rStyle w:val="Hyperlink"/>
                <w:noProof/>
              </w:rPr>
              <w:t>Other inputs</w:t>
            </w:r>
            <w:r w:rsidR="00BF35BC">
              <w:rPr>
                <w:noProof/>
                <w:webHidden/>
              </w:rPr>
              <w:tab/>
            </w:r>
            <w:r w:rsidR="00BF35BC">
              <w:rPr>
                <w:noProof/>
                <w:webHidden/>
              </w:rPr>
              <w:fldChar w:fldCharType="begin"/>
            </w:r>
            <w:r w:rsidR="00BF35BC">
              <w:rPr>
                <w:noProof/>
                <w:webHidden/>
              </w:rPr>
              <w:instrText xml:space="preserve"> PAGEREF _Toc453065319 \h </w:instrText>
            </w:r>
            <w:r w:rsidR="00BF35BC">
              <w:rPr>
                <w:noProof/>
                <w:webHidden/>
              </w:rPr>
            </w:r>
            <w:r w:rsidR="00BF35BC">
              <w:rPr>
                <w:noProof/>
                <w:webHidden/>
              </w:rPr>
              <w:fldChar w:fldCharType="separate"/>
            </w:r>
            <w:r w:rsidR="00A456ED">
              <w:rPr>
                <w:noProof/>
                <w:webHidden/>
              </w:rPr>
              <w:t>181</w:t>
            </w:r>
            <w:r w:rsidR="00BF35BC">
              <w:rPr>
                <w:noProof/>
                <w:webHidden/>
              </w:rPr>
              <w:fldChar w:fldCharType="end"/>
            </w:r>
          </w:hyperlink>
        </w:p>
        <w:p w14:paraId="516132E9" w14:textId="48B8414A" w:rsidR="00BF35BC" w:rsidRDefault="00B76E8C" w:rsidP="00BF35BC">
          <w:pPr>
            <w:pStyle w:val="TOC2"/>
            <w:ind w:right="0" w:hanging="992"/>
            <w:rPr>
              <w:rFonts w:asciiTheme="minorHAnsi" w:hAnsiTheme="minorHAnsi" w:cstheme="minorBidi"/>
              <w:smallCaps w:val="0"/>
              <w:lang w:eastAsia="en-AU"/>
            </w:rPr>
          </w:pPr>
          <w:hyperlink w:anchor="_Toc453065320" w:history="1">
            <w:r w:rsidR="00BF35BC" w:rsidRPr="00604235">
              <w:rPr>
                <w:rStyle w:val="Hyperlink"/>
              </w:rPr>
              <w:t>D.5</w:t>
            </w:r>
            <w:r w:rsidR="00BF35BC">
              <w:rPr>
                <w:rFonts w:asciiTheme="minorHAnsi" w:hAnsiTheme="minorHAnsi" w:cstheme="minorBidi"/>
                <w:smallCaps w:val="0"/>
                <w:lang w:eastAsia="en-AU"/>
              </w:rPr>
              <w:tab/>
            </w:r>
            <w:r w:rsidR="00BF35BC" w:rsidRPr="00604235">
              <w:rPr>
                <w:rStyle w:val="Hyperlink"/>
              </w:rPr>
              <w:t>Results of the economic evaluation</w:t>
            </w:r>
            <w:r w:rsidR="00BF35BC">
              <w:rPr>
                <w:webHidden/>
              </w:rPr>
              <w:tab/>
            </w:r>
            <w:r w:rsidR="00BF35BC">
              <w:rPr>
                <w:webHidden/>
              </w:rPr>
              <w:fldChar w:fldCharType="begin"/>
            </w:r>
            <w:r w:rsidR="00BF35BC">
              <w:rPr>
                <w:webHidden/>
              </w:rPr>
              <w:instrText xml:space="preserve"> PAGEREF _Toc453065320 \h </w:instrText>
            </w:r>
            <w:r w:rsidR="00BF35BC">
              <w:rPr>
                <w:webHidden/>
              </w:rPr>
            </w:r>
            <w:r w:rsidR="00BF35BC">
              <w:rPr>
                <w:webHidden/>
              </w:rPr>
              <w:fldChar w:fldCharType="separate"/>
            </w:r>
            <w:r w:rsidR="00A456ED">
              <w:rPr>
                <w:webHidden/>
              </w:rPr>
              <w:t>182</w:t>
            </w:r>
            <w:r w:rsidR="00BF35BC">
              <w:rPr>
                <w:webHidden/>
              </w:rPr>
              <w:fldChar w:fldCharType="end"/>
            </w:r>
          </w:hyperlink>
        </w:p>
        <w:p w14:paraId="18EAFE25" w14:textId="20E35B37"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21" w:history="1">
            <w:r w:rsidR="00BF35BC" w:rsidRPr="00604235">
              <w:rPr>
                <w:rStyle w:val="Hyperlink"/>
                <w:noProof/>
              </w:rPr>
              <w:t>D.5.1</w:t>
            </w:r>
            <w:r w:rsidR="00BF35BC">
              <w:rPr>
                <w:rFonts w:asciiTheme="minorHAnsi" w:hAnsiTheme="minorHAnsi" w:cstheme="minorBidi"/>
                <w:i w:val="0"/>
                <w:iCs w:val="0"/>
                <w:noProof/>
                <w:sz w:val="22"/>
                <w:szCs w:val="22"/>
                <w:lang w:eastAsia="en-AU"/>
              </w:rPr>
              <w:tab/>
            </w:r>
            <w:r w:rsidR="00BF35BC" w:rsidRPr="00604235">
              <w:rPr>
                <w:rStyle w:val="Hyperlink"/>
                <w:noProof/>
              </w:rPr>
              <w:t>Base case analysis</w:t>
            </w:r>
            <w:r w:rsidR="00BF35BC">
              <w:rPr>
                <w:noProof/>
                <w:webHidden/>
              </w:rPr>
              <w:tab/>
            </w:r>
            <w:r w:rsidR="00BF35BC">
              <w:rPr>
                <w:noProof/>
                <w:webHidden/>
              </w:rPr>
              <w:fldChar w:fldCharType="begin"/>
            </w:r>
            <w:r w:rsidR="00BF35BC">
              <w:rPr>
                <w:noProof/>
                <w:webHidden/>
              </w:rPr>
              <w:instrText xml:space="preserve"> PAGEREF _Toc453065321 \h </w:instrText>
            </w:r>
            <w:r w:rsidR="00BF35BC">
              <w:rPr>
                <w:noProof/>
                <w:webHidden/>
              </w:rPr>
            </w:r>
            <w:r w:rsidR="00BF35BC">
              <w:rPr>
                <w:noProof/>
                <w:webHidden/>
              </w:rPr>
              <w:fldChar w:fldCharType="separate"/>
            </w:r>
            <w:r w:rsidR="00A456ED">
              <w:rPr>
                <w:noProof/>
                <w:webHidden/>
              </w:rPr>
              <w:t>182</w:t>
            </w:r>
            <w:r w:rsidR="00BF35BC">
              <w:rPr>
                <w:noProof/>
                <w:webHidden/>
              </w:rPr>
              <w:fldChar w:fldCharType="end"/>
            </w:r>
          </w:hyperlink>
        </w:p>
        <w:p w14:paraId="0A24A1B1" w14:textId="23BD85CD"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22" w:history="1">
            <w:r w:rsidR="00BF35BC" w:rsidRPr="00604235">
              <w:rPr>
                <w:rStyle w:val="Hyperlink"/>
                <w:noProof/>
              </w:rPr>
              <w:t>D.5.2</w:t>
            </w:r>
            <w:r w:rsidR="00BF35BC">
              <w:rPr>
                <w:rFonts w:asciiTheme="minorHAnsi" w:hAnsiTheme="minorHAnsi" w:cstheme="minorBidi"/>
                <w:i w:val="0"/>
                <w:iCs w:val="0"/>
                <w:noProof/>
                <w:sz w:val="22"/>
                <w:szCs w:val="22"/>
                <w:lang w:eastAsia="en-AU"/>
              </w:rPr>
              <w:tab/>
            </w:r>
            <w:r w:rsidR="00BF35BC" w:rsidRPr="00604235">
              <w:rPr>
                <w:rStyle w:val="Hyperlink"/>
                <w:noProof/>
              </w:rPr>
              <w:t>Stepped economic evaluation</w:t>
            </w:r>
            <w:r w:rsidR="00BF35BC">
              <w:rPr>
                <w:noProof/>
                <w:webHidden/>
              </w:rPr>
              <w:tab/>
            </w:r>
            <w:r w:rsidR="00BF35BC">
              <w:rPr>
                <w:noProof/>
                <w:webHidden/>
              </w:rPr>
              <w:fldChar w:fldCharType="begin"/>
            </w:r>
            <w:r w:rsidR="00BF35BC">
              <w:rPr>
                <w:noProof/>
                <w:webHidden/>
              </w:rPr>
              <w:instrText xml:space="preserve"> PAGEREF _Toc453065322 \h </w:instrText>
            </w:r>
            <w:r w:rsidR="00BF35BC">
              <w:rPr>
                <w:noProof/>
                <w:webHidden/>
              </w:rPr>
            </w:r>
            <w:r w:rsidR="00BF35BC">
              <w:rPr>
                <w:noProof/>
                <w:webHidden/>
              </w:rPr>
              <w:fldChar w:fldCharType="separate"/>
            </w:r>
            <w:r w:rsidR="00A456ED">
              <w:rPr>
                <w:noProof/>
                <w:webHidden/>
              </w:rPr>
              <w:t>183</w:t>
            </w:r>
            <w:r w:rsidR="00BF35BC">
              <w:rPr>
                <w:noProof/>
                <w:webHidden/>
              </w:rPr>
              <w:fldChar w:fldCharType="end"/>
            </w:r>
          </w:hyperlink>
        </w:p>
        <w:p w14:paraId="3A5BCB62" w14:textId="249D8802"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23" w:history="1">
            <w:r w:rsidR="00BF35BC" w:rsidRPr="00604235">
              <w:rPr>
                <w:rStyle w:val="Hyperlink"/>
                <w:noProof/>
              </w:rPr>
              <w:t>D.5.3</w:t>
            </w:r>
            <w:r w:rsidR="00BF35BC">
              <w:rPr>
                <w:rFonts w:asciiTheme="minorHAnsi" w:hAnsiTheme="minorHAnsi" w:cstheme="minorBidi"/>
                <w:i w:val="0"/>
                <w:iCs w:val="0"/>
                <w:noProof/>
                <w:sz w:val="22"/>
                <w:szCs w:val="22"/>
                <w:lang w:eastAsia="en-AU"/>
              </w:rPr>
              <w:tab/>
            </w:r>
            <w:r w:rsidR="00BF35BC" w:rsidRPr="00604235">
              <w:rPr>
                <w:rStyle w:val="Hyperlink"/>
                <w:noProof/>
              </w:rPr>
              <w:t>Sensitivity analysis</w:t>
            </w:r>
            <w:r w:rsidR="00BF35BC">
              <w:rPr>
                <w:noProof/>
                <w:webHidden/>
              </w:rPr>
              <w:tab/>
            </w:r>
            <w:r w:rsidR="00BF35BC">
              <w:rPr>
                <w:noProof/>
                <w:webHidden/>
              </w:rPr>
              <w:fldChar w:fldCharType="begin"/>
            </w:r>
            <w:r w:rsidR="00BF35BC">
              <w:rPr>
                <w:noProof/>
                <w:webHidden/>
              </w:rPr>
              <w:instrText xml:space="preserve"> PAGEREF _Toc453065323 \h </w:instrText>
            </w:r>
            <w:r w:rsidR="00BF35BC">
              <w:rPr>
                <w:noProof/>
                <w:webHidden/>
              </w:rPr>
            </w:r>
            <w:r w:rsidR="00BF35BC">
              <w:rPr>
                <w:noProof/>
                <w:webHidden/>
              </w:rPr>
              <w:fldChar w:fldCharType="separate"/>
            </w:r>
            <w:r w:rsidR="00A456ED">
              <w:rPr>
                <w:noProof/>
                <w:webHidden/>
              </w:rPr>
              <w:t>184</w:t>
            </w:r>
            <w:r w:rsidR="00BF35BC">
              <w:rPr>
                <w:noProof/>
                <w:webHidden/>
              </w:rPr>
              <w:fldChar w:fldCharType="end"/>
            </w:r>
          </w:hyperlink>
        </w:p>
        <w:p w14:paraId="6E963E66" w14:textId="6483266D" w:rsidR="00BF35BC" w:rsidRDefault="00B76E8C" w:rsidP="00BF35BC">
          <w:pPr>
            <w:pStyle w:val="TOC1"/>
            <w:ind w:left="992" w:hanging="992"/>
            <w:rPr>
              <w:rFonts w:asciiTheme="minorHAnsi" w:hAnsiTheme="minorHAnsi" w:cstheme="minorBidi"/>
              <w:b w:val="0"/>
              <w:bCs w:val="0"/>
              <w:caps w:val="0"/>
              <w:lang w:eastAsia="en-AU"/>
            </w:rPr>
          </w:pPr>
          <w:hyperlink w:anchor="_Toc453065324" w:history="1">
            <w:r w:rsidR="00BF35BC" w:rsidRPr="00604235">
              <w:rPr>
                <w:rStyle w:val="Hyperlink"/>
              </w:rPr>
              <w:t>E.</w:t>
            </w:r>
            <w:r w:rsidR="00BF35BC">
              <w:rPr>
                <w:rFonts w:asciiTheme="minorHAnsi" w:hAnsiTheme="minorHAnsi" w:cstheme="minorBidi"/>
                <w:b w:val="0"/>
                <w:bCs w:val="0"/>
                <w:caps w:val="0"/>
                <w:lang w:eastAsia="en-AU"/>
              </w:rPr>
              <w:tab/>
            </w:r>
            <w:r w:rsidR="00BF35BC" w:rsidRPr="00604235">
              <w:rPr>
                <w:rStyle w:val="Hyperlink"/>
              </w:rPr>
              <w:t>Estimated Extent of use and Financial Implications</w:t>
            </w:r>
            <w:r w:rsidR="00BF35BC">
              <w:rPr>
                <w:webHidden/>
              </w:rPr>
              <w:tab/>
            </w:r>
            <w:r w:rsidR="00BF35BC">
              <w:rPr>
                <w:webHidden/>
              </w:rPr>
              <w:fldChar w:fldCharType="begin"/>
            </w:r>
            <w:r w:rsidR="00BF35BC">
              <w:rPr>
                <w:webHidden/>
              </w:rPr>
              <w:instrText xml:space="preserve"> PAGEREF _Toc453065324 \h </w:instrText>
            </w:r>
            <w:r w:rsidR="00BF35BC">
              <w:rPr>
                <w:webHidden/>
              </w:rPr>
            </w:r>
            <w:r w:rsidR="00BF35BC">
              <w:rPr>
                <w:webHidden/>
              </w:rPr>
              <w:fldChar w:fldCharType="separate"/>
            </w:r>
            <w:r w:rsidR="00A456ED">
              <w:rPr>
                <w:webHidden/>
              </w:rPr>
              <w:t>192</w:t>
            </w:r>
            <w:r w:rsidR="00BF35BC">
              <w:rPr>
                <w:webHidden/>
              </w:rPr>
              <w:fldChar w:fldCharType="end"/>
            </w:r>
          </w:hyperlink>
        </w:p>
        <w:p w14:paraId="14E4BA0E" w14:textId="673BE3DC" w:rsidR="00BF35BC" w:rsidRDefault="00B76E8C" w:rsidP="00BF35BC">
          <w:pPr>
            <w:pStyle w:val="TOC2"/>
            <w:ind w:right="0" w:hanging="992"/>
            <w:rPr>
              <w:rFonts w:asciiTheme="minorHAnsi" w:hAnsiTheme="minorHAnsi" w:cstheme="minorBidi"/>
              <w:smallCaps w:val="0"/>
              <w:lang w:eastAsia="en-AU"/>
            </w:rPr>
          </w:pPr>
          <w:hyperlink w:anchor="_Toc453065325" w:history="1">
            <w:r w:rsidR="00BF35BC" w:rsidRPr="00604235">
              <w:rPr>
                <w:rStyle w:val="Hyperlink"/>
              </w:rPr>
              <w:t>E.1</w:t>
            </w:r>
            <w:r w:rsidR="00BF35BC">
              <w:rPr>
                <w:rFonts w:asciiTheme="minorHAnsi" w:hAnsiTheme="minorHAnsi" w:cstheme="minorBidi"/>
                <w:smallCaps w:val="0"/>
                <w:lang w:eastAsia="en-AU"/>
              </w:rPr>
              <w:tab/>
            </w:r>
            <w:r w:rsidR="00BF35BC" w:rsidRPr="00604235">
              <w:rPr>
                <w:rStyle w:val="Hyperlink"/>
              </w:rPr>
              <w:t>Justification of the selection of sources of data</w:t>
            </w:r>
            <w:r w:rsidR="00BF35BC">
              <w:rPr>
                <w:webHidden/>
              </w:rPr>
              <w:tab/>
            </w:r>
            <w:r w:rsidR="00BF35BC">
              <w:rPr>
                <w:webHidden/>
              </w:rPr>
              <w:fldChar w:fldCharType="begin"/>
            </w:r>
            <w:r w:rsidR="00BF35BC">
              <w:rPr>
                <w:webHidden/>
              </w:rPr>
              <w:instrText xml:space="preserve"> PAGEREF _Toc453065325 \h </w:instrText>
            </w:r>
            <w:r w:rsidR="00BF35BC">
              <w:rPr>
                <w:webHidden/>
              </w:rPr>
            </w:r>
            <w:r w:rsidR="00BF35BC">
              <w:rPr>
                <w:webHidden/>
              </w:rPr>
              <w:fldChar w:fldCharType="separate"/>
            </w:r>
            <w:r w:rsidR="00A456ED">
              <w:rPr>
                <w:webHidden/>
              </w:rPr>
              <w:t>193</w:t>
            </w:r>
            <w:r w:rsidR="00BF35BC">
              <w:rPr>
                <w:webHidden/>
              </w:rPr>
              <w:fldChar w:fldCharType="end"/>
            </w:r>
          </w:hyperlink>
        </w:p>
        <w:p w14:paraId="25C26D40" w14:textId="6AD88258"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26" w:history="1">
            <w:r w:rsidR="00BF35BC" w:rsidRPr="00604235">
              <w:rPr>
                <w:rStyle w:val="Hyperlink"/>
                <w:noProof/>
              </w:rPr>
              <w:t>E.1.1</w:t>
            </w:r>
            <w:r w:rsidR="00BF35BC">
              <w:rPr>
                <w:rFonts w:asciiTheme="minorHAnsi" w:hAnsiTheme="minorHAnsi" w:cstheme="minorBidi"/>
                <w:i w:val="0"/>
                <w:iCs w:val="0"/>
                <w:noProof/>
                <w:sz w:val="22"/>
                <w:szCs w:val="22"/>
                <w:lang w:eastAsia="en-AU"/>
              </w:rPr>
              <w:tab/>
            </w:r>
            <w:r w:rsidR="00BF35BC" w:rsidRPr="00604235">
              <w:rPr>
                <w:rStyle w:val="Hyperlink"/>
                <w:noProof/>
              </w:rPr>
              <w:t>Epidemiology of acute ischaemic stroke due to large vessel occlusion</w:t>
            </w:r>
            <w:r w:rsidR="00BF35BC">
              <w:rPr>
                <w:noProof/>
                <w:webHidden/>
              </w:rPr>
              <w:tab/>
            </w:r>
            <w:r w:rsidR="00BF35BC">
              <w:rPr>
                <w:noProof/>
                <w:webHidden/>
              </w:rPr>
              <w:fldChar w:fldCharType="begin"/>
            </w:r>
            <w:r w:rsidR="00BF35BC">
              <w:rPr>
                <w:noProof/>
                <w:webHidden/>
              </w:rPr>
              <w:instrText xml:space="preserve"> PAGEREF _Toc453065326 \h </w:instrText>
            </w:r>
            <w:r w:rsidR="00BF35BC">
              <w:rPr>
                <w:noProof/>
                <w:webHidden/>
              </w:rPr>
            </w:r>
            <w:r w:rsidR="00BF35BC">
              <w:rPr>
                <w:noProof/>
                <w:webHidden/>
              </w:rPr>
              <w:fldChar w:fldCharType="separate"/>
            </w:r>
            <w:r w:rsidR="00A456ED">
              <w:rPr>
                <w:noProof/>
                <w:webHidden/>
              </w:rPr>
              <w:t>193</w:t>
            </w:r>
            <w:r w:rsidR="00BF35BC">
              <w:rPr>
                <w:noProof/>
                <w:webHidden/>
              </w:rPr>
              <w:fldChar w:fldCharType="end"/>
            </w:r>
          </w:hyperlink>
        </w:p>
        <w:p w14:paraId="2EE5F2A3" w14:textId="0E2B08B4"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27" w:history="1">
            <w:r w:rsidR="00BF35BC" w:rsidRPr="00604235">
              <w:rPr>
                <w:rStyle w:val="Hyperlink"/>
                <w:noProof/>
              </w:rPr>
              <w:t>E.1.2</w:t>
            </w:r>
            <w:r w:rsidR="00BF35BC">
              <w:rPr>
                <w:rFonts w:asciiTheme="minorHAnsi" w:hAnsiTheme="minorHAnsi" w:cstheme="minorBidi"/>
                <w:i w:val="0"/>
                <w:iCs w:val="0"/>
                <w:noProof/>
                <w:sz w:val="22"/>
                <w:szCs w:val="22"/>
                <w:lang w:eastAsia="en-AU"/>
              </w:rPr>
              <w:tab/>
            </w:r>
            <w:r w:rsidR="00BF35BC" w:rsidRPr="00604235">
              <w:rPr>
                <w:rStyle w:val="Hyperlink"/>
                <w:noProof/>
              </w:rPr>
              <w:t>Estimated number of patients potentially eligible for mechanical thrombectomy under the proposed indication</w:t>
            </w:r>
            <w:r w:rsidR="00BF35BC">
              <w:rPr>
                <w:noProof/>
                <w:webHidden/>
              </w:rPr>
              <w:tab/>
            </w:r>
            <w:r w:rsidR="00BF35BC">
              <w:rPr>
                <w:noProof/>
                <w:webHidden/>
              </w:rPr>
              <w:fldChar w:fldCharType="begin"/>
            </w:r>
            <w:r w:rsidR="00BF35BC">
              <w:rPr>
                <w:noProof/>
                <w:webHidden/>
              </w:rPr>
              <w:instrText xml:space="preserve"> PAGEREF _Toc453065327 \h </w:instrText>
            </w:r>
            <w:r w:rsidR="00BF35BC">
              <w:rPr>
                <w:noProof/>
                <w:webHidden/>
              </w:rPr>
            </w:r>
            <w:r w:rsidR="00BF35BC">
              <w:rPr>
                <w:noProof/>
                <w:webHidden/>
              </w:rPr>
              <w:fldChar w:fldCharType="separate"/>
            </w:r>
            <w:r w:rsidR="00A456ED">
              <w:rPr>
                <w:noProof/>
                <w:webHidden/>
              </w:rPr>
              <w:t>194</w:t>
            </w:r>
            <w:r w:rsidR="00BF35BC">
              <w:rPr>
                <w:noProof/>
                <w:webHidden/>
              </w:rPr>
              <w:fldChar w:fldCharType="end"/>
            </w:r>
          </w:hyperlink>
        </w:p>
        <w:p w14:paraId="469A2E82" w14:textId="3A26EAEE"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28" w:history="1">
            <w:r w:rsidR="00BF35BC" w:rsidRPr="00604235">
              <w:rPr>
                <w:rStyle w:val="Hyperlink"/>
                <w:noProof/>
              </w:rPr>
              <w:t>E.1.3</w:t>
            </w:r>
            <w:r w:rsidR="00BF35BC">
              <w:rPr>
                <w:rFonts w:asciiTheme="minorHAnsi" w:hAnsiTheme="minorHAnsi" w:cstheme="minorBidi"/>
                <w:i w:val="0"/>
                <w:iCs w:val="0"/>
                <w:noProof/>
                <w:sz w:val="22"/>
                <w:szCs w:val="22"/>
                <w:lang w:eastAsia="en-AU"/>
              </w:rPr>
              <w:tab/>
            </w:r>
            <w:r w:rsidR="00BF35BC" w:rsidRPr="00604235">
              <w:rPr>
                <w:rStyle w:val="Hyperlink"/>
                <w:noProof/>
              </w:rPr>
              <w:t>Caseload capacity to perform mechanical thrombectomy in Australia</w:t>
            </w:r>
            <w:r w:rsidR="00BF35BC">
              <w:rPr>
                <w:noProof/>
                <w:webHidden/>
              </w:rPr>
              <w:tab/>
            </w:r>
            <w:r w:rsidR="00BF35BC">
              <w:rPr>
                <w:noProof/>
                <w:webHidden/>
              </w:rPr>
              <w:fldChar w:fldCharType="begin"/>
            </w:r>
            <w:r w:rsidR="00BF35BC">
              <w:rPr>
                <w:noProof/>
                <w:webHidden/>
              </w:rPr>
              <w:instrText xml:space="preserve"> PAGEREF _Toc453065328 \h </w:instrText>
            </w:r>
            <w:r w:rsidR="00BF35BC">
              <w:rPr>
                <w:noProof/>
                <w:webHidden/>
              </w:rPr>
            </w:r>
            <w:r w:rsidR="00BF35BC">
              <w:rPr>
                <w:noProof/>
                <w:webHidden/>
              </w:rPr>
              <w:fldChar w:fldCharType="separate"/>
            </w:r>
            <w:r w:rsidR="00A456ED">
              <w:rPr>
                <w:noProof/>
                <w:webHidden/>
              </w:rPr>
              <w:t>198</w:t>
            </w:r>
            <w:r w:rsidR="00BF35BC">
              <w:rPr>
                <w:noProof/>
                <w:webHidden/>
              </w:rPr>
              <w:fldChar w:fldCharType="end"/>
            </w:r>
          </w:hyperlink>
        </w:p>
        <w:p w14:paraId="23F6FC28" w14:textId="29CDDC11" w:rsidR="00BF35BC" w:rsidRDefault="00B76E8C" w:rsidP="00BF35BC">
          <w:pPr>
            <w:pStyle w:val="TOC2"/>
            <w:ind w:right="0" w:hanging="992"/>
            <w:rPr>
              <w:rFonts w:asciiTheme="minorHAnsi" w:hAnsiTheme="minorHAnsi" w:cstheme="minorBidi"/>
              <w:smallCaps w:val="0"/>
              <w:lang w:eastAsia="en-AU"/>
            </w:rPr>
          </w:pPr>
          <w:hyperlink w:anchor="_Toc453065329" w:history="1">
            <w:r w:rsidR="00BF35BC" w:rsidRPr="00604235">
              <w:rPr>
                <w:rStyle w:val="Hyperlink"/>
              </w:rPr>
              <w:t>E.2</w:t>
            </w:r>
            <w:r w:rsidR="00BF35BC">
              <w:rPr>
                <w:rFonts w:asciiTheme="minorHAnsi" w:hAnsiTheme="minorHAnsi" w:cstheme="minorBidi"/>
                <w:smallCaps w:val="0"/>
                <w:lang w:eastAsia="en-AU"/>
              </w:rPr>
              <w:tab/>
            </w:r>
            <w:r w:rsidR="00BF35BC" w:rsidRPr="00604235">
              <w:rPr>
                <w:rStyle w:val="Hyperlink"/>
              </w:rPr>
              <w:t>Estimation of use and costs of the proposed medical service</w:t>
            </w:r>
            <w:r w:rsidR="00BF35BC">
              <w:rPr>
                <w:webHidden/>
              </w:rPr>
              <w:tab/>
            </w:r>
            <w:r w:rsidR="00BF35BC">
              <w:rPr>
                <w:webHidden/>
              </w:rPr>
              <w:fldChar w:fldCharType="begin"/>
            </w:r>
            <w:r w:rsidR="00BF35BC">
              <w:rPr>
                <w:webHidden/>
              </w:rPr>
              <w:instrText xml:space="preserve"> PAGEREF _Toc453065329 \h </w:instrText>
            </w:r>
            <w:r w:rsidR="00BF35BC">
              <w:rPr>
                <w:webHidden/>
              </w:rPr>
            </w:r>
            <w:r w:rsidR="00BF35BC">
              <w:rPr>
                <w:webHidden/>
              </w:rPr>
              <w:fldChar w:fldCharType="separate"/>
            </w:r>
            <w:r w:rsidR="00A456ED">
              <w:rPr>
                <w:webHidden/>
              </w:rPr>
              <w:t>201</w:t>
            </w:r>
            <w:r w:rsidR="00BF35BC">
              <w:rPr>
                <w:webHidden/>
              </w:rPr>
              <w:fldChar w:fldCharType="end"/>
            </w:r>
          </w:hyperlink>
        </w:p>
        <w:p w14:paraId="55345695" w14:textId="292AFF66"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30" w:history="1">
            <w:r w:rsidR="00BF35BC" w:rsidRPr="00604235">
              <w:rPr>
                <w:rStyle w:val="Hyperlink"/>
                <w:noProof/>
              </w:rPr>
              <w:t>E.2.1</w:t>
            </w:r>
            <w:r w:rsidR="00BF35BC">
              <w:rPr>
                <w:rFonts w:asciiTheme="minorHAnsi" w:hAnsiTheme="minorHAnsi" w:cstheme="minorBidi"/>
                <w:i w:val="0"/>
                <w:iCs w:val="0"/>
                <w:noProof/>
                <w:sz w:val="22"/>
                <w:szCs w:val="22"/>
                <w:lang w:eastAsia="en-AU"/>
              </w:rPr>
              <w:tab/>
            </w:r>
            <w:r w:rsidR="00BF35BC" w:rsidRPr="00604235">
              <w:rPr>
                <w:rStyle w:val="Hyperlink"/>
                <w:noProof/>
              </w:rPr>
              <w:t>Caseload capacity to perform MT procedures in Australia</w:t>
            </w:r>
            <w:r w:rsidR="00BF35BC">
              <w:rPr>
                <w:noProof/>
                <w:webHidden/>
              </w:rPr>
              <w:tab/>
            </w:r>
            <w:r w:rsidR="00BF35BC">
              <w:rPr>
                <w:noProof/>
                <w:webHidden/>
              </w:rPr>
              <w:fldChar w:fldCharType="begin"/>
            </w:r>
            <w:r w:rsidR="00BF35BC">
              <w:rPr>
                <w:noProof/>
                <w:webHidden/>
              </w:rPr>
              <w:instrText xml:space="preserve"> PAGEREF _Toc453065330 \h </w:instrText>
            </w:r>
            <w:r w:rsidR="00BF35BC">
              <w:rPr>
                <w:noProof/>
                <w:webHidden/>
              </w:rPr>
            </w:r>
            <w:r w:rsidR="00BF35BC">
              <w:rPr>
                <w:noProof/>
                <w:webHidden/>
              </w:rPr>
              <w:fldChar w:fldCharType="separate"/>
            </w:r>
            <w:r w:rsidR="00A456ED">
              <w:rPr>
                <w:noProof/>
                <w:webHidden/>
              </w:rPr>
              <w:t>201</w:t>
            </w:r>
            <w:r w:rsidR="00BF35BC">
              <w:rPr>
                <w:noProof/>
                <w:webHidden/>
              </w:rPr>
              <w:fldChar w:fldCharType="end"/>
            </w:r>
          </w:hyperlink>
        </w:p>
        <w:p w14:paraId="53EA79FB" w14:textId="721443E6" w:rsidR="00BF35BC" w:rsidRDefault="00B76E8C" w:rsidP="00BF35BC">
          <w:pPr>
            <w:pStyle w:val="TOC3"/>
            <w:tabs>
              <w:tab w:val="left" w:pos="1320"/>
              <w:tab w:val="right" w:leader="dot" w:pos="8353"/>
            </w:tabs>
            <w:ind w:left="992" w:hanging="992"/>
            <w:rPr>
              <w:rFonts w:asciiTheme="minorHAnsi" w:hAnsiTheme="minorHAnsi" w:cstheme="minorBidi"/>
              <w:i w:val="0"/>
              <w:iCs w:val="0"/>
              <w:noProof/>
              <w:sz w:val="22"/>
              <w:szCs w:val="22"/>
              <w:lang w:eastAsia="en-AU"/>
            </w:rPr>
          </w:pPr>
          <w:hyperlink w:anchor="_Toc453065331" w:history="1">
            <w:r w:rsidR="00BF35BC" w:rsidRPr="00604235">
              <w:rPr>
                <w:rStyle w:val="Hyperlink"/>
                <w:noProof/>
              </w:rPr>
              <w:t>E.2.2</w:t>
            </w:r>
            <w:r w:rsidR="00BF35BC">
              <w:rPr>
                <w:rFonts w:asciiTheme="minorHAnsi" w:hAnsiTheme="minorHAnsi" w:cstheme="minorBidi"/>
                <w:i w:val="0"/>
                <w:iCs w:val="0"/>
                <w:noProof/>
                <w:sz w:val="22"/>
                <w:szCs w:val="22"/>
                <w:lang w:eastAsia="en-AU"/>
              </w:rPr>
              <w:tab/>
            </w:r>
            <w:r w:rsidR="00BF35BC" w:rsidRPr="00604235">
              <w:rPr>
                <w:rStyle w:val="Hyperlink"/>
                <w:noProof/>
              </w:rPr>
              <w:t>Estimated costs of MT to the MBS</w:t>
            </w:r>
            <w:r w:rsidR="00BF35BC">
              <w:rPr>
                <w:noProof/>
                <w:webHidden/>
              </w:rPr>
              <w:tab/>
            </w:r>
            <w:r w:rsidR="00BF35BC">
              <w:rPr>
                <w:noProof/>
                <w:webHidden/>
              </w:rPr>
              <w:fldChar w:fldCharType="begin"/>
            </w:r>
            <w:r w:rsidR="00BF35BC">
              <w:rPr>
                <w:noProof/>
                <w:webHidden/>
              </w:rPr>
              <w:instrText xml:space="preserve"> PAGEREF _Toc453065331 \h </w:instrText>
            </w:r>
            <w:r w:rsidR="00BF35BC">
              <w:rPr>
                <w:noProof/>
                <w:webHidden/>
              </w:rPr>
            </w:r>
            <w:r w:rsidR="00BF35BC">
              <w:rPr>
                <w:noProof/>
                <w:webHidden/>
              </w:rPr>
              <w:fldChar w:fldCharType="separate"/>
            </w:r>
            <w:r w:rsidR="00A456ED">
              <w:rPr>
                <w:noProof/>
                <w:webHidden/>
              </w:rPr>
              <w:t>202</w:t>
            </w:r>
            <w:r w:rsidR="00BF35BC">
              <w:rPr>
                <w:noProof/>
                <w:webHidden/>
              </w:rPr>
              <w:fldChar w:fldCharType="end"/>
            </w:r>
          </w:hyperlink>
        </w:p>
        <w:p w14:paraId="65566294" w14:textId="077DE7C0" w:rsidR="00BF35BC" w:rsidRDefault="00B76E8C" w:rsidP="00BF35BC">
          <w:pPr>
            <w:pStyle w:val="TOC2"/>
            <w:ind w:right="0" w:hanging="992"/>
            <w:rPr>
              <w:rFonts w:asciiTheme="minorHAnsi" w:hAnsiTheme="minorHAnsi" w:cstheme="minorBidi"/>
              <w:smallCaps w:val="0"/>
              <w:lang w:eastAsia="en-AU"/>
            </w:rPr>
          </w:pPr>
          <w:hyperlink w:anchor="_Toc453065332" w:history="1">
            <w:r w:rsidR="00BF35BC" w:rsidRPr="00604235">
              <w:rPr>
                <w:rStyle w:val="Hyperlink"/>
              </w:rPr>
              <w:t>E.3</w:t>
            </w:r>
            <w:r w:rsidR="00BF35BC">
              <w:rPr>
                <w:rFonts w:asciiTheme="minorHAnsi" w:hAnsiTheme="minorHAnsi" w:cstheme="minorBidi"/>
                <w:smallCaps w:val="0"/>
                <w:lang w:eastAsia="en-AU"/>
              </w:rPr>
              <w:tab/>
            </w:r>
            <w:r w:rsidR="00BF35BC" w:rsidRPr="00604235">
              <w:rPr>
                <w:rStyle w:val="Hyperlink"/>
              </w:rPr>
              <w:t>Estimation of changes in use and cost of other MBS items</w:t>
            </w:r>
            <w:r w:rsidR="00BF35BC">
              <w:rPr>
                <w:webHidden/>
              </w:rPr>
              <w:tab/>
            </w:r>
            <w:r w:rsidR="00BF35BC">
              <w:rPr>
                <w:webHidden/>
              </w:rPr>
              <w:fldChar w:fldCharType="begin"/>
            </w:r>
            <w:r w:rsidR="00BF35BC">
              <w:rPr>
                <w:webHidden/>
              </w:rPr>
              <w:instrText xml:space="preserve"> PAGEREF _Toc453065332 \h </w:instrText>
            </w:r>
            <w:r w:rsidR="00BF35BC">
              <w:rPr>
                <w:webHidden/>
              </w:rPr>
            </w:r>
            <w:r w:rsidR="00BF35BC">
              <w:rPr>
                <w:webHidden/>
              </w:rPr>
              <w:fldChar w:fldCharType="separate"/>
            </w:r>
            <w:r w:rsidR="00A456ED">
              <w:rPr>
                <w:webHidden/>
              </w:rPr>
              <w:t>203</w:t>
            </w:r>
            <w:r w:rsidR="00BF35BC">
              <w:rPr>
                <w:webHidden/>
              </w:rPr>
              <w:fldChar w:fldCharType="end"/>
            </w:r>
          </w:hyperlink>
        </w:p>
        <w:p w14:paraId="3E10C426" w14:textId="4F67F7E8" w:rsidR="00BF35BC" w:rsidRDefault="00B76E8C" w:rsidP="00BF35BC">
          <w:pPr>
            <w:pStyle w:val="TOC2"/>
            <w:ind w:right="0" w:hanging="992"/>
            <w:rPr>
              <w:rFonts w:asciiTheme="minorHAnsi" w:hAnsiTheme="minorHAnsi" w:cstheme="minorBidi"/>
              <w:smallCaps w:val="0"/>
              <w:lang w:eastAsia="en-AU"/>
            </w:rPr>
          </w:pPr>
          <w:hyperlink w:anchor="_Toc453065333" w:history="1">
            <w:r w:rsidR="00BF35BC" w:rsidRPr="00604235">
              <w:rPr>
                <w:rStyle w:val="Hyperlink"/>
              </w:rPr>
              <w:t>E.4</w:t>
            </w:r>
            <w:r w:rsidR="00BF35BC">
              <w:rPr>
                <w:rFonts w:asciiTheme="minorHAnsi" w:hAnsiTheme="minorHAnsi" w:cstheme="minorBidi"/>
                <w:smallCaps w:val="0"/>
                <w:lang w:eastAsia="en-AU"/>
              </w:rPr>
              <w:tab/>
            </w:r>
            <w:r w:rsidR="00BF35BC" w:rsidRPr="00604235">
              <w:rPr>
                <w:rStyle w:val="Hyperlink"/>
              </w:rPr>
              <w:t>Estimated financial implications for the MBS</w:t>
            </w:r>
            <w:r w:rsidR="00BF35BC">
              <w:rPr>
                <w:webHidden/>
              </w:rPr>
              <w:tab/>
            </w:r>
            <w:r w:rsidR="00BF35BC">
              <w:rPr>
                <w:webHidden/>
              </w:rPr>
              <w:fldChar w:fldCharType="begin"/>
            </w:r>
            <w:r w:rsidR="00BF35BC">
              <w:rPr>
                <w:webHidden/>
              </w:rPr>
              <w:instrText xml:space="preserve"> PAGEREF _Toc453065333 \h </w:instrText>
            </w:r>
            <w:r w:rsidR="00BF35BC">
              <w:rPr>
                <w:webHidden/>
              </w:rPr>
            </w:r>
            <w:r w:rsidR="00BF35BC">
              <w:rPr>
                <w:webHidden/>
              </w:rPr>
              <w:fldChar w:fldCharType="separate"/>
            </w:r>
            <w:r w:rsidR="00A456ED">
              <w:rPr>
                <w:webHidden/>
              </w:rPr>
              <w:t>204</w:t>
            </w:r>
            <w:r w:rsidR="00BF35BC">
              <w:rPr>
                <w:webHidden/>
              </w:rPr>
              <w:fldChar w:fldCharType="end"/>
            </w:r>
          </w:hyperlink>
        </w:p>
        <w:p w14:paraId="2441AD5D" w14:textId="6F8BAEE8" w:rsidR="00BF35BC" w:rsidRDefault="00B76E8C" w:rsidP="00BF35BC">
          <w:pPr>
            <w:pStyle w:val="TOC2"/>
            <w:ind w:right="0" w:hanging="992"/>
            <w:rPr>
              <w:rFonts w:asciiTheme="minorHAnsi" w:hAnsiTheme="minorHAnsi" w:cstheme="minorBidi"/>
              <w:smallCaps w:val="0"/>
              <w:lang w:eastAsia="en-AU"/>
            </w:rPr>
          </w:pPr>
          <w:hyperlink w:anchor="_Toc453065334" w:history="1">
            <w:r w:rsidR="00BF35BC" w:rsidRPr="00604235">
              <w:rPr>
                <w:rStyle w:val="Hyperlink"/>
              </w:rPr>
              <w:t>E.5</w:t>
            </w:r>
            <w:r w:rsidR="00BF35BC">
              <w:rPr>
                <w:rFonts w:asciiTheme="minorHAnsi" w:hAnsiTheme="minorHAnsi" w:cstheme="minorBidi"/>
                <w:smallCaps w:val="0"/>
                <w:lang w:eastAsia="en-AU"/>
              </w:rPr>
              <w:tab/>
            </w:r>
            <w:r w:rsidR="00BF35BC" w:rsidRPr="00604235">
              <w:rPr>
                <w:rStyle w:val="Hyperlink"/>
              </w:rPr>
              <w:t>Estimated financial implications for government health budgets</w:t>
            </w:r>
            <w:r w:rsidR="00BF35BC">
              <w:rPr>
                <w:webHidden/>
              </w:rPr>
              <w:tab/>
            </w:r>
            <w:r w:rsidR="00BF35BC">
              <w:rPr>
                <w:webHidden/>
              </w:rPr>
              <w:fldChar w:fldCharType="begin"/>
            </w:r>
            <w:r w:rsidR="00BF35BC">
              <w:rPr>
                <w:webHidden/>
              </w:rPr>
              <w:instrText xml:space="preserve"> PAGEREF _Toc453065334 \h </w:instrText>
            </w:r>
            <w:r w:rsidR="00BF35BC">
              <w:rPr>
                <w:webHidden/>
              </w:rPr>
            </w:r>
            <w:r w:rsidR="00BF35BC">
              <w:rPr>
                <w:webHidden/>
              </w:rPr>
              <w:fldChar w:fldCharType="separate"/>
            </w:r>
            <w:r w:rsidR="00A456ED">
              <w:rPr>
                <w:webHidden/>
              </w:rPr>
              <w:t>205</w:t>
            </w:r>
            <w:r w:rsidR="00BF35BC">
              <w:rPr>
                <w:webHidden/>
              </w:rPr>
              <w:fldChar w:fldCharType="end"/>
            </w:r>
          </w:hyperlink>
        </w:p>
        <w:p w14:paraId="06A48E2C" w14:textId="1596FCB2" w:rsidR="00BF35BC" w:rsidRDefault="00B76E8C" w:rsidP="00BF35BC">
          <w:pPr>
            <w:pStyle w:val="TOC1"/>
            <w:ind w:left="992" w:hanging="992"/>
            <w:rPr>
              <w:rFonts w:asciiTheme="minorHAnsi" w:hAnsiTheme="minorHAnsi" w:cstheme="minorBidi"/>
              <w:b w:val="0"/>
              <w:bCs w:val="0"/>
              <w:caps w:val="0"/>
              <w:lang w:eastAsia="en-AU"/>
            </w:rPr>
          </w:pPr>
          <w:hyperlink w:anchor="_Toc453065335" w:history="1">
            <w:r w:rsidR="00BF35BC" w:rsidRPr="00604235">
              <w:rPr>
                <w:rStyle w:val="Hyperlink"/>
              </w:rPr>
              <w:t>F.</w:t>
            </w:r>
            <w:r w:rsidR="00BF35BC">
              <w:rPr>
                <w:rFonts w:asciiTheme="minorHAnsi" w:hAnsiTheme="minorHAnsi" w:cstheme="minorBidi"/>
                <w:b w:val="0"/>
                <w:bCs w:val="0"/>
                <w:caps w:val="0"/>
                <w:lang w:eastAsia="en-AU"/>
              </w:rPr>
              <w:tab/>
            </w:r>
            <w:r w:rsidR="00BF35BC" w:rsidRPr="00604235">
              <w:rPr>
                <w:rStyle w:val="Hyperlink"/>
              </w:rPr>
              <w:t>Additional relevant information</w:t>
            </w:r>
            <w:r w:rsidR="00BF35BC">
              <w:rPr>
                <w:webHidden/>
              </w:rPr>
              <w:tab/>
            </w:r>
            <w:r w:rsidR="00BF35BC">
              <w:rPr>
                <w:webHidden/>
              </w:rPr>
              <w:fldChar w:fldCharType="begin"/>
            </w:r>
            <w:r w:rsidR="00BF35BC">
              <w:rPr>
                <w:webHidden/>
              </w:rPr>
              <w:instrText xml:space="preserve"> PAGEREF _Toc453065335 \h </w:instrText>
            </w:r>
            <w:r w:rsidR="00BF35BC">
              <w:rPr>
                <w:webHidden/>
              </w:rPr>
            </w:r>
            <w:r w:rsidR="00BF35BC">
              <w:rPr>
                <w:webHidden/>
              </w:rPr>
              <w:fldChar w:fldCharType="separate"/>
            </w:r>
            <w:r w:rsidR="00A456ED">
              <w:rPr>
                <w:webHidden/>
              </w:rPr>
              <w:t>207</w:t>
            </w:r>
            <w:r w:rsidR="00BF35BC">
              <w:rPr>
                <w:webHidden/>
              </w:rPr>
              <w:fldChar w:fldCharType="end"/>
            </w:r>
          </w:hyperlink>
        </w:p>
        <w:p w14:paraId="71EEE91A" w14:textId="40D60BA3" w:rsidR="00BF35BC" w:rsidRDefault="00B76E8C" w:rsidP="00BF35BC">
          <w:pPr>
            <w:pStyle w:val="TOC1"/>
            <w:ind w:left="992" w:hanging="992"/>
            <w:rPr>
              <w:rFonts w:asciiTheme="minorHAnsi" w:hAnsiTheme="minorHAnsi" w:cstheme="minorBidi"/>
              <w:b w:val="0"/>
              <w:bCs w:val="0"/>
              <w:caps w:val="0"/>
              <w:lang w:eastAsia="en-AU"/>
            </w:rPr>
          </w:pPr>
          <w:hyperlink w:anchor="_Toc453065336" w:history="1">
            <w:r w:rsidR="00BF35BC" w:rsidRPr="00604235">
              <w:rPr>
                <w:rStyle w:val="Hyperlink"/>
              </w:rPr>
              <w:t>References</w:t>
            </w:r>
            <w:r w:rsidR="00BF35BC">
              <w:rPr>
                <w:webHidden/>
              </w:rPr>
              <w:tab/>
            </w:r>
            <w:r w:rsidR="00BF35BC">
              <w:rPr>
                <w:webHidden/>
              </w:rPr>
              <w:fldChar w:fldCharType="begin"/>
            </w:r>
            <w:r w:rsidR="00BF35BC">
              <w:rPr>
                <w:webHidden/>
              </w:rPr>
              <w:instrText xml:space="preserve"> PAGEREF _Toc453065336 \h </w:instrText>
            </w:r>
            <w:r w:rsidR="00BF35BC">
              <w:rPr>
                <w:webHidden/>
              </w:rPr>
            </w:r>
            <w:r w:rsidR="00BF35BC">
              <w:rPr>
                <w:webHidden/>
              </w:rPr>
              <w:fldChar w:fldCharType="separate"/>
            </w:r>
            <w:r w:rsidR="00A456ED">
              <w:rPr>
                <w:webHidden/>
              </w:rPr>
              <w:t>209</w:t>
            </w:r>
            <w:r w:rsidR="00BF35BC">
              <w:rPr>
                <w:webHidden/>
              </w:rPr>
              <w:fldChar w:fldCharType="end"/>
            </w:r>
          </w:hyperlink>
        </w:p>
        <w:p w14:paraId="2EF789D0" w14:textId="29548814" w:rsidR="00033497" w:rsidRPr="00D85E09" w:rsidRDefault="00033497" w:rsidP="00BF35BC">
          <w:pPr>
            <w:widowControl w:val="0"/>
            <w:spacing w:before="60" w:after="60" w:line="288" w:lineRule="auto"/>
            <w:ind w:left="992" w:hanging="992"/>
            <w:contextualSpacing/>
          </w:pPr>
          <w:r w:rsidRPr="00D85E09">
            <w:rPr>
              <w:b/>
              <w:bCs/>
              <w:noProof/>
            </w:rPr>
            <w:fldChar w:fldCharType="end"/>
          </w:r>
        </w:p>
      </w:sdtContent>
    </w:sdt>
    <w:p w14:paraId="0091F1E5" w14:textId="77777777" w:rsidR="00033497" w:rsidRPr="00D85E09" w:rsidRDefault="00033497" w:rsidP="00C560ED">
      <w:pPr>
        <w:widowControl w:val="0"/>
        <w:spacing w:before="120" w:line="288" w:lineRule="auto"/>
        <w:ind w:left="992" w:hanging="992"/>
        <w:sectPr w:rsidR="00033497" w:rsidRPr="00D85E09" w:rsidSect="00033497">
          <w:headerReference w:type="default" r:id="rId19"/>
          <w:pgSz w:w="11907" w:h="16834" w:code="9"/>
          <w:pgMar w:top="1304" w:right="2126" w:bottom="1418" w:left="1418" w:header="720" w:footer="720" w:gutter="0"/>
          <w:paperSrc w:first="7" w:other="7"/>
          <w:pgNumType w:fmt="lowerRoman"/>
          <w:cols w:space="720"/>
          <w:noEndnote/>
          <w:docGrid w:linePitch="299"/>
        </w:sectPr>
      </w:pPr>
    </w:p>
    <w:p w14:paraId="4F72660C" w14:textId="6FA34936" w:rsidR="008E3B5C" w:rsidRPr="00D85E09" w:rsidRDefault="00227C1C" w:rsidP="0043316B">
      <w:pPr>
        <w:pStyle w:val="Heading1"/>
        <w:keepNext w:val="0"/>
        <w:pageBreakBefore w:val="0"/>
        <w:widowControl w:val="0"/>
        <w:numPr>
          <w:ilvl w:val="0"/>
          <w:numId w:val="0"/>
        </w:numPr>
        <w:ind w:left="360" w:hanging="360"/>
        <w:rPr>
          <w:lang w:val="en-AU"/>
        </w:rPr>
      </w:pPr>
      <w:bookmarkStart w:id="23" w:name="_Toc453065231"/>
      <w:r w:rsidRPr="00D85E09">
        <w:rPr>
          <w:lang w:val="en-AU"/>
        </w:rPr>
        <w:lastRenderedPageBreak/>
        <w:t>List of T</w:t>
      </w:r>
      <w:r w:rsidR="008E3B5C" w:rsidRPr="00D85E09">
        <w:rPr>
          <w:lang w:val="en-AU"/>
        </w:rPr>
        <w:t>ables</w:t>
      </w:r>
      <w:bookmarkEnd w:id="23"/>
    </w:p>
    <w:p w14:paraId="77800808" w14:textId="23C73375" w:rsidR="00BF35BC" w:rsidRDefault="008E3B5C">
      <w:pPr>
        <w:pStyle w:val="TableofFigures"/>
        <w:rPr>
          <w:rFonts w:asciiTheme="minorHAnsi" w:hAnsiTheme="minorHAnsi" w:cstheme="minorBidi"/>
          <w:lang w:eastAsia="en-AU"/>
        </w:rPr>
      </w:pPr>
      <w:r w:rsidRPr="00D85E09">
        <w:fldChar w:fldCharType="begin"/>
      </w:r>
      <w:r w:rsidRPr="00D85E09">
        <w:instrText xml:space="preserve"> TOC \h \z \c "Table" </w:instrText>
      </w:r>
      <w:r w:rsidRPr="00D85E09">
        <w:fldChar w:fldCharType="separate"/>
      </w:r>
      <w:hyperlink w:anchor="_Toc453065337" w:history="1">
        <w:r w:rsidR="00BF35BC" w:rsidRPr="00B35470">
          <w:rPr>
            <w:rStyle w:val="Hyperlink"/>
          </w:rPr>
          <w:t>Table 1</w:t>
        </w:r>
        <w:r w:rsidR="00BF35BC">
          <w:rPr>
            <w:rFonts w:asciiTheme="minorHAnsi" w:hAnsiTheme="minorHAnsi" w:cstheme="minorBidi"/>
            <w:lang w:eastAsia="en-AU"/>
          </w:rPr>
          <w:tab/>
        </w:r>
        <w:r w:rsidR="00BF35BC" w:rsidRPr="00B35470">
          <w:rPr>
            <w:rStyle w:val="Hyperlink"/>
          </w:rPr>
          <w:t>Aetiology of acute ischaemic stroke</w:t>
        </w:r>
        <w:r w:rsidR="00BF35BC">
          <w:rPr>
            <w:webHidden/>
          </w:rPr>
          <w:tab/>
        </w:r>
        <w:r w:rsidR="00BF35BC">
          <w:rPr>
            <w:webHidden/>
          </w:rPr>
          <w:fldChar w:fldCharType="begin"/>
        </w:r>
        <w:r w:rsidR="00BF35BC">
          <w:rPr>
            <w:webHidden/>
          </w:rPr>
          <w:instrText xml:space="preserve"> PAGEREF _Toc453065337 \h </w:instrText>
        </w:r>
        <w:r w:rsidR="00BF35BC">
          <w:rPr>
            <w:webHidden/>
          </w:rPr>
        </w:r>
        <w:r w:rsidR="00BF35BC">
          <w:rPr>
            <w:webHidden/>
          </w:rPr>
          <w:fldChar w:fldCharType="separate"/>
        </w:r>
        <w:r w:rsidR="00A456ED">
          <w:rPr>
            <w:webHidden/>
          </w:rPr>
          <w:t>5</w:t>
        </w:r>
        <w:r w:rsidR="00BF35BC">
          <w:rPr>
            <w:webHidden/>
          </w:rPr>
          <w:fldChar w:fldCharType="end"/>
        </w:r>
      </w:hyperlink>
    </w:p>
    <w:p w14:paraId="05C10B14" w14:textId="2A5C420F" w:rsidR="00BF35BC" w:rsidRDefault="00B76E8C">
      <w:pPr>
        <w:pStyle w:val="TableofFigures"/>
        <w:rPr>
          <w:rFonts w:asciiTheme="minorHAnsi" w:hAnsiTheme="minorHAnsi" w:cstheme="minorBidi"/>
          <w:lang w:eastAsia="en-AU"/>
        </w:rPr>
      </w:pPr>
      <w:hyperlink w:anchor="_Toc453065338" w:history="1">
        <w:r w:rsidR="00BF35BC" w:rsidRPr="00B35470">
          <w:rPr>
            <w:rStyle w:val="Hyperlink"/>
          </w:rPr>
          <w:t>Table 2</w:t>
        </w:r>
        <w:r w:rsidR="00BF35BC">
          <w:rPr>
            <w:rFonts w:asciiTheme="minorHAnsi" w:hAnsiTheme="minorHAnsi" w:cstheme="minorBidi"/>
            <w:lang w:eastAsia="en-AU"/>
          </w:rPr>
          <w:tab/>
        </w:r>
        <w:r w:rsidR="00BF35BC" w:rsidRPr="00B35470">
          <w:rPr>
            <w:rStyle w:val="Hyperlink"/>
          </w:rPr>
          <w:t>Description of mechanical thrombectomy devices</w:t>
        </w:r>
        <w:r w:rsidR="00BF35BC">
          <w:rPr>
            <w:webHidden/>
          </w:rPr>
          <w:tab/>
        </w:r>
        <w:r w:rsidR="00BF35BC">
          <w:rPr>
            <w:webHidden/>
          </w:rPr>
          <w:fldChar w:fldCharType="begin"/>
        </w:r>
        <w:r w:rsidR="00BF35BC">
          <w:rPr>
            <w:webHidden/>
          </w:rPr>
          <w:instrText xml:space="preserve"> PAGEREF _Toc453065338 \h </w:instrText>
        </w:r>
        <w:r w:rsidR="00BF35BC">
          <w:rPr>
            <w:webHidden/>
          </w:rPr>
        </w:r>
        <w:r w:rsidR="00BF35BC">
          <w:rPr>
            <w:webHidden/>
          </w:rPr>
          <w:fldChar w:fldCharType="separate"/>
        </w:r>
        <w:r w:rsidR="00A456ED">
          <w:rPr>
            <w:webHidden/>
          </w:rPr>
          <w:t>8</w:t>
        </w:r>
        <w:r w:rsidR="00BF35BC">
          <w:rPr>
            <w:webHidden/>
          </w:rPr>
          <w:fldChar w:fldCharType="end"/>
        </w:r>
      </w:hyperlink>
    </w:p>
    <w:p w14:paraId="59D2AE98" w14:textId="49151F55" w:rsidR="00BF35BC" w:rsidRDefault="00B76E8C">
      <w:pPr>
        <w:pStyle w:val="TableofFigures"/>
        <w:rPr>
          <w:rFonts w:asciiTheme="minorHAnsi" w:hAnsiTheme="minorHAnsi" w:cstheme="minorBidi"/>
          <w:lang w:eastAsia="en-AU"/>
        </w:rPr>
      </w:pPr>
      <w:hyperlink w:anchor="_Toc453065339" w:history="1">
        <w:r w:rsidR="00BF35BC" w:rsidRPr="00B35470">
          <w:rPr>
            <w:rStyle w:val="Hyperlink"/>
          </w:rPr>
          <w:t>Table 3</w:t>
        </w:r>
        <w:r w:rsidR="00BF35BC">
          <w:rPr>
            <w:rFonts w:asciiTheme="minorHAnsi" w:hAnsiTheme="minorHAnsi" w:cstheme="minorBidi"/>
            <w:lang w:eastAsia="en-AU"/>
          </w:rPr>
          <w:tab/>
        </w:r>
        <w:r w:rsidR="00BF35BC" w:rsidRPr="00B35470">
          <w:rPr>
            <w:rStyle w:val="Hyperlink"/>
          </w:rPr>
          <w:t>Summary of mechanical thrombectomy devices used in key trials and international guidance around devices</w:t>
        </w:r>
        <w:r w:rsidR="00BF35BC">
          <w:rPr>
            <w:webHidden/>
          </w:rPr>
          <w:tab/>
        </w:r>
        <w:r w:rsidR="00BF35BC">
          <w:rPr>
            <w:webHidden/>
          </w:rPr>
          <w:fldChar w:fldCharType="begin"/>
        </w:r>
        <w:r w:rsidR="00BF35BC">
          <w:rPr>
            <w:webHidden/>
          </w:rPr>
          <w:instrText xml:space="preserve"> PAGEREF _Toc453065339 \h </w:instrText>
        </w:r>
        <w:r w:rsidR="00BF35BC">
          <w:rPr>
            <w:webHidden/>
          </w:rPr>
        </w:r>
        <w:r w:rsidR="00BF35BC">
          <w:rPr>
            <w:webHidden/>
          </w:rPr>
          <w:fldChar w:fldCharType="separate"/>
        </w:r>
        <w:r w:rsidR="00A456ED">
          <w:rPr>
            <w:webHidden/>
          </w:rPr>
          <w:t>9</w:t>
        </w:r>
        <w:r w:rsidR="00BF35BC">
          <w:rPr>
            <w:webHidden/>
          </w:rPr>
          <w:fldChar w:fldCharType="end"/>
        </w:r>
      </w:hyperlink>
    </w:p>
    <w:p w14:paraId="0280DD22" w14:textId="5ABA334F" w:rsidR="00BF35BC" w:rsidRDefault="00B76E8C">
      <w:pPr>
        <w:pStyle w:val="TableofFigures"/>
        <w:rPr>
          <w:rFonts w:asciiTheme="minorHAnsi" w:hAnsiTheme="minorHAnsi" w:cstheme="minorBidi"/>
          <w:lang w:eastAsia="en-AU"/>
        </w:rPr>
      </w:pPr>
      <w:hyperlink w:anchor="_Toc453065340" w:history="1">
        <w:r w:rsidR="00BF35BC" w:rsidRPr="00B35470">
          <w:rPr>
            <w:rStyle w:val="Hyperlink"/>
          </w:rPr>
          <w:t>Table 4</w:t>
        </w:r>
        <w:r w:rsidR="00BF35BC">
          <w:rPr>
            <w:rFonts w:asciiTheme="minorHAnsi" w:hAnsiTheme="minorHAnsi" w:cstheme="minorBidi"/>
            <w:lang w:eastAsia="en-AU"/>
          </w:rPr>
          <w:tab/>
        </w:r>
        <w:r w:rsidR="00BF35BC" w:rsidRPr="00B35470">
          <w:rPr>
            <w:rStyle w:val="Hyperlink"/>
          </w:rPr>
          <w:t xml:space="preserve"> Details of TGA registration</w:t>
        </w:r>
        <w:r w:rsidR="00BF35BC">
          <w:rPr>
            <w:webHidden/>
          </w:rPr>
          <w:tab/>
        </w:r>
        <w:r w:rsidR="00BF35BC">
          <w:rPr>
            <w:webHidden/>
          </w:rPr>
          <w:fldChar w:fldCharType="begin"/>
        </w:r>
        <w:r w:rsidR="00BF35BC">
          <w:rPr>
            <w:webHidden/>
          </w:rPr>
          <w:instrText xml:space="preserve"> PAGEREF _Toc453065340 \h </w:instrText>
        </w:r>
        <w:r w:rsidR="00BF35BC">
          <w:rPr>
            <w:webHidden/>
          </w:rPr>
        </w:r>
        <w:r w:rsidR="00BF35BC">
          <w:rPr>
            <w:webHidden/>
          </w:rPr>
          <w:fldChar w:fldCharType="separate"/>
        </w:r>
        <w:r w:rsidR="00A456ED">
          <w:rPr>
            <w:webHidden/>
          </w:rPr>
          <w:t>11</w:t>
        </w:r>
        <w:r w:rsidR="00BF35BC">
          <w:rPr>
            <w:webHidden/>
          </w:rPr>
          <w:fldChar w:fldCharType="end"/>
        </w:r>
      </w:hyperlink>
    </w:p>
    <w:p w14:paraId="24B001A6" w14:textId="5D1B45ED" w:rsidR="00BF35BC" w:rsidRDefault="00B76E8C">
      <w:pPr>
        <w:pStyle w:val="TableofFigures"/>
        <w:rPr>
          <w:rFonts w:asciiTheme="minorHAnsi" w:hAnsiTheme="minorHAnsi" w:cstheme="minorBidi"/>
          <w:lang w:eastAsia="en-AU"/>
        </w:rPr>
      </w:pPr>
      <w:hyperlink w:anchor="_Toc453065341" w:history="1">
        <w:r w:rsidR="00BF35BC" w:rsidRPr="00B35470">
          <w:rPr>
            <w:rStyle w:val="Hyperlink"/>
          </w:rPr>
          <w:t>Table 5</w:t>
        </w:r>
        <w:r w:rsidR="00BF35BC">
          <w:rPr>
            <w:rFonts w:asciiTheme="minorHAnsi" w:hAnsiTheme="minorHAnsi" w:cstheme="minorBidi"/>
            <w:lang w:eastAsia="en-AU"/>
          </w:rPr>
          <w:tab/>
        </w:r>
        <w:r w:rsidR="00BF35BC" w:rsidRPr="00B35470">
          <w:rPr>
            <w:rStyle w:val="Hyperlink"/>
          </w:rPr>
          <w:t>Proposed MBS item descriptor</w:t>
        </w:r>
        <w:r w:rsidR="00BF35BC">
          <w:rPr>
            <w:webHidden/>
          </w:rPr>
          <w:tab/>
        </w:r>
        <w:r w:rsidR="00BF35BC">
          <w:rPr>
            <w:webHidden/>
          </w:rPr>
          <w:fldChar w:fldCharType="begin"/>
        </w:r>
        <w:r w:rsidR="00BF35BC">
          <w:rPr>
            <w:webHidden/>
          </w:rPr>
          <w:instrText xml:space="preserve"> PAGEREF _Toc453065341 \h </w:instrText>
        </w:r>
        <w:r w:rsidR="00BF35BC">
          <w:rPr>
            <w:webHidden/>
          </w:rPr>
        </w:r>
        <w:r w:rsidR="00BF35BC">
          <w:rPr>
            <w:webHidden/>
          </w:rPr>
          <w:fldChar w:fldCharType="separate"/>
        </w:r>
        <w:r w:rsidR="00A456ED">
          <w:rPr>
            <w:webHidden/>
          </w:rPr>
          <w:t>13</w:t>
        </w:r>
        <w:r w:rsidR="00BF35BC">
          <w:rPr>
            <w:webHidden/>
          </w:rPr>
          <w:fldChar w:fldCharType="end"/>
        </w:r>
      </w:hyperlink>
    </w:p>
    <w:p w14:paraId="0F3BFBCD" w14:textId="62382FDB" w:rsidR="00BF35BC" w:rsidRDefault="00B76E8C">
      <w:pPr>
        <w:pStyle w:val="TableofFigures"/>
        <w:rPr>
          <w:rFonts w:asciiTheme="minorHAnsi" w:hAnsiTheme="minorHAnsi" w:cstheme="minorBidi"/>
          <w:lang w:eastAsia="en-AU"/>
        </w:rPr>
      </w:pPr>
      <w:hyperlink w:anchor="_Toc453065342" w:history="1">
        <w:r w:rsidR="00BF35BC" w:rsidRPr="00B35470">
          <w:rPr>
            <w:rStyle w:val="Hyperlink"/>
          </w:rPr>
          <w:t>Table 6</w:t>
        </w:r>
        <w:r w:rsidR="00BF35BC">
          <w:rPr>
            <w:rFonts w:asciiTheme="minorHAnsi" w:hAnsiTheme="minorHAnsi" w:cstheme="minorBidi"/>
            <w:lang w:eastAsia="en-AU"/>
          </w:rPr>
          <w:tab/>
        </w:r>
        <w:r w:rsidR="00BF35BC" w:rsidRPr="00B35470">
          <w:rPr>
            <w:rStyle w:val="Hyperlink"/>
          </w:rPr>
          <w:t>Summary of the use of general anaesthesia in key trials and international guidance</w:t>
        </w:r>
        <w:r w:rsidR="00BF35BC">
          <w:rPr>
            <w:webHidden/>
          </w:rPr>
          <w:tab/>
        </w:r>
        <w:r w:rsidR="00BF35BC">
          <w:rPr>
            <w:webHidden/>
          </w:rPr>
          <w:fldChar w:fldCharType="begin"/>
        </w:r>
        <w:r w:rsidR="00BF35BC">
          <w:rPr>
            <w:webHidden/>
          </w:rPr>
          <w:instrText xml:space="preserve"> PAGEREF _Toc453065342 \h </w:instrText>
        </w:r>
        <w:r w:rsidR="00BF35BC">
          <w:rPr>
            <w:webHidden/>
          </w:rPr>
        </w:r>
        <w:r w:rsidR="00BF35BC">
          <w:rPr>
            <w:webHidden/>
          </w:rPr>
          <w:fldChar w:fldCharType="separate"/>
        </w:r>
        <w:r w:rsidR="00A456ED">
          <w:rPr>
            <w:webHidden/>
          </w:rPr>
          <w:t>17</w:t>
        </w:r>
        <w:r w:rsidR="00BF35BC">
          <w:rPr>
            <w:webHidden/>
          </w:rPr>
          <w:fldChar w:fldCharType="end"/>
        </w:r>
      </w:hyperlink>
    </w:p>
    <w:p w14:paraId="0B379E53" w14:textId="6EF2FD8C" w:rsidR="00BF35BC" w:rsidRDefault="00B76E8C">
      <w:pPr>
        <w:pStyle w:val="TableofFigures"/>
        <w:rPr>
          <w:rFonts w:asciiTheme="minorHAnsi" w:hAnsiTheme="minorHAnsi" w:cstheme="minorBidi"/>
          <w:lang w:eastAsia="en-AU"/>
        </w:rPr>
      </w:pPr>
      <w:hyperlink w:anchor="_Toc453065343" w:history="1">
        <w:r w:rsidR="00BF35BC" w:rsidRPr="00B35470">
          <w:rPr>
            <w:rStyle w:val="Hyperlink"/>
          </w:rPr>
          <w:t>Table 7</w:t>
        </w:r>
        <w:r w:rsidR="00BF35BC">
          <w:rPr>
            <w:rFonts w:asciiTheme="minorHAnsi" w:hAnsiTheme="minorHAnsi" w:cstheme="minorBidi"/>
            <w:lang w:eastAsia="en-AU"/>
          </w:rPr>
          <w:tab/>
        </w:r>
        <w:r w:rsidR="00BF35BC" w:rsidRPr="00B35470">
          <w:rPr>
            <w:rStyle w:val="Hyperlink"/>
          </w:rPr>
          <w:t>Recommended brain imaging for suspected stroke in the Victorian statewide service protocol</w:t>
        </w:r>
        <w:r w:rsidR="00BF35BC">
          <w:rPr>
            <w:webHidden/>
          </w:rPr>
          <w:tab/>
        </w:r>
        <w:r w:rsidR="00BF35BC">
          <w:rPr>
            <w:webHidden/>
          </w:rPr>
          <w:fldChar w:fldCharType="begin"/>
        </w:r>
        <w:r w:rsidR="00BF35BC">
          <w:rPr>
            <w:webHidden/>
          </w:rPr>
          <w:instrText xml:space="preserve"> PAGEREF _Toc453065343 \h </w:instrText>
        </w:r>
        <w:r w:rsidR="00BF35BC">
          <w:rPr>
            <w:webHidden/>
          </w:rPr>
        </w:r>
        <w:r w:rsidR="00BF35BC">
          <w:rPr>
            <w:webHidden/>
          </w:rPr>
          <w:fldChar w:fldCharType="separate"/>
        </w:r>
        <w:r w:rsidR="00A456ED">
          <w:rPr>
            <w:webHidden/>
          </w:rPr>
          <w:t>21</w:t>
        </w:r>
        <w:r w:rsidR="00BF35BC">
          <w:rPr>
            <w:webHidden/>
          </w:rPr>
          <w:fldChar w:fldCharType="end"/>
        </w:r>
      </w:hyperlink>
    </w:p>
    <w:p w14:paraId="6FC18820" w14:textId="44E7DAD2" w:rsidR="00BF35BC" w:rsidRDefault="00B76E8C">
      <w:pPr>
        <w:pStyle w:val="TableofFigures"/>
        <w:rPr>
          <w:rFonts w:asciiTheme="minorHAnsi" w:hAnsiTheme="minorHAnsi" w:cstheme="minorBidi"/>
          <w:lang w:eastAsia="en-AU"/>
        </w:rPr>
      </w:pPr>
      <w:hyperlink w:anchor="_Toc453065344" w:history="1">
        <w:r w:rsidR="00BF35BC" w:rsidRPr="00B35470">
          <w:rPr>
            <w:rStyle w:val="Hyperlink"/>
          </w:rPr>
          <w:t>Table 8:</w:t>
        </w:r>
        <w:r w:rsidR="00BF35BC">
          <w:rPr>
            <w:rFonts w:asciiTheme="minorHAnsi" w:hAnsiTheme="minorHAnsi" w:cstheme="minorBidi"/>
            <w:lang w:eastAsia="en-AU"/>
          </w:rPr>
          <w:tab/>
        </w:r>
        <w:r w:rsidR="00BF35BC" w:rsidRPr="00B35470">
          <w:rPr>
            <w:rStyle w:val="Hyperlink"/>
          </w:rPr>
          <w:t>Summary of guideline recommendations relevant to proposed populations most suitable for mechanical thrombectomy</w:t>
        </w:r>
        <w:r w:rsidR="00BF35BC">
          <w:rPr>
            <w:webHidden/>
          </w:rPr>
          <w:tab/>
        </w:r>
        <w:r w:rsidR="00BF35BC">
          <w:rPr>
            <w:webHidden/>
          </w:rPr>
          <w:fldChar w:fldCharType="begin"/>
        </w:r>
        <w:r w:rsidR="00BF35BC">
          <w:rPr>
            <w:webHidden/>
          </w:rPr>
          <w:instrText xml:space="preserve"> PAGEREF _Toc453065344 \h </w:instrText>
        </w:r>
        <w:r w:rsidR="00BF35BC">
          <w:rPr>
            <w:webHidden/>
          </w:rPr>
        </w:r>
        <w:r w:rsidR="00BF35BC">
          <w:rPr>
            <w:webHidden/>
          </w:rPr>
          <w:fldChar w:fldCharType="separate"/>
        </w:r>
        <w:r w:rsidR="00A456ED">
          <w:rPr>
            <w:webHidden/>
          </w:rPr>
          <w:t>23</w:t>
        </w:r>
        <w:r w:rsidR="00BF35BC">
          <w:rPr>
            <w:webHidden/>
          </w:rPr>
          <w:fldChar w:fldCharType="end"/>
        </w:r>
      </w:hyperlink>
    </w:p>
    <w:p w14:paraId="6E9039BE" w14:textId="797381BF" w:rsidR="00BF35BC" w:rsidRDefault="00B76E8C">
      <w:pPr>
        <w:pStyle w:val="TableofFigures"/>
        <w:rPr>
          <w:rFonts w:asciiTheme="minorHAnsi" w:hAnsiTheme="minorHAnsi" w:cstheme="minorBidi"/>
          <w:lang w:eastAsia="en-AU"/>
        </w:rPr>
      </w:pPr>
      <w:hyperlink w:anchor="_Toc453065345" w:history="1">
        <w:r w:rsidR="00BF35BC" w:rsidRPr="00B35470">
          <w:rPr>
            <w:rStyle w:val="Hyperlink"/>
          </w:rPr>
          <w:t>Table 9</w:t>
        </w:r>
        <w:r w:rsidR="00BF35BC">
          <w:rPr>
            <w:rFonts w:asciiTheme="minorHAnsi" w:hAnsiTheme="minorHAnsi" w:cstheme="minorBidi"/>
            <w:lang w:eastAsia="en-AU"/>
          </w:rPr>
          <w:tab/>
        </w:r>
        <w:r w:rsidR="00BF35BC" w:rsidRPr="00B35470">
          <w:rPr>
            <w:rStyle w:val="Hyperlink"/>
          </w:rPr>
          <w:t>Recommended selection of patients for MT in the Victorian statewide service protocol</w:t>
        </w:r>
        <w:r w:rsidR="00BF35BC">
          <w:rPr>
            <w:webHidden/>
          </w:rPr>
          <w:tab/>
        </w:r>
        <w:r w:rsidR="00BF35BC">
          <w:rPr>
            <w:webHidden/>
          </w:rPr>
          <w:fldChar w:fldCharType="begin"/>
        </w:r>
        <w:r w:rsidR="00BF35BC">
          <w:rPr>
            <w:webHidden/>
          </w:rPr>
          <w:instrText xml:space="preserve"> PAGEREF _Toc453065345 \h </w:instrText>
        </w:r>
        <w:r w:rsidR="00BF35BC">
          <w:rPr>
            <w:webHidden/>
          </w:rPr>
        </w:r>
        <w:r w:rsidR="00BF35BC">
          <w:rPr>
            <w:webHidden/>
          </w:rPr>
          <w:fldChar w:fldCharType="separate"/>
        </w:r>
        <w:r w:rsidR="00A456ED">
          <w:rPr>
            <w:webHidden/>
          </w:rPr>
          <w:t>24</w:t>
        </w:r>
        <w:r w:rsidR="00BF35BC">
          <w:rPr>
            <w:webHidden/>
          </w:rPr>
          <w:fldChar w:fldCharType="end"/>
        </w:r>
      </w:hyperlink>
    </w:p>
    <w:p w14:paraId="2E04339F" w14:textId="04262882" w:rsidR="00BF35BC" w:rsidRDefault="00B76E8C">
      <w:pPr>
        <w:pStyle w:val="TableofFigures"/>
        <w:rPr>
          <w:rFonts w:asciiTheme="minorHAnsi" w:hAnsiTheme="minorHAnsi" w:cstheme="minorBidi"/>
          <w:lang w:eastAsia="en-AU"/>
        </w:rPr>
      </w:pPr>
      <w:hyperlink w:anchor="_Toc453065346" w:history="1">
        <w:r w:rsidR="00BF35BC" w:rsidRPr="00B35470">
          <w:rPr>
            <w:rStyle w:val="Hyperlink"/>
          </w:rPr>
          <w:t>Table 10</w:t>
        </w:r>
        <w:r w:rsidR="00BF35BC">
          <w:rPr>
            <w:rFonts w:asciiTheme="minorHAnsi" w:hAnsiTheme="minorHAnsi" w:cstheme="minorBidi"/>
            <w:lang w:eastAsia="en-AU"/>
          </w:rPr>
          <w:tab/>
        </w:r>
        <w:r w:rsidR="00BF35BC" w:rsidRPr="00B35470">
          <w:rPr>
            <w:rStyle w:val="Hyperlink"/>
          </w:rPr>
          <w:t>Differences between alteplase and MT using Solitaire stent retriever</w:t>
        </w:r>
        <w:r w:rsidR="00BF35BC">
          <w:rPr>
            <w:webHidden/>
          </w:rPr>
          <w:tab/>
        </w:r>
        <w:r w:rsidR="00BF35BC">
          <w:rPr>
            <w:webHidden/>
          </w:rPr>
          <w:fldChar w:fldCharType="begin"/>
        </w:r>
        <w:r w:rsidR="00BF35BC">
          <w:rPr>
            <w:webHidden/>
          </w:rPr>
          <w:instrText xml:space="preserve"> PAGEREF _Toc453065346 \h </w:instrText>
        </w:r>
        <w:r w:rsidR="00BF35BC">
          <w:rPr>
            <w:webHidden/>
          </w:rPr>
        </w:r>
        <w:r w:rsidR="00BF35BC">
          <w:rPr>
            <w:webHidden/>
          </w:rPr>
          <w:fldChar w:fldCharType="separate"/>
        </w:r>
        <w:r w:rsidR="00A456ED">
          <w:rPr>
            <w:webHidden/>
          </w:rPr>
          <w:t>27</w:t>
        </w:r>
        <w:r w:rsidR="00BF35BC">
          <w:rPr>
            <w:webHidden/>
          </w:rPr>
          <w:fldChar w:fldCharType="end"/>
        </w:r>
      </w:hyperlink>
    </w:p>
    <w:p w14:paraId="723D2F81" w14:textId="02048ABF" w:rsidR="00BF35BC" w:rsidRDefault="00B76E8C">
      <w:pPr>
        <w:pStyle w:val="TableofFigures"/>
        <w:rPr>
          <w:rFonts w:asciiTheme="minorHAnsi" w:hAnsiTheme="minorHAnsi" w:cstheme="minorBidi"/>
          <w:lang w:eastAsia="en-AU"/>
        </w:rPr>
      </w:pPr>
      <w:hyperlink w:anchor="_Toc453065347" w:history="1">
        <w:r w:rsidR="00BF35BC" w:rsidRPr="00B35470">
          <w:rPr>
            <w:rStyle w:val="Hyperlink"/>
          </w:rPr>
          <w:t>Table 11</w:t>
        </w:r>
        <w:r w:rsidR="00BF35BC">
          <w:rPr>
            <w:rFonts w:asciiTheme="minorHAnsi" w:hAnsiTheme="minorHAnsi" w:cstheme="minorBidi"/>
            <w:lang w:eastAsia="en-AU"/>
          </w:rPr>
          <w:tab/>
        </w:r>
        <w:r w:rsidR="00BF35BC" w:rsidRPr="00B35470">
          <w:rPr>
            <w:rStyle w:val="Hyperlink"/>
          </w:rPr>
          <w:t>Summary of search strategies for RCTs</w:t>
        </w:r>
        <w:r w:rsidR="00BF35BC">
          <w:rPr>
            <w:webHidden/>
          </w:rPr>
          <w:tab/>
        </w:r>
        <w:r w:rsidR="00BF35BC">
          <w:rPr>
            <w:webHidden/>
          </w:rPr>
          <w:fldChar w:fldCharType="begin"/>
        </w:r>
        <w:r w:rsidR="00BF35BC">
          <w:rPr>
            <w:webHidden/>
          </w:rPr>
          <w:instrText xml:space="preserve"> PAGEREF _Toc453065347 \h </w:instrText>
        </w:r>
        <w:r w:rsidR="00BF35BC">
          <w:rPr>
            <w:webHidden/>
          </w:rPr>
        </w:r>
        <w:r w:rsidR="00BF35BC">
          <w:rPr>
            <w:webHidden/>
          </w:rPr>
          <w:fldChar w:fldCharType="separate"/>
        </w:r>
        <w:r w:rsidR="00A456ED">
          <w:rPr>
            <w:webHidden/>
          </w:rPr>
          <w:t>31</w:t>
        </w:r>
        <w:r w:rsidR="00BF35BC">
          <w:rPr>
            <w:webHidden/>
          </w:rPr>
          <w:fldChar w:fldCharType="end"/>
        </w:r>
      </w:hyperlink>
    </w:p>
    <w:p w14:paraId="3054526A" w14:textId="03055A7C" w:rsidR="00BF35BC" w:rsidRDefault="00B76E8C">
      <w:pPr>
        <w:pStyle w:val="TableofFigures"/>
        <w:rPr>
          <w:rFonts w:asciiTheme="minorHAnsi" w:hAnsiTheme="minorHAnsi" w:cstheme="minorBidi"/>
          <w:lang w:eastAsia="en-AU"/>
        </w:rPr>
      </w:pPr>
      <w:hyperlink w:anchor="_Toc453065348" w:history="1">
        <w:r w:rsidR="00BF35BC" w:rsidRPr="00B35470">
          <w:rPr>
            <w:rStyle w:val="Hyperlink"/>
          </w:rPr>
          <w:t>Table 12</w:t>
        </w:r>
        <w:r w:rsidR="00BF35BC">
          <w:rPr>
            <w:rFonts w:asciiTheme="minorHAnsi" w:hAnsiTheme="minorHAnsi" w:cstheme="minorBidi"/>
            <w:lang w:eastAsia="en-AU"/>
          </w:rPr>
          <w:tab/>
        </w:r>
        <w:r w:rsidR="00BF35BC" w:rsidRPr="00B35470">
          <w:rPr>
            <w:rStyle w:val="Hyperlink"/>
          </w:rPr>
          <w:t>Summary of identification of RCTs from the published literature search</w:t>
        </w:r>
        <w:r w:rsidR="00BF35BC">
          <w:rPr>
            <w:webHidden/>
          </w:rPr>
          <w:tab/>
        </w:r>
        <w:r w:rsidR="00BF35BC">
          <w:rPr>
            <w:webHidden/>
          </w:rPr>
          <w:fldChar w:fldCharType="begin"/>
        </w:r>
        <w:r w:rsidR="00BF35BC">
          <w:rPr>
            <w:webHidden/>
          </w:rPr>
          <w:instrText xml:space="preserve"> PAGEREF _Toc453065348 \h </w:instrText>
        </w:r>
        <w:r w:rsidR="00BF35BC">
          <w:rPr>
            <w:webHidden/>
          </w:rPr>
        </w:r>
        <w:r w:rsidR="00BF35BC">
          <w:rPr>
            <w:webHidden/>
          </w:rPr>
          <w:fldChar w:fldCharType="separate"/>
        </w:r>
        <w:r w:rsidR="00A456ED">
          <w:rPr>
            <w:webHidden/>
          </w:rPr>
          <w:t>33</w:t>
        </w:r>
        <w:r w:rsidR="00BF35BC">
          <w:rPr>
            <w:webHidden/>
          </w:rPr>
          <w:fldChar w:fldCharType="end"/>
        </w:r>
      </w:hyperlink>
    </w:p>
    <w:p w14:paraId="2DEA6B60" w14:textId="15462E2C" w:rsidR="00BF35BC" w:rsidRDefault="00B76E8C">
      <w:pPr>
        <w:pStyle w:val="TableofFigures"/>
        <w:rPr>
          <w:rFonts w:asciiTheme="minorHAnsi" w:hAnsiTheme="minorHAnsi" w:cstheme="minorBidi"/>
          <w:lang w:eastAsia="en-AU"/>
        </w:rPr>
      </w:pPr>
      <w:hyperlink w:anchor="_Toc453065349" w:history="1">
        <w:r w:rsidR="00BF35BC" w:rsidRPr="00B35470">
          <w:rPr>
            <w:rStyle w:val="Hyperlink"/>
          </w:rPr>
          <w:t>Table 13</w:t>
        </w:r>
        <w:r w:rsidR="00BF35BC">
          <w:rPr>
            <w:rFonts w:asciiTheme="minorHAnsi" w:hAnsiTheme="minorHAnsi" w:cstheme="minorBidi"/>
            <w:lang w:eastAsia="en-AU"/>
          </w:rPr>
          <w:tab/>
        </w:r>
        <w:r w:rsidR="00BF35BC" w:rsidRPr="00B35470">
          <w:rPr>
            <w:rStyle w:val="Hyperlink"/>
          </w:rPr>
          <w:t>Relevant systematic reviews and/or meta-analyses identified</w:t>
        </w:r>
        <w:r w:rsidR="00BF35BC">
          <w:rPr>
            <w:webHidden/>
          </w:rPr>
          <w:tab/>
        </w:r>
        <w:r w:rsidR="00BF35BC">
          <w:rPr>
            <w:webHidden/>
          </w:rPr>
          <w:fldChar w:fldCharType="begin"/>
        </w:r>
        <w:r w:rsidR="00BF35BC">
          <w:rPr>
            <w:webHidden/>
          </w:rPr>
          <w:instrText xml:space="preserve"> PAGEREF _Toc453065349 \h </w:instrText>
        </w:r>
        <w:r w:rsidR="00BF35BC">
          <w:rPr>
            <w:webHidden/>
          </w:rPr>
        </w:r>
        <w:r w:rsidR="00BF35BC">
          <w:rPr>
            <w:webHidden/>
          </w:rPr>
          <w:fldChar w:fldCharType="separate"/>
        </w:r>
        <w:r w:rsidR="00A456ED">
          <w:rPr>
            <w:webHidden/>
          </w:rPr>
          <w:t>34</w:t>
        </w:r>
        <w:r w:rsidR="00BF35BC">
          <w:rPr>
            <w:webHidden/>
          </w:rPr>
          <w:fldChar w:fldCharType="end"/>
        </w:r>
      </w:hyperlink>
    </w:p>
    <w:p w14:paraId="15260490" w14:textId="25B74D81" w:rsidR="00BF35BC" w:rsidRDefault="00B76E8C">
      <w:pPr>
        <w:pStyle w:val="TableofFigures"/>
        <w:rPr>
          <w:rFonts w:asciiTheme="minorHAnsi" w:hAnsiTheme="minorHAnsi" w:cstheme="minorBidi"/>
          <w:lang w:eastAsia="en-AU"/>
        </w:rPr>
      </w:pPr>
      <w:hyperlink w:anchor="_Toc453065350" w:history="1">
        <w:r w:rsidR="00BF35BC" w:rsidRPr="00B35470">
          <w:rPr>
            <w:rStyle w:val="Hyperlink"/>
          </w:rPr>
          <w:t>Table 14</w:t>
        </w:r>
        <w:r w:rsidR="00BF35BC">
          <w:rPr>
            <w:rFonts w:asciiTheme="minorHAnsi" w:hAnsiTheme="minorHAnsi" w:cstheme="minorBidi"/>
            <w:lang w:eastAsia="en-AU"/>
          </w:rPr>
          <w:tab/>
        </w:r>
        <w:r w:rsidR="00BF35BC" w:rsidRPr="00B35470">
          <w:rPr>
            <w:rStyle w:val="Hyperlink"/>
          </w:rPr>
          <w:t>Randomised trials identified in the NIH Clinical Trial Registries with potential to meet inclusion criteria</w:t>
        </w:r>
        <w:r w:rsidR="00BF35BC">
          <w:rPr>
            <w:webHidden/>
          </w:rPr>
          <w:tab/>
        </w:r>
        <w:r w:rsidR="00BF35BC">
          <w:rPr>
            <w:webHidden/>
          </w:rPr>
          <w:fldChar w:fldCharType="begin"/>
        </w:r>
        <w:r w:rsidR="00BF35BC">
          <w:rPr>
            <w:webHidden/>
          </w:rPr>
          <w:instrText xml:space="preserve"> PAGEREF _Toc453065350 \h </w:instrText>
        </w:r>
        <w:r w:rsidR="00BF35BC">
          <w:rPr>
            <w:webHidden/>
          </w:rPr>
        </w:r>
        <w:r w:rsidR="00BF35BC">
          <w:rPr>
            <w:webHidden/>
          </w:rPr>
          <w:fldChar w:fldCharType="separate"/>
        </w:r>
        <w:r w:rsidR="00A456ED">
          <w:rPr>
            <w:webHidden/>
          </w:rPr>
          <w:t>35</w:t>
        </w:r>
        <w:r w:rsidR="00BF35BC">
          <w:rPr>
            <w:webHidden/>
          </w:rPr>
          <w:fldChar w:fldCharType="end"/>
        </w:r>
      </w:hyperlink>
    </w:p>
    <w:p w14:paraId="6E89D51D" w14:textId="1E884C0D" w:rsidR="00BF35BC" w:rsidRDefault="00B76E8C">
      <w:pPr>
        <w:pStyle w:val="TableofFigures"/>
        <w:rPr>
          <w:rFonts w:asciiTheme="minorHAnsi" w:hAnsiTheme="minorHAnsi" w:cstheme="minorBidi"/>
          <w:lang w:eastAsia="en-AU"/>
        </w:rPr>
      </w:pPr>
      <w:hyperlink w:anchor="_Toc453065351" w:history="1">
        <w:r w:rsidR="00BF35BC" w:rsidRPr="00B35470">
          <w:rPr>
            <w:rStyle w:val="Hyperlink"/>
          </w:rPr>
          <w:t>Table 15</w:t>
        </w:r>
        <w:r w:rsidR="00BF35BC">
          <w:rPr>
            <w:rFonts w:asciiTheme="minorHAnsi" w:hAnsiTheme="minorHAnsi" w:cstheme="minorBidi"/>
            <w:lang w:eastAsia="en-AU"/>
          </w:rPr>
          <w:tab/>
        </w:r>
        <w:r w:rsidR="00BF35BC" w:rsidRPr="00B35470">
          <w:rPr>
            <w:rStyle w:val="Hyperlink"/>
          </w:rPr>
          <w:t>Master list of RCTs potentially eligible studies identified in the literature</w:t>
        </w:r>
        <w:r w:rsidR="00BF35BC">
          <w:rPr>
            <w:webHidden/>
          </w:rPr>
          <w:tab/>
        </w:r>
        <w:r w:rsidR="00BF35BC">
          <w:rPr>
            <w:webHidden/>
          </w:rPr>
          <w:fldChar w:fldCharType="begin"/>
        </w:r>
        <w:r w:rsidR="00BF35BC">
          <w:rPr>
            <w:webHidden/>
          </w:rPr>
          <w:instrText xml:space="preserve"> PAGEREF _Toc453065351 \h </w:instrText>
        </w:r>
        <w:r w:rsidR="00BF35BC">
          <w:rPr>
            <w:webHidden/>
          </w:rPr>
        </w:r>
        <w:r w:rsidR="00BF35BC">
          <w:rPr>
            <w:webHidden/>
          </w:rPr>
          <w:fldChar w:fldCharType="separate"/>
        </w:r>
        <w:r w:rsidR="00A456ED">
          <w:rPr>
            <w:webHidden/>
          </w:rPr>
          <w:t>37</w:t>
        </w:r>
        <w:r w:rsidR="00BF35BC">
          <w:rPr>
            <w:webHidden/>
          </w:rPr>
          <w:fldChar w:fldCharType="end"/>
        </w:r>
      </w:hyperlink>
    </w:p>
    <w:p w14:paraId="38C19A58" w14:textId="6A9A5FA5" w:rsidR="00BF35BC" w:rsidRDefault="00B76E8C">
      <w:pPr>
        <w:pStyle w:val="TableofFigures"/>
        <w:rPr>
          <w:rFonts w:asciiTheme="minorHAnsi" w:hAnsiTheme="minorHAnsi" w:cstheme="minorBidi"/>
          <w:lang w:eastAsia="en-AU"/>
        </w:rPr>
      </w:pPr>
      <w:hyperlink w:anchor="_Toc453065352" w:history="1">
        <w:r w:rsidR="00BF35BC" w:rsidRPr="00B35470">
          <w:rPr>
            <w:rStyle w:val="Hyperlink"/>
          </w:rPr>
          <w:t>Table 16</w:t>
        </w:r>
        <w:r w:rsidR="00BF35BC">
          <w:rPr>
            <w:rFonts w:asciiTheme="minorHAnsi" w:hAnsiTheme="minorHAnsi" w:cstheme="minorBidi"/>
            <w:lang w:eastAsia="en-AU"/>
          </w:rPr>
          <w:tab/>
        </w:r>
        <w:r w:rsidR="00BF35BC" w:rsidRPr="00B35470">
          <w:rPr>
            <w:rStyle w:val="Hyperlink"/>
          </w:rPr>
          <w:t>Summary of included studies and characteristics</w:t>
        </w:r>
        <w:r w:rsidR="00BF35BC">
          <w:rPr>
            <w:webHidden/>
          </w:rPr>
          <w:tab/>
        </w:r>
        <w:r w:rsidR="00BF35BC">
          <w:rPr>
            <w:webHidden/>
          </w:rPr>
          <w:fldChar w:fldCharType="begin"/>
        </w:r>
        <w:r w:rsidR="00BF35BC">
          <w:rPr>
            <w:webHidden/>
          </w:rPr>
          <w:instrText xml:space="preserve"> PAGEREF _Toc453065352 \h </w:instrText>
        </w:r>
        <w:r w:rsidR="00BF35BC">
          <w:rPr>
            <w:webHidden/>
          </w:rPr>
        </w:r>
        <w:r w:rsidR="00BF35BC">
          <w:rPr>
            <w:webHidden/>
          </w:rPr>
          <w:fldChar w:fldCharType="separate"/>
        </w:r>
        <w:r w:rsidR="00A456ED">
          <w:rPr>
            <w:webHidden/>
          </w:rPr>
          <w:t>44</w:t>
        </w:r>
        <w:r w:rsidR="00BF35BC">
          <w:rPr>
            <w:webHidden/>
          </w:rPr>
          <w:fldChar w:fldCharType="end"/>
        </w:r>
      </w:hyperlink>
    </w:p>
    <w:p w14:paraId="764AEF84" w14:textId="195F384B" w:rsidR="00BF35BC" w:rsidRDefault="00B76E8C">
      <w:pPr>
        <w:pStyle w:val="TableofFigures"/>
        <w:rPr>
          <w:rFonts w:asciiTheme="minorHAnsi" w:hAnsiTheme="minorHAnsi" w:cstheme="minorBidi"/>
          <w:lang w:eastAsia="en-AU"/>
        </w:rPr>
      </w:pPr>
      <w:hyperlink w:anchor="_Toc453065353" w:history="1">
        <w:r w:rsidR="00BF35BC" w:rsidRPr="00B35470">
          <w:rPr>
            <w:rStyle w:val="Hyperlink"/>
          </w:rPr>
          <w:t>Table 17</w:t>
        </w:r>
        <w:r w:rsidR="00BF35BC">
          <w:rPr>
            <w:rFonts w:asciiTheme="minorHAnsi" w:hAnsiTheme="minorHAnsi" w:cstheme="minorBidi"/>
            <w:lang w:eastAsia="en-AU"/>
          </w:rPr>
          <w:tab/>
        </w:r>
        <w:r w:rsidR="00BF35BC" w:rsidRPr="00B35470">
          <w:rPr>
            <w:rStyle w:val="Hyperlink"/>
          </w:rPr>
          <w:t>Summary of the measures undertaken to minimise bias</w:t>
        </w:r>
        <w:r w:rsidR="00BF35BC">
          <w:rPr>
            <w:webHidden/>
          </w:rPr>
          <w:tab/>
        </w:r>
        <w:r w:rsidR="00BF35BC">
          <w:rPr>
            <w:webHidden/>
          </w:rPr>
          <w:fldChar w:fldCharType="begin"/>
        </w:r>
        <w:r w:rsidR="00BF35BC">
          <w:rPr>
            <w:webHidden/>
          </w:rPr>
          <w:instrText xml:space="preserve"> PAGEREF _Toc453065353 \h </w:instrText>
        </w:r>
        <w:r w:rsidR="00BF35BC">
          <w:rPr>
            <w:webHidden/>
          </w:rPr>
        </w:r>
        <w:r w:rsidR="00BF35BC">
          <w:rPr>
            <w:webHidden/>
          </w:rPr>
          <w:fldChar w:fldCharType="separate"/>
        </w:r>
        <w:r w:rsidR="00A456ED">
          <w:rPr>
            <w:webHidden/>
          </w:rPr>
          <w:t>51</w:t>
        </w:r>
        <w:r w:rsidR="00BF35BC">
          <w:rPr>
            <w:webHidden/>
          </w:rPr>
          <w:fldChar w:fldCharType="end"/>
        </w:r>
      </w:hyperlink>
    </w:p>
    <w:p w14:paraId="33D39B15" w14:textId="046CC6A7" w:rsidR="00BF35BC" w:rsidRDefault="00B76E8C">
      <w:pPr>
        <w:pStyle w:val="TableofFigures"/>
        <w:rPr>
          <w:rFonts w:asciiTheme="minorHAnsi" w:hAnsiTheme="minorHAnsi" w:cstheme="minorBidi"/>
          <w:lang w:eastAsia="en-AU"/>
        </w:rPr>
      </w:pPr>
      <w:hyperlink w:anchor="_Toc453065354" w:history="1">
        <w:r w:rsidR="00BF35BC" w:rsidRPr="00B35470">
          <w:rPr>
            <w:rStyle w:val="Hyperlink"/>
          </w:rPr>
          <w:t>Table 18</w:t>
        </w:r>
        <w:r w:rsidR="00BF35BC">
          <w:rPr>
            <w:rFonts w:asciiTheme="minorHAnsi" w:hAnsiTheme="minorHAnsi" w:cstheme="minorBidi"/>
            <w:lang w:eastAsia="en-AU"/>
          </w:rPr>
          <w:tab/>
        </w:r>
        <w:r w:rsidR="00BF35BC" w:rsidRPr="00B35470">
          <w:rPr>
            <w:rStyle w:val="Hyperlink"/>
          </w:rPr>
          <w:t>Flow of participants</w:t>
        </w:r>
        <w:r w:rsidR="00BF35BC">
          <w:rPr>
            <w:webHidden/>
          </w:rPr>
          <w:tab/>
        </w:r>
        <w:r w:rsidR="00BF35BC">
          <w:rPr>
            <w:webHidden/>
          </w:rPr>
          <w:fldChar w:fldCharType="begin"/>
        </w:r>
        <w:r w:rsidR="00BF35BC">
          <w:rPr>
            <w:webHidden/>
          </w:rPr>
          <w:instrText xml:space="preserve"> PAGEREF _Toc453065354 \h </w:instrText>
        </w:r>
        <w:r w:rsidR="00BF35BC">
          <w:rPr>
            <w:webHidden/>
          </w:rPr>
        </w:r>
        <w:r w:rsidR="00BF35BC">
          <w:rPr>
            <w:webHidden/>
          </w:rPr>
          <w:fldChar w:fldCharType="separate"/>
        </w:r>
        <w:r w:rsidR="00A456ED">
          <w:rPr>
            <w:webHidden/>
          </w:rPr>
          <w:t>55</w:t>
        </w:r>
        <w:r w:rsidR="00BF35BC">
          <w:rPr>
            <w:webHidden/>
          </w:rPr>
          <w:fldChar w:fldCharType="end"/>
        </w:r>
      </w:hyperlink>
    </w:p>
    <w:p w14:paraId="57F13F7B" w14:textId="14685490" w:rsidR="00BF35BC" w:rsidRDefault="00B76E8C">
      <w:pPr>
        <w:pStyle w:val="TableofFigures"/>
        <w:rPr>
          <w:rFonts w:asciiTheme="minorHAnsi" w:hAnsiTheme="minorHAnsi" w:cstheme="minorBidi"/>
          <w:lang w:eastAsia="en-AU"/>
        </w:rPr>
      </w:pPr>
      <w:hyperlink w:anchor="_Toc453065355" w:history="1">
        <w:r w:rsidR="00BF35BC" w:rsidRPr="00B35470">
          <w:rPr>
            <w:rStyle w:val="Hyperlink"/>
          </w:rPr>
          <w:t>Table 19</w:t>
        </w:r>
        <w:r w:rsidR="00BF35BC">
          <w:rPr>
            <w:rFonts w:asciiTheme="minorHAnsi" w:hAnsiTheme="minorHAnsi" w:cstheme="minorBidi"/>
            <w:lang w:eastAsia="en-AU"/>
          </w:rPr>
          <w:tab/>
        </w:r>
        <w:r w:rsidR="00BF35BC" w:rsidRPr="00B35470">
          <w:rPr>
            <w:rStyle w:val="Hyperlink"/>
          </w:rPr>
          <w:t>Eligibility criteria in the direct randomised trials</w:t>
        </w:r>
        <w:r w:rsidR="00BF35BC">
          <w:rPr>
            <w:webHidden/>
          </w:rPr>
          <w:tab/>
        </w:r>
        <w:r w:rsidR="00BF35BC">
          <w:rPr>
            <w:webHidden/>
          </w:rPr>
          <w:fldChar w:fldCharType="begin"/>
        </w:r>
        <w:r w:rsidR="00BF35BC">
          <w:rPr>
            <w:webHidden/>
          </w:rPr>
          <w:instrText xml:space="preserve"> PAGEREF _Toc453065355 \h </w:instrText>
        </w:r>
        <w:r w:rsidR="00BF35BC">
          <w:rPr>
            <w:webHidden/>
          </w:rPr>
        </w:r>
        <w:r w:rsidR="00BF35BC">
          <w:rPr>
            <w:webHidden/>
          </w:rPr>
          <w:fldChar w:fldCharType="separate"/>
        </w:r>
        <w:r w:rsidR="00A456ED">
          <w:rPr>
            <w:webHidden/>
          </w:rPr>
          <w:t>57</w:t>
        </w:r>
        <w:r w:rsidR="00BF35BC">
          <w:rPr>
            <w:webHidden/>
          </w:rPr>
          <w:fldChar w:fldCharType="end"/>
        </w:r>
      </w:hyperlink>
    </w:p>
    <w:p w14:paraId="5D1D3D21" w14:textId="46758647" w:rsidR="00BF35BC" w:rsidRDefault="00B76E8C">
      <w:pPr>
        <w:pStyle w:val="TableofFigures"/>
        <w:rPr>
          <w:rFonts w:asciiTheme="minorHAnsi" w:hAnsiTheme="minorHAnsi" w:cstheme="minorBidi"/>
          <w:lang w:eastAsia="en-AU"/>
        </w:rPr>
      </w:pPr>
      <w:hyperlink w:anchor="_Toc453065356" w:history="1">
        <w:r w:rsidR="00BF35BC" w:rsidRPr="00B35470">
          <w:rPr>
            <w:rStyle w:val="Hyperlink"/>
          </w:rPr>
          <w:t>Table 20</w:t>
        </w:r>
        <w:r w:rsidR="00BF35BC">
          <w:rPr>
            <w:rFonts w:asciiTheme="minorHAnsi" w:hAnsiTheme="minorHAnsi" w:cstheme="minorBidi"/>
            <w:lang w:eastAsia="en-AU"/>
          </w:rPr>
          <w:tab/>
        </w:r>
        <w:r w:rsidR="00BF35BC" w:rsidRPr="00B35470">
          <w:rPr>
            <w:rStyle w:val="Hyperlink"/>
          </w:rPr>
          <w:t>Baseline characteristics of participants in direct randomised trials</w:t>
        </w:r>
        <w:r w:rsidR="00BF35BC">
          <w:rPr>
            <w:webHidden/>
          </w:rPr>
          <w:tab/>
        </w:r>
        <w:r w:rsidR="00BF35BC">
          <w:rPr>
            <w:webHidden/>
          </w:rPr>
          <w:fldChar w:fldCharType="begin"/>
        </w:r>
        <w:r w:rsidR="00BF35BC">
          <w:rPr>
            <w:webHidden/>
          </w:rPr>
          <w:instrText xml:space="preserve"> PAGEREF _Toc453065356 \h </w:instrText>
        </w:r>
        <w:r w:rsidR="00BF35BC">
          <w:rPr>
            <w:webHidden/>
          </w:rPr>
        </w:r>
        <w:r w:rsidR="00BF35BC">
          <w:rPr>
            <w:webHidden/>
          </w:rPr>
          <w:fldChar w:fldCharType="separate"/>
        </w:r>
        <w:r w:rsidR="00A456ED">
          <w:rPr>
            <w:webHidden/>
          </w:rPr>
          <w:t>64</w:t>
        </w:r>
        <w:r w:rsidR="00BF35BC">
          <w:rPr>
            <w:webHidden/>
          </w:rPr>
          <w:fldChar w:fldCharType="end"/>
        </w:r>
      </w:hyperlink>
    </w:p>
    <w:p w14:paraId="45BF06F6" w14:textId="7EC34ABE" w:rsidR="00BF35BC" w:rsidRDefault="00B76E8C">
      <w:pPr>
        <w:pStyle w:val="TableofFigures"/>
        <w:rPr>
          <w:rFonts w:asciiTheme="minorHAnsi" w:hAnsiTheme="minorHAnsi" w:cstheme="minorBidi"/>
          <w:lang w:eastAsia="en-AU"/>
        </w:rPr>
      </w:pPr>
      <w:hyperlink w:anchor="_Toc453065357" w:history="1">
        <w:r w:rsidR="00BF35BC" w:rsidRPr="00B35470">
          <w:rPr>
            <w:rStyle w:val="Hyperlink"/>
          </w:rPr>
          <w:t>Table 21</w:t>
        </w:r>
        <w:r w:rsidR="00BF35BC">
          <w:rPr>
            <w:rFonts w:asciiTheme="minorHAnsi" w:hAnsiTheme="minorHAnsi" w:cstheme="minorBidi"/>
            <w:lang w:eastAsia="en-AU"/>
          </w:rPr>
          <w:tab/>
        </w:r>
        <w:r w:rsidR="00BF35BC" w:rsidRPr="00B35470">
          <w:rPr>
            <w:rStyle w:val="Hyperlink"/>
          </w:rPr>
          <w:t>Primary outcomes and statistical analyses of the direct randomised trials</w:t>
        </w:r>
        <w:r w:rsidR="00BF35BC">
          <w:rPr>
            <w:webHidden/>
          </w:rPr>
          <w:tab/>
        </w:r>
        <w:r w:rsidR="00BF35BC">
          <w:rPr>
            <w:webHidden/>
          </w:rPr>
          <w:fldChar w:fldCharType="begin"/>
        </w:r>
        <w:r w:rsidR="00BF35BC">
          <w:rPr>
            <w:webHidden/>
          </w:rPr>
          <w:instrText xml:space="preserve"> PAGEREF _Toc453065357 \h </w:instrText>
        </w:r>
        <w:r w:rsidR="00BF35BC">
          <w:rPr>
            <w:webHidden/>
          </w:rPr>
        </w:r>
        <w:r w:rsidR="00BF35BC">
          <w:rPr>
            <w:webHidden/>
          </w:rPr>
          <w:fldChar w:fldCharType="separate"/>
        </w:r>
        <w:r w:rsidR="00A456ED">
          <w:rPr>
            <w:webHidden/>
          </w:rPr>
          <w:t>69</w:t>
        </w:r>
        <w:r w:rsidR="00BF35BC">
          <w:rPr>
            <w:webHidden/>
          </w:rPr>
          <w:fldChar w:fldCharType="end"/>
        </w:r>
      </w:hyperlink>
    </w:p>
    <w:p w14:paraId="4C7ADB64" w14:textId="0D5E2306" w:rsidR="00BF35BC" w:rsidRDefault="00B76E8C">
      <w:pPr>
        <w:pStyle w:val="TableofFigures"/>
        <w:rPr>
          <w:rFonts w:asciiTheme="minorHAnsi" w:hAnsiTheme="minorHAnsi" w:cstheme="minorBidi"/>
          <w:lang w:eastAsia="en-AU"/>
        </w:rPr>
      </w:pPr>
      <w:hyperlink w:anchor="_Toc453065358" w:history="1">
        <w:r w:rsidR="00BF35BC" w:rsidRPr="00B35470">
          <w:rPr>
            <w:rStyle w:val="Hyperlink"/>
          </w:rPr>
          <w:t>Table 22</w:t>
        </w:r>
        <w:r w:rsidR="00BF35BC">
          <w:rPr>
            <w:rFonts w:asciiTheme="minorHAnsi" w:hAnsiTheme="minorHAnsi" w:cstheme="minorBidi"/>
            <w:lang w:eastAsia="en-AU"/>
          </w:rPr>
          <w:tab/>
        </w:r>
        <w:r w:rsidR="00BF35BC" w:rsidRPr="00B35470">
          <w:rPr>
            <w:rStyle w:val="Hyperlink"/>
          </w:rPr>
          <w:t>Description of statistical power calculations for the primary outcome</w:t>
        </w:r>
        <w:r w:rsidR="00BF35BC">
          <w:rPr>
            <w:webHidden/>
          </w:rPr>
          <w:tab/>
        </w:r>
        <w:r w:rsidR="00BF35BC">
          <w:rPr>
            <w:webHidden/>
          </w:rPr>
          <w:fldChar w:fldCharType="begin"/>
        </w:r>
        <w:r w:rsidR="00BF35BC">
          <w:rPr>
            <w:webHidden/>
          </w:rPr>
          <w:instrText xml:space="preserve"> PAGEREF _Toc453065358 \h </w:instrText>
        </w:r>
        <w:r w:rsidR="00BF35BC">
          <w:rPr>
            <w:webHidden/>
          </w:rPr>
        </w:r>
        <w:r w:rsidR="00BF35BC">
          <w:rPr>
            <w:webHidden/>
          </w:rPr>
          <w:fldChar w:fldCharType="separate"/>
        </w:r>
        <w:r w:rsidR="00A456ED">
          <w:rPr>
            <w:webHidden/>
          </w:rPr>
          <w:t>70</w:t>
        </w:r>
        <w:r w:rsidR="00BF35BC">
          <w:rPr>
            <w:webHidden/>
          </w:rPr>
          <w:fldChar w:fldCharType="end"/>
        </w:r>
      </w:hyperlink>
    </w:p>
    <w:p w14:paraId="203F64DF" w14:textId="0F8A2ED6" w:rsidR="00BF35BC" w:rsidRDefault="00B76E8C">
      <w:pPr>
        <w:pStyle w:val="TableofFigures"/>
        <w:rPr>
          <w:rFonts w:asciiTheme="minorHAnsi" w:hAnsiTheme="minorHAnsi" w:cstheme="minorBidi"/>
          <w:lang w:eastAsia="en-AU"/>
        </w:rPr>
      </w:pPr>
      <w:hyperlink w:anchor="_Toc453065359" w:history="1">
        <w:r w:rsidR="00BF35BC" w:rsidRPr="00B35470">
          <w:rPr>
            <w:rStyle w:val="Hyperlink"/>
          </w:rPr>
          <w:t>Table 23</w:t>
        </w:r>
        <w:r w:rsidR="00BF35BC">
          <w:rPr>
            <w:rFonts w:asciiTheme="minorHAnsi" w:hAnsiTheme="minorHAnsi" w:cstheme="minorBidi"/>
            <w:lang w:eastAsia="en-AU"/>
          </w:rPr>
          <w:tab/>
        </w:r>
        <w:r w:rsidR="00BF35BC" w:rsidRPr="00B35470">
          <w:rPr>
            <w:rStyle w:val="Hyperlink"/>
          </w:rPr>
          <w:t>Secondary outcomes and statistical analyses of the direct randomised trials</w:t>
        </w:r>
        <w:r w:rsidR="00BF35BC">
          <w:rPr>
            <w:webHidden/>
          </w:rPr>
          <w:tab/>
        </w:r>
        <w:r w:rsidR="00BF35BC">
          <w:rPr>
            <w:webHidden/>
          </w:rPr>
          <w:fldChar w:fldCharType="begin"/>
        </w:r>
        <w:r w:rsidR="00BF35BC">
          <w:rPr>
            <w:webHidden/>
          </w:rPr>
          <w:instrText xml:space="preserve"> PAGEREF _Toc453065359 \h </w:instrText>
        </w:r>
        <w:r w:rsidR="00BF35BC">
          <w:rPr>
            <w:webHidden/>
          </w:rPr>
        </w:r>
        <w:r w:rsidR="00BF35BC">
          <w:rPr>
            <w:webHidden/>
          </w:rPr>
          <w:fldChar w:fldCharType="separate"/>
        </w:r>
        <w:r w:rsidR="00A456ED">
          <w:rPr>
            <w:webHidden/>
          </w:rPr>
          <w:t>71</w:t>
        </w:r>
        <w:r w:rsidR="00BF35BC">
          <w:rPr>
            <w:webHidden/>
          </w:rPr>
          <w:fldChar w:fldCharType="end"/>
        </w:r>
      </w:hyperlink>
    </w:p>
    <w:p w14:paraId="3B0D74D0" w14:textId="299A9E8D" w:rsidR="00BF35BC" w:rsidRDefault="00B76E8C">
      <w:pPr>
        <w:pStyle w:val="TableofFigures"/>
        <w:rPr>
          <w:rFonts w:asciiTheme="minorHAnsi" w:hAnsiTheme="minorHAnsi" w:cstheme="minorBidi"/>
          <w:lang w:eastAsia="en-AU"/>
        </w:rPr>
      </w:pPr>
      <w:hyperlink w:anchor="_Toc453065360" w:history="1">
        <w:r w:rsidR="00BF35BC" w:rsidRPr="00B35470">
          <w:rPr>
            <w:rStyle w:val="Hyperlink"/>
          </w:rPr>
          <w:t>Table 24</w:t>
        </w:r>
        <w:r w:rsidR="00BF35BC">
          <w:rPr>
            <w:rFonts w:asciiTheme="minorHAnsi" w:hAnsiTheme="minorHAnsi" w:cstheme="minorBidi"/>
            <w:lang w:eastAsia="en-AU"/>
          </w:rPr>
          <w:tab/>
        </w:r>
        <w:r w:rsidR="00BF35BC" w:rsidRPr="00B35470">
          <w:rPr>
            <w:rStyle w:val="Hyperlink"/>
          </w:rPr>
          <w:t>Outcomes analysed for the purposes of this submission</w:t>
        </w:r>
        <w:r w:rsidR="00BF35BC">
          <w:rPr>
            <w:webHidden/>
          </w:rPr>
          <w:tab/>
        </w:r>
        <w:r w:rsidR="00BF35BC">
          <w:rPr>
            <w:webHidden/>
          </w:rPr>
          <w:fldChar w:fldCharType="begin"/>
        </w:r>
        <w:r w:rsidR="00BF35BC">
          <w:rPr>
            <w:webHidden/>
          </w:rPr>
          <w:instrText xml:space="preserve"> PAGEREF _Toc453065360 \h </w:instrText>
        </w:r>
        <w:r w:rsidR="00BF35BC">
          <w:rPr>
            <w:webHidden/>
          </w:rPr>
        </w:r>
        <w:r w:rsidR="00BF35BC">
          <w:rPr>
            <w:webHidden/>
          </w:rPr>
          <w:fldChar w:fldCharType="separate"/>
        </w:r>
        <w:r w:rsidR="00A456ED">
          <w:rPr>
            <w:webHidden/>
          </w:rPr>
          <w:t>73</w:t>
        </w:r>
        <w:r w:rsidR="00BF35BC">
          <w:rPr>
            <w:webHidden/>
          </w:rPr>
          <w:fldChar w:fldCharType="end"/>
        </w:r>
      </w:hyperlink>
    </w:p>
    <w:p w14:paraId="0E471314" w14:textId="32820DD5" w:rsidR="00BF35BC" w:rsidRDefault="00B76E8C">
      <w:pPr>
        <w:pStyle w:val="TableofFigures"/>
        <w:rPr>
          <w:rFonts w:asciiTheme="minorHAnsi" w:hAnsiTheme="minorHAnsi" w:cstheme="minorBidi"/>
          <w:lang w:eastAsia="en-AU"/>
        </w:rPr>
      </w:pPr>
      <w:hyperlink w:anchor="_Toc453065361" w:history="1">
        <w:r w:rsidR="00BF35BC" w:rsidRPr="00B35470">
          <w:rPr>
            <w:rStyle w:val="Hyperlink"/>
          </w:rPr>
          <w:t>Table 25</w:t>
        </w:r>
        <w:r w:rsidR="00BF35BC">
          <w:rPr>
            <w:rFonts w:asciiTheme="minorHAnsi" w:hAnsiTheme="minorHAnsi" w:cstheme="minorBidi"/>
            <w:lang w:eastAsia="en-AU"/>
          </w:rPr>
          <w:tab/>
        </w:r>
        <w:r w:rsidR="00BF35BC" w:rsidRPr="00B35470">
          <w:rPr>
            <w:rStyle w:val="Hyperlink"/>
          </w:rPr>
          <w:t>Modified Rankin Scale (mRS)</w:t>
        </w:r>
        <w:r w:rsidR="00BF35BC">
          <w:rPr>
            <w:webHidden/>
          </w:rPr>
          <w:tab/>
        </w:r>
        <w:r w:rsidR="00BF35BC">
          <w:rPr>
            <w:webHidden/>
          </w:rPr>
          <w:fldChar w:fldCharType="begin"/>
        </w:r>
        <w:r w:rsidR="00BF35BC">
          <w:rPr>
            <w:webHidden/>
          </w:rPr>
          <w:instrText xml:space="preserve"> PAGEREF _Toc453065361 \h </w:instrText>
        </w:r>
        <w:r w:rsidR="00BF35BC">
          <w:rPr>
            <w:webHidden/>
          </w:rPr>
        </w:r>
        <w:r w:rsidR="00BF35BC">
          <w:rPr>
            <w:webHidden/>
          </w:rPr>
          <w:fldChar w:fldCharType="separate"/>
        </w:r>
        <w:r w:rsidR="00A456ED">
          <w:rPr>
            <w:webHidden/>
          </w:rPr>
          <w:t>74</w:t>
        </w:r>
        <w:r w:rsidR="00BF35BC">
          <w:rPr>
            <w:webHidden/>
          </w:rPr>
          <w:fldChar w:fldCharType="end"/>
        </w:r>
      </w:hyperlink>
    </w:p>
    <w:p w14:paraId="57B38CA1" w14:textId="7E8B392B" w:rsidR="00BF35BC" w:rsidRDefault="00B76E8C">
      <w:pPr>
        <w:pStyle w:val="TableofFigures"/>
        <w:rPr>
          <w:rFonts w:asciiTheme="minorHAnsi" w:hAnsiTheme="minorHAnsi" w:cstheme="minorBidi"/>
          <w:lang w:eastAsia="en-AU"/>
        </w:rPr>
      </w:pPr>
      <w:hyperlink w:anchor="_Toc453065362" w:history="1">
        <w:r w:rsidR="00BF35BC" w:rsidRPr="00B35470">
          <w:rPr>
            <w:rStyle w:val="Hyperlink"/>
          </w:rPr>
          <w:t>Table 26</w:t>
        </w:r>
        <w:r w:rsidR="00BF35BC">
          <w:rPr>
            <w:rFonts w:asciiTheme="minorHAnsi" w:hAnsiTheme="minorHAnsi" w:cstheme="minorBidi"/>
            <w:lang w:eastAsia="en-AU"/>
          </w:rPr>
          <w:tab/>
        </w:r>
        <w:r w:rsidR="00BF35BC" w:rsidRPr="00B35470">
          <w:rPr>
            <w:rStyle w:val="Hyperlink"/>
          </w:rPr>
          <w:t>NIHSS scores</w:t>
        </w:r>
        <w:r w:rsidR="00BF35BC">
          <w:rPr>
            <w:webHidden/>
          </w:rPr>
          <w:tab/>
        </w:r>
        <w:r w:rsidR="00BF35BC">
          <w:rPr>
            <w:webHidden/>
          </w:rPr>
          <w:fldChar w:fldCharType="begin"/>
        </w:r>
        <w:r w:rsidR="00BF35BC">
          <w:rPr>
            <w:webHidden/>
          </w:rPr>
          <w:instrText xml:space="preserve"> PAGEREF _Toc453065362 \h </w:instrText>
        </w:r>
        <w:r w:rsidR="00BF35BC">
          <w:rPr>
            <w:webHidden/>
          </w:rPr>
        </w:r>
        <w:r w:rsidR="00BF35BC">
          <w:rPr>
            <w:webHidden/>
          </w:rPr>
          <w:fldChar w:fldCharType="separate"/>
        </w:r>
        <w:r w:rsidR="00A456ED">
          <w:rPr>
            <w:webHidden/>
          </w:rPr>
          <w:t>75</w:t>
        </w:r>
        <w:r w:rsidR="00BF35BC">
          <w:rPr>
            <w:webHidden/>
          </w:rPr>
          <w:fldChar w:fldCharType="end"/>
        </w:r>
      </w:hyperlink>
    </w:p>
    <w:p w14:paraId="1E26D654" w14:textId="7D3F573A" w:rsidR="00BF35BC" w:rsidRDefault="00B76E8C">
      <w:pPr>
        <w:pStyle w:val="TableofFigures"/>
        <w:rPr>
          <w:rFonts w:asciiTheme="minorHAnsi" w:hAnsiTheme="minorHAnsi" w:cstheme="minorBidi"/>
          <w:lang w:eastAsia="en-AU"/>
        </w:rPr>
      </w:pPr>
      <w:hyperlink w:anchor="_Toc453065363" w:history="1">
        <w:r w:rsidR="00BF35BC" w:rsidRPr="00B35470">
          <w:rPr>
            <w:rStyle w:val="Hyperlink"/>
          </w:rPr>
          <w:t>Table 27</w:t>
        </w:r>
        <w:r w:rsidR="00BF35BC">
          <w:rPr>
            <w:rFonts w:asciiTheme="minorHAnsi" w:hAnsiTheme="minorHAnsi" w:cstheme="minorBidi"/>
            <w:lang w:eastAsia="en-AU"/>
          </w:rPr>
          <w:tab/>
        </w:r>
        <w:r w:rsidR="00BF35BC" w:rsidRPr="00B35470">
          <w:rPr>
            <w:rStyle w:val="Hyperlink"/>
          </w:rPr>
          <w:t>Revascularisation grading systems</w:t>
        </w:r>
        <w:r w:rsidR="00BF35BC">
          <w:rPr>
            <w:webHidden/>
          </w:rPr>
          <w:tab/>
        </w:r>
        <w:r w:rsidR="00BF35BC">
          <w:rPr>
            <w:webHidden/>
          </w:rPr>
          <w:fldChar w:fldCharType="begin"/>
        </w:r>
        <w:r w:rsidR="00BF35BC">
          <w:rPr>
            <w:webHidden/>
          </w:rPr>
          <w:instrText xml:space="preserve"> PAGEREF _Toc453065363 \h </w:instrText>
        </w:r>
        <w:r w:rsidR="00BF35BC">
          <w:rPr>
            <w:webHidden/>
          </w:rPr>
        </w:r>
        <w:r w:rsidR="00BF35BC">
          <w:rPr>
            <w:webHidden/>
          </w:rPr>
          <w:fldChar w:fldCharType="separate"/>
        </w:r>
        <w:r w:rsidR="00A456ED">
          <w:rPr>
            <w:webHidden/>
          </w:rPr>
          <w:t>76</w:t>
        </w:r>
        <w:r w:rsidR="00BF35BC">
          <w:rPr>
            <w:webHidden/>
          </w:rPr>
          <w:fldChar w:fldCharType="end"/>
        </w:r>
      </w:hyperlink>
    </w:p>
    <w:p w14:paraId="52F92630" w14:textId="2C0718D5" w:rsidR="00BF35BC" w:rsidRDefault="00B76E8C">
      <w:pPr>
        <w:pStyle w:val="TableofFigures"/>
        <w:rPr>
          <w:rFonts w:asciiTheme="minorHAnsi" w:hAnsiTheme="minorHAnsi" w:cstheme="minorBidi"/>
          <w:lang w:eastAsia="en-AU"/>
        </w:rPr>
      </w:pPr>
      <w:hyperlink w:anchor="_Toc453065364" w:history="1">
        <w:r w:rsidR="00BF35BC" w:rsidRPr="00B35470">
          <w:rPr>
            <w:rStyle w:val="Hyperlink"/>
          </w:rPr>
          <w:t>Table 28</w:t>
        </w:r>
        <w:r w:rsidR="00BF35BC">
          <w:rPr>
            <w:rFonts w:asciiTheme="minorHAnsi" w:hAnsiTheme="minorHAnsi" w:cstheme="minorBidi"/>
            <w:lang w:eastAsia="en-AU"/>
          </w:rPr>
          <w:tab/>
        </w:r>
        <w:r w:rsidR="00BF35BC" w:rsidRPr="00B35470">
          <w:rPr>
            <w:rStyle w:val="Hyperlink"/>
          </w:rPr>
          <w:t>mRS score at 90 days</w:t>
        </w:r>
        <w:r w:rsidR="00BF35BC">
          <w:rPr>
            <w:webHidden/>
          </w:rPr>
          <w:tab/>
        </w:r>
        <w:r w:rsidR="00BF35BC">
          <w:rPr>
            <w:webHidden/>
          </w:rPr>
          <w:fldChar w:fldCharType="begin"/>
        </w:r>
        <w:r w:rsidR="00BF35BC">
          <w:rPr>
            <w:webHidden/>
          </w:rPr>
          <w:instrText xml:space="preserve"> PAGEREF _Toc453065364 \h </w:instrText>
        </w:r>
        <w:r w:rsidR="00BF35BC">
          <w:rPr>
            <w:webHidden/>
          </w:rPr>
        </w:r>
        <w:r w:rsidR="00BF35BC">
          <w:rPr>
            <w:webHidden/>
          </w:rPr>
          <w:fldChar w:fldCharType="separate"/>
        </w:r>
        <w:r w:rsidR="00A456ED">
          <w:rPr>
            <w:webHidden/>
          </w:rPr>
          <w:t>78</w:t>
        </w:r>
        <w:r w:rsidR="00BF35BC">
          <w:rPr>
            <w:webHidden/>
          </w:rPr>
          <w:fldChar w:fldCharType="end"/>
        </w:r>
      </w:hyperlink>
    </w:p>
    <w:p w14:paraId="3B3AD8D4" w14:textId="53C16E76" w:rsidR="00BF35BC" w:rsidRDefault="00B76E8C">
      <w:pPr>
        <w:pStyle w:val="TableofFigures"/>
        <w:rPr>
          <w:rFonts w:asciiTheme="minorHAnsi" w:hAnsiTheme="minorHAnsi" w:cstheme="minorBidi"/>
          <w:lang w:eastAsia="en-AU"/>
        </w:rPr>
      </w:pPr>
      <w:hyperlink w:anchor="_Toc453065365" w:history="1">
        <w:r w:rsidR="00BF35BC" w:rsidRPr="00B35470">
          <w:rPr>
            <w:rStyle w:val="Hyperlink"/>
          </w:rPr>
          <w:t>Table 29</w:t>
        </w:r>
        <w:r w:rsidR="00BF35BC">
          <w:rPr>
            <w:rFonts w:asciiTheme="minorHAnsi" w:hAnsiTheme="minorHAnsi" w:cstheme="minorBidi"/>
            <w:lang w:eastAsia="en-AU"/>
          </w:rPr>
          <w:tab/>
        </w:r>
        <w:r w:rsidR="00BF35BC" w:rsidRPr="00B35470">
          <w:rPr>
            <w:rStyle w:val="Hyperlink"/>
          </w:rPr>
          <w:t>mRS score 0-2 at 90 days</w:t>
        </w:r>
        <w:r w:rsidR="00BF35BC">
          <w:rPr>
            <w:webHidden/>
          </w:rPr>
          <w:tab/>
        </w:r>
        <w:r w:rsidR="00BF35BC">
          <w:rPr>
            <w:webHidden/>
          </w:rPr>
          <w:fldChar w:fldCharType="begin"/>
        </w:r>
        <w:r w:rsidR="00BF35BC">
          <w:rPr>
            <w:webHidden/>
          </w:rPr>
          <w:instrText xml:space="preserve"> PAGEREF _Toc453065365 \h </w:instrText>
        </w:r>
        <w:r w:rsidR="00BF35BC">
          <w:rPr>
            <w:webHidden/>
          </w:rPr>
        </w:r>
        <w:r w:rsidR="00BF35BC">
          <w:rPr>
            <w:webHidden/>
          </w:rPr>
          <w:fldChar w:fldCharType="separate"/>
        </w:r>
        <w:r w:rsidR="00A456ED">
          <w:rPr>
            <w:webHidden/>
          </w:rPr>
          <w:t>81</w:t>
        </w:r>
        <w:r w:rsidR="00BF35BC">
          <w:rPr>
            <w:webHidden/>
          </w:rPr>
          <w:fldChar w:fldCharType="end"/>
        </w:r>
      </w:hyperlink>
    </w:p>
    <w:p w14:paraId="5B9D0B3D" w14:textId="20D533CF" w:rsidR="00BF35BC" w:rsidRDefault="00B76E8C">
      <w:pPr>
        <w:pStyle w:val="TableofFigures"/>
        <w:rPr>
          <w:rFonts w:asciiTheme="minorHAnsi" w:hAnsiTheme="minorHAnsi" w:cstheme="minorBidi"/>
          <w:lang w:eastAsia="en-AU"/>
        </w:rPr>
      </w:pPr>
      <w:hyperlink w:anchor="_Toc453065366" w:history="1">
        <w:r w:rsidR="00BF35BC" w:rsidRPr="00B35470">
          <w:rPr>
            <w:rStyle w:val="Hyperlink"/>
          </w:rPr>
          <w:t>Table 30</w:t>
        </w:r>
        <w:r w:rsidR="00BF35BC">
          <w:rPr>
            <w:rFonts w:asciiTheme="minorHAnsi" w:hAnsiTheme="minorHAnsi" w:cstheme="minorBidi"/>
            <w:lang w:eastAsia="en-AU"/>
          </w:rPr>
          <w:tab/>
        </w:r>
        <w:r w:rsidR="00BF35BC" w:rsidRPr="00B35470">
          <w:rPr>
            <w:rStyle w:val="Hyperlink"/>
          </w:rPr>
          <w:t>Mortality at 90 days</w:t>
        </w:r>
        <w:r w:rsidR="00BF35BC">
          <w:rPr>
            <w:webHidden/>
          </w:rPr>
          <w:tab/>
        </w:r>
        <w:r w:rsidR="00BF35BC">
          <w:rPr>
            <w:webHidden/>
          </w:rPr>
          <w:fldChar w:fldCharType="begin"/>
        </w:r>
        <w:r w:rsidR="00BF35BC">
          <w:rPr>
            <w:webHidden/>
          </w:rPr>
          <w:instrText xml:space="preserve"> PAGEREF _Toc453065366 \h </w:instrText>
        </w:r>
        <w:r w:rsidR="00BF35BC">
          <w:rPr>
            <w:webHidden/>
          </w:rPr>
        </w:r>
        <w:r w:rsidR="00BF35BC">
          <w:rPr>
            <w:webHidden/>
          </w:rPr>
          <w:fldChar w:fldCharType="separate"/>
        </w:r>
        <w:r w:rsidR="00A456ED">
          <w:rPr>
            <w:webHidden/>
          </w:rPr>
          <w:t>82</w:t>
        </w:r>
        <w:r w:rsidR="00BF35BC">
          <w:rPr>
            <w:webHidden/>
          </w:rPr>
          <w:fldChar w:fldCharType="end"/>
        </w:r>
      </w:hyperlink>
    </w:p>
    <w:p w14:paraId="32C51547" w14:textId="3247E2D0" w:rsidR="00BF35BC" w:rsidRDefault="00B76E8C">
      <w:pPr>
        <w:pStyle w:val="TableofFigures"/>
        <w:rPr>
          <w:rFonts w:asciiTheme="minorHAnsi" w:hAnsiTheme="minorHAnsi" w:cstheme="minorBidi"/>
          <w:lang w:eastAsia="en-AU"/>
        </w:rPr>
      </w:pPr>
      <w:hyperlink w:anchor="_Toc453065367" w:history="1">
        <w:r w:rsidR="00BF35BC" w:rsidRPr="00B35470">
          <w:rPr>
            <w:rStyle w:val="Hyperlink"/>
          </w:rPr>
          <w:t>Table 31</w:t>
        </w:r>
        <w:r w:rsidR="00BF35BC">
          <w:rPr>
            <w:rFonts w:asciiTheme="minorHAnsi" w:hAnsiTheme="minorHAnsi" w:cstheme="minorBidi"/>
            <w:lang w:eastAsia="en-AU"/>
          </w:rPr>
          <w:tab/>
        </w:r>
        <w:r w:rsidR="00BF35BC" w:rsidRPr="00B35470">
          <w:rPr>
            <w:rStyle w:val="Hyperlink"/>
          </w:rPr>
          <w:t>Proportion of subjects with NIHSS score</w:t>
        </w:r>
        <w:r w:rsidR="00BF35BC">
          <w:rPr>
            <w:webHidden/>
          </w:rPr>
          <w:tab/>
        </w:r>
        <w:r w:rsidR="00BF35BC">
          <w:rPr>
            <w:webHidden/>
          </w:rPr>
          <w:fldChar w:fldCharType="begin"/>
        </w:r>
        <w:r w:rsidR="00BF35BC">
          <w:rPr>
            <w:webHidden/>
          </w:rPr>
          <w:instrText xml:space="preserve"> PAGEREF _Toc453065367 \h </w:instrText>
        </w:r>
        <w:r w:rsidR="00BF35BC">
          <w:rPr>
            <w:webHidden/>
          </w:rPr>
        </w:r>
        <w:r w:rsidR="00BF35BC">
          <w:rPr>
            <w:webHidden/>
          </w:rPr>
          <w:fldChar w:fldCharType="separate"/>
        </w:r>
        <w:r w:rsidR="00A456ED">
          <w:rPr>
            <w:webHidden/>
          </w:rPr>
          <w:t>83</w:t>
        </w:r>
        <w:r w:rsidR="00BF35BC">
          <w:rPr>
            <w:webHidden/>
          </w:rPr>
          <w:fldChar w:fldCharType="end"/>
        </w:r>
      </w:hyperlink>
    </w:p>
    <w:p w14:paraId="4DCE10C5" w14:textId="2D7E7FF4" w:rsidR="00BF35BC" w:rsidRDefault="00B76E8C">
      <w:pPr>
        <w:pStyle w:val="TableofFigures"/>
        <w:rPr>
          <w:rFonts w:asciiTheme="minorHAnsi" w:hAnsiTheme="minorHAnsi" w:cstheme="minorBidi"/>
          <w:lang w:eastAsia="en-AU"/>
        </w:rPr>
      </w:pPr>
      <w:hyperlink w:anchor="_Toc453065368" w:history="1">
        <w:r w:rsidR="00BF35BC" w:rsidRPr="00B35470">
          <w:rPr>
            <w:rStyle w:val="Hyperlink"/>
          </w:rPr>
          <w:t>Table 32</w:t>
        </w:r>
        <w:r w:rsidR="00BF35BC">
          <w:rPr>
            <w:rFonts w:asciiTheme="minorHAnsi" w:hAnsiTheme="minorHAnsi" w:cstheme="minorBidi"/>
            <w:lang w:eastAsia="en-AU"/>
          </w:rPr>
          <w:tab/>
        </w:r>
        <w:r w:rsidR="00BF35BC" w:rsidRPr="00B35470">
          <w:rPr>
            <w:rStyle w:val="Hyperlink"/>
            <w:lang w:eastAsia="en-AU"/>
          </w:rPr>
          <w:t>Scores on the NIHSS</w:t>
        </w:r>
        <w:r w:rsidR="00BF35BC">
          <w:rPr>
            <w:webHidden/>
          </w:rPr>
          <w:tab/>
        </w:r>
        <w:r w:rsidR="00BF35BC">
          <w:rPr>
            <w:webHidden/>
          </w:rPr>
          <w:fldChar w:fldCharType="begin"/>
        </w:r>
        <w:r w:rsidR="00BF35BC">
          <w:rPr>
            <w:webHidden/>
          </w:rPr>
          <w:instrText xml:space="preserve"> PAGEREF _Toc453065368 \h </w:instrText>
        </w:r>
        <w:r w:rsidR="00BF35BC">
          <w:rPr>
            <w:webHidden/>
          </w:rPr>
        </w:r>
        <w:r w:rsidR="00BF35BC">
          <w:rPr>
            <w:webHidden/>
          </w:rPr>
          <w:fldChar w:fldCharType="separate"/>
        </w:r>
        <w:r w:rsidR="00A456ED">
          <w:rPr>
            <w:webHidden/>
          </w:rPr>
          <w:t>83</w:t>
        </w:r>
        <w:r w:rsidR="00BF35BC">
          <w:rPr>
            <w:webHidden/>
          </w:rPr>
          <w:fldChar w:fldCharType="end"/>
        </w:r>
      </w:hyperlink>
    </w:p>
    <w:p w14:paraId="75663672" w14:textId="2C4E571A" w:rsidR="00BF35BC" w:rsidRDefault="00B76E8C">
      <w:pPr>
        <w:pStyle w:val="TableofFigures"/>
        <w:rPr>
          <w:rFonts w:asciiTheme="minorHAnsi" w:hAnsiTheme="minorHAnsi" w:cstheme="minorBidi"/>
          <w:lang w:eastAsia="en-AU"/>
        </w:rPr>
      </w:pPr>
      <w:hyperlink w:anchor="_Toc453065369" w:history="1">
        <w:r w:rsidR="00BF35BC" w:rsidRPr="00B35470">
          <w:rPr>
            <w:rStyle w:val="Hyperlink"/>
          </w:rPr>
          <w:t>Table 33</w:t>
        </w:r>
        <w:r w:rsidR="00BF35BC">
          <w:rPr>
            <w:rFonts w:asciiTheme="minorHAnsi" w:hAnsiTheme="minorHAnsi" w:cstheme="minorBidi"/>
            <w:lang w:eastAsia="en-AU"/>
          </w:rPr>
          <w:tab/>
        </w:r>
        <w:r w:rsidR="00BF35BC" w:rsidRPr="00B35470">
          <w:rPr>
            <w:rStyle w:val="Hyperlink"/>
            <w:lang w:eastAsia="en-AU"/>
          </w:rPr>
          <w:t>Change in NIHSS</w:t>
        </w:r>
        <w:r w:rsidR="00BF35BC">
          <w:rPr>
            <w:webHidden/>
          </w:rPr>
          <w:tab/>
        </w:r>
        <w:r w:rsidR="00BF35BC">
          <w:rPr>
            <w:webHidden/>
          </w:rPr>
          <w:fldChar w:fldCharType="begin"/>
        </w:r>
        <w:r w:rsidR="00BF35BC">
          <w:rPr>
            <w:webHidden/>
          </w:rPr>
          <w:instrText xml:space="preserve"> PAGEREF _Toc453065369 \h </w:instrText>
        </w:r>
        <w:r w:rsidR="00BF35BC">
          <w:rPr>
            <w:webHidden/>
          </w:rPr>
        </w:r>
        <w:r w:rsidR="00BF35BC">
          <w:rPr>
            <w:webHidden/>
          </w:rPr>
          <w:fldChar w:fldCharType="separate"/>
        </w:r>
        <w:r w:rsidR="00A456ED">
          <w:rPr>
            <w:webHidden/>
          </w:rPr>
          <w:t>84</w:t>
        </w:r>
        <w:r w:rsidR="00BF35BC">
          <w:rPr>
            <w:webHidden/>
          </w:rPr>
          <w:fldChar w:fldCharType="end"/>
        </w:r>
      </w:hyperlink>
    </w:p>
    <w:p w14:paraId="6D43AE4B" w14:textId="7384085D" w:rsidR="00BF35BC" w:rsidRDefault="00B76E8C">
      <w:pPr>
        <w:pStyle w:val="TableofFigures"/>
        <w:rPr>
          <w:rFonts w:asciiTheme="minorHAnsi" w:hAnsiTheme="minorHAnsi" w:cstheme="minorBidi"/>
          <w:lang w:eastAsia="en-AU"/>
        </w:rPr>
      </w:pPr>
      <w:hyperlink w:anchor="_Toc453065370" w:history="1">
        <w:r w:rsidR="00BF35BC" w:rsidRPr="00B35470">
          <w:rPr>
            <w:rStyle w:val="Hyperlink"/>
          </w:rPr>
          <w:t>Table 34</w:t>
        </w:r>
        <w:r w:rsidR="00BF35BC">
          <w:rPr>
            <w:rFonts w:asciiTheme="minorHAnsi" w:hAnsiTheme="minorHAnsi" w:cstheme="minorBidi"/>
            <w:lang w:eastAsia="en-AU"/>
          </w:rPr>
          <w:tab/>
        </w:r>
        <w:r w:rsidR="00BF35BC" w:rsidRPr="00B35470">
          <w:rPr>
            <w:rStyle w:val="Hyperlink"/>
          </w:rPr>
          <w:t>Barthel Index</w:t>
        </w:r>
        <w:r w:rsidR="00BF35BC">
          <w:rPr>
            <w:webHidden/>
          </w:rPr>
          <w:tab/>
        </w:r>
        <w:r w:rsidR="00BF35BC">
          <w:rPr>
            <w:webHidden/>
          </w:rPr>
          <w:fldChar w:fldCharType="begin"/>
        </w:r>
        <w:r w:rsidR="00BF35BC">
          <w:rPr>
            <w:webHidden/>
          </w:rPr>
          <w:instrText xml:space="preserve"> PAGEREF _Toc453065370 \h </w:instrText>
        </w:r>
        <w:r w:rsidR="00BF35BC">
          <w:rPr>
            <w:webHidden/>
          </w:rPr>
        </w:r>
        <w:r w:rsidR="00BF35BC">
          <w:rPr>
            <w:webHidden/>
          </w:rPr>
          <w:fldChar w:fldCharType="separate"/>
        </w:r>
        <w:r w:rsidR="00A456ED">
          <w:rPr>
            <w:webHidden/>
          </w:rPr>
          <w:t>84</w:t>
        </w:r>
        <w:r w:rsidR="00BF35BC">
          <w:rPr>
            <w:webHidden/>
          </w:rPr>
          <w:fldChar w:fldCharType="end"/>
        </w:r>
      </w:hyperlink>
    </w:p>
    <w:p w14:paraId="58826F40" w14:textId="16922779" w:rsidR="00BF35BC" w:rsidRDefault="00B76E8C">
      <w:pPr>
        <w:pStyle w:val="TableofFigures"/>
        <w:rPr>
          <w:rFonts w:asciiTheme="minorHAnsi" w:hAnsiTheme="minorHAnsi" w:cstheme="minorBidi"/>
          <w:lang w:eastAsia="en-AU"/>
        </w:rPr>
      </w:pPr>
      <w:hyperlink w:anchor="_Toc453065371" w:history="1">
        <w:r w:rsidR="00BF35BC" w:rsidRPr="00B35470">
          <w:rPr>
            <w:rStyle w:val="Hyperlink"/>
          </w:rPr>
          <w:t>Table 35</w:t>
        </w:r>
        <w:r w:rsidR="00BF35BC">
          <w:rPr>
            <w:rFonts w:asciiTheme="minorHAnsi" w:hAnsiTheme="minorHAnsi" w:cstheme="minorBidi"/>
            <w:lang w:eastAsia="en-AU"/>
          </w:rPr>
          <w:tab/>
        </w:r>
        <w:r w:rsidR="00BF35BC" w:rsidRPr="00B35470">
          <w:rPr>
            <w:rStyle w:val="Hyperlink"/>
            <w:rFonts w:eastAsia="OTNEJMScalaSansLF"/>
          </w:rPr>
          <w:t>A Thrombolysis in Cerebral Infarction (TICI) score</w:t>
        </w:r>
        <w:r w:rsidR="00BF35BC">
          <w:rPr>
            <w:webHidden/>
          </w:rPr>
          <w:tab/>
        </w:r>
        <w:r w:rsidR="00BF35BC">
          <w:rPr>
            <w:webHidden/>
          </w:rPr>
          <w:fldChar w:fldCharType="begin"/>
        </w:r>
        <w:r w:rsidR="00BF35BC">
          <w:rPr>
            <w:webHidden/>
          </w:rPr>
          <w:instrText xml:space="preserve"> PAGEREF _Toc453065371 \h </w:instrText>
        </w:r>
        <w:r w:rsidR="00BF35BC">
          <w:rPr>
            <w:webHidden/>
          </w:rPr>
        </w:r>
        <w:r w:rsidR="00BF35BC">
          <w:rPr>
            <w:webHidden/>
          </w:rPr>
          <w:fldChar w:fldCharType="separate"/>
        </w:r>
        <w:r w:rsidR="00A456ED">
          <w:rPr>
            <w:webHidden/>
          </w:rPr>
          <w:t>85</w:t>
        </w:r>
        <w:r w:rsidR="00BF35BC">
          <w:rPr>
            <w:webHidden/>
          </w:rPr>
          <w:fldChar w:fldCharType="end"/>
        </w:r>
      </w:hyperlink>
    </w:p>
    <w:p w14:paraId="1EF2DBC5" w14:textId="4240CB13" w:rsidR="00BF35BC" w:rsidRDefault="00B76E8C">
      <w:pPr>
        <w:pStyle w:val="TableofFigures"/>
        <w:rPr>
          <w:rFonts w:asciiTheme="minorHAnsi" w:hAnsiTheme="minorHAnsi" w:cstheme="minorBidi"/>
          <w:lang w:eastAsia="en-AU"/>
        </w:rPr>
      </w:pPr>
      <w:hyperlink w:anchor="_Toc453065372" w:history="1">
        <w:r w:rsidR="00BF35BC" w:rsidRPr="00B35470">
          <w:rPr>
            <w:rStyle w:val="Hyperlink"/>
          </w:rPr>
          <w:t>Table 36</w:t>
        </w:r>
        <w:r w:rsidR="00BF35BC">
          <w:rPr>
            <w:rFonts w:asciiTheme="minorHAnsi" w:hAnsiTheme="minorHAnsi" w:cstheme="minorBidi"/>
            <w:lang w:eastAsia="en-AU"/>
          </w:rPr>
          <w:tab/>
        </w:r>
        <w:r w:rsidR="00BF35BC" w:rsidRPr="00B35470">
          <w:rPr>
            <w:rStyle w:val="Hyperlink"/>
          </w:rPr>
          <w:t>Median reperfusion</w:t>
        </w:r>
        <w:r w:rsidR="00BF35BC">
          <w:rPr>
            <w:webHidden/>
          </w:rPr>
          <w:tab/>
        </w:r>
        <w:r w:rsidR="00BF35BC">
          <w:rPr>
            <w:webHidden/>
          </w:rPr>
          <w:fldChar w:fldCharType="begin"/>
        </w:r>
        <w:r w:rsidR="00BF35BC">
          <w:rPr>
            <w:webHidden/>
          </w:rPr>
          <w:instrText xml:space="preserve"> PAGEREF _Toc453065372 \h </w:instrText>
        </w:r>
        <w:r w:rsidR="00BF35BC">
          <w:rPr>
            <w:webHidden/>
          </w:rPr>
        </w:r>
        <w:r w:rsidR="00BF35BC">
          <w:rPr>
            <w:webHidden/>
          </w:rPr>
          <w:fldChar w:fldCharType="separate"/>
        </w:r>
        <w:r w:rsidR="00A456ED">
          <w:rPr>
            <w:webHidden/>
          </w:rPr>
          <w:t>85</w:t>
        </w:r>
        <w:r w:rsidR="00BF35BC">
          <w:rPr>
            <w:webHidden/>
          </w:rPr>
          <w:fldChar w:fldCharType="end"/>
        </w:r>
      </w:hyperlink>
    </w:p>
    <w:p w14:paraId="65E5CF29" w14:textId="1197A1A0" w:rsidR="00BF35BC" w:rsidRDefault="00B76E8C">
      <w:pPr>
        <w:pStyle w:val="TableofFigures"/>
        <w:rPr>
          <w:rFonts w:asciiTheme="minorHAnsi" w:hAnsiTheme="minorHAnsi" w:cstheme="minorBidi"/>
          <w:lang w:eastAsia="en-AU"/>
        </w:rPr>
      </w:pPr>
      <w:hyperlink w:anchor="_Toc453065373" w:history="1">
        <w:r w:rsidR="00BF35BC" w:rsidRPr="00B35470">
          <w:rPr>
            <w:rStyle w:val="Hyperlink"/>
          </w:rPr>
          <w:t>Table 37</w:t>
        </w:r>
        <w:r w:rsidR="00BF35BC">
          <w:rPr>
            <w:rFonts w:asciiTheme="minorHAnsi" w:hAnsiTheme="minorHAnsi" w:cstheme="minorBidi"/>
            <w:lang w:eastAsia="en-AU"/>
          </w:rPr>
          <w:tab/>
        </w:r>
        <w:r w:rsidR="00BF35BC" w:rsidRPr="00B35470">
          <w:rPr>
            <w:rStyle w:val="Hyperlink"/>
          </w:rPr>
          <w:t>Proprotion of sbjects achieveing reperfusion</w:t>
        </w:r>
        <w:r w:rsidR="00BF35BC">
          <w:rPr>
            <w:webHidden/>
          </w:rPr>
          <w:tab/>
        </w:r>
        <w:r w:rsidR="00BF35BC">
          <w:rPr>
            <w:webHidden/>
          </w:rPr>
          <w:fldChar w:fldCharType="begin"/>
        </w:r>
        <w:r w:rsidR="00BF35BC">
          <w:rPr>
            <w:webHidden/>
          </w:rPr>
          <w:instrText xml:space="preserve"> PAGEREF _Toc453065373 \h </w:instrText>
        </w:r>
        <w:r w:rsidR="00BF35BC">
          <w:rPr>
            <w:webHidden/>
          </w:rPr>
        </w:r>
        <w:r w:rsidR="00BF35BC">
          <w:rPr>
            <w:webHidden/>
          </w:rPr>
          <w:fldChar w:fldCharType="separate"/>
        </w:r>
        <w:r w:rsidR="00A456ED">
          <w:rPr>
            <w:webHidden/>
          </w:rPr>
          <w:t>86</w:t>
        </w:r>
        <w:r w:rsidR="00BF35BC">
          <w:rPr>
            <w:webHidden/>
          </w:rPr>
          <w:fldChar w:fldCharType="end"/>
        </w:r>
      </w:hyperlink>
    </w:p>
    <w:p w14:paraId="3C493362" w14:textId="497F6E15" w:rsidR="00BF35BC" w:rsidRDefault="00B76E8C">
      <w:pPr>
        <w:pStyle w:val="TableofFigures"/>
        <w:rPr>
          <w:rFonts w:asciiTheme="minorHAnsi" w:hAnsiTheme="minorHAnsi" w:cstheme="minorBidi"/>
          <w:lang w:eastAsia="en-AU"/>
        </w:rPr>
      </w:pPr>
      <w:hyperlink w:anchor="_Toc453065374" w:history="1">
        <w:r w:rsidR="00BF35BC" w:rsidRPr="00B35470">
          <w:rPr>
            <w:rStyle w:val="Hyperlink"/>
          </w:rPr>
          <w:t>Table 38</w:t>
        </w:r>
        <w:r w:rsidR="00BF35BC">
          <w:rPr>
            <w:rFonts w:asciiTheme="minorHAnsi" w:hAnsiTheme="minorHAnsi" w:cstheme="minorBidi"/>
            <w:lang w:eastAsia="en-AU"/>
          </w:rPr>
          <w:tab/>
        </w:r>
        <w:r w:rsidR="00BF35BC" w:rsidRPr="00B35470">
          <w:rPr>
            <w:rStyle w:val="Hyperlink"/>
          </w:rPr>
          <w:t>ED-5D scores at 90 days</w:t>
        </w:r>
        <w:r w:rsidR="00BF35BC">
          <w:rPr>
            <w:webHidden/>
          </w:rPr>
          <w:tab/>
        </w:r>
        <w:r w:rsidR="00BF35BC">
          <w:rPr>
            <w:webHidden/>
          </w:rPr>
          <w:fldChar w:fldCharType="begin"/>
        </w:r>
        <w:r w:rsidR="00BF35BC">
          <w:rPr>
            <w:webHidden/>
          </w:rPr>
          <w:instrText xml:space="preserve"> PAGEREF _Toc453065374 \h </w:instrText>
        </w:r>
        <w:r w:rsidR="00BF35BC">
          <w:rPr>
            <w:webHidden/>
          </w:rPr>
        </w:r>
        <w:r w:rsidR="00BF35BC">
          <w:rPr>
            <w:webHidden/>
          </w:rPr>
          <w:fldChar w:fldCharType="separate"/>
        </w:r>
        <w:r w:rsidR="00A456ED">
          <w:rPr>
            <w:webHidden/>
          </w:rPr>
          <w:t>86</w:t>
        </w:r>
        <w:r w:rsidR="00BF35BC">
          <w:rPr>
            <w:webHidden/>
          </w:rPr>
          <w:fldChar w:fldCharType="end"/>
        </w:r>
      </w:hyperlink>
    </w:p>
    <w:p w14:paraId="5F45081F" w14:textId="2D1CC1EF" w:rsidR="00BF35BC" w:rsidRDefault="00B76E8C">
      <w:pPr>
        <w:pStyle w:val="TableofFigures"/>
        <w:rPr>
          <w:rFonts w:asciiTheme="minorHAnsi" w:hAnsiTheme="minorHAnsi" w:cstheme="minorBidi"/>
          <w:lang w:eastAsia="en-AU"/>
        </w:rPr>
      </w:pPr>
      <w:hyperlink w:anchor="_Toc453065375" w:history="1">
        <w:r w:rsidR="00BF35BC" w:rsidRPr="00B35470">
          <w:rPr>
            <w:rStyle w:val="Hyperlink"/>
          </w:rPr>
          <w:t>Table 39</w:t>
        </w:r>
        <w:r w:rsidR="00BF35BC">
          <w:rPr>
            <w:rFonts w:asciiTheme="minorHAnsi" w:hAnsiTheme="minorHAnsi" w:cstheme="minorBidi"/>
            <w:lang w:eastAsia="en-AU"/>
          </w:rPr>
          <w:tab/>
        </w:r>
        <w:r w:rsidR="00BF35BC" w:rsidRPr="00B35470">
          <w:rPr>
            <w:rStyle w:val="Hyperlink"/>
          </w:rPr>
          <w:t>Summary of adverse events</w:t>
        </w:r>
        <w:r w:rsidR="00BF35BC">
          <w:rPr>
            <w:webHidden/>
          </w:rPr>
          <w:tab/>
        </w:r>
        <w:r w:rsidR="00BF35BC">
          <w:rPr>
            <w:webHidden/>
          </w:rPr>
          <w:fldChar w:fldCharType="begin"/>
        </w:r>
        <w:r w:rsidR="00BF35BC">
          <w:rPr>
            <w:webHidden/>
          </w:rPr>
          <w:instrText xml:space="preserve"> PAGEREF _Toc453065375 \h </w:instrText>
        </w:r>
        <w:r w:rsidR="00BF35BC">
          <w:rPr>
            <w:webHidden/>
          </w:rPr>
        </w:r>
        <w:r w:rsidR="00BF35BC">
          <w:rPr>
            <w:webHidden/>
          </w:rPr>
          <w:fldChar w:fldCharType="separate"/>
        </w:r>
        <w:r w:rsidR="00A456ED">
          <w:rPr>
            <w:webHidden/>
          </w:rPr>
          <w:t>88</w:t>
        </w:r>
        <w:r w:rsidR="00BF35BC">
          <w:rPr>
            <w:webHidden/>
          </w:rPr>
          <w:fldChar w:fldCharType="end"/>
        </w:r>
      </w:hyperlink>
    </w:p>
    <w:p w14:paraId="76557F13" w14:textId="5A34B586" w:rsidR="00BF35BC" w:rsidRDefault="00B76E8C">
      <w:pPr>
        <w:pStyle w:val="TableofFigures"/>
        <w:rPr>
          <w:rFonts w:asciiTheme="minorHAnsi" w:hAnsiTheme="minorHAnsi" w:cstheme="minorBidi"/>
          <w:lang w:eastAsia="en-AU"/>
        </w:rPr>
      </w:pPr>
      <w:hyperlink w:anchor="_Toc453065376" w:history="1">
        <w:r w:rsidR="00BF35BC" w:rsidRPr="00B35470">
          <w:rPr>
            <w:rStyle w:val="Hyperlink"/>
          </w:rPr>
          <w:t>Table 40</w:t>
        </w:r>
        <w:r w:rsidR="00BF35BC">
          <w:rPr>
            <w:rFonts w:asciiTheme="minorHAnsi" w:hAnsiTheme="minorHAnsi" w:cstheme="minorBidi"/>
            <w:lang w:eastAsia="en-AU"/>
          </w:rPr>
          <w:tab/>
        </w:r>
        <w:r w:rsidR="00BF35BC" w:rsidRPr="00B35470">
          <w:rPr>
            <w:rStyle w:val="Hyperlink"/>
          </w:rPr>
          <w:t>Summary of translation issues</w:t>
        </w:r>
        <w:r w:rsidR="00BF35BC">
          <w:rPr>
            <w:webHidden/>
          </w:rPr>
          <w:tab/>
        </w:r>
        <w:r w:rsidR="00BF35BC">
          <w:rPr>
            <w:webHidden/>
          </w:rPr>
          <w:fldChar w:fldCharType="begin"/>
        </w:r>
        <w:r w:rsidR="00BF35BC">
          <w:rPr>
            <w:webHidden/>
          </w:rPr>
          <w:instrText xml:space="preserve"> PAGEREF _Toc453065376 \h </w:instrText>
        </w:r>
        <w:r w:rsidR="00BF35BC">
          <w:rPr>
            <w:webHidden/>
          </w:rPr>
        </w:r>
        <w:r w:rsidR="00BF35BC">
          <w:rPr>
            <w:webHidden/>
          </w:rPr>
          <w:fldChar w:fldCharType="separate"/>
        </w:r>
        <w:r w:rsidR="00A456ED">
          <w:rPr>
            <w:webHidden/>
          </w:rPr>
          <w:t>93</w:t>
        </w:r>
        <w:r w:rsidR="00BF35BC">
          <w:rPr>
            <w:webHidden/>
          </w:rPr>
          <w:fldChar w:fldCharType="end"/>
        </w:r>
      </w:hyperlink>
    </w:p>
    <w:p w14:paraId="48F8F8BC" w14:textId="22CA2358" w:rsidR="00BF35BC" w:rsidRDefault="00B76E8C">
      <w:pPr>
        <w:pStyle w:val="TableofFigures"/>
        <w:rPr>
          <w:rFonts w:asciiTheme="minorHAnsi" w:hAnsiTheme="minorHAnsi" w:cstheme="minorBidi"/>
          <w:lang w:eastAsia="en-AU"/>
        </w:rPr>
      </w:pPr>
      <w:hyperlink w:anchor="_Toc453065377" w:history="1">
        <w:r w:rsidR="00BF35BC" w:rsidRPr="00B35470">
          <w:rPr>
            <w:rStyle w:val="Hyperlink"/>
          </w:rPr>
          <w:t>Table 41</w:t>
        </w:r>
        <w:r w:rsidR="00BF35BC">
          <w:rPr>
            <w:rFonts w:asciiTheme="minorHAnsi" w:hAnsiTheme="minorHAnsi" w:cstheme="minorBidi"/>
            <w:lang w:eastAsia="en-AU"/>
          </w:rPr>
          <w:tab/>
        </w:r>
        <w:r w:rsidR="00BF35BC" w:rsidRPr="00B35470">
          <w:rPr>
            <w:rStyle w:val="Hyperlink"/>
          </w:rPr>
          <w:t>Inclusion criteria for eligible RCTs of MT</w:t>
        </w:r>
        <w:r w:rsidR="00BF35BC">
          <w:rPr>
            <w:webHidden/>
          </w:rPr>
          <w:tab/>
        </w:r>
        <w:r w:rsidR="00BF35BC">
          <w:rPr>
            <w:webHidden/>
          </w:rPr>
          <w:fldChar w:fldCharType="begin"/>
        </w:r>
        <w:r w:rsidR="00BF35BC">
          <w:rPr>
            <w:webHidden/>
          </w:rPr>
          <w:instrText xml:space="preserve"> PAGEREF _Toc453065377 \h </w:instrText>
        </w:r>
        <w:r w:rsidR="00BF35BC">
          <w:rPr>
            <w:webHidden/>
          </w:rPr>
        </w:r>
        <w:r w:rsidR="00BF35BC">
          <w:rPr>
            <w:webHidden/>
          </w:rPr>
          <w:fldChar w:fldCharType="separate"/>
        </w:r>
        <w:r w:rsidR="00A456ED">
          <w:rPr>
            <w:webHidden/>
          </w:rPr>
          <w:t>97</w:t>
        </w:r>
        <w:r w:rsidR="00BF35BC">
          <w:rPr>
            <w:webHidden/>
          </w:rPr>
          <w:fldChar w:fldCharType="end"/>
        </w:r>
      </w:hyperlink>
    </w:p>
    <w:p w14:paraId="126B0F74" w14:textId="74B579BB" w:rsidR="00BF35BC" w:rsidRDefault="00B76E8C">
      <w:pPr>
        <w:pStyle w:val="TableofFigures"/>
        <w:rPr>
          <w:rFonts w:asciiTheme="minorHAnsi" w:hAnsiTheme="minorHAnsi" w:cstheme="minorBidi"/>
          <w:lang w:eastAsia="en-AU"/>
        </w:rPr>
      </w:pPr>
      <w:hyperlink w:anchor="_Toc453065378" w:history="1">
        <w:r w:rsidR="00BF35BC" w:rsidRPr="00B35470">
          <w:rPr>
            <w:rStyle w:val="Hyperlink"/>
          </w:rPr>
          <w:t>Table 42</w:t>
        </w:r>
        <w:r w:rsidR="00BF35BC">
          <w:rPr>
            <w:rFonts w:asciiTheme="minorHAnsi" w:hAnsiTheme="minorHAnsi" w:cstheme="minorBidi"/>
            <w:lang w:eastAsia="en-AU"/>
          </w:rPr>
          <w:tab/>
        </w:r>
        <w:r w:rsidR="00BF35BC" w:rsidRPr="00B35470">
          <w:rPr>
            <w:rStyle w:val="Hyperlink"/>
          </w:rPr>
          <w:t>Efficacy outcomes from IPD meta-analysis</w:t>
        </w:r>
        <w:r w:rsidR="00BF35BC">
          <w:rPr>
            <w:webHidden/>
          </w:rPr>
          <w:tab/>
        </w:r>
        <w:r w:rsidR="00BF35BC">
          <w:rPr>
            <w:webHidden/>
          </w:rPr>
          <w:fldChar w:fldCharType="begin"/>
        </w:r>
        <w:r w:rsidR="00BF35BC">
          <w:rPr>
            <w:webHidden/>
          </w:rPr>
          <w:instrText xml:space="preserve"> PAGEREF _Toc453065378 \h </w:instrText>
        </w:r>
        <w:r w:rsidR="00BF35BC">
          <w:rPr>
            <w:webHidden/>
          </w:rPr>
        </w:r>
        <w:r w:rsidR="00BF35BC">
          <w:rPr>
            <w:webHidden/>
          </w:rPr>
          <w:fldChar w:fldCharType="separate"/>
        </w:r>
        <w:r w:rsidR="00A456ED">
          <w:rPr>
            <w:webHidden/>
          </w:rPr>
          <w:t>102</w:t>
        </w:r>
        <w:r w:rsidR="00BF35BC">
          <w:rPr>
            <w:webHidden/>
          </w:rPr>
          <w:fldChar w:fldCharType="end"/>
        </w:r>
      </w:hyperlink>
    </w:p>
    <w:p w14:paraId="303C8FBC" w14:textId="70F3BECF" w:rsidR="00BF35BC" w:rsidRDefault="00B76E8C">
      <w:pPr>
        <w:pStyle w:val="TableofFigures"/>
        <w:rPr>
          <w:rFonts w:asciiTheme="minorHAnsi" w:hAnsiTheme="minorHAnsi" w:cstheme="minorBidi"/>
          <w:lang w:eastAsia="en-AU"/>
        </w:rPr>
      </w:pPr>
      <w:hyperlink w:anchor="_Toc453065379" w:history="1">
        <w:r w:rsidR="00BF35BC" w:rsidRPr="00B35470">
          <w:rPr>
            <w:rStyle w:val="Hyperlink"/>
          </w:rPr>
          <w:t>Table 43</w:t>
        </w:r>
        <w:r w:rsidR="00BF35BC">
          <w:rPr>
            <w:rFonts w:asciiTheme="minorHAnsi" w:hAnsiTheme="minorHAnsi" w:cstheme="minorBidi"/>
            <w:lang w:eastAsia="en-AU"/>
          </w:rPr>
          <w:tab/>
        </w:r>
        <w:r w:rsidR="00BF35BC" w:rsidRPr="00B35470">
          <w:rPr>
            <w:rStyle w:val="Hyperlink"/>
          </w:rPr>
          <w:t>Efficacy outcomes from STAR study</w:t>
        </w:r>
        <w:r w:rsidR="00BF35BC">
          <w:rPr>
            <w:webHidden/>
          </w:rPr>
          <w:tab/>
        </w:r>
        <w:r w:rsidR="00BF35BC">
          <w:rPr>
            <w:webHidden/>
          </w:rPr>
          <w:fldChar w:fldCharType="begin"/>
        </w:r>
        <w:r w:rsidR="00BF35BC">
          <w:rPr>
            <w:webHidden/>
          </w:rPr>
          <w:instrText xml:space="preserve"> PAGEREF _Toc453065379 \h </w:instrText>
        </w:r>
        <w:r w:rsidR="00BF35BC">
          <w:rPr>
            <w:webHidden/>
          </w:rPr>
        </w:r>
        <w:r w:rsidR="00BF35BC">
          <w:rPr>
            <w:webHidden/>
          </w:rPr>
          <w:fldChar w:fldCharType="separate"/>
        </w:r>
        <w:r w:rsidR="00A456ED">
          <w:rPr>
            <w:webHidden/>
          </w:rPr>
          <w:t>109</w:t>
        </w:r>
        <w:r w:rsidR="00BF35BC">
          <w:rPr>
            <w:webHidden/>
          </w:rPr>
          <w:fldChar w:fldCharType="end"/>
        </w:r>
      </w:hyperlink>
    </w:p>
    <w:p w14:paraId="1E62FAC9" w14:textId="680839F4" w:rsidR="00BF35BC" w:rsidRDefault="00B76E8C">
      <w:pPr>
        <w:pStyle w:val="TableofFigures"/>
        <w:rPr>
          <w:rFonts w:asciiTheme="minorHAnsi" w:hAnsiTheme="minorHAnsi" w:cstheme="minorBidi"/>
          <w:lang w:eastAsia="en-AU"/>
        </w:rPr>
      </w:pPr>
      <w:hyperlink w:anchor="_Toc453065380" w:history="1">
        <w:r w:rsidR="00BF35BC" w:rsidRPr="00B35470">
          <w:rPr>
            <w:rStyle w:val="Hyperlink"/>
          </w:rPr>
          <w:t>Table 44</w:t>
        </w:r>
        <w:r w:rsidR="00BF35BC">
          <w:rPr>
            <w:rFonts w:asciiTheme="minorHAnsi" w:hAnsiTheme="minorHAnsi" w:cstheme="minorBidi"/>
            <w:lang w:eastAsia="en-AU"/>
          </w:rPr>
          <w:tab/>
        </w:r>
        <w:r w:rsidR="00BF35BC" w:rsidRPr="00B35470">
          <w:rPr>
            <w:rStyle w:val="Hyperlink"/>
          </w:rPr>
          <w:t>Patient selection for included studies</w:t>
        </w:r>
        <w:r w:rsidR="00BF35BC">
          <w:rPr>
            <w:webHidden/>
          </w:rPr>
          <w:tab/>
        </w:r>
        <w:r w:rsidR="00BF35BC">
          <w:rPr>
            <w:webHidden/>
          </w:rPr>
          <w:fldChar w:fldCharType="begin"/>
        </w:r>
        <w:r w:rsidR="00BF35BC">
          <w:rPr>
            <w:webHidden/>
          </w:rPr>
          <w:instrText xml:space="preserve"> PAGEREF _Toc453065380 \h </w:instrText>
        </w:r>
        <w:r w:rsidR="00BF35BC">
          <w:rPr>
            <w:webHidden/>
          </w:rPr>
        </w:r>
        <w:r w:rsidR="00BF35BC">
          <w:rPr>
            <w:webHidden/>
          </w:rPr>
          <w:fldChar w:fldCharType="separate"/>
        </w:r>
        <w:r w:rsidR="00A456ED">
          <w:rPr>
            <w:webHidden/>
          </w:rPr>
          <w:t>110</w:t>
        </w:r>
        <w:r w:rsidR="00BF35BC">
          <w:rPr>
            <w:webHidden/>
          </w:rPr>
          <w:fldChar w:fldCharType="end"/>
        </w:r>
      </w:hyperlink>
    </w:p>
    <w:p w14:paraId="563BC28A" w14:textId="1F2C603D" w:rsidR="00BF35BC" w:rsidRDefault="00B76E8C">
      <w:pPr>
        <w:pStyle w:val="TableofFigures"/>
        <w:rPr>
          <w:rFonts w:asciiTheme="minorHAnsi" w:hAnsiTheme="minorHAnsi" w:cstheme="minorBidi"/>
          <w:lang w:eastAsia="en-AU"/>
        </w:rPr>
      </w:pPr>
      <w:hyperlink w:anchor="_Toc453065381" w:history="1">
        <w:r w:rsidR="00BF35BC" w:rsidRPr="00B35470">
          <w:rPr>
            <w:rStyle w:val="Hyperlink"/>
          </w:rPr>
          <w:t>Table 45</w:t>
        </w:r>
        <w:r w:rsidR="00BF35BC">
          <w:rPr>
            <w:rFonts w:asciiTheme="minorHAnsi" w:hAnsiTheme="minorHAnsi" w:cstheme="minorBidi"/>
            <w:lang w:eastAsia="en-AU"/>
          </w:rPr>
          <w:tab/>
        </w:r>
        <w:r w:rsidR="00BF35BC" w:rsidRPr="00B35470">
          <w:rPr>
            <w:rStyle w:val="Hyperlink"/>
          </w:rPr>
          <w:t>Baseline characteristics in the pooled data</w:t>
        </w:r>
        <w:r w:rsidR="00BF35BC">
          <w:rPr>
            <w:webHidden/>
          </w:rPr>
          <w:tab/>
        </w:r>
        <w:r w:rsidR="00BF35BC">
          <w:rPr>
            <w:webHidden/>
          </w:rPr>
          <w:fldChar w:fldCharType="begin"/>
        </w:r>
        <w:r w:rsidR="00BF35BC">
          <w:rPr>
            <w:webHidden/>
          </w:rPr>
          <w:instrText xml:space="preserve"> PAGEREF _Toc453065381 \h </w:instrText>
        </w:r>
        <w:r w:rsidR="00BF35BC">
          <w:rPr>
            <w:webHidden/>
          </w:rPr>
        </w:r>
        <w:r w:rsidR="00BF35BC">
          <w:rPr>
            <w:webHidden/>
          </w:rPr>
          <w:fldChar w:fldCharType="separate"/>
        </w:r>
        <w:r w:rsidR="00A456ED">
          <w:rPr>
            <w:webHidden/>
          </w:rPr>
          <w:t>114</w:t>
        </w:r>
        <w:r w:rsidR="00BF35BC">
          <w:rPr>
            <w:webHidden/>
          </w:rPr>
          <w:fldChar w:fldCharType="end"/>
        </w:r>
      </w:hyperlink>
    </w:p>
    <w:p w14:paraId="4DA319F3" w14:textId="0E118A3E" w:rsidR="00BF35BC" w:rsidRDefault="00B76E8C">
      <w:pPr>
        <w:pStyle w:val="TableofFigures"/>
        <w:rPr>
          <w:rFonts w:asciiTheme="minorHAnsi" w:hAnsiTheme="minorHAnsi" w:cstheme="minorBidi"/>
          <w:lang w:eastAsia="en-AU"/>
        </w:rPr>
      </w:pPr>
      <w:hyperlink w:anchor="_Toc453065382" w:history="1">
        <w:r w:rsidR="00BF35BC" w:rsidRPr="00B35470">
          <w:rPr>
            <w:rStyle w:val="Hyperlink"/>
          </w:rPr>
          <w:t>Table 46</w:t>
        </w:r>
        <w:r w:rsidR="00BF35BC">
          <w:rPr>
            <w:rFonts w:asciiTheme="minorHAnsi" w:hAnsiTheme="minorHAnsi" w:cstheme="minorBidi"/>
            <w:lang w:eastAsia="en-AU"/>
          </w:rPr>
          <w:tab/>
        </w:r>
        <w:r w:rsidR="00BF35BC" w:rsidRPr="00B35470">
          <w:rPr>
            <w:rStyle w:val="Hyperlink"/>
          </w:rPr>
          <w:t>Baseline characteristics of patients ineligible for IV-tPA in MR CLEAN</w:t>
        </w:r>
        <w:r w:rsidR="00BF35BC">
          <w:rPr>
            <w:webHidden/>
          </w:rPr>
          <w:tab/>
        </w:r>
        <w:r w:rsidR="00BF35BC">
          <w:rPr>
            <w:webHidden/>
          </w:rPr>
          <w:fldChar w:fldCharType="begin"/>
        </w:r>
        <w:r w:rsidR="00BF35BC">
          <w:rPr>
            <w:webHidden/>
          </w:rPr>
          <w:instrText xml:space="preserve"> PAGEREF _Toc453065382 \h </w:instrText>
        </w:r>
        <w:r w:rsidR="00BF35BC">
          <w:rPr>
            <w:webHidden/>
          </w:rPr>
        </w:r>
        <w:r w:rsidR="00BF35BC">
          <w:rPr>
            <w:webHidden/>
          </w:rPr>
          <w:fldChar w:fldCharType="separate"/>
        </w:r>
        <w:r w:rsidR="00A456ED">
          <w:rPr>
            <w:webHidden/>
          </w:rPr>
          <w:t>116</w:t>
        </w:r>
        <w:r w:rsidR="00BF35BC">
          <w:rPr>
            <w:webHidden/>
          </w:rPr>
          <w:fldChar w:fldCharType="end"/>
        </w:r>
      </w:hyperlink>
    </w:p>
    <w:p w14:paraId="052755C0" w14:textId="2A571252" w:rsidR="00BF35BC" w:rsidRDefault="00B76E8C">
      <w:pPr>
        <w:pStyle w:val="TableofFigures"/>
        <w:rPr>
          <w:rFonts w:asciiTheme="minorHAnsi" w:hAnsiTheme="minorHAnsi" w:cstheme="minorBidi"/>
          <w:lang w:eastAsia="en-AU"/>
        </w:rPr>
      </w:pPr>
      <w:hyperlink w:anchor="_Toc453065383" w:history="1">
        <w:r w:rsidR="00BF35BC" w:rsidRPr="00B35470">
          <w:rPr>
            <w:rStyle w:val="Hyperlink"/>
          </w:rPr>
          <w:t>Table 47</w:t>
        </w:r>
        <w:r w:rsidR="00BF35BC">
          <w:rPr>
            <w:rFonts w:asciiTheme="minorHAnsi" w:hAnsiTheme="minorHAnsi" w:cstheme="minorBidi"/>
            <w:lang w:eastAsia="en-AU"/>
          </w:rPr>
          <w:tab/>
        </w:r>
        <w:r w:rsidR="00BF35BC" w:rsidRPr="00B35470">
          <w:rPr>
            <w:rStyle w:val="Hyperlink"/>
          </w:rPr>
          <w:t>Contraindications and other reasons for no treatment with IV-tPA in MR CLEAN</w:t>
        </w:r>
        <w:r w:rsidR="00BF35BC">
          <w:rPr>
            <w:webHidden/>
          </w:rPr>
          <w:tab/>
        </w:r>
        <w:r w:rsidR="00BF35BC">
          <w:rPr>
            <w:webHidden/>
          </w:rPr>
          <w:fldChar w:fldCharType="begin"/>
        </w:r>
        <w:r w:rsidR="00BF35BC">
          <w:rPr>
            <w:webHidden/>
          </w:rPr>
          <w:instrText xml:space="preserve"> PAGEREF _Toc453065383 \h </w:instrText>
        </w:r>
        <w:r w:rsidR="00BF35BC">
          <w:rPr>
            <w:webHidden/>
          </w:rPr>
        </w:r>
        <w:r w:rsidR="00BF35BC">
          <w:rPr>
            <w:webHidden/>
          </w:rPr>
          <w:fldChar w:fldCharType="separate"/>
        </w:r>
        <w:r w:rsidR="00A456ED">
          <w:rPr>
            <w:webHidden/>
          </w:rPr>
          <w:t>118</w:t>
        </w:r>
        <w:r w:rsidR="00BF35BC">
          <w:rPr>
            <w:webHidden/>
          </w:rPr>
          <w:fldChar w:fldCharType="end"/>
        </w:r>
      </w:hyperlink>
    </w:p>
    <w:p w14:paraId="51114B64" w14:textId="20654A97" w:rsidR="00BF35BC" w:rsidRDefault="00B76E8C">
      <w:pPr>
        <w:pStyle w:val="TableofFigures"/>
        <w:rPr>
          <w:rFonts w:asciiTheme="minorHAnsi" w:hAnsiTheme="minorHAnsi" w:cstheme="minorBidi"/>
          <w:lang w:eastAsia="en-AU"/>
        </w:rPr>
      </w:pPr>
      <w:hyperlink w:anchor="_Toc453065384" w:history="1">
        <w:r w:rsidR="00BF35BC" w:rsidRPr="00B35470">
          <w:rPr>
            <w:rStyle w:val="Hyperlink"/>
          </w:rPr>
          <w:t>Table 48</w:t>
        </w:r>
        <w:r w:rsidR="00BF35BC">
          <w:rPr>
            <w:rFonts w:asciiTheme="minorHAnsi" w:hAnsiTheme="minorHAnsi" w:cstheme="minorBidi"/>
            <w:lang w:eastAsia="en-AU"/>
          </w:rPr>
          <w:tab/>
        </w:r>
        <w:r w:rsidR="00BF35BC" w:rsidRPr="00B35470">
          <w:rPr>
            <w:rStyle w:val="Hyperlink"/>
          </w:rPr>
          <w:t>Modified Rankin Scale (mRS): Disability measurement used to define health states in the Section D cost-effectiveness model</w:t>
        </w:r>
        <w:r w:rsidR="00BF35BC">
          <w:rPr>
            <w:webHidden/>
          </w:rPr>
          <w:tab/>
        </w:r>
        <w:r w:rsidR="00BF35BC">
          <w:rPr>
            <w:webHidden/>
          </w:rPr>
          <w:fldChar w:fldCharType="begin"/>
        </w:r>
        <w:r w:rsidR="00BF35BC">
          <w:rPr>
            <w:webHidden/>
          </w:rPr>
          <w:instrText xml:space="preserve"> PAGEREF _Toc453065384 \h </w:instrText>
        </w:r>
        <w:r w:rsidR="00BF35BC">
          <w:rPr>
            <w:webHidden/>
          </w:rPr>
        </w:r>
        <w:r w:rsidR="00BF35BC">
          <w:rPr>
            <w:webHidden/>
          </w:rPr>
          <w:fldChar w:fldCharType="separate"/>
        </w:r>
        <w:r w:rsidR="00A456ED">
          <w:rPr>
            <w:webHidden/>
          </w:rPr>
          <w:t>120</w:t>
        </w:r>
        <w:r w:rsidR="00BF35BC">
          <w:rPr>
            <w:webHidden/>
          </w:rPr>
          <w:fldChar w:fldCharType="end"/>
        </w:r>
      </w:hyperlink>
    </w:p>
    <w:p w14:paraId="1F860E5A" w14:textId="23174679" w:rsidR="00BF35BC" w:rsidRDefault="00B76E8C">
      <w:pPr>
        <w:pStyle w:val="TableofFigures"/>
        <w:rPr>
          <w:rFonts w:asciiTheme="minorHAnsi" w:hAnsiTheme="minorHAnsi" w:cstheme="minorBidi"/>
          <w:lang w:eastAsia="en-AU"/>
        </w:rPr>
      </w:pPr>
      <w:hyperlink w:anchor="_Toc453065385" w:history="1">
        <w:r w:rsidR="00BF35BC" w:rsidRPr="00B35470">
          <w:rPr>
            <w:rStyle w:val="Hyperlink"/>
          </w:rPr>
          <w:t>Table 10</w:t>
        </w:r>
        <w:r w:rsidR="00BF35BC">
          <w:rPr>
            <w:rFonts w:asciiTheme="minorHAnsi" w:hAnsiTheme="minorHAnsi" w:cstheme="minorBidi"/>
            <w:lang w:eastAsia="en-AU"/>
          </w:rPr>
          <w:tab/>
        </w:r>
        <w:r w:rsidR="00BF35BC" w:rsidRPr="00B35470">
          <w:rPr>
            <w:rStyle w:val="Hyperlink"/>
          </w:rPr>
          <w:t>Search algorithm for utility values</w:t>
        </w:r>
        <w:r w:rsidR="00BF35BC">
          <w:rPr>
            <w:webHidden/>
          </w:rPr>
          <w:tab/>
        </w:r>
        <w:r w:rsidR="00BF35BC">
          <w:rPr>
            <w:webHidden/>
          </w:rPr>
          <w:fldChar w:fldCharType="begin"/>
        </w:r>
        <w:r w:rsidR="00BF35BC">
          <w:rPr>
            <w:webHidden/>
          </w:rPr>
          <w:instrText xml:space="preserve"> PAGEREF _Toc453065385 \h </w:instrText>
        </w:r>
        <w:r w:rsidR="00BF35BC">
          <w:rPr>
            <w:webHidden/>
          </w:rPr>
        </w:r>
        <w:r w:rsidR="00BF35BC">
          <w:rPr>
            <w:webHidden/>
          </w:rPr>
          <w:fldChar w:fldCharType="separate"/>
        </w:r>
        <w:r w:rsidR="00A456ED">
          <w:rPr>
            <w:webHidden/>
          </w:rPr>
          <w:t>120</w:t>
        </w:r>
        <w:r w:rsidR="00BF35BC">
          <w:rPr>
            <w:webHidden/>
          </w:rPr>
          <w:fldChar w:fldCharType="end"/>
        </w:r>
      </w:hyperlink>
    </w:p>
    <w:p w14:paraId="74E1500F" w14:textId="04496CCB" w:rsidR="00BF35BC" w:rsidRDefault="00B76E8C">
      <w:pPr>
        <w:pStyle w:val="TableofFigures"/>
        <w:rPr>
          <w:rFonts w:asciiTheme="minorHAnsi" w:hAnsiTheme="minorHAnsi" w:cstheme="minorBidi"/>
          <w:lang w:eastAsia="en-AU"/>
        </w:rPr>
      </w:pPr>
      <w:hyperlink w:anchor="_Toc453065386" w:history="1">
        <w:r w:rsidR="00BF35BC" w:rsidRPr="00B35470">
          <w:rPr>
            <w:rStyle w:val="Hyperlink"/>
          </w:rPr>
          <w:t>Table 50</w:t>
        </w:r>
        <w:r w:rsidR="00BF35BC">
          <w:rPr>
            <w:rFonts w:asciiTheme="minorHAnsi" w:hAnsiTheme="minorHAnsi" w:cstheme="minorBidi"/>
            <w:lang w:eastAsia="en-AU"/>
          </w:rPr>
          <w:tab/>
        </w:r>
        <w:r w:rsidR="00BF35BC" w:rsidRPr="00B35470">
          <w:rPr>
            <w:rStyle w:val="Hyperlink"/>
          </w:rPr>
          <w:t>Published evaluation studies that reported utility values by severity</w:t>
        </w:r>
        <w:r w:rsidR="00BF35BC">
          <w:rPr>
            <w:webHidden/>
          </w:rPr>
          <w:tab/>
        </w:r>
        <w:r w:rsidR="00BF35BC">
          <w:rPr>
            <w:webHidden/>
          </w:rPr>
          <w:fldChar w:fldCharType="begin"/>
        </w:r>
        <w:r w:rsidR="00BF35BC">
          <w:rPr>
            <w:webHidden/>
          </w:rPr>
          <w:instrText xml:space="preserve"> PAGEREF _Toc453065386 \h </w:instrText>
        </w:r>
        <w:r w:rsidR="00BF35BC">
          <w:rPr>
            <w:webHidden/>
          </w:rPr>
        </w:r>
        <w:r w:rsidR="00BF35BC">
          <w:rPr>
            <w:webHidden/>
          </w:rPr>
          <w:fldChar w:fldCharType="separate"/>
        </w:r>
        <w:r w:rsidR="00A456ED">
          <w:rPr>
            <w:webHidden/>
          </w:rPr>
          <w:t>121</w:t>
        </w:r>
        <w:r w:rsidR="00BF35BC">
          <w:rPr>
            <w:webHidden/>
          </w:rPr>
          <w:fldChar w:fldCharType="end"/>
        </w:r>
      </w:hyperlink>
    </w:p>
    <w:p w14:paraId="02C94697" w14:textId="088FF64D" w:rsidR="00BF35BC" w:rsidRDefault="00B76E8C">
      <w:pPr>
        <w:pStyle w:val="TableofFigures"/>
        <w:rPr>
          <w:rFonts w:asciiTheme="minorHAnsi" w:hAnsiTheme="minorHAnsi" w:cstheme="minorBidi"/>
          <w:lang w:eastAsia="en-AU"/>
        </w:rPr>
      </w:pPr>
      <w:hyperlink w:anchor="_Toc453065387" w:history="1">
        <w:r w:rsidR="00BF35BC" w:rsidRPr="00B35470">
          <w:rPr>
            <w:rStyle w:val="Hyperlink"/>
          </w:rPr>
          <w:t>Table 51</w:t>
        </w:r>
        <w:r w:rsidR="00BF35BC">
          <w:rPr>
            <w:rFonts w:asciiTheme="minorHAnsi" w:hAnsiTheme="minorHAnsi" w:cstheme="minorBidi"/>
            <w:lang w:eastAsia="en-AU"/>
          </w:rPr>
          <w:tab/>
        </w:r>
        <w:r w:rsidR="00BF35BC" w:rsidRPr="00B35470">
          <w:rPr>
            <w:rStyle w:val="Hyperlink"/>
          </w:rPr>
          <w:t>Summary of utility values by disability levels in the literature</w:t>
        </w:r>
        <w:r w:rsidR="00BF35BC">
          <w:rPr>
            <w:webHidden/>
          </w:rPr>
          <w:tab/>
        </w:r>
        <w:r w:rsidR="00BF35BC">
          <w:rPr>
            <w:webHidden/>
          </w:rPr>
          <w:fldChar w:fldCharType="begin"/>
        </w:r>
        <w:r w:rsidR="00BF35BC">
          <w:rPr>
            <w:webHidden/>
          </w:rPr>
          <w:instrText xml:space="preserve"> PAGEREF _Toc453065387 \h </w:instrText>
        </w:r>
        <w:r w:rsidR="00BF35BC">
          <w:rPr>
            <w:webHidden/>
          </w:rPr>
        </w:r>
        <w:r w:rsidR="00BF35BC">
          <w:rPr>
            <w:webHidden/>
          </w:rPr>
          <w:fldChar w:fldCharType="separate"/>
        </w:r>
        <w:r w:rsidR="00A456ED">
          <w:rPr>
            <w:webHidden/>
          </w:rPr>
          <w:t>123</w:t>
        </w:r>
        <w:r w:rsidR="00BF35BC">
          <w:rPr>
            <w:webHidden/>
          </w:rPr>
          <w:fldChar w:fldCharType="end"/>
        </w:r>
      </w:hyperlink>
    </w:p>
    <w:p w14:paraId="7EA5BB22" w14:textId="1A609CC4" w:rsidR="00BF35BC" w:rsidRDefault="00B76E8C">
      <w:pPr>
        <w:pStyle w:val="TableofFigures"/>
        <w:rPr>
          <w:rFonts w:asciiTheme="minorHAnsi" w:hAnsiTheme="minorHAnsi" w:cstheme="minorBidi"/>
          <w:lang w:eastAsia="en-AU"/>
        </w:rPr>
      </w:pPr>
      <w:hyperlink w:anchor="_Toc453065388" w:history="1">
        <w:r w:rsidR="00BF35BC" w:rsidRPr="00B35470">
          <w:rPr>
            <w:rStyle w:val="Hyperlink"/>
          </w:rPr>
          <w:t>Table 52</w:t>
        </w:r>
        <w:r w:rsidR="00BF35BC">
          <w:rPr>
            <w:rFonts w:asciiTheme="minorHAnsi" w:hAnsiTheme="minorHAnsi" w:cstheme="minorBidi"/>
            <w:lang w:eastAsia="en-AU"/>
          </w:rPr>
          <w:tab/>
        </w:r>
        <w:r w:rsidR="00BF35BC" w:rsidRPr="00B35470">
          <w:rPr>
            <w:rStyle w:val="Hyperlink"/>
          </w:rPr>
          <w:t>Utility values considered in the published cost-effectiveness analyses of mechanical thrombectomy</w:t>
        </w:r>
        <w:r w:rsidR="00BF35BC">
          <w:rPr>
            <w:webHidden/>
          </w:rPr>
          <w:tab/>
        </w:r>
        <w:r w:rsidR="00BF35BC">
          <w:rPr>
            <w:webHidden/>
          </w:rPr>
          <w:fldChar w:fldCharType="begin"/>
        </w:r>
        <w:r w:rsidR="00BF35BC">
          <w:rPr>
            <w:webHidden/>
          </w:rPr>
          <w:instrText xml:space="preserve"> PAGEREF _Toc453065388 \h </w:instrText>
        </w:r>
        <w:r w:rsidR="00BF35BC">
          <w:rPr>
            <w:webHidden/>
          </w:rPr>
        </w:r>
        <w:r w:rsidR="00BF35BC">
          <w:rPr>
            <w:webHidden/>
          </w:rPr>
          <w:fldChar w:fldCharType="separate"/>
        </w:r>
        <w:r w:rsidR="00A456ED">
          <w:rPr>
            <w:webHidden/>
          </w:rPr>
          <w:t>126</w:t>
        </w:r>
        <w:r w:rsidR="00BF35BC">
          <w:rPr>
            <w:webHidden/>
          </w:rPr>
          <w:fldChar w:fldCharType="end"/>
        </w:r>
      </w:hyperlink>
    </w:p>
    <w:p w14:paraId="370914F8" w14:textId="28FBDE87" w:rsidR="00BF35BC" w:rsidRDefault="00B76E8C">
      <w:pPr>
        <w:pStyle w:val="TableofFigures"/>
        <w:rPr>
          <w:rFonts w:asciiTheme="minorHAnsi" w:hAnsiTheme="minorHAnsi" w:cstheme="minorBidi"/>
          <w:lang w:eastAsia="en-AU"/>
        </w:rPr>
      </w:pPr>
      <w:hyperlink w:anchor="_Toc453065389" w:history="1">
        <w:r w:rsidR="00BF35BC" w:rsidRPr="00B35470">
          <w:rPr>
            <w:rStyle w:val="Hyperlink"/>
          </w:rPr>
          <w:t>Table 53</w:t>
        </w:r>
        <w:r w:rsidR="00BF35BC">
          <w:rPr>
            <w:rFonts w:asciiTheme="minorHAnsi" w:hAnsiTheme="minorHAnsi" w:cstheme="minorBidi"/>
            <w:lang w:eastAsia="en-AU"/>
          </w:rPr>
          <w:tab/>
        </w:r>
        <w:r w:rsidR="00BF35BC" w:rsidRPr="00B35470">
          <w:rPr>
            <w:rStyle w:val="Hyperlink"/>
          </w:rPr>
          <w:t>Summary of utility inputs for the Section D cost-effectiveness model</w:t>
        </w:r>
        <w:r w:rsidR="00BF35BC">
          <w:rPr>
            <w:webHidden/>
          </w:rPr>
          <w:tab/>
        </w:r>
        <w:r w:rsidR="00BF35BC">
          <w:rPr>
            <w:webHidden/>
          </w:rPr>
          <w:fldChar w:fldCharType="begin"/>
        </w:r>
        <w:r w:rsidR="00BF35BC">
          <w:rPr>
            <w:webHidden/>
          </w:rPr>
          <w:instrText xml:space="preserve"> PAGEREF _Toc453065389 \h </w:instrText>
        </w:r>
        <w:r w:rsidR="00BF35BC">
          <w:rPr>
            <w:webHidden/>
          </w:rPr>
        </w:r>
        <w:r w:rsidR="00BF35BC">
          <w:rPr>
            <w:webHidden/>
          </w:rPr>
          <w:fldChar w:fldCharType="separate"/>
        </w:r>
        <w:r w:rsidR="00A456ED">
          <w:rPr>
            <w:webHidden/>
          </w:rPr>
          <w:t>127</w:t>
        </w:r>
        <w:r w:rsidR="00BF35BC">
          <w:rPr>
            <w:webHidden/>
          </w:rPr>
          <w:fldChar w:fldCharType="end"/>
        </w:r>
      </w:hyperlink>
    </w:p>
    <w:p w14:paraId="7276442F" w14:textId="1CE45A8D" w:rsidR="00BF35BC" w:rsidRDefault="00B76E8C">
      <w:pPr>
        <w:pStyle w:val="TableofFigures"/>
        <w:rPr>
          <w:rFonts w:asciiTheme="minorHAnsi" w:hAnsiTheme="minorHAnsi" w:cstheme="minorBidi"/>
          <w:lang w:eastAsia="en-AU"/>
        </w:rPr>
      </w:pPr>
      <w:hyperlink w:anchor="_Toc453065390" w:history="1">
        <w:r w:rsidR="00BF35BC" w:rsidRPr="00B35470">
          <w:rPr>
            <w:rStyle w:val="Hyperlink"/>
          </w:rPr>
          <w:t>Table 54</w:t>
        </w:r>
        <w:r w:rsidR="00BF35BC">
          <w:rPr>
            <w:rFonts w:asciiTheme="minorHAnsi" w:hAnsiTheme="minorHAnsi" w:cstheme="minorBidi"/>
            <w:lang w:eastAsia="en-AU"/>
          </w:rPr>
          <w:tab/>
        </w:r>
        <w:r w:rsidR="00BF35BC" w:rsidRPr="00B35470">
          <w:rPr>
            <w:rStyle w:val="Hyperlink"/>
            <w:lang w:eastAsia="ja-JP"/>
          </w:rPr>
          <w:t>Modelled healthcare resource items and sources of costing information</w:t>
        </w:r>
        <w:r w:rsidR="00BF35BC">
          <w:rPr>
            <w:webHidden/>
          </w:rPr>
          <w:tab/>
        </w:r>
        <w:r w:rsidR="00BF35BC">
          <w:rPr>
            <w:webHidden/>
          </w:rPr>
          <w:fldChar w:fldCharType="begin"/>
        </w:r>
        <w:r w:rsidR="00BF35BC">
          <w:rPr>
            <w:webHidden/>
          </w:rPr>
          <w:instrText xml:space="preserve"> PAGEREF _Toc453065390 \h </w:instrText>
        </w:r>
        <w:r w:rsidR="00BF35BC">
          <w:rPr>
            <w:webHidden/>
          </w:rPr>
        </w:r>
        <w:r w:rsidR="00BF35BC">
          <w:rPr>
            <w:webHidden/>
          </w:rPr>
          <w:fldChar w:fldCharType="separate"/>
        </w:r>
        <w:r w:rsidR="00A456ED">
          <w:rPr>
            <w:webHidden/>
          </w:rPr>
          <w:t>128</w:t>
        </w:r>
        <w:r w:rsidR="00BF35BC">
          <w:rPr>
            <w:webHidden/>
          </w:rPr>
          <w:fldChar w:fldCharType="end"/>
        </w:r>
      </w:hyperlink>
    </w:p>
    <w:p w14:paraId="3E22B3F6" w14:textId="687DE8FF" w:rsidR="00BF35BC" w:rsidRDefault="00B76E8C">
      <w:pPr>
        <w:pStyle w:val="TableofFigures"/>
        <w:rPr>
          <w:rFonts w:asciiTheme="minorHAnsi" w:hAnsiTheme="minorHAnsi" w:cstheme="minorBidi"/>
          <w:lang w:eastAsia="en-AU"/>
        </w:rPr>
      </w:pPr>
      <w:hyperlink w:anchor="_Toc453065391" w:history="1">
        <w:r w:rsidR="00BF35BC" w:rsidRPr="00B35470">
          <w:rPr>
            <w:rStyle w:val="Hyperlink"/>
          </w:rPr>
          <w:t>Table 55</w:t>
        </w:r>
        <w:r w:rsidR="00BF35BC">
          <w:rPr>
            <w:rFonts w:asciiTheme="minorHAnsi" w:hAnsiTheme="minorHAnsi" w:cstheme="minorBidi"/>
            <w:lang w:eastAsia="en-AU"/>
          </w:rPr>
          <w:tab/>
        </w:r>
        <w:r w:rsidR="00BF35BC" w:rsidRPr="00B35470">
          <w:rPr>
            <w:rStyle w:val="Hyperlink"/>
          </w:rPr>
          <w:t>Summary of adverse events</w:t>
        </w:r>
        <w:r w:rsidR="00BF35BC">
          <w:rPr>
            <w:webHidden/>
          </w:rPr>
          <w:tab/>
        </w:r>
        <w:r w:rsidR="00BF35BC">
          <w:rPr>
            <w:webHidden/>
          </w:rPr>
          <w:fldChar w:fldCharType="begin"/>
        </w:r>
        <w:r w:rsidR="00BF35BC">
          <w:rPr>
            <w:webHidden/>
          </w:rPr>
          <w:instrText xml:space="preserve"> PAGEREF _Toc453065391 \h </w:instrText>
        </w:r>
        <w:r w:rsidR="00BF35BC">
          <w:rPr>
            <w:webHidden/>
          </w:rPr>
        </w:r>
        <w:r w:rsidR="00BF35BC">
          <w:rPr>
            <w:webHidden/>
          </w:rPr>
          <w:fldChar w:fldCharType="separate"/>
        </w:r>
        <w:r w:rsidR="00A456ED">
          <w:rPr>
            <w:webHidden/>
          </w:rPr>
          <w:t>129</w:t>
        </w:r>
        <w:r w:rsidR="00BF35BC">
          <w:rPr>
            <w:webHidden/>
          </w:rPr>
          <w:fldChar w:fldCharType="end"/>
        </w:r>
      </w:hyperlink>
    </w:p>
    <w:p w14:paraId="545ECBFE" w14:textId="2D8D142D" w:rsidR="00BF35BC" w:rsidRDefault="00B76E8C">
      <w:pPr>
        <w:pStyle w:val="TableofFigures"/>
        <w:rPr>
          <w:rFonts w:asciiTheme="minorHAnsi" w:hAnsiTheme="minorHAnsi" w:cstheme="minorBidi"/>
          <w:lang w:eastAsia="en-AU"/>
        </w:rPr>
      </w:pPr>
      <w:hyperlink w:anchor="_Toc453065392" w:history="1">
        <w:r w:rsidR="00BF35BC" w:rsidRPr="00B35470">
          <w:rPr>
            <w:rStyle w:val="Hyperlink"/>
          </w:rPr>
          <w:t>Table 56</w:t>
        </w:r>
        <w:r w:rsidR="00BF35BC">
          <w:rPr>
            <w:rFonts w:asciiTheme="minorHAnsi" w:hAnsiTheme="minorHAnsi" w:cstheme="minorBidi"/>
            <w:lang w:eastAsia="en-AU"/>
          </w:rPr>
          <w:tab/>
        </w:r>
        <w:r w:rsidR="00BF35BC" w:rsidRPr="00B35470">
          <w:rPr>
            <w:rStyle w:val="Hyperlink"/>
          </w:rPr>
          <w:t>Publications considered in the current pre-modelling study</w:t>
        </w:r>
        <w:r w:rsidR="00BF35BC">
          <w:rPr>
            <w:webHidden/>
          </w:rPr>
          <w:tab/>
        </w:r>
        <w:r w:rsidR="00BF35BC">
          <w:rPr>
            <w:webHidden/>
          </w:rPr>
          <w:fldChar w:fldCharType="begin"/>
        </w:r>
        <w:r w:rsidR="00BF35BC">
          <w:rPr>
            <w:webHidden/>
          </w:rPr>
          <w:instrText xml:space="preserve"> PAGEREF _Toc453065392 \h </w:instrText>
        </w:r>
        <w:r w:rsidR="00BF35BC">
          <w:rPr>
            <w:webHidden/>
          </w:rPr>
        </w:r>
        <w:r w:rsidR="00BF35BC">
          <w:rPr>
            <w:webHidden/>
          </w:rPr>
          <w:fldChar w:fldCharType="separate"/>
        </w:r>
        <w:r w:rsidR="00A456ED">
          <w:rPr>
            <w:webHidden/>
          </w:rPr>
          <w:t>130</w:t>
        </w:r>
        <w:r w:rsidR="00BF35BC">
          <w:rPr>
            <w:webHidden/>
          </w:rPr>
          <w:fldChar w:fldCharType="end"/>
        </w:r>
      </w:hyperlink>
    </w:p>
    <w:p w14:paraId="53C4B121" w14:textId="2F3A06E8" w:rsidR="00BF35BC" w:rsidRDefault="00B76E8C">
      <w:pPr>
        <w:pStyle w:val="TableofFigures"/>
        <w:rPr>
          <w:rFonts w:asciiTheme="minorHAnsi" w:hAnsiTheme="minorHAnsi" w:cstheme="minorBidi"/>
          <w:lang w:eastAsia="en-AU"/>
        </w:rPr>
      </w:pPr>
      <w:hyperlink w:anchor="_Toc453065393" w:history="1">
        <w:r w:rsidR="00BF35BC" w:rsidRPr="00B35470">
          <w:rPr>
            <w:rStyle w:val="Hyperlink"/>
          </w:rPr>
          <w:t>Table 57</w:t>
        </w:r>
        <w:r w:rsidR="00BF35BC">
          <w:rPr>
            <w:rFonts w:asciiTheme="minorHAnsi" w:hAnsiTheme="minorHAnsi" w:cstheme="minorBidi"/>
            <w:lang w:eastAsia="en-AU"/>
          </w:rPr>
          <w:tab/>
        </w:r>
        <w:r w:rsidR="00BF35BC" w:rsidRPr="00B35470">
          <w:rPr>
            <w:rStyle w:val="Hyperlink"/>
          </w:rPr>
          <w:t>Resource items required to perform mechanical thrombectomy</w:t>
        </w:r>
        <w:r w:rsidR="00BF35BC">
          <w:rPr>
            <w:webHidden/>
          </w:rPr>
          <w:tab/>
        </w:r>
        <w:r w:rsidR="00BF35BC">
          <w:rPr>
            <w:webHidden/>
          </w:rPr>
          <w:fldChar w:fldCharType="begin"/>
        </w:r>
        <w:r w:rsidR="00BF35BC">
          <w:rPr>
            <w:webHidden/>
          </w:rPr>
          <w:instrText xml:space="preserve"> PAGEREF _Toc453065393 \h </w:instrText>
        </w:r>
        <w:r w:rsidR="00BF35BC">
          <w:rPr>
            <w:webHidden/>
          </w:rPr>
        </w:r>
        <w:r w:rsidR="00BF35BC">
          <w:rPr>
            <w:webHidden/>
          </w:rPr>
          <w:fldChar w:fldCharType="separate"/>
        </w:r>
        <w:r w:rsidR="00A456ED">
          <w:rPr>
            <w:webHidden/>
          </w:rPr>
          <w:t>133</w:t>
        </w:r>
        <w:r w:rsidR="00BF35BC">
          <w:rPr>
            <w:webHidden/>
          </w:rPr>
          <w:fldChar w:fldCharType="end"/>
        </w:r>
      </w:hyperlink>
    </w:p>
    <w:p w14:paraId="3BCC215F" w14:textId="7064633A" w:rsidR="00BF35BC" w:rsidRDefault="00B76E8C">
      <w:pPr>
        <w:pStyle w:val="TableofFigures"/>
        <w:rPr>
          <w:rFonts w:asciiTheme="minorHAnsi" w:hAnsiTheme="minorHAnsi" w:cstheme="minorBidi"/>
          <w:lang w:eastAsia="en-AU"/>
        </w:rPr>
      </w:pPr>
      <w:hyperlink w:anchor="_Toc453065394" w:history="1">
        <w:r w:rsidR="00BF35BC" w:rsidRPr="00B35470">
          <w:rPr>
            <w:rStyle w:val="Hyperlink"/>
          </w:rPr>
          <w:t>Table 58</w:t>
        </w:r>
        <w:r w:rsidR="00BF35BC">
          <w:rPr>
            <w:rFonts w:asciiTheme="minorHAnsi" w:hAnsiTheme="minorHAnsi" w:cstheme="minorBidi"/>
            <w:lang w:eastAsia="en-AU"/>
          </w:rPr>
          <w:tab/>
        </w:r>
        <w:r w:rsidR="00BF35BC" w:rsidRPr="00B35470">
          <w:rPr>
            <w:rStyle w:val="Hyperlink"/>
          </w:rPr>
          <w:t>Time from groin puncture to first perfusion / completion and the use of general anaesthesia in RCTs</w:t>
        </w:r>
        <w:r w:rsidR="00BF35BC">
          <w:rPr>
            <w:webHidden/>
          </w:rPr>
          <w:tab/>
        </w:r>
        <w:r w:rsidR="00BF35BC">
          <w:rPr>
            <w:webHidden/>
          </w:rPr>
          <w:fldChar w:fldCharType="begin"/>
        </w:r>
        <w:r w:rsidR="00BF35BC">
          <w:rPr>
            <w:webHidden/>
          </w:rPr>
          <w:instrText xml:space="preserve"> PAGEREF _Toc453065394 \h </w:instrText>
        </w:r>
        <w:r w:rsidR="00BF35BC">
          <w:rPr>
            <w:webHidden/>
          </w:rPr>
        </w:r>
        <w:r w:rsidR="00BF35BC">
          <w:rPr>
            <w:webHidden/>
          </w:rPr>
          <w:fldChar w:fldCharType="separate"/>
        </w:r>
        <w:r w:rsidR="00A456ED">
          <w:rPr>
            <w:webHidden/>
          </w:rPr>
          <w:t>136</w:t>
        </w:r>
        <w:r w:rsidR="00BF35BC">
          <w:rPr>
            <w:webHidden/>
          </w:rPr>
          <w:fldChar w:fldCharType="end"/>
        </w:r>
      </w:hyperlink>
    </w:p>
    <w:p w14:paraId="2128FFF2" w14:textId="6069F6BB" w:rsidR="00BF35BC" w:rsidRDefault="00B76E8C">
      <w:pPr>
        <w:pStyle w:val="TableofFigures"/>
        <w:rPr>
          <w:rFonts w:asciiTheme="minorHAnsi" w:hAnsiTheme="minorHAnsi" w:cstheme="minorBidi"/>
          <w:lang w:eastAsia="en-AU"/>
        </w:rPr>
      </w:pPr>
      <w:hyperlink w:anchor="_Toc453065395" w:history="1">
        <w:r w:rsidR="00BF35BC" w:rsidRPr="00B35470">
          <w:rPr>
            <w:rStyle w:val="Hyperlink"/>
          </w:rPr>
          <w:t>Table 59</w:t>
        </w:r>
        <w:r w:rsidR="00BF35BC">
          <w:rPr>
            <w:rFonts w:asciiTheme="minorHAnsi" w:hAnsiTheme="minorHAnsi" w:cstheme="minorBidi"/>
            <w:lang w:eastAsia="en-AU"/>
          </w:rPr>
          <w:tab/>
        </w:r>
        <w:r w:rsidR="00BF35BC" w:rsidRPr="00B35470">
          <w:rPr>
            <w:rStyle w:val="Hyperlink"/>
          </w:rPr>
          <w:t>Inpatient and out-of-hospital cost of ischaemic stroke by mRS (to 12 months)</w:t>
        </w:r>
        <w:r w:rsidR="00BF35BC">
          <w:rPr>
            <w:webHidden/>
          </w:rPr>
          <w:tab/>
        </w:r>
        <w:r w:rsidR="00BF35BC">
          <w:rPr>
            <w:webHidden/>
          </w:rPr>
          <w:fldChar w:fldCharType="begin"/>
        </w:r>
        <w:r w:rsidR="00BF35BC">
          <w:rPr>
            <w:webHidden/>
          </w:rPr>
          <w:instrText xml:space="preserve"> PAGEREF _Toc453065395 \h </w:instrText>
        </w:r>
        <w:r w:rsidR="00BF35BC">
          <w:rPr>
            <w:webHidden/>
          </w:rPr>
        </w:r>
        <w:r w:rsidR="00BF35BC">
          <w:rPr>
            <w:webHidden/>
          </w:rPr>
          <w:fldChar w:fldCharType="separate"/>
        </w:r>
        <w:r w:rsidR="00A456ED">
          <w:rPr>
            <w:webHidden/>
          </w:rPr>
          <w:t>138</w:t>
        </w:r>
        <w:r w:rsidR="00BF35BC">
          <w:rPr>
            <w:webHidden/>
          </w:rPr>
          <w:fldChar w:fldCharType="end"/>
        </w:r>
      </w:hyperlink>
    </w:p>
    <w:p w14:paraId="3CEFB6DD" w14:textId="041E2D63" w:rsidR="00BF35BC" w:rsidRDefault="00B76E8C">
      <w:pPr>
        <w:pStyle w:val="TableofFigures"/>
        <w:rPr>
          <w:rFonts w:asciiTheme="minorHAnsi" w:hAnsiTheme="minorHAnsi" w:cstheme="minorBidi"/>
          <w:lang w:eastAsia="en-AU"/>
        </w:rPr>
      </w:pPr>
      <w:hyperlink w:anchor="_Toc453065396" w:history="1">
        <w:r w:rsidR="00BF35BC" w:rsidRPr="00B35470">
          <w:rPr>
            <w:rStyle w:val="Hyperlink"/>
          </w:rPr>
          <w:t>Table 60</w:t>
        </w:r>
        <w:r w:rsidR="00BF35BC">
          <w:rPr>
            <w:rFonts w:asciiTheme="minorHAnsi" w:hAnsiTheme="minorHAnsi" w:cstheme="minorBidi"/>
            <w:lang w:eastAsia="en-AU"/>
          </w:rPr>
          <w:tab/>
        </w:r>
        <w:r w:rsidR="00BF35BC" w:rsidRPr="00B35470">
          <w:rPr>
            <w:rStyle w:val="Hyperlink"/>
          </w:rPr>
          <w:t>Treatment costs of ischaemic stroke by resource category – acute and out-of-hospital phase to 12 months, per patient average</w:t>
        </w:r>
        <w:r w:rsidR="00BF35BC">
          <w:rPr>
            <w:webHidden/>
          </w:rPr>
          <w:tab/>
        </w:r>
        <w:r w:rsidR="00BF35BC">
          <w:rPr>
            <w:webHidden/>
          </w:rPr>
          <w:fldChar w:fldCharType="begin"/>
        </w:r>
        <w:r w:rsidR="00BF35BC">
          <w:rPr>
            <w:webHidden/>
          </w:rPr>
          <w:instrText xml:space="preserve"> PAGEREF _Toc453065396 \h </w:instrText>
        </w:r>
        <w:r w:rsidR="00BF35BC">
          <w:rPr>
            <w:webHidden/>
          </w:rPr>
        </w:r>
        <w:r w:rsidR="00BF35BC">
          <w:rPr>
            <w:webHidden/>
          </w:rPr>
          <w:fldChar w:fldCharType="separate"/>
        </w:r>
        <w:r w:rsidR="00A456ED">
          <w:rPr>
            <w:webHidden/>
          </w:rPr>
          <w:t>139</w:t>
        </w:r>
        <w:r w:rsidR="00BF35BC">
          <w:rPr>
            <w:webHidden/>
          </w:rPr>
          <w:fldChar w:fldCharType="end"/>
        </w:r>
      </w:hyperlink>
    </w:p>
    <w:p w14:paraId="53470EDB" w14:textId="209B3802" w:rsidR="00BF35BC" w:rsidRDefault="00B76E8C">
      <w:pPr>
        <w:pStyle w:val="TableofFigures"/>
        <w:rPr>
          <w:rFonts w:asciiTheme="minorHAnsi" w:hAnsiTheme="minorHAnsi" w:cstheme="minorBidi"/>
          <w:lang w:eastAsia="en-AU"/>
        </w:rPr>
      </w:pPr>
      <w:hyperlink w:anchor="_Toc453065397" w:history="1">
        <w:r w:rsidR="00BF35BC" w:rsidRPr="00B35470">
          <w:rPr>
            <w:rStyle w:val="Hyperlink"/>
          </w:rPr>
          <w:t>Table 61</w:t>
        </w:r>
        <w:r w:rsidR="00BF35BC">
          <w:rPr>
            <w:rFonts w:asciiTheme="minorHAnsi" w:hAnsiTheme="minorHAnsi" w:cstheme="minorBidi"/>
            <w:lang w:eastAsia="en-AU"/>
          </w:rPr>
          <w:tab/>
        </w:r>
        <w:r w:rsidR="00BF35BC" w:rsidRPr="00B35470">
          <w:rPr>
            <w:rStyle w:val="Hyperlink"/>
          </w:rPr>
          <w:t>Cost comparison of mechanical thrombectomy vs usual care, based on EXTEND-IA</w:t>
        </w:r>
        <w:r w:rsidR="00BF35BC">
          <w:rPr>
            <w:webHidden/>
          </w:rPr>
          <w:tab/>
        </w:r>
        <w:r w:rsidR="00BF35BC">
          <w:rPr>
            <w:webHidden/>
          </w:rPr>
          <w:fldChar w:fldCharType="begin"/>
        </w:r>
        <w:r w:rsidR="00BF35BC">
          <w:rPr>
            <w:webHidden/>
          </w:rPr>
          <w:instrText xml:space="preserve"> PAGEREF _Toc453065397 \h </w:instrText>
        </w:r>
        <w:r w:rsidR="00BF35BC">
          <w:rPr>
            <w:webHidden/>
          </w:rPr>
        </w:r>
        <w:r w:rsidR="00BF35BC">
          <w:rPr>
            <w:webHidden/>
          </w:rPr>
          <w:fldChar w:fldCharType="separate"/>
        </w:r>
        <w:r w:rsidR="00A456ED">
          <w:rPr>
            <w:webHidden/>
          </w:rPr>
          <w:t>140</w:t>
        </w:r>
        <w:r w:rsidR="00BF35BC">
          <w:rPr>
            <w:webHidden/>
          </w:rPr>
          <w:fldChar w:fldCharType="end"/>
        </w:r>
      </w:hyperlink>
    </w:p>
    <w:p w14:paraId="6811C7D7" w14:textId="5B3A8410" w:rsidR="00BF35BC" w:rsidRDefault="00B76E8C">
      <w:pPr>
        <w:pStyle w:val="TableofFigures"/>
        <w:rPr>
          <w:rFonts w:asciiTheme="minorHAnsi" w:hAnsiTheme="minorHAnsi" w:cstheme="minorBidi"/>
          <w:lang w:eastAsia="en-AU"/>
        </w:rPr>
      </w:pPr>
      <w:hyperlink w:anchor="_Toc453065398" w:history="1">
        <w:r w:rsidR="00BF35BC" w:rsidRPr="00B35470">
          <w:rPr>
            <w:rStyle w:val="Hyperlink"/>
          </w:rPr>
          <w:t>Table 62</w:t>
        </w:r>
        <w:r w:rsidR="00BF35BC">
          <w:rPr>
            <w:rFonts w:asciiTheme="minorHAnsi" w:hAnsiTheme="minorHAnsi" w:cstheme="minorBidi"/>
            <w:lang w:eastAsia="en-AU"/>
          </w:rPr>
          <w:tab/>
        </w:r>
        <w:r w:rsidR="00BF35BC" w:rsidRPr="00B35470">
          <w:rPr>
            <w:rStyle w:val="Hyperlink"/>
          </w:rPr>
          <w:t>Long-term stroke costs by resource category, ischaemic stroke (per patient costs)</w:t>
        </w:r>
        <w:r w:rsidR="00BF35BC">
          <w:rPr>
            <w:webHidden/>
          </w:rPr>
          <w:tab/>
        </w:r>
        <w:r w:rsidR="00BF35BC">
          <w:rPr>
            <w:webHidden/>
          </w:rPr>
          <w:fldChar w:fldCharType="begin"/>
        </w:r>
        <w:r w:rsidR="00BF35BC">
          <w:rPr>
            <w:webHidden/>
          </w:rPr>
          <w:instrText xml:space="preserve"> PAGEREF _Toc453065398 \h </w:instrText>
        </w:r>
        <w:r w:rsidR="00BF35BC">
          <w:rPr>
            <w:webHidden/>
          </w:rPr>
        </w:r>
        <w:r w:rsidR="00BF35BC">
          <w:rPr>
            <w:webHidden/>
          </w:rPr>
          <w:fldChar w:fldCharType="separate"/>
        </w:r>
        <w:r w:rsidR="00A456ED">
          <w:rPr>
            <w:webHidden/>
          </w:rPr>
          <w:t>141</w:t>
        </w:r>
        <w:r w:rsidR="00BF35BC">
          <w:rPr>
            <w:webHidden/>
          </w:rPr>
          <w:fldChar w:fldCharType="end"/>
        </w:r>
      </w:hyperlink>
    </w:p>
    <w:p w14:paraId="0D2C6C9C" w14:textId="077FF087" w:rsidR="00BF35BC" w:rsidRDefault="00B76E8C">
      <w:pPr>
        <w:pStyle w:val="TableofFigures"/>
        <w:rPr>
          <w:rFonts w:asciiTheme="minorHAnsi" w:hAnsiTheme="minorHAnsi" w:cstheme="minorBidi"/>
          <w:lang w:eastAsia="en-AU"/>
        </w:rPr>
      </w:pPr>
      <w:hyperlink w:anchor="_Toc453065399" w:history="1">
        <w:r w:rsidR="00BF35BC" w:rsidRPr="00B35470">
          <w:rPr>
            <w:rStyle w:val="Hyperlink"/>
          </w:rPr>
          <w:t>Table 63</w:t>
        </w:r>
        <w:r w:rsidR="00BF35BC">
          <w:rPr>
            <w:rFonts w:asciiTheme="minorHAnsi" w:hAnsiTheme="minorHAnsi" w:cstheme="minorBidi"/>
            <w:lang w:eastAsia="en-AU"/>
          </w:rPr>
          <w:tab/>
        </w:r>
        <w:r w:rsidR="00BF35BC" w:rsidRPr="00B35470">
          <w:rPr>
            <w:rStyle w:val="Hyperlink"/>
          </w:rPr>
          <w:t>Acute to mid-/long-term stroke care costs in Baeten et al 2010 (€ in 2003 prices)</w:t>
        </w:r>
        <w:r w:rsidR="00BF35BC">
          <w:rPr>
            <w:webHidden/>
          </w:rPr>
          <w:tab/>
        </w:r>
        <w:r w:rsidR="00BF35BC">
          <w:rPr>
            <w:webHidden/>
          </w:rPr>
          <w:fldChar w:fldCharType="begin"/>
        </w:r>
        <w:r w:rsidR="00BF35BC">
          <w:rPr>
            <w:webHidden/>
          </w:rPr>
          <w:instrText xml:space="preserve"> PAGEREF _Toc453065399 \h </w:instrText>
        </w:r>
        <w:r w:rsidR="00BF35BC">
          <w:rPr>
            <w:webHidden/>
          </w:rPr>
        </w:r>
        <w:r w:rsidR="00BF35BC">
          <w:rPr>
            <w:webHidden/>
          </w:rPr>
          <w:fldChar w:fldCharType="separate"/>
        </w:r>
        <w:r w:rsidR="00A456ED">
          <w:rPr>
            <w:webHidden/>
          </w:rPr>
          <w:t>142</w:t>
        </w:r>
        <w:r w:rsidR="00BF35BC">
          <w:rPr>
            <w:webHidden/>
          </w:rPr>
          <w:fldChar w:fldCharType="end"/>
        </w:r>
      </w:hyperlink>
    </w:p>
    <w:p w14:paraId="7C4F468E" w14:textId="41A41F43" w:rsidR="00BF35BC" w:rsidRDefault="00B76E8C">
      <w:pPr>
        <w:pStyle w:val="TableofFigures"/>
        <w:rPr>
          <w:rFonts w:asciiTheme="minorHAnsi" w:hAnsiTheme="minorHAnsi" w:cstheme="minorBidi"/>
          <w:lang w:eastAsia="en-AU"/>
        </w:rPr>
      </w:pPr>
      <w:hyperlink w:anchor="_Toc453065400" w:history="1">
        <w:r w:rsidR="00BF35BC" w:rsidRPr="00B35470">
          <w:rPr>
            <w:rStyle w:val="Hyperlink"/>
          </w:rPr>
          <w:t>Table 64</w:t>
        </w:r>
        <w:r w:rsidR="00BF35BC">
          <w:rPr>
            <w:rFonts w:asciiTheme="minorHAnsi" w:hAnsiTheme="minorHAnsi" w:cstheme="minorBidi"/>
            <w:lang w:eastAsia="en-AU"/>
          </w:rPr>
          <w:tab/>
        </w:r>
        <w:r w:rsidR="00BF35BC" w:rsidRPr="00B35470">
          <w:rPr>
            <w:rStyle w:val="Hyperlink"/>
          </w:rPr>
          <w:t>Long-term stroke care cost inputs in published cost-effectiveness models</w:t>
        </w:r>
        <w:r w:rsidR="00BF35BC">
          <w:rPr>
            <w:webHidden/>
          </w:rPr>
          <w:tab/>
        </w:r>
        <w:r w:rsidR="00BF35BC">
          <w:rPr>
            <w:webHidden/>
          </w:rPr>
          <w:fldChar w:fldCharType="begin"/>
        </w:r>
        <w:r w:rsidR="00BF35BC">
          <w:rPr>
            <w:webHidden/>
          </w:rPr>
          <w:instrText xml:space="preserve"> PAGEREF _Toc453065400 \h </w:instrText>
        </w:r>
        <w:r w:rsidR="00BF35BC">
          <w:rPr>
            <w:webHidden/>
          </w:rPr>
        </w:r>
        <w:r w:rsidR="00BF35BC">
          <w:rPr>
            <w:webHidden/>
          </w:rPr>
          <w:fldChar w:fldCharType="separate"/>
        </w:r>
        <w:r w:rsidR="00A456ED">
          <w:rPr>
            <w:webHidden/>
          </w:rPr>
          <w:t>143</w:t>
        </w:r>
        <w:r w:rsidR="00BF35BC">
          <w:rPr>
            <w:webHidden/>
          </w:rPr>
          <w:fldChar w:fldCharType="end"/>
        </w:r>
      </w:hyperlink>
    </w:p>
    <w:p w14:paraId="0852A409" w14:textId="304C06BE" w:rsidR="00BF35BC" w:rsidRDefault="00B76E8C">
      <w:pPr>
        <w:pStyle w:val="TableofFigures"/>
        <w:rPr>
          <w:rFonts w:asciiTheme="minorHAnsi" w:hAnsiTheme="minorHAnsi" w:cstheme="minorBidi"/>
          <w:lang w:eastAsia="en-AU"/>
        </w:rPr>
      </w:pPr>
      <w:hyperlink w:anchor="_Toc453065401" w:history="1">
        <w:r w:rsidR="00BF35BC" w:rsidRPr="00B35470">
          <w:rPr>
            <w:rStyle w:val="Hyperlink"/>
          </w:rPr>
          <w:t>Table 65</w:t>
        </w:r>
        <w:r w:rsidR="00BF35BC">
          <w:rPr>
            <w:rFonts w:asciiTheme="minorHAnsi" w:hAnsiTheme="minorHAnsi" w:cstheme="minorBidi"/>
            <w:lang w:eastAsia="en-AU"/>
          </w:rPr>
          <w:tab/>
        </w:r>
        <w:r w:rsidR="00BF35BC" w:rsidRPr="00B35470">
          <w:rPr>
            <w:rStyle w:val="Hyperlink"/>
          </w:rPr>
          <w:t>Summary of cost inputs for the Section D cost-effectiveness model</w:t>
        </w:r>
        <w:r w:rsidR="00BF35BC">
          <w:rPr>
            <w:webHidden/>
          </w:rPr>
          <w:tab/>
        </w:r>
        <w:r w:rsidR="00BF35BC">
          <w:rPr>
            <w:webHidden/>
          </w:rPr>
          <w:fldChar w:fldCharType="begin"/>
        </w:r>
        <w:r w:rsidR="00BF35BC">
          <w:rPr>
            <w:webHidden/>
          </w:rPr>
          <w:instrText xml:space="preserve"> PAGEREF _Toc453065401 \h </w:instrText>
        </w:r>
        <w:r w:rsidR="00BF35BC">
          <w:rPr>
            <w:webHidden/>
          </w:rPr>
        </w:r>
        <w:r w:rsidR="00BF35BC">
          <w:rPr>
            <w:webHidden/>
          </w:rPr>
          <w:fldChar w:fldCharType="separate"/>
        </w:r>
        <w:r w:rsidR="00A456ED">
          <w:rPr>
            <w:webHidden/>
          </w:rPr>
          <w:t>144</w:t>
        </w:r>
        <w:r w:rsidR="00BF35BC">
          <w:rPr>
            <w:webHidden/>
          </w:rPr>
          <w:fldChar w:fldCharType="end"/>
        </w:r>
      </w:hyperlink>
    </w:p>
    <w:p w14:paraId="656B96DA" w14:textId="20AC7945" w:rsidR="00BF35BC" w:rsidRDefault="00B76E8C">
      <w:pPr>
        <w:pStyle w:val="TableofFigures"/>
        <w:rPr>
          <w:rFonts w:asciiTheme="minorHAnsi" w:hAnsiTheme="minorHAnsi" w:cstheme="minorBidi"/>
          <w:lang w:eastAsia="en-AU"/>
        </w:rPr>
      </w:pPr>
      <w:hyperlink w:anchor="_Toc453065402" w:history="1">
        <w:r w:rsidR="00BF35BC" w:rsidRPr="00B35470">
          <w:rPr>
            <w:rStyle w:val="Hyperlink"/>
          </w:rPr>
          <w:t>Table 66</w:t>
        </w:r>
        <w:r w:rsidR="00BF35BC">
          <w:rPr>
            <w:rFonts w:asciiTheme="minorHAnsi" w:hAnsiTheme="minorHAnsi" w:cstheme="minorBidi"/>
            <w:lang w:eastAsia="en-AU"/>
          </w:rPr>
          <w:tab/>
        </w:r>
        <w:r w:rsidR="00BF35BC" w:rsidRPr="00B35470">
          <w:rPr>
            <w:rStyle w:val="Hyperlink"/>
          </w:rPr>
          <w:t>Publications reporting risk of recurrent stroke; included for further consideration in the current pre-modelling study</w:t>
        </w:r>
        <w:r w:rsidR="00BF35BC">
          <w:rPr>
            <w:webHidden/>
          </w:rPr>
          <w:tab/>
        </w:r>
        <w:r w:rsidR="00BF35BC">
          <w:rPr>
            <w:webHidden/>
          </w:rPr>
          <w:fldChar w:fldCharType="begin"/>
        </w:r>
        <w:r w:rsidR="00BF35BC">
          <w:rPr>
            <w:webHidden/>
          </w:rPr>
          <w:instrText xml:space="preserve"> PAGEREF _Toc453065402 \h </w:instrText>
        </w:r>
        <w:r w:rsidR="00BF35BC">
          <w:rPr>
            <w:webHidden/>
          </w:rPr>
        </w:r>
        <w:r w:rsidR="00BF35BC">
          <w:rPr>
            <w:webHidden/>
          </w:rPr>
          <w:fldChar w:fldCharType="separate"/>
        </w:r>
        <w:r w:rsidR="00A456ED">
          <w:rPr>
            <w:webHidden/>
          </w:rPr>
          <w:t>146</w:t>
        </w:r>
        <w:r w:rsidR="00BF35BC">
          <w:rPr>
            <w:webHidden/>
          </w:rPr>
          <w:fldChar w:fldCharType="end"/>
        </w:r>
      </w:hyperlink>
    </w:p>
    <w:p w14:paraId="6B872221" w14:textId="25E99910" w:rsidR="00BF35BC" w:rsidRDefault="00B76E8C">
      <w:pPr>
        <w:pStyle w:val="TableofFigures"/>
        <w:rPr>
          <w:rFonts w:asciiTheme="minorHAnsi" w:hAnsiTheme="minorHAnsi" w:cstheme="minorBidi"/>
          <w:lang w:eastAsia="en-AU"/>
        </w:rPr>
      </w:pPr>
      <w:hyperlink w:anchor="_Toc453065403" w:history="1">
        <w:r w:rsidR="00BF35BC" w:rsidRPr="00B35470">
          <w:rPr>
            <w:rStyle w:val="Hyperlink"/>
          </w:rPr>
          <w:t>Table 67</w:t>
        </w:r>
        <w:r w:rsidR="00BF35BC">
          <w:rPr>
            <w:rFonts w:asciiTheme="minorHAnsi" w:hAnsiTheme="minorHAnsi" w:cstheme="minorBidi"/>
            <w:lang w:eastAsia="en-AU"/>
          </w:rPr>
          <w:tab/>
        </w:r>
        <w:r w:rsidR="00BF35BC" w:rsidRPr="00B35470">
          <w:rPr>
            <w:rStyle w:val="Hyperlink"/>
          </w:rPr>
          <w:t>Cumulative risk of stroke recurrence by study</w:t>
        </w:r>
        <w:r w:rsidR="00BF35BC">
          <w:rPr>
            <w:webHidden/>
          </w:rPr>
          <w:tab/>
        </w:r>
        <w:r w:rsidR="00BF35BC">
          <w:rPr>
            <w:webHidden/>
          </w:rPr>
          <w:fldChar w:fldCharType="begin"/>
        </w:r>
        <w:r w:rsidR="00BF35BC">
          <w:rPr>
            <w:webHidden/>
          </w:rPr>
          <w:instrText xml:space="preserve"> PAGEREF _Toc453065403 \h </w:instrText>
        </w:r>
        <w:r w:rsidR="00BF35BC">
          <w:rPr>
            <w:webHidden/>
          </w:rPr>
        </w:r>
        <w:r w:rsidR="00BF35BC">
          <w:rPr>
            <w:webHidden/>
          </w:rPr>
          <w:fldChar w:fldCharType="separate"/>
        </w:r>
        <w:r w:rsidR="00A456ED">
          <w:rPr>
            <w:webHidden/>
          </w:rPr>
          <w:t>146</w:t>
        </w:r>
        <w:r w:rsidR="00BF35BC">
          <w:rPr>
            <w:webHidden/>
          </w:rPr>
          <w:fldChar w:fldCharType="end"/>
        </w:r>
      </w:hyperlink>
    </w:p>
    <w:p w14:paraId="3A352C46" w14:textId="0ED05CBF" w:rsidR="00BF35BC" w:rsidRDefault="00B76E8C">
      <w:pPr>
        <w:pStyle w:val="TableofFigures"/>
        <w:rPr>
          <w:rFonts w:asciiTheme="minorHAnsi" w:hAnsiTheme="minorHAnsi" w:cstheme="minorBidi"/>
          <w:lang w:eastAsia="en-AU"/>
        </w:rPr>
      </w:pPr>
      <w:hyperlink w:anchor="_Toc453065404" w:history="1">
        <w:r w:rsidR="00BF35BC" w:rsidRPr="00B35470">
          <w:rPr>
            <w:rStyle w:val="Hyperlink"/>
          </w:rPr>
          <w:t>Table 68</w:t>
        </w:r>
        <w:r w:rsidR="00BF35BC">
          <w:rPr>
            <w:rFonts w:asciiTheme="minorHAnsi" w:hAnsiTheme="minorHAnsi" w:cstheme="minorBidi"/>
            <w:lang w:eastAsia="en-AU"/>
          </w:rPr>
          <w:tab/>
        </w:r>
        <w:r w:rsidR="00BF35BC" w:rsidRPr="00B35470">
          <w:rPr>
            <w:rStyle w:val="Hyperlink"/>
          </w:rPr>
          <w:t>Ten-year cumulative risk of recurrent stroke according to pathological subtype of initial stroke; ischaemic strokes only as the index event</w:t>
        </w:r>
        <w:r w:rsidR="00BF35BC">
          <w:rPr>
            <w:webHidden/>
          </w:rPr>
          <w:tab/>
        </w:r>
        <w:r w:rsidR="00BF35BC">
          <w:rPr>
            <w:webHidden/>
          </w:rPr>
          <w:fldChar w:fldCharType="begin"/>
        </w:r>
        <w:r w:rsidR="00BF35BC">
          <w:rPr>
            <w:webHidden/>
          </w:rPr>
          <w:instrText xml:space="preserve"> PAGEREF _Toc453065404 \h </w:instrText>
        </w:r>
        <w:r w:rsidR="00BF35BC">
          <w:rPr>
            <w:webHidden/>
          </w:rPr>
        </w:r>
        <w:r w:rsidR="00BF35BC">
          <w:rPr>
            <w:webHidden/>
          </w:rPr>
          <w:fldChar w:fldCharType="separate"/>
        </w:r>
        <w:r w:rsidR="00A456ED">
          <w:rPr>
            <w:webHidden/>
          </w:rPr>
          <w:t>147</w:t>
        </w:r>
        <w:r w:rsidR="00BF35BC">
          <w:rPr>
            <w:webHidden/>
          </w:rPr>
          <w:fldChar w:fldCharType="end"/>
        </w:r>
      </w:hyperlink>
    </w:p>
    <w:p w14:paraId="24F03CA4" w14:textId="37A9D5E3" w:rsidR="00BF35BC" w:rsidRDefault="00B76E8C">
      <w:pPr>
        <w:pStyle w:val="TableofFigures"/>
        <w:rPr>
          <w:rFonts w:asciiTheme="minorHAnsi" w:hAnsiTheme="minorHAnsi" w:cstheme="minorBidi"/>
          <w:lang w:eastAsia="en-AU"/>
        </w:rPr>
      </w:pPr>
      <w:hyperlink w:anchor="_Toc453065405" w:history="1">
        <w:r w:rsidR="00BF35BC" w:rsidRPr="00B35470">
          <w:rPr>
            <w:rStyle w:val="Hyperlink"/>
          </w:rPr>
          <w:t>Table 69</w:t>
        </w:r>
        <w:r w:rsidR="00BF35BC">
          <w:rPr>
            <w:rFonts w:asciiTheme="minorHAnsi" w:hAnsiTheme="minorHAnsi" w:cstheme="minorBidi"/>
            <w:lang w:eastAsia="en-AU"/>
          </w:rPr>
          <w:tab/>
        </w:r>
        <w:r w:rsidR="00BF35BC" w:rsidRPr="00B35470">
          <w:rPr>
            <w:rStyle w:val="Hyperlink"/>
          </w:rPr>
          <w:t>Publications reporting post-stroke functional status and long-term survival</w:t>
        </w:r>
        <w:r w:rsidR="00BF35BC">
          <w:rPr>
            <w:webHidden/>
          </w:rPr>
          <w:tab/>
        </w:r>
        <w:r w:rsidR="00BF35BC">
          <w:rPr>
            <w:webHidden/>
          </w:rPr>
          <w:fldChar w:fldCharType="begin"/>
        </w:r>
        <w:r w:rsidR="00BF35BC">
          <w:rPr>
            <w:webHidden/>
          </w:rPr>
          <w:instrText xml:space="preserve"> PAGEREF _Toc453065405 \h </w:instrText>
        </w:r>
        <w:r w:rsidR="00BF35BC">
          <w:rPr>
            <w:webHidden/>
          </w:rPr>
        </w:r>
        <w:r w:rsidR="00BF35BC">
          <w:rPr>
            <w:webHidden/>
          </w:rPr>
          <w:fldChar w:fldCharType="separate"/>
        </w:r>
        <w:r w:rsidR="00A456ED">
          <w:rPr>
            <w:webHidden/>
          </w:rPr>
          <w:t>150</w:t>
        </w:r>
        <w:r w:rsidR="00BF35BC">
          <w:rPr>
            <w:webHidden/>
          </w:rPr>
          <w:fldChar w:fldCharType="end"/>
        </w:r>
      </w:hyperlink>
    </w:p>
    <w:p w14:paraId="2F5336CC" w14:textId="6DEC5033" w:rsidR="00BF35BC" w:rsidRDefault="00B76E8C">
      <w:pPr>
        <w:pStyle w:val="TableofFigures"/>
        <w:rPr>
          <w:rFonts w:asciiTheme="minorHAnsi" w:hAnsiTheme="minorHAnsi" w:cstheme="minorBidi"/>
          <w:lang w:eastAsia="en-AU"/>
        </w:rPr>
      </w:pPr>
      <w:hyperlink w:anchor="_Toc453065406" w:history="1">
        <w:r w:rsidR="00BF35BC" w:rsidRPr="00B35470">
          <w:rPr>
            <w:rStyle w:val="Hyperlink"/>
          </w:rPr>
          <w:t>Table 70</w:t>
        </w:r>
        <w:r w:rsidR="00BF35BC">
          <w:rPr>
            <w:rFonts w:asciiTheme="minorHAnsi" w:hAnsiTheme="minorHAnsi" w:cstheme="minorBidi"/>
            <w:lang w:eastAsia="en-AU"/>
          </w:rPr>
          <w:tab/>
        </w:r>
        <w:r w:rsidR="00BF35BC" w:rsidRPr="00B35470">
          <w:rPr>
            <w:rStyle w:val="Hyperlink"/>
          </w:rPr>
          <w:t>Results of studies reporting post-stroke functional status and long-term survival</w:t>
        </w:r>
        <w:r w:rsidR="00BF35BC">
          <w:rPr>
            <w:webHidden/>
          </w:rPr>
          <w:tab/>
        </w:r>
        <w:r w:rsidR="00BF35BC">
          <w:rPr>
            <w:webHidden/>
          </w:rPr>
          <w:fldChar w:fldCharType="begin"/>
        </w:r>
        <w:r w:rsidR="00BF35BC">
          <w:rPr>
            <w:webHidden/>
          </w:rPr>
          <w:instrText xml:space="preserve"> PAGEREF _Toc453065406 \h </w:instrText>
        </w:r>
        <w:r w:rsidR="00BF35BC">
          <w:rPr>
            <w:webHidden/>
          </w:rPr>
        </w:r>
        <w:r w:rsidR="00BF35BC">
          <w:rPr>
            <w:webHidden/>
          </w:rPr>
          <w:fldChar w:fldCharType="separate"/>
        </w:r>
        <w:r w:rsidR="00A456ED">
          <w:rPr>
            <w:webHidden/>
          </w:rPr>
          <w:t>151</w:t>
        </w:r>
        <w:r w:rsidR="00BF35BC">
          <w:rPr>
            <w:webHidden/>
          </w:rPr>
          <w:fldChar w:fldCharType="end"/>
        </w:r>
      </w:hyperlink>
    </w:p>
    <w:p w14:paraId="2669F412" w14:textId="76D7C479" w:rsidR="00BF35BC" w:rsidRDefault="00B76E8C">
      <w:pPr>
        <w:pStyle w:val="TableofFigures"/>
        <w:rPr>
          <w:rFonts w:asciiTheme="minorHAnsi" w:hAnsiTheme="minorHAnsi" w:cstheme="minorBidi"/>
          <w:lang w:eastAsia="en-AU"/>
        </w:rPr>
      </w:pPr>
      <w:hyperlink w:anchor="_Toc453065407" w:history="1">
        <w:r w:rsidR="00BF35BC" w:rsidRPr="00B35470">
          <w:rPr>
            <w:rStyle w:val="Hyperlink"/>
          </w:rPr>
          <w:t>Table 71</w:t>
        </w:r>
        <w:r w:rsidR="00BF35BC">
          <w:rPr>
            <w:rFonts w:asciiTheme="minorHAnsi" w:hAnsiTheme="minorHAnsi" w:cstheme="minorBidi"/>
            <w:lang w:eastAsia="en-AU"/>
          </w:rPr>
          <w:tab/>
        </w:r>
        <w:r w:rsidR="00BF35BC" w:rsidRPr="00B35470">
          <w:rPr>
            <w:rStyle w:val="Hyperlink"/>
          </w:rPr>
          <w:t>Expected distribution across mRS health states at Day 90 – the base case Section D model assumption</w:t>
        </w:r>
        <w:r w:rsidR="00BF35BC">
          <w:rPr>
            <w:webHidden/>
          </w:rPr>
          <w:tab/>
        </w:r>
        <w:r w:rsidR="00BF35BC">
          <w:rPr>
            <w:webHidden/>
          </w:rPr>
          <w:fldChar w:fldCharType="begin"/>
        </w:r>
        <w:r w:rsidR="00BF35BC">
          <w:rPr>
            <w:webHidden/>
          </w:rPr>
          <w:instrText xml:space="preserve"> PAGEREF _Toc453065407 \h </w:instrText>
        </w:r>
        <w:r w:rsidR="00BF35BC">
          <w:rPr>
            <w:webHidden/>
          </w:rPr>
        </w:r>
        <w:r w:rsidR="00BF35BC">
          <w:rPr>
            <w:webHidden/>
          </w:rPr>
          <w:fldChar w:fldCharType="separate"/>
        </w:r>
        <w:r w:rsidR="00A456ED">
          <w:rPr>
            <w:webHidden/>
          </w:rPr>
          <w:t>155</w:t>
        </w:r>
        <w:r w:rsidR="00BF35BC">
          <w:rPr>
            <w:webHidden/>
          </w:rPr>
          <w:fldChar w:fldCharType="end"/>
        </w:r>
      </w:hyperlink>
    </w:p>
    <w:p w14:paraId="49C526B6" w14:textId="6885F781" w:rsidR="00BF35BC" w:rsidRDefault="00B76E8C">
      <w:pPr>
        <w:pStyle w:val="TableofFigures"/>
        <w:rPr>
          <w:rFonts w:asciiTheme="minorHAnsi" w:hAnsiTheme="minorHAnsi" w:cstheme="minorBidi"/>
          <w:lang w:eastAsia="en-AU"/>
        </w:rPr>
      </w:pPr>
      <w:hyperlink w:anchor="_Toc453065408" w:history="1">
        <w:r w:rsidR="00BF35BC" w:rsidRPr="00B35470">
          <w:rPr>
            <w:rStyle w:val="Hyperlink"/>
          </w:rPr>
          <w:t>Table 72</w:t>
        </w:r>
        <w:r w:rsidR="00BF35BC">
          <w:rPr>
            <w:rFonts w:asciiTheme="minorHAnsi" w:hAnsiTheme="minorHAnsi" w:cstheme="minorBidi"/>
            <w:lang w:eastAsia="en-AU"/>
          </w:rPr>
          <w:tab/>
        </w:r>
        <w:r w:rsidR="00BF35BC" w:rsidRPr="00B35470">
          <w:rPr>
            <w:rStyle w:val="Hyperlink"/>
          </w:rPr>
          <w:t>Transition matrix depicting mRS changes from Day 90 to 3 years as reported by Gensicke 2013 – the base case Section D model assumption</w:t>
        </w:r>
        <w:r w:rsidR="00BF35BC">
          <w:rPr>
            <w:webHidden/>
          </w:rPr>
          <w:tab/>
        </w:r>
        <w:r w:rsidR="00BF35BC">
          <w:rPr>
            <w:webHidden/>
          </w:rPr>
          <w:fldChar w:fldCharType="begin"/>
        </w:r>
        <w:r w:rsidR="00BF35BC">
          <w:rPr>
            <w:webHidden/>
          </w:rPr>
          <w:instrText xml:space="preserve"> PAGEREF _Toc453065408 \h </w:instrText>
        </w:r>
        <w:r w:rsidR="00BF35BC">
          <w:rPr>
            <w:webHidden/>
          </w:rPr>
        </w:r>
        <w:r w:rsidR="00BF35BC">
          <w:rPr>
            <w:webHidden/>
          </w:rPr>
          <w:fldChar w:fldCharType="separate"/>
        </w:r>
        <w:r w:rsidR="00A456ED">
          <w:rPr>
            <w:webHidden/>
          </w:rPr>
          <w:t>155</w:t>
        </w:r>
        <w:r w:rsidR="00BF35BC">
          <w:rPr>
            <w:webHidden/>
          </w:rPr>
          <w:fldChar w:fldCharType="end"/>
        </w:r>
      </w:hyperlink>
    </w:p>
    <w:p w14:paraId="2B6AFB98" w14:textId="7FA37FA2" w:rsidR="00BF35BC" w:rsidRDefault="00B76E8C">
      <w:pPr>
        <w:pStyle w:val="TableofFigures"/>
        <w:rPr>
          <w:rFonts w:asciiTheme="minorHAnsi" w:hAnsiTheme="minorHAnsi" w:cstheme="minorBidi"/>
          <w:lang w:eastAsia="en-AU"/>
        </w:rPr>
      </w:pPr>
      <w:hyperlink w:anchor="_Toc453065409" w:history="1">
        <w:r w:rsidR="00BF35BC" w:rsidRPr="00B35470">
          <w:rPr>
            <w:rStyle w:val="Hyperlink"/>
          </w:rPr>
          <w:t>Table 73</w:t>
        </w:r>
        <w:r w:rsidR="00BF35BC">
          <w:rPr>
            <w:rFonts w:asciiTheme="minorHAnsi" w:hAnsiTheme="minorHAnsi" w:cstheme="minorBidi"/>
            <w:lang w:eastAsia="en-AU"/>
          </w:rPr>
          <w:tab/>
        </w:r>
        <w:r w:rsidR="00BF35BC" w:rsidRPr="00B35470">
          <w:rPr>
            <w:rStyle w:val="Hyperlink"/>
          </w:rPr>
          <w:t>Calculated mRS distribution at Day 365 after rehabilitation effects – the base case Section D model assumption</w:t>
        </w:r>
        <w:r w:rsidR="00BF35BC">
          <w:rPr>
            <w:webHidden/>
          </w:rPr>
          <w:tab/>
        </w:r>
        <w:r w:rsidR="00BF35BC">
          <w:rPr>
            <w:webHidden/>
          </w:rPr>
          <w:fldChar w:fldCharType="begin"/>
        </w:r>
        <w:r w:rsidR="00BF35BC">
          <w:rPr>
            <w:webHidden/>
          </w:rPr>
          <w:instrText xml:space="preserve"> PAGEREF _Toc453065409 \h </w:instrText>
        </w:r>
        <w:r w:rsidR="00BF35BC">
          <w:rPr>
            <w:webHidden/>
          </w:rPr>
        </w:r>
        <w:r w:rsidR="00BF35BC">
          <w:rPr>
            <w:webHidden/>
          </w:rPr>
          <w:fldChar w:fldCharType="separate"/>
        </w:r>
        <w:r w:rsidR="00A456ED">
          <w:rPr>
            <w:webHidden/>
          </w:rPr>
          <w:t>156</w:t>
        </w:r>
        <w:r w:rsidR="00BF35BC">
          <w:rPr>
            <w:webHidden/>
          </w:rPr>
          <w:fldChar w:fldCharType="end"/>
        </w:r>
      </w:hyperlink>
    </w:p>
    <w:p w14:paraId="4242CA23" w14:textId="2F4515D0" w:rsidR="00BF35BC" w:rsidRDefault="00B76E8C">
      <w:pPr>
        <w:pStyle w:val="TableofFigures"/>
        <w:rPr>
          <w:rFonts w:asciiTheme="minorHAnsi" w:hAnsiTheme="minorHAnsi" w:cstheme="minorBidi"/>
          <w:lang w:eastAsia="en-AU"/>
        </w:rPr>
      </w:pPr>
      <w:hyperlink w:anchor="_Toc453065410" w:history="1">
        <w:r w:rsidR="00BF35BC" w:rsidRPr="00B35470">
          <w:rPr>
            <w:rStyle w:val="Hyperlink"/>
          </w:rPr>
          <w:t>Table 74</w:t>
        </w:r>
        <w:r w:rsidR="00BF35BC">
          <w:rPr>
            <w:rFonts w:asciiTheme="minorHAnsi" w:hAnsiTheme="minorHAnsi" w:cstheme="minorBidi"/>
            <w:lang w:eastAsia="en-AU"/>
          </w:rPr>
          <w:tab/>
        </w:r>
        <w:r w:rsidR="00BF35BC" w:rsidRPr="00B35470">
          <w:rPr>
            <w:rStyle w:val="Hyperlink"/>
          </w:rPr>
          <w:t>Rates of mortality from Day 90 to 3 years as reported by Gensicke 2013 – explored in an alternative model for sensitivity analysis</w:t>
        </w:r>
        <w:r w:rsidR="00BF35BC">
          <w:rPr>
            <w:webHidden/>
          </w:rPr>
          <w:tab/>
        </w:r>
        <w:r w:rsidR="00BF35BC">
          <w:rPr>
            <w:webHidden/>
          </w:rPr>
          <w:fldChar w:fldCharType="begin"/>
        </w:r>
        <w:r w:rsidR="00BF35BC">
          <w:rPr>
            <w:webHidden/>
          </w:rPr>
          <w:instrText xml:space="preserve"> PAGEREF _Toc453065410 \h </w:instrText>
        </w:r>
        <w:r w:rsidR="00BF35BC">
          <w:rPr>
            <w:webHidden/>
          </w:rPr>
        </w:r>
        <w:r w:rsidR="00BF35BC">
          <w:rPr>
            <w:webHidden/>
          </w:rPr>
          <w:fldChar w:fldCharType="separate"/>
        </w:r>
        <w:r w:rsidR="00A456ED">
          <w:rPr>
            <w:webHidden/>
          </w:rPr>
          <w:t>157</w:t>
        </w:r>
        <w:r w:rsidR="00BF35BC">
          <w:rPr>
            <w:webHidden/>
          </w:rPr>
          <w:fldChar w:fldCharType="end"/>
        </w:r>
      </w:hyperlink>
    </w:p>
    <w:p w14:paraId="17518B57" w14:textId="4BDE6BDB" w:rsidR="00BF35BC" w:rsidRDefault="00B76E8C">
      <w:pPr>
        <w:pStyle w:val="TableofFigures"/>
        <w:rPr>
          <w:rFonts w:asciiTheme="minorHAnsi" w:hAnsiTheme="minorHAnsi" w:cstheme="minorBidi"/>
          <w:lang w:eastAsia="en-AU"/>
        </w:rPr>
      </w:pPr>
      <w:hyperlink w:anchor="_Toc453065411" w:history="1">
        <w:r w:rsidR="00BF35BC" w:rsidRPr="00B35470">
          <w:rPr>
            <w:rStyle w:val="Hyperlink"/>
          </w:rPr>
          <w:t>Table 75</w:t>
        </w:r>
        <w:r w:rsidR="00BF35BC">
          <w:rPr>
            <w:rFonts w:asciiTheme="minorHAnsi" w:hAnsiTheme="minorHAnsi" w:cstheme="minorBidi"/>
            <w:lang w:eastAsia="en-AU"/>
          </w:rPr>
          <w:tab/>
        </w:r>
        <w:r w:rsidR="00BF35BC" w:rsidRPr="00B35470">
          <w:rPr>
            <w:rStyle w:val="Hyperlink"/>
          </w:rPr>
          <w:t>Transition matrix depicting mRS changes from Day 90 to 3 years as reported by Gensicke 2013, recalibrated to adjust for rates of mortality over time – explored in an alternative model for sensitivity analysis</w:t>
        </w:r>
        <w:r w:rsidR="00BF35BC">
          <w:rPr>
            <w:webHidden/>
          </w:rPr>
          <w:tab/>
        </w:r>
        <w:r w:rsidR="00BF35BC">
          <w:rPr>
            <w:webHidden/>
          </w:rPr>
          <w:fldChar w:fldCharType="begin"/>
        </w:r>
        <w:r w:rsidR="00BF35BC">
          <w:rPr>
            <w:webHidden/>
          </w:rPr>
          <w:instrText xml:space="preserve"> PAGEREF _Toc453065411 \h </w:instrText>
        </w:r>
        <w:r w:rsidR="00BF35BC">
          <w:rPr>
            <w:webHidden/>
          </w:rPr>
        </w:r>
        <w:r w:rsidR="00BF35BC">
          <w:rPr>
            <w:webHidden/>
          </w:rPr>
          <w:fldChar w:fldCharType="separate"/>
        </w:r>
        <w:r w:rsidR="00A456ED">
          <w:rPr>
            <w:webHidden/>
          </w:rPr>
          <w:t>157</w:t>
        </w:r>
        <w:r w:rsidR="00BF35BC">
          <w:rPr>
            <w:webHidden/>
          </w:rPr>
          <w:fldChar w:fldCharType="end"/>
        </w:r>
      </w:hyperlink>
    </w:p>
    <w:p w14:paraId="2E5B4E4A" w14:textId="5F73C8AE" w:rsidR="00BF35BC" w:rsidRDefault="00B76E8C">
      <w:pPr>
        <w:pStyle w:val="TableofFigures"/>
        <w:rPr>
          <w:rFonts w:asciiTheme="minorHAnsi" w:hAnsiTheme="minorHAnsi" w:cstheme="minorBidi"/>
          <w:lang w:eastAsia="en-AU"/>
        </w:rPr>
      </w:pPr>
      <w:hyperlink w:anchor="_Toc453065412" w:history="1">
        <w:r w:rsidR="00BF35BC" w:rsidRPr="00B35470">
          <w:rPr>
            <w:rStyle w:val="Hyperlink"/>
          </w:rPr>
          <w:t>Table 76</w:t>
        </w:r>
        <w:r w:rsidR="00BF35BC">
          <w:rPr>
            <w:rFonts w:asciiTheme="minorHAnsi" w:hAnsiTheme="minorHAnsi" w:cstheme="minorBidi"/>
            <w:lang w:eastAsia="en-AU"/>
          </w:rPr>
          <w:tab/>
        </w:r>
        <w:r w:rsidR="00BF35BC" w:rsidRPr="00B35470">
          <w:rPr>
            <w:rStyle w:val="Hyperlink"/>
          </w:rPr>
          <w:t>Calculated mRS distribution at Day 365 after rehabilitation effects with no recurrent stroke, adjustment for rates of mortality over time – explored in an alternative model for sensitivity analysis</w:t>
        </w:r>
        <w:r w:rsidR="00BF35BC">
          <w:rPr>
            <w:webHidden/>
          </w:rPr>
          <w:tab/>
        </w:r>
        <w:r w:rsidR="00BF35BC">
          <w:rPr>
            <w:webHidden/>
          </w:rPr>
          <w:fldChar w:fldCharType="begin"/>
        </w:r>
        <w:r w:rsidR="00BF35BC">
          <w:rPr>
            <w:webHidden/>
          </w:rPr>
          <w:instrText xml:space="preserve"> PAGEREF _Toc453065412 \h </w:instrText>
        </w:r>
        <w:r w:rsidR="00BF35BC">
          <w:rPr>
            <w:webHidden/>
          </w:rPr>
        </w:r>
        <w:r w:rsidR="00BF35BC">
          <w:rPr>
            <w:webHidden/>
          </w:rPr>
          <w:fldChar w:fldCharType="separate"/>
        </w:r>
        <w:r w:rsidR="00A456ED">
          <w:rPr>
            <w:webHidden/>
          </w:rPr>
          <w:t>158</w:t>
        </w:r>
        <w:r w:rsidR="00BF35BC">
          <w:rPr>
            <w:webHidden/>
          </w:rPr>
          <w:fldChar w:fldCharType="end"/>
        </w:r>
      </w:hyperlink>
    </w:p>
    <w:p w14:paraId="7FD743DF" w14:textId="65E22F05" w:rsidR="00BF35BC" w:rsidRDefault="00B76E8C">
      <w:pPr>
        <w:pStyle w:val="TableofFigures"/>
        <w:rPr>
          <w:rFonts w:asciiTheme="minorHAnsi" w:hAnsiTheme="minorHAnsi" w:cstheme="minorBidi"/>
          <w:lang w:eastAsia="en-AU"/>
        </w:rPr>
      </w:pPr>
      <w:hyperlink w:anchor="_Toc453065413" w:history="1">
        <w:r w:rsidR="00BF35BC" w:rsidRPr="00B35470">
          <w:rPr>
            <w:rStyle w:val="Hyperlink"/>
          </w:rPr>
          <w:t>Table 77</w:t>
        </w:r>
        <w:r w:rsidR="00BF35BC">
          <w:rPr>
            <w:rFonts w:asciiTheme="minorHAnsi" w:hAnsiTheme="minorHAnsi" w:cstheme="minorBidi"/>
            <w:lang w:eastAsia="en-AU"/>
          </w:rPr>
          <w:tab/>
        </w:r>
        <w:r w:rsidR="00BF35BC" w:rsidRPr="00B35470">
          <w:rPr>
            <w:rStyle w:val="Hyperlink"/>
          </w:rPr>
          <w:t>Pros and cons of the three models explored in Section D</w:t>
        </w:r>
        <w:r w:rsidR="00BF35BC">
          <w:rPr>
            <w:webHidden/>
          </w:rPr>
          <w:tab/>
        </w:r>
        <w:r w:rsidR="00BF35BC">
          <w:rPr>
            <w:webHidden/>
          </w:rPr>
          <w:fldChar w:fldCharType="begin"/>
        </w:r>
        <w:r w:rsidR="00BF35BC">
          <w:rPr>
            <w:webHidden/>
          </w:rPr>
          <w:instrText xml:space="preserve"> PAGEREF _Toc453065413 \h </w:instrText>
        </w:r>
        <w:r w:rsidR="00BF35BC">
          <w:rPr>
            <w:webHidden/>
          </w:rPr>
        </w:r>
        <w:r w:rsidR="00BF35BC">
          <w:rPr>
            <w:webHidden/>
          </w:rPr>
          <w:fldChar w:fldCharType="separate"/>
        </w:r>
        <w:r w:rsidR="00A456ED">
          <w:rPr>
            <w:webHidden/>
          </w:rPr>
          <w:t>159</w:t>
        </w:r>
        <w:r w:rsidR="00BF35BC">
          <w:rPr>
            <w:webHidden/>
          </w:rPr>
          <w:fldChar w:fldCharType="end"/>
        </w:r>
      </w:hyperlink>
    </w:p>
    <w:p w14:paraId="0053BDCC" w14:textId="026C5FCF" w:rsidR="00BF35BC" w:rsidRDefault="00B76E8C">
      <w:pPr>
        <w:pStyle w:val="TableofFigures"/>
        <w:rPr>
          <w:rFonts w:asciiTheme="minorHAnsi" w:hAnsiTheme="minorHAnsi" w:cstheme="minorBidi"/>
          <w:lang w:eastAsia="en-AU"/>
        </w:rPr>
      </w:pPr>
      <w:hyperlink w:anchor="_Toc453065414" w:history="1">
        <w:r w:rsidR="00BF35BC" w:rsidRPr="00B35470">
          <w:rPr>
            <w:rStyle w:val="Hyperlink"/>
          </w:rPr>
          <w:t>Table 78</w:t>
        </w:r>
        <w:r w:rsidR="00BF35BC">
          <w:rPr>
            <w:rFonts w:asciiTheme="minorHAnsi" w:hAnsiTheme="minorHAnsi" w:cstheme="minorBidi"/>
            <w:lang w:eastAsia="en-AU"/>
          </w:rPr>
          <w:tab/>
        </w:r>
        <w:r w:rsidR="00BF35BC" w:rsidRPr="00B35470">
          <w:rPr>
            <w:rStyle w:val="Hyperlink"/>
          </w:rPr>
          <w:t>Data inputs and data sources, base case analysis</w:t>
        </w:r>
        <w:r w:rsidR="00BF35BC">
          <w:rPr>
            <w:webHidden/>
          </w:rPr>
          <w:tab/>
        </w:r>
        <w:r w:rsidR="00BF35BC">
          <w:rPr>
            <w:webHidden/>
          </w:rPr>
          <w:fldChar w:fldCharType="begin"/>
        </w:r>
        <w:r w:rsidR="00BF35BC">
          <w:rPr>
            <w:webHidden/>
          </w:rPr>
          <w:instrText xml:space="preserve"> PAGEREF _Toc453065414 \h </w:instrText>
        </w:r>
        <w:r w:rsidR="00BF35BC">
          <w:rPr>
            <w:webHidden/>
          </w:rPr>
        </w:r>
        <w:r w:rsidR="00BF35BC">
          <w:rPr>
            <w:webHidden/>
          </w:rPr>
          <w:fldChar w:fldCharType="separate"/>
        </w:r>
        <w:r w:rsidR="00A456ED">
          <w:rPr>
            <w:webHidden/>
          </w:rPr>
          <w:t>162</w:t>
        </w:r>
        <w:r w:rsidR="00BF35BC">
          <w:rPr>
            <w:webHidden/>
          </w:rPr>
          <w:fldChar w:fldCharType="end"/>
        </w:r>
      </w:hyperlink>
    </w:p>
    <w:p w14:paraId="27A4F149" w14:textId="3F87050F" w:rsidR="00BF35BC" w:rsidRDefault="00B76E8C">
      <w:pPr>
        <w:pStyle w:val="TableofFigures"/>
        <w:rPr>
          <w:rFonts w:asciiTheme="minorHAnsi" w:hAnsiTheme="minorHAnsi" w:cstheme="minorBidi"/>
          <w:lang w:eastAsia="en-AU"/>
        </w:rPr>
      </w:pPr>
      <w:hyperlink w:anchor="_Toc453065415" w:history="1">
        <w:r w:rsidR="00BF35BC" w:rsidRPr="00B35470">
          <w:rPr>
            <w:rStyle w:val="Hyperlink"/>
          </w:rPr>
          <w:t>Table 79</w:t>
        </w:r>
        <w:r w:rsidR="00BF35BC">
          <w:rPr>
            <w:rFonts w:asciiTheme="minorHAnsi" w:hAnsiTheme="minorHAnsi" w:cstheme="minorBidi"/>
            <w:lang w:eastAsia="en-AU"/>
          </w:rPr>
          <w:tab/>
        </w:r>
        <w:r w:rsidR="00BF35BC" w:rsidRPr="00B35470">
          <w:rPr>
            <w:rStyle w:val="Hyperlink"/>
          </w:rPr>
          <w:t>Published cost-effectiveness models for mechanical thrombectomy</w:t>
        </w:r>
        <w:r w:rsidR="00BF35BC">
          <w:rPr>
            <w:webHidden/>
          </w:rPr>
          <w:tab/>
        </w:r>
        <w:r w:rsidR="00BF35BC">
          <w:rPr>
            <w:webHidden/>
          </w:rPr>
          <w:fldChar w:fldCharType="begin"/>
        </w:r>
        <w:r w:rsidR="00BF35BC">
          <w:rPr>
            <w:webHidden/>
          </w:rPr>
          <w:instrText xml:space="preserve"> PAGEREF _Toc453065415 \h </w:instrText>
        </w:r>
        <w:r w:rsidR="00BF35BC">
          <w:rPr>
            <w:webHidden/>
          </w:rPr>
        </w:r>
        <w:r w:rsidR="00BF35BC">
          <w:rPr>
            <w:webHidden/>
          </w:rPr>
          <w:fldChar w:fldCharType="separate"/>
        </w:r>
        <w:r w:rsidR="00A456ED">
          <w:rPr>
            <w:webHidden/>
          </w:rPr>
          <w:t>164</w:t>
        </w:r>
        <w:r w:rsidR="00BF35BC">
          <w:rPr>
            <w:webHidden/>
          </w:rPr>
          <w:fldChar w:fldCharType="end"/>
        </w:r>
      </w:hyperlink>
    </w:p>
    <w:p w14:paraId="7DC93D82" w14:textId="78CA015F" w:rsidR="00BF35BC" w:rsidRDefault="00B76E8C">
      <w:pPr>
        <w:pStyle w:val="TableofFigures"/>
        <w:rPr>
          <w:rFonts w:asciiTheme="minorHAnsi" w:hAnsiTheme="minorHAnsi" w:cstheme="minorBidi"/>
          <w:lang w:eastAsia="en-AU"/>
        </w:rPr>
      </w:pPr>
      <w:hyperlink w:anchor="_Toc453065416" w:history="1">
        <w:r w:rsidR="00BF35BC" w:rsidRPr="00B35470">
          <w:rPr>
            <w:rStyle w:val="Hyperlink"/>
          </w:rPr>
          <w:t>Table 80</w:t>
        </w:r>
        <w:r w:rsidR="00BF35BC">
          <w:rPr>
            <w:rFonts w:asciiTheme="minorHAnsi" w:hAnsiTheme="minorHAnsi" w:cstheme="minorBidi"/>
            <w:lang w:eastAsia="en-AU"/>
          </w:rPr>
          <w:tab/>
        </w:r>
        <w:r w:rsidR="00BF35BC" w:rsidRPr="00B35470">
          <w:rPr>
            <w:rStyle w:val="Hyperlink"/>
          </w:rPr>
          <w:t>Cost comparison of mechanical thrombectomy vs usual care, based on EXTEND-IA</w:t>
        </w:r>
        <w:r w:rsidR="00BF35BC">
          <w:rPr>
            <w:webHidden/>
          </w:rPr>
          <w:tab/>
        </w:r>
        <w:r w:rsidR="00BF35BC">
          <w:rPr>
            <w:webHidden/>
          </w:rPr>
          <w:fldChar w:fldCharType="begin"/>
        </w:r>
        <w:r w:rsidR="00BF35BC">
          <w:rPr>
            <w:webHidden/>
          </w:rPr>
          <w:instrText xml:space="preserve"> PAGEREF _Toc453065416 \h </w:instrText>
        </w:r>
        <w:r w:rsidR="00BF35BC">
          <w:rPr>
            <w:webHidden/>
          </w:rPr>
        </w:r>
        <w:r w:rsidR="00BF35BC">
          <w:rPr>
            <w:webHidden/>
          </w:rPr>
          <w:fldChar w:fldCharType="separate"/>
        </w:r>
        <w:r w:rsidR="00A456ED">
          <w:rPr>
            <w:webHidden/>
          </w:rPr>
          <w:t>165</w:t>
        </w:r>
        <w:r w:rsidR="00BF35BC">
          <w:rPr>
            <w:webHidden/>
          </w:rPr>
          <w:fldChar w:fldCharType="end"/>
        </w:r>
      </w:hyperlink>
    </w:p>
    <w:p w14:paraId="2C499119" w14:textId="33A0DD71" w:rsidR="00BF35BC" w:rsidRDefault="00B76E8C">
      <w:pPr>
        <w:pStyle w:val="TableofFigures"/>
        <w:rPr>
          <w:rFonts w:asciiTheme="minorHAnsi" w:hAnsiTheme="minorHAnsi" w:cstheme="minorBidi"/>
          <w:lang w:eastAsia="en-AU"/>
        </w:rPr>
      </w:pPr>
      <w:hyperlink w:anchor="_Toc453065417" w:history="1">
        <w:r w:rsidR="00BF35BC" w:rsidRPr="00B35470">
          <w:rPr>
            <w:rStyle w:val="Hyperlink"/>
          </w:rPr>
          <w:t>Table 81</w:t>
        </w:r>
        <w:r w:rsidR="00BF35BC">
          <w:rPr>
            <w:rFonts w:asciiTheme="minorHAnsi" w:hAnsiTheme="minorHAnsi" w:cstheme="minorBidi"/>
            <w:lang w:eastAsia="en-AU"/>
          </w:rPr>
          <w:tab/>
        </w:r>
        <w:r w:rsidR="00BF35BC" w:rsidRPr="00B35470">
          <w:rPr>
            <w:rStyle w:val="Hyperlink"/>
          </w:rPr>
          <w:t>Modelled cost-effectiveness evaluations of mechanical thrombectomy</w:t>
        </w:r>
        <w:r w:rsidR="00BF35BC">
          <w:rPr>
            <w:webHidden/>
          </w:rPr>
          <w:tab/>
        </w:r>
        <w:r w:rsidR="00BF35BC">
          <w:rPr>
            <w:webHidden/>
          </w:rPr>
          <w:fldChar w:fldCharType="begin"/>
        </w:r>
        <w:r w:rsidR="00BF35BC">
          <w:rPr>
            <w:webHidden/>
          </w:rPr>
          <w:instrText xml:space="preserve"> PAGEREF _Toc453065417 \h </w:instrText>
        </w:r>
        <w:r w:rsidR="00BF35BC">
          <w:rPr>
            <w:webHidden/>
          </w:rPr>
        </w:r>
        <w:r w:rsidR="00BF35BC">
          <w:rPr>
            <w:webHidden/>
          </w:rPr>
          <w:fldChar w:fldCharType="separate"/>
        </w:r>
        <w:r w:rsidR="00A456ED">
          <w:rPr>
            <w:webHidden/>
          </w:rPr>
          <w:t>167</w:t>
        </w:r>
        <w:r w:rsidR="00BF35BC">
          <w:rPr>
            <w:webHidden/>
          </w:rPr>
          <w:fldChar w:fldCharType="end"/>
        </w:r>
      </w:hyperlink>
    </w:p>
    <w:p w14:paraId="1D504314" w14:textId="10D3A1BE" w:rsidR="00BF35BC" w:rsidRDefault="00B76E8C">
      <w:pPr>
        <w:pStyle w:val="TableofFigures"/>
        <w:rPr>
          <w:rFonts w:asciiTheme="minorHAnsi" w:hAnsiTheme="minorHAnsi" w:cstheme="minorBidi"/>
          <w:lang w:eastAsia="en-AU"/>
        </w:rPr>
      </w:pPr>
      <w:hyperlink w:anchor="_Toc453065418" w:history="1">
        <w:r w:rsidR="00BF35BC" w:rsidRPr="00B35470">
          <w:rPr>
            <w:rStyle w:val="Hyperlink"/>
          </w:rPr>
          <w:t>Table 82</w:t>
        </w:r>
        <w:r w:rsidR="00BF35BC">
          <w:rPr>
            <w:rFonts w:asciiTheme="minorHAnsi" w:hAnsiTheme="minorHAnsi" w:cstheme="minorBidi"/>
            <w:lang w:eastAsia="en-AU"/>
          </w:rPr>
          <w:tab/>
        </w:r>
        <w:r w:rsidR="00BF35BC" w:rsidRPr="00B35470">
          <w:rPr>
            <w:rStyle w:val="Hyperlink"/>
          </w:rPr>
          <w:t>mRS at Day 7 and at Day 90; SWIFT PRIME</w:t>
        </w:r>
        <w:r w:rsidR="00BF35BC">
          <w:rPr>
            <w:webHidden/>
          </w:rPr>
          <w:tab/>
        </w:r>
        <w:r w:rsidR="00BF35BC">
          <w:rPr>
            <w:webHidden/>
          </w:rPr>
          <w:fldChar w:fldCharType="begin"/>
        </w:r>
        <w:r w:rsidR="00BF35BC">
          <w:rPr>
            <w:webHidden/>
          </w:rPr>
          <w:instrText xml:space="preserve"> PAGEREF _Toc453065418 \h </w:instrText>
        </w:r>
        <w:r w:rsidR="00BF35BC">
          <w:rPr>
            <w:webHidden/>
          </w:rPr>
        </w:r>
        <w:r w:rsidR="00BF35BC">
          <w:rPr>
            <w:webHidden/>
          </w:rPr>
          <w:fldChar w:fldCharType="separate"/>
        </w:r>
        <w:r w:rsidR="00A456ED">
          <w:rPr>
            <w:webHidden/>
          </w:rPr>
          <w:t>171</w:t>
        </w:r>
        <w:r w:rsidR="00BF35BC">
          <w:rPr>
            <w:webHidden/>
          </w:rPr>
          <w:fldChar w:fldCharType="end"/>
        </w:r>
      </w:hyperlink>
    </w:p>
    <w:p w14:paraId="2B2A0552" w14:textId="2BC28139" w:rsidR="00BF35BC" w:rsidRDefault="00B76E8C">
      <w:pPr>
        <w:pStyle w:val="TableofFigures"/>
        <w:rPr>
          <w:rFonts w:asciiTheme="minorHAnsi" w:hAnsiTheme="minorHAnsi" w:cstheme="minorBidi"/>
          <w:lang w:eastAsia="en-AU"/>
        </w:rPr>
      </w:pPr>
      <w:hyperlink w:anchor="_Toc453065419" w:history="1">
        <w:r w:rsidR="00BF35BC" w:rsidRPr="00B35470">
          <w:rPr>
            <w:rStyle w:val="Hyperlink"/>
          </w:rPr>
          <w:t>Table 83</w:t>
        </w:r>
        <w:r w:rsidR="00BF35BC">
          <w:rPr>
            <w:rFonts w:asciiTheme="minorHAnsi" w:hAnsiTheme="minorHAnsi" w:cstheme="minorBidi"/>
            <w:lang w:eastAsia="en-AU"/>
          </w:rPr>
          <w:tab/>
        </w:r>
        <w:r w:rsidR="00BF35BC" w:rsidRPr="00B35470">
          <w:rPr>
            <w:rStyle w:val="Hyperlink"/>
          </w:rPr>
          <w:t>Excel worksheets included in the submitted cost-effectiveness model</w:t>
        </w:r>
        <w:r w:rsidR="00BF35BC">
          <w:rPr>
            <w:webHidden/>
          </w:rPr>
          <w:tab/>
        </w:r>
        <w:r w:rsidR="00BF35BC">
          <w:rPr>
            <w:webHidden/>
          </w:rPr>
          <w:fldChar w:fldCharType="begin"/>
        </w:r>
        <w:r w:rsidR="00BF35BC">
          <w:rPr>
            <w:webHidden/>
          </w:rPr>
          <w:instrText xml:space="preserve"> PAGEREF _Toc453065419 \h </w:instrText>
        </w:r>
        <w:r w:rsidR="00BF35BC">
          <w:rPr>
            <w:webHidden/>
          </w:rPr>
        </w:r>
        <w:r w:rsidR="00BF35BC">
          <w:rPr>
            <w:webHidden/>
          </w:rPr>
          <w:fldChar w:fldCharType="separate"/>
        </w:r>
        <w:r w:rsidR="00A456ED">
          <w:rPr>
            <w:webHidden/>
          </w:rPr>
          <w:t>175</w:t>
        </w:r>
        <w:r w:rsidR="00BF35BC">
          <w:rPr>
            <w:webHidden/>
          </w:rPr>
          <w:fldChar w:fldCharType="end"/>
        </w:r>
      </w:hyperlink>
    </w:p>
    <w:p w14:paraId="061AF754" w14:textId="4DABA378" w:rsidR="00BF35BC" w:rsidRDefault="00B76E8C">
      <w:pPr>
        <w:pStyle w:val="TableofFigures"/>
        <w:rPr>
          <w:rFonts w:asciiTheme="minorHAnsi" w:hAnsiTheme="minorHAnsi" w:cstheme="minorBidi"/>
          <w:lang w:eastAsia="en-AU"/>
        </w:rPr>
      </w:pPr>
      <w:hyperlink w:anchor="_Toc453065420" w:history="1">
        <w:r w:rsidR="00BF35BC" w:rsidRPr="00B35470">
          <w:rPr>
            <w:rStyle w:val="Hyperlink"/>
          </w:rPr>
          <w:t>Table 84</w:t>
        </w:r>
        <w:r w:rsidR="00BF35BC">
          <w:rPr>
            <w:rFonts w:asciiTheme="minorHAnsi" w:hAnsiTheme="minorHAnsi" w:cstheme="minorBidi"/>
            <w:lang w:eastAsia="en-AU"/>
          </w:rPr>
          <w:tab/>
        </w:r>
        <w:r w:rsidR="00BF35BC" w:rsidRPr="00B35470">
          <w:rPr>
            <w:rStyle w:val="Hyperlink"/>
          </w:rPr>
          <w:t>mRS at Day 7 and at Day 90; meta-analysed RCT data</w:t>
        </w:r>
        <w:r w:rsidR="00BF35BC">
          <w:rPr>
            <w:webHidden/>
          </w:rPr>
          <w:tab/>
        </w:r>
        <w:r w:rsidR="00BF35BC">
          <w:rPr>
            <w:webHidden/>
          </w:rPr>
          <w:fldChar w:fldCharType="begin"/>
        </w:r>
        <w:r w:rsidR="00BF35BC">
          <w:rPr>
            <w:webHidden/>
          </w:rPr>
          <w:instrText xml:space="preserve"> PAGEREF _Toc453065420 \h </w:instrText>
        </w:r>
        <w:r w:rsidR="00BF35BC">
          <w:rPr>
            <w:webHidden/>
          </w:rPr>
        </w:r>
        <w:r w:rsidR="00BF35BC">
          <w:rPr>
            <w:webHidden/>
          </w:rPr>
          <w:fldChar w:fldCharType="separate"/>
        </w:r>
        <w:r w:rsidR="00A456ED">
          <w:rPr>
            <w:webHidden/>
          </w:rPr>
          <w:t>176</w:t>
        </w:r>
        <w:r w:rsidR="00BF35BC">
          <w:rPr>
            <w:webHidden/>
          </w:rPr>
          <w:fldChar w:fldCharType="end"/>
        </w:r>
      </w:hyperlink>
    </w:p>
    <w:p w14:paraId="538F1181" w14:textId="59AF887E" w:rsidR="00BF35BC" w:rsidRDefault="00B76E8C">
      <w:pPr>
        <w:pStyle w:val="TableofFigures"/>
        <w:rPr>
          <w:rFonts w:asciiTheme="minorHAnsi" w:hAnsiTheme="minorHAnsi" w:cstheme="minorBidi"/>
          <w:lang w:eastAsia="en-AU"/>
        </w:rPr>
      </w:pPr>
      <w:hyperlink w:anchor="_Toc453065421" w:history="1">
        <w:r w:rsidR="00BF35BC" w:rsidRPr="00B35470">
          <w:rPr>
            <w:rStyle w:val="Hyperlink"/>
          </w:rPr>
          <w:t>Table 85</w:t>
        </w:r>
        <w:r w:rsidR="00BF35BC">
          <w:rPr>
            <w:rFonts w:asciiTheme="minorHAnsi" w:hAnsiTheme="minorHAnsi" w:cstheme="minorBidi"/>
            <w:lang w:eastAsia="en-AU"/>
          </w:rPr>
          <w:tab/>
        </w:r>
        <w:r w:rsidR="00BF35BC" w:rsidRPr="00B35470">
          <w:rPr>
            <w:rStyle w:val="Hyperlink"/>
          </w:rPr>
          <w:t>Transition matrix depicting mRS changes from Day 90 to 12 months as informed by Gensicke 2013</w:t>
        </w:r>
        <w:r w:rsidR="00BF35BC">
          <w:rPr>
            <w:webHidden/>
          </w:rPr>
          <w:tab/>
        </w:r>
        <w:r w:rsidR="00BF35BC">
          <w:rPr>
            <w:webHidden/>
          </w:rPr>
          <w:fldChar w:fldCharType="begin"/>
        </w:r>
        <w:r w:rsidR="00BF35BC">
          <w:rPr>
            <w:webHidden/>
          </w:rPr>
          <w:instrText xml:space="preserve"> PAGEREF _Toc453065421 \h </w:instrText>
        </w:r>
        <w:r w:rsidR="00BF35BC">
          <w:rPr>
            <w:webHidden/>
          </w:rPr>
        </w:r>
        <w:r w:rsidR="00BF35BC">
          <w:rPr>
            <w:webHidden/>
          </w:rPr>
          <w:fldChar w:fldCharType="separate"/>
        </w:r>
        <w:r w:rsidR="00A456ED">
          <w:rPr>
            <w:webHidden/>
          </w:rPr>
          <w:t>176</w:t>
        </w:r>
        <w:r w:rsidR="00BF35BC">
          <w:rPr>
            <w:webHidden/>
          </w:rPr>
          <w:fldChar w:fldCharType="end"/>
        </w:r>
      </w:hyperlink>
    </w:p>
    <w:p w14:paraId="329F6059" w14:textId="2A025D88" w:rsidR="00BF35BC" w:rsidRDefault="00B76E8C">
      <w:pPr>
        <w:pStyle w:val="TableofFigures"/>
        <w:rPr>
          <w:rFonts w:asciiTheme="minorHAnsi" w:hAnsiTheme="minorHAnsi" w:cstheme="minorBidi"/>
          <w:lang w:eastAsia="en-AU"/>
        </w:rPr>
      </w:pPr>
      <w:hyperlink w:anchor="_Toc453065422" w:history="1">
        <w:r w:rsidR="00BF35BC" w:rsidRPr="00B35470">
          <w:rPr>
            <w:rStyle w:val="Hyperlink"/>
          </w:rPr>
          <w:t>Table 86</w:t>
        </w:r>
        <w:r w:rsidR="00BF35BC">
          <w:rPr>
            <w:rFonts w:asciiTheme="minorHAnsi" w:hAnsiTheme="minorHAnsi" w:cstheme="minorBidi"/>
            <w:lang w:eastAsia="en-AU"/>
          </w:rPr>
          <w:tab/>
        </w:r>
        <w:r w:rsidR="00BF35BC" w:rsidRPr="00B35470">
          <w:rPr>
            <w:rStyle w:val="Hyperlink"/>
          </w:rPr>
          <w:t>mRS at Day 365 after rehabilitation effects, no recurrent stroke</w:t>
        </w:r>
        <w:r w:rsidR="00BF35BC">
          <w:rPr>
            <w:webHidden/>
          </w:rPr>
          <w:tab/>
        </w:r>
        <w:r w:rsidR="00BF35BC">
          <w:rPr>
            <w:webHidden/>
          </w:rPr>
          <w:fldChar w:fldCharType="begin"/>
        </w:r>
        <w:r w:rsidR="00BF35BC">
          <w:rPr>
            <w:webHidden/>
          </w:rPr>
          <w:instrText xml:space="preserve"> PAGEREF _Toc453065422 \h </w:instrText>
        </w:r>
        <w:r w:rsidR="00BF35BC">
          <w:rPr>
            <w:webHidden/>
          </w:rPr>
        </w:r>
        <w:r w:rsidR="00BF35BC">
          <w:rPr>
            <w:webHidden/>
          </w:rPr>
          <w:fldChar w:fldCharType="separate"/>
        </w:r>
        <w:r w:rsidR="00A456ED">
          <w:rPr>
            <w:webHidden/>
          </w:rPr>
          <w:t>177</w:t>
        </w:r>
        <w:r w:rsidR="00BF35BC">
          <w:rPr>
            <w:webHidden/>
          </w:rPr>
          <w:fldChar w:fldCharType="end"/>
        </w:r>
      </w:hyperlink>
    </w:p>
    <w:p w14:paraId="2740120C" w14:textId="7E752456" w:rsidR="00BF35BC" w:rsidRDefault="00B76E8C">
      <w:pPr>
        <w:pStyle w:val="TableofFigures"/>
        <w:rPr>
          <w:rFonts w:asciiTheme="minorHAnsi" w:hAnsiTheme="minorHAnsi" w:cstheme="minorBidi"/>
          <w:lang w:eastAsia="en-AU"/>
        </w:rPr>
      </w:pPr>
      <w:hyperlink w:anchor="_Toc453065423" w:history="1">
        <w:r w:rsidR="00BF35BC" w:rsidRPr="00B35470">
          <w:rPr>
            <w:rStyle w:val="Hyperlink"/>
          </w:rPr>
          <w:t>Table 87</w:t>
        </w:r>
        <w:r w:rsidR="00BF35BC">
          <w:rPr>
            <w:rFonts w:asciiTheme="minorHAnsi" w:hAnsiTheme="minorHAnsi" w:cstheme="minorBidi"/>
            <w:lang w:eastAsia="en-AU"/>
          </w:rPr>
          <w:tab/>
        </w:r>
        <w:r w:rsidR="00BF35BC" w:rsidRPr="00B35470">
          <w:rPr>
            <w:rStyle w:val="Hyperlink"/>
          </w:rPr>
          <w:t>Transition matrix depicting possible mRS changes between Day 90 and Day 365 after accounting for the risk of stroke recurrence (usual care given to treat all recurrent strokes)</w:t>
        </w:r>
        <w:r w:rsidR="00BF35BC">
          <w:rPr>
            <w:webHidden/>
          </w:rPr>
          <w:tab/>
        </w:r>
        <w:r w:rsidR="00BF35BC">
          <w:rPr>
            <w:webHidden/>
          </w:rPr>
          <w:fldChar w:fldCharType="begin"/>
        </w:r>
        <w:r w:rsidR="00BF35BC">
          <w:rPr>
            <w:webHidden/>
          </w:rPr>
          <w:instrText xml:space="preserve"> PAGEREF _Toc453065423 \h </w:instrText>
        </w:r>
        <w:r w:rsidR="00BF35BC">
          <w:rPr>
            <w:webHidden/>
          </w:rPr>
        </w:r>
        <w:r w:rsidR="00BF35BC">
          <w:rPr>
            <w:webHidden/>
          </w:rPr>
          <w:fldChar w:fldCharType="separate"/>
        </w:r>
        <w:r w:rsidR="00A456ED">
          <w:rPr>
            <w:webHidden/>
          </w:rPr>
          <w:t>178</w:t>
        </w:r>
        <w:r w:rsidR="00BF35BC">
          <w:rPr>
            <w:webHidden/>
          </w:rPr>
          <w:fldChar w:fldCharType="end"/>
        </w:r>
      </w:hyperlink>
    </w:p>
    <w:p w14:paraId="6001166C" w14:textId="6CDBA120" w:rsidR="00BF35BC" w:rsidRDefault="00B76E8C">
      <w:pPr>
        <w:pStyle w:val="TableofFigures"/>
        <w:rPr>
          <w:rFonts w:asciiTheme="minorHAnsi" w:hAnsiTheme="minorHAnsi" w:cstheme="minorBidi"/>
          <w:lang w:eastAsia="en-AU"/>
        </w:rPr>
      </w:pPr>
      <w:hyperlink w:anchor="_Toc453065424" w:history="1">
        <w:r w:rsidR="00BF35BC" w:rsidRPr="00B35470">
          <w:rPr>
            <w:rStyle w:val="Hyperlink"/>
          </w:rPr>
          <w:t>Table 88</w:t>
        </w:r>
        <w:r w:rsidR="00BF35BC">
          <w:rPr>
            <w:rFonts w:asciiTheme="minorHAnsi" w:hAnsiTheme="minorHAnsi" w:cstheme="minorBidi"/>
            <w:lang w:eastAsia="en-AU"/>
          </w:rPr>
          <w:tab/>
        </w:r>
        <w:r w:rsidR="00BF35BC" w:rsidRPr="00B35470">
          <w:rPr>
            <w:rStyle w:val="Hyperlink"/>
          </w:rPr>
          <w:t>mRS at Day 365 after rehabilitation effects and after accounting for the risk of recurrent stroke (usual care given to treat all recurrent strokes)</w:t>
        </w:r>
        <w:r w:rsidR="00BF35BC">
          <w:rPr>
            <w:webHidden/>
          </w:rPr>
          <w:tab/>
        </w:r>
        <w:r w:rsidR="00BF35BC">
          <w:rPr>
            <w:webHidden/>
          </w:rPr>
          <w:fldChar w:fldCharType="begin"/>
        </w:r>
        <w:r w:rsidR="00BF35BC">
          <w:rPr>
            <w:webHidden/>
          </w:rPr>
          <w:instrText xml:space="preserve"> PAGEREF _Toc453065424 \h </w:instrText>
        </w:r>
        <w:r w:rsidR="00BF35BC">
          <w:rPr>
            <w:webHidden/>
          </w:rPr>
        </w:r>
        <w:r w:rsidR="00BF35BC">
          <w:rPr>
            <w:webHidden/>
          </w:rPr>
          <w:fldChar w:fldCharType="separate"/>
        </w:r>
        <w:r w:rsidR="00A456ED">
          <w:rPr>
            <w:webHidden/>
          </w:rPr>
          <w:t>178</w:t>
        </w:r>
        <w:r w:rsidR="00BF35BC">
          <w:rPr>
            <w:webHidden/>
          </w:rPr>
          <w:fldChar w:fldCharType="end"/>
        </w:r>
      </w:hyperlink>
    </w:p>
    <w:p w14:paraId="24C612B0" w14:textId="4E1FEC49" w:rsidR="00BF35BC" w:rsidRDefault="00B76E8C">
      <w:pPr>
        <w:pStyle w:val="TableofFigures"/>
        <w:rPr>
          <w:rFonts w:asciiTheme="minorHAnsi" w:hAnsiTheme="minorHAnsi" w:cstheme="minorBidi"/>
          <w:lang w:eastAsia="en-AU"/>
        </w:rPr>
      </w:pPr>
      <w:hyperlink w:anchor="_Toc453065425" w:history="1">
        <w:r w:rsidR="00BF35BC" w:rsidRPr="00B35470">
          <w:rPr>
            <w:rStyle w:val="Hyperlink"/>
          </w:rPr>
          <w:t>Table 89</w:t>
        </w:r>
        <w:r w:rsidR="00BF35BC">
          <w:rPr>
            <w:rFonts w:asciiTheme="minorHAnsi" w:hAnsiTheme="minorHAnsi" w:cstheme="minorBidi"/>
            <w:lang w:eastAsia="en-AU"/>
          </w:rPr>
          <w:tab/>
        </w:r>
        <w:r w:rsidR="00BF35BC" w:rsidRPr="00B35470">
          <w:rPr>
            <w:rStyle w:val="Hyperlink"/>
          </w:rPr>
          <w:t>Utility inputs considered in the base case analysis</w:t>
        </w:r>
        <w:r w:rsidR="00BF35BC">
          <w:rPr>
            <w:webHidden/>
          </w:rPr>
          <w:tab/>
        </w:r>
        <w:r w:rsidR="00BF35BC">
          <w:rPr>
            <w:webHidden/>
          </w:rPr>
          <w:fldChar w:fldCharType="begin"/>
        </w:r>
        <w:r w:rsidR="00BF35BC">
          <w:rPr>
            <w:webHidden/>
          </w:rPr>
          <w:instrText xml:space="preserve"> PAGEREF _Toc453065425 \h </w:instrText>
        </w:r>
        <w:r w:rsidR="00BF35BC">
          <w:rPr>
            <w:webHidden/>
          </w:rPr>
        </w:r>
        <w:r w:rsidR="00BF35BC">
          <w:rPr>
            <w:webHidden/>
          </w:rPr>
          <w:fldChar w:fldCharType="separate"/>
        </w:r>
        <w:r w:rsidR="00A456ED">
          <w:rPr>
            <w:webHidden/>
          </w:rPr>
          <w:t>180</w:t>
        </w:r>
        <w:r w:rsidR="00BF35BC">
          <w:rPr>
            <w:webHidden/>
          </w:rPr>
          <w:fldChar w:fldCharType="end"/>
        </w:r>
      </w:hyperlink>
    </w:p>
    <w:p w14:paraId="5DC7C187" w14:textId="76ED6A41" w:rsidR="00BF35BC" w:rsidRDefault="00B76E8C">
      <w:pPr>
        <w:pStyle w:val="TableofFigures"/>
        <w:rPr>
          <w:rFonts w:asciiTheme="minorHAnsi" w:hAnsiTheme="minorHAnsi" w:cstheme="minorBidi"/>
          <w:lang w:eastAsia="en-AU"/>
        </w:rPr>
      </w:pPr>
      <w:hyperlink w:anchor="_Toc453065426" w:history="1">
        <w:r w:rsidR="00BF35BC" w:rsidRPr="00B35470">
          <w:rPr>
            <w:rStyle w:val="Hyperlink"/>
          </w:rPr>
          <w:t>Table 90</w:t>
        </w:r>
        <w:r w:rsidR="00BF35BC">
          <w:rPr>
            <w:rFonts w:asciiTheme="minorHAnsi" w:hAnsiTheme="minorHAnsi" w:cstheme="minorBidi"/>
            <w:lang w:eastAsia="en-AU"/>
          </w:rPr>
          <w:tab/>
        </w:r>
        <w:r w:rsidR="00BF35BC" w:rsidRPr="00B35470">
          <w:rPr>
            <w:rStyle w:val="Hyperlink"/>
          </w:rPr>
          <w:t>Cost inputs considered in the base case analysis</w:t>
        </w:r>
        <w:r w:rsidR="00BF35BC">
          <w:rPr>
            <w:webHidden/>
          </w:rPr>
          <w:tab/>
        </w:r>
        <w:r w:rsidR="00BF35BC">
          <w:rPr>
            <w:webHidden/>
          </w:rPr>
          <w:fldChar w:fldCharType="begin"/>
        </w:r>
        <w:r w:rsidR="00BF35BC">
          <w:rPr>
            <w:webHidden/>
          </w:rPr>
          <w:instrText xml:space="preserve"> PAGEREF _Toc453065426 \h </w:instrText>
        </w:r>
        <w:r w:rsidR="00BF35BC">
          <w:rPr>
            <w:webHidden/>
          </w:rPr>
        </w:r>
        <w:r w:rsidR="00BF35BC">
          <w:rPr>
            <w:webHidden/>
          </w:rPr>
          <w:fldChar w:fldCharType="separate"/>
        </w:r>
        <w:r w:rsidR="00A456ED">
          <w:rPr>
            <w:webHidden/>
          </w:rPr>
          <w:t>180</w:t>
        </w:r>
        <w:r w:rsidR="00BF35BC">
          <w:rPr>
            <w:webHidden/>
          </w:rPr>
          <w:fldChar w:fldCharType="end"/>
        </w:r>
      </w:hyperlink>
    </w:p>
    <w:p w14:paraId="53583ED8" w14:textId="0FE4E993" w:rsidR="00BF35BC" w:rsidRDefault="00B76E8C">
      <w:pPr>
        <w:pStyle w:val="TableofFigures"/>
        <w:rPr>
          <w:rFonts w:asciiTheme="minorHAnsi" w:hAnsiTheme="minorHAnsi" w:cstheme="minorBidi"/>
          <w:lang w:eastAsia="en-AU"/>
        </w:rPr>
      </w:pPr>
      <w:hyperlink w:anchor="_Toc453065427" w:history="1">
        <w:r w:rsidR="00BF35BC" w:rsidRPr="00B35470">
          <w:rPr>
            <w:rStyle w:val="Hyperlink"/>
          </w:rPr>
          <w:t>Table 91</w:t>
        </w:r>
        <w:r w:rsidR="00BF35BC">
          <w:rPr>
            <w:rFonts w:asciiTheme="minorHAnsi" w:hAnsiTheme="minorHAnsi" w:cstheme="minorBidi"/>
            <w:lang w:eastAsia="en-AU"/>
          </w:rPr>
          <w:tab/>
        </w:r>
        <w:r w:rsidR="00BF35BC" w:rsidRPr="00B35470">
          <w:rPr>
            <w:rStyle w:val="Hyperlink"/>
          </w:rPr>
          <w:t>Break-down of base case results (per patient)</w:t>
        </w:r>
        <w:r w:rsidR="00BF35BC">
          <w:rPr>
            <w:webHidden/>
          </w:rPr>
          <w:tab/>
        </w:r>
        <w:r w:rsidR="00BF35BC">
          <w:rPr>
            <w:webHidden/>
          </w:rPr>
          <w:fldChar w:fldCharType="begin"/>
        </w:r>
        <w:r w:rsidR="00BF35BC">
          <w:rPr>
            <w:webHidden/>
          </w:rPr>
          <w:instrText xml:space="preserve"> PAGEREF _Toc453065427 \h </w:instrText>
        </w:r>
        <w:r w:rsidR="00BF35BC">
          <w:rPr>
            <w:webHidden/>
          </w:rPr>
        </w:r>
        <w:r w:rsidR="00BF35BC">
          <w:rPr>
            <w:webHidden/>
          </w:rPr>
          <w:fldChar w:fldCharType="separate"/>
        </w:r>
        <w:r w:rsidR="00A456ED">
          <w:rPr>
            <w:webHidden/>
          </w:rPr>
          <w:t>182</w:t>
        </w:r>
        <w:r w:rsidR="00BF35BC">
          <w:rPr>
            <w:webHidden/>
          </w:rPr>
          <w:fldChar w:fldCharType="end"/>
        </w:r>
      </w:hyperlink>
    </w:p>
    <w:p w14:paraId="7B6FC666" w14:textId="72CB8E04" w:rsidR="00BF35BC" w:rsidRDefault="00B76E8C">
      <w:pPr>
        <w:pStyle w:val="TableofFigures"/>
        <w:rPr>
          <w:rFonts w:asciiTheme="minorHAnsi" w:hAnsiTheme="minorHAnsi" w:cstheme="minorBidi"/>
          <w:lang w:eastAsia="en-AU"/>
        </w:rPr>
      </w:pPr>
      <w:hyperlink w:anchor="_Toc453065428" w:history="1">
        <w:r w:rsidR="00BF35BC" w:rsidRPr="00B35470">
          <w:rPr>
            <w:rStyle w:val="Hyperlink"/>
          </w:rPr>
          <w:t>Table 92</w:t>
        </w:r>
        <w:r w:rsidR="00BF35BC">
          <w:rPr>
            <w:rFonts w:asciiTheme="minorHAnsi" w:hAnsiTheme="minorHAnsi" w:cstheme="minorBidi"/>
            <w:lang w:eastAsia="en-AU"/>
          </w:rPr>
          <w:tab/>
        </w:r>
        <w:r w:rsidR="00BF35BC" w:rsidRPr="00B35470">
          <w:rPr>
            <w:rStyle w:val="Hyperlink"/>
          </w:rPr>
          <w:t>ICERs of mechanical thrombectomy vs usual care</w:t>
        </w:r>
        <w:r w:rsidR="00BF35BC">
          <w:rPr>
            <w:webHidden/>
          </w:rPr>
          <w:tab/>
        </w:r>
        <w:r w:rsidR="00BF35BC">
          <w:rPr>
            <w:webHidden/>
          </w:rPr>
          <w:fldChar w:fldCharType="begin"/>
        </w:r>
        <w:r w:rsidR="00BF35BC">
          <w:rPr>
            <w:webHidden/>
          </w:rPr>
          <w:instrText xml:space="preserve"> PAGEREF _Toc453065428 \h </w:instrText>
        </w:r>
        <w:r w:rsidR="00BF35BC">
          <w:rPr>
            <w:webHidden/>
          </w:rPr>
        </w:r>
        <w:r w:rsidR="00BF35BC">
          <w:rPr>
            <w:webHidden/>
          </w:rPr>
          <w:fldChar w:fldCharType="separate"/>
        </w:r>
        <w:r w:rsidR="00A456ED">
          <w:rPr>
            <w:webHidden/>
          </w:rPr>
          <w:t>183</w:t>
        </w:r>
        <w:r w:rsidR="00BF35BC">
          <w:rPr>
            <w:webHidden/>
          </w:rPr>
          <w:fldChar w:fldCharType="end"/>
        </w:r>
      </w:hyperlink>
    </w:p>
    <w:p w14:paraId="0A1B2068" w14:textId="4DFC82A5" w:rsidR="00BF35BC" w:rsidRDefault="00B76E8C">
      <w:pPr>
        <w:pStyle w:val="TableofFigures"/>
        <w:rPr>
          <w:rFonts w:asciiTheme="minorHAnsi" w:hAnsiTheme="minorHAnsi" w:cstheme="minorBidi"/>
          <w:lang w:eastAsia="en-AU"/>
        </w:rPr>
      </w:pPr>
      <w:hyperlink w:anchor="_Toc453065429" w:history="1">
        <w:r w:rsidR="00BF35BC" w:rsidRPr="00B35470">
          <w:rPr>
            <w:rStyle w:val="Hyperlink"/>
          </w:rPr>
          <w:t>Table 93</w:t>
        </w:r>
        <w:r w:rsidR="00BF35BC">
          <w:rPr>
            <w:rFonts w:asciiTheme="minorHAnsi" w:hAnsiTheme="minorHAnsi" w:cstheme="minorBidi"/>
            <w:lang w:eastAsia="en-AU"/>
          </w:rPr>
          <w:tab/>
        </w:r>
        <w:r w:rsidR="00BF35BC" w:rsidRPr="00B35470">
          <w:rPr>
            <w:rStyle w:val="Hyperlink"/>
          </w:rPr>
          <w:t>Results of stepped economic evaluation</w:t>
        </w:r>
        <w:r w:rsidR="00BF35BC">
          <w:rPr>
            <w:webHidden/>
          </w:rPr>
          <w:tab/>
        </w:r>
        <w:r w:rsidR="00BF35BC">
          <w:rPr>
            <w:webHidden/>
          </w:rPr>
          <w:fldChar w:fldCharType="begin"/>
        </w:r>
        <w:r w:rsidR="00BF35BC">
          <w:rPr>
            <w:webHidden/>
          </w:rPr>
          <w:instrText xml:space="preserve"> PAGEREF _Toc453065429 \h </w:instrText>
        </w:r>
        <w:r w:rsidR="00BF35BC">
          <w:rPr>
            <w:webHidden/>
          </w:rPr>
        </w:r>
        <w:r w:rsidR="00BF35BC">
          <w:rPr>
            <w:webHidden/>
          </w:rPr>
          <w:fldChar w:fldCharType="separate"/>
        </w:r>
        <w:r w:rsidR="00A456ED">
          <w:rPr>
            <w:webHidden/>
          </w:rPr>
          <w:t>183</w:t>
        </w:r>
        <w:r w:rsidR="00BF35BC">
          <w:rPr>
            <w:webHidden/>
          </w:rPr>
          <w:fldChar w:fldCharType="end"/>
        </w:r>
      </w:hyperlink>
    </w:p>
    <w:p w14:paraId="4DB6F83E" w14:textId="31385F52" w:rsidR="00BF35BC" w:rsidRDefault="00B76E8C">
      <w:pPr>
        <w:pStyle w:val="TableofFigures"/>
        <w:rPr>
          <w:rFonts w:asciiTheme="minorHAnsi" w:hAnsiTheme="minorHAnsi" w:cstheme="minorBidi"/>
          <w:lang w:eastAsia="en-AU"/>
        </w:rPr>
      </w:pPr>
      <w:hyperlink w:anchor="_Toc453065430" w:history="1">
        <w:r w:rsidR="00BF35BC" w:rsidRPr="00B35470">
          <w:rPr>
            <w:rStyle w:val="Hyperlink"/>
          </w:rPr>
          <w:t>Table 94</w:t>
        </w:r>
        <w:r w:rsidR="00BF35BC">
          <w:rPr>
            <w:rFonts w:asciiTheme="minorHAnsi" w:hAnsiTheme="minorHAnsi" w:cstheme="minorBidi"/>
            <w:lang w:eastAsia="en-AU"/>
          </w:rPr>
          <w:tab/>
        </w:r>
        <w:r w:rsidR="00BF35BC" w:rsidRPr="00B35470">
          <w:rPr>
            <w:rStyle w:val="Hyperlink"/>
          </w:rPr>
          <w:t>Sensitivity analysis; selection of clinical data</w:t>
        </w:r>
        <w:r w:rsidR="00BF35BC">
          <w:rPr>
            <w:webHidden/>
          </w:rPr>
          <w:tab/>
        </w:r>
        <w:r w:rsidR="00BF35BC">
          <w:rPr>
            <w:webHidden/>
          </w:rPr>
          <w:fldChar w:fldCharType="begin"/>
        </w:r>
        <w:r w:rsidR="00BF35BC">
          <w:rPr>
            <w:webHidden/>
          </w:rPr>
          <w:instrText xml:space="preserve"> PAGEREF _Toc453065430 \h </w:instrText>
        </w:r>
        <w:r w:rsidR="00BF35BC">
          <w:rPr>
            <w:webHidden/>
          </w:rPr>
        </w:r>
        <w:r w:rsidR="00BF35BC">
          <w:rPr>
            <w:webHidden/>
          </w:rPr>
          <w:fldChar w:fldCharType="separate"/>
        </w:r>
        <w:r w:rsidR="00A456ED">
          <w:rPr>
            <w:webHidden/>
          </w:rPr>
          <w:t>185</w:t>
        </w:r>
        <w:r w:rsidR="00BF35BC">
          <w:rPr>
            <w:webHidden/>
          </w:rPr>
          <w:fldChar w:fldCharType="end"/>
        </w:r>
      </w:hyperlink>
    </w:p>
    <w:p w14:paraId="7F5E40C8" w14:textId="50EA16AA" w:rsidR="00BF35BC" w:rsidRDefault="00B76E8C">
      <w:pPr>
        <w:pStyle w:val="TableofFigures"/>
        <w:rPr>
          <w:rFonts w:asciiTheme="minorHAnsi" w:hAnsiTheme="minorHAnsi" w:cstheme="minorBidi"/>
          <w:lang w:eastAsia="en-AU"/>
        </w:rPr>
      </w:pPr>
      <w:hyperlink w:anchor="_Toc453065431" w:history="1">
        <w:r w:rsidR="00BF35BC" w:rsidRPr="00B35470">
          <w:rPr>
            <w:rStyle w:val="Hyperlink"/>
          </w:rPr>
          <w:t>Table 95</w:t>
        </w:r>
        <w:r w:rsidR="00BF35BC">
          <w:rPr>
            <w:rFonts w:asciiTheme="minorHAnsi" w:hAnsiTheme="minorHAnsi" w:cstheme="minorBidi"/>
            <w:lang w:eastAsia="en-AU"/>
          </w:rPr>
          <w:tab/>
        </w:r>
        <w:r w:rsidR="00BF35BC" w:rsidRPr="00B35470">
          <w:rPr>
            <w:rStyle w:val="Hyperlink"/>
          </w:rPr>
          <w:t>mRS at Day 90; ESCAPE, among subjects who did not receive IV-tPA</w:t>
        </w:r>
        <w:r w:rsidR="00BF35BC">
          <w:rPr>
            <w:webHidden/>
          </w:rPr>
          <w:tab/>
        </w:r>
        <w:r w:rsidR="00BF35BC">
          <w:rPr>
            <w:webHidden/>
          </w:rPr>
          <w:fldChar w:fldCharType="begin"/>
        </w:r>
        <w:r w:rsidR="00BF35BC">
          <w:rPr>
            <w:webHidden/>
          </w:rPr>
          <w:instrText xml:space="preserve"> PAGEREF _Toc453065431 \h </w:instrText>
        </w:r>
        <w:r w:rsidR="00BF35BC">
          <w:rPr>
            <w:webHidden/>
          </w:rPr>
        </w:r>
        <w:r w:rsidR="00BF35BC">
          <w:rPr>
            <w:webHidden/>
          </w:rPr>
          <w:fldChar w:fldCharType="separate"/>
        </w:r>
        <w:r w:rsidR="00A456ED">
          <w:rPr>
            <w:webHidden/>
          </w:rPr>
          <w:t>186</w:t>
        </w:r>
        <w:r w:rsidR="00BF35BC">
          <w:rPr>
            <w:webHidden/>
          </w:rPr>
          <w:fldChar w:fldCharType="end"/>
        </w:r>
      </w:hyperlink>
    </w:p>
    <w:p w14:paraId="5DE825D3" w14:textId="6A93C176" w:rsidR="00BF35BC" w:rsidRDefault="00B76E8C">
      <w:pPr>
        <w:pStyle w:val="TableofFigures"/>
        <w:rPr>
          <w:rFonts w:asciiTheme="minorHAnsi" w:hAnsiTheme="minorHAnsi" w:cstheme="minorBidi"/>
          <w:lang w:eastAsia="en-AU"/>
        </w:rPr>
      </w:pPr>
      <w:hyperlink w:anchor="_Toc453065432" w:history="1">
        <w:r w:rsidR="00BF35BC" w:rsidRPr="00B35470">
          <w:rPr>
            <w:rStyle w:val="Hyperlink"/>
          </w:rPr>
          <w:t>Table 96</w:t>
        </w:r>
        <w:r w:rsidR="00BF35BC">
          <w:rPr>
            <w:rFonts w:asciiTheme="minorHAnsi" w:hAnsiTheme="minorHAnsi" w:cstheme="minorBidi"/>
            <w:lang w:eastAsia="en-AU"/>
          </w:rPr>
          <w:tab/>
        </w:r>
        <w:r w:rsidR="00BF35BC" w:rsidRPr="00B35470">
          <w:rPr>
            <w:rStyle w:val="Hyperlink"/>
          </w:rPr>
          <w:t>Sensitivity analysis; selection of clinical data</w:t>
        </w:r>
        <w:r w:rsidR="00BF35BC">
          <w:rPr>
            <w:webHidden/>
          </w:rPr>
          <w:tab/>
        </w:r>
        <w:r w:rsidR="00BF35BC">
          <w:rPr>
            <w:webHidden/>
          </w:rPr>
          <w:fldChar w:fldCharType="begin"/>
        </w:r>
        <w:r w:rsidR="00BF35BC">
          <w:rPr>
            <w:webHidden/>
          </w:rPr>
          <w:instrText xml:space="preserve"> PAGEREF _Toc453065432 \h </w:instrText>
        </w:r>
        <w:r w:rsidR="00BF35BC">
          <w:rPr>
            <w:webHidden/>
          </w:rPr>
        </w:r>
        <w:r w:rsidR="00BF35BC">
          <w:rPr>
            <w:webHidden/>
          </w:rPr>
          <w:fldChar w:fldCharType="separate"/>
        </w:r>
        <w:r w:rsidR="00A456ED">
          <w:rPr>
            <w:webHidden/>
          </w:rPr>
          <w:t>187</w:t>
        </w:r>
        <w:r w:rsidR="00BF35BC">
          <w:rPr>
            <w:webHidden/>
          </w:rPr>
          <w:fldChar w:fldCharType="end"/>
        </w:r>
      </w:hyperlink>
    </w:p>
    <w:p w14:paraId="2E000285" w14:textId="4369FA56" w:rsidR="00BF35BC" w:rsidRDefault="00B76E8C">
      <w:pPr>
        <w:pStyle w:val="TableofFigures"/>
        <w:rPr>
          <w:rFonts w:asciiTheme="minorHAnsi" w:hAnsiTheme="minorHAnsi" w:cstheme="minorBidi"/>
          <w:lang w:eastAsia="en-AU"/>
        </w:rPr>
      </w:pPr>
      <w:hyperlink w:anchor="_Toc453065433" w:history="1">
        <w:r w:rsidR="00BF35BC" w:rsidRPr="00B35470">
          <w:rPr>
            <w:rStyle w:val="Hyperlink"/>
          </w:rPr>
          <w:t>Table 97</w:t>
        </w:r>
        <w:r w:rsidR="00BF35BC">
          <w:rPr>
            <w:rFonts w:asciiTheme="minorHAnsi" w:hAnsiTheme="minorHAnsi" w:cstheme="minorBidi"/>
            <w:lang w:eastAsia="en-AU"/>
          </w:rPr>
          <w:tab/>
        </w:r>
        <w:r w:rsidR="00BF35BC" w:rsidRPr="00B35470">
          <w:rPr>
            <w:rStyle w:val="Hyperlink"/>
          </w:rPr>
          <w:t>Sensitivity analysis; other parameters</w:t>
        </w:r>
        <w:r w:rsidR="00BF35BC">
          <w:rPr>
            <w:webHidden/>
          </w:rPr>
          <w:tab/>
        </w:r>
        <w:r w:rsidR="00BF35BC">
          <w:rPr>
            <w:webHidden/>
          </w:rPr>
          <w:fldChar w:fldCharType="begin"/>
        </w:r>
        <w:r w:rsidR="00BF35BC">
          <w:rPr>
            <w:webHidden/>
          </w:rPr>
          <w:instrText xml:space="preserve"> PAGEREF _Toc453065433 \h </w:instrText>
        </w:r>
        <w:r w:rsidR="00BF35BC">
          <w:rPr>
            <w:webHidden/>
          </w:rPr>
        </w:r>
        <w:r w:rsidR="00BF35BC">
          <w:rPr>
            <w:webHidden/>
          </w:rPr>
          <w:fldChar w:fldCharType="separate"/>
        </w:r>
        <w:r w:rsidR="00A456ED">
          <w:rPr>
            <w:webHidden/>
          </w:rPr>
          <w:t>188</w:t>
        </w:r>
        <w:r w:rsidR="00BF35BC">
          <w:rPr>
            <w:webHidden/>
          </w:rPr>
          <w:fldChar w:fldCharType="end"/>
        </w:r>
      </w:hyperlink>
    </w:p>
    <w:p w14:paraId="516D6D40" w14:textId="7572FEFD" w:rsidR="00BF35BC" w:rsidRDefault="00B76E8C">
      <w:pPr>
        <w:pStyle w:val="TableofFigures"/>
        <w:rPr>
          <w:rFonts w:asciiTheme="minorHAnsi" w:hAnsiTheme="minorHAnsi" w:cstheme="minorBidi"/>
          <w:lang w:eastAsia="en-AU"/>
        </w:rPr>
      </w:pPr>
      <w:hyperlink w:anchor="_Toc453065434" w:history="1">
        <w:r w:rsidR="00BF35BC" w:rsidRPr="00B35470">
          <w:rPr>
            <w:rStyle w:val="Hyperlink"/>
          </w:rPr>
          <w:t>Table 98</w:t>
        </w:r>
        <w:r w:rsidR="00BF35BC">
          <w:rPr>
            <w:rFonts w:asciiTheme="minorHAnsi" w:hAnsiTheme="minorHAnsi" w:cstheme="minorBidi"/>
            <w:lang w:eastAsia="en-AU"/>
          </w:rPr>
          <w:tab/>
        </w:r>
        <w:r w:rsidR="00BF35BC" w:rsidRPr="00B35470">
          <w:rPr>
            <w:rStyle w:val="Hyperlink"/>
          </w:rPr>
          <w:t>ICERs of mechanical thrombectomy vs usual care – Alternative Model 1</w:t>
        </w:r>
        <w:r w:rsidR="00BF35BC">
          <w:rPr>
            <w:webHidden/>
          </w:rPr>
          <w:tab/>
        </w:r>
        <w:r w:rsidR="00BF35BC">
          <w:rPr>
            <w:webHidden/>
          </w:rPr>
          <w:fldChar w:fldCharType="begin"/>
        </w:r>
        <w:r w:rsidR="00BF35BC">
          <w:rPr>
            <w:webHidden/>
          </w:rPr>
          <w:instrText xml:space="preserve"> PAGEREF _Toc453065434 \h </w:instrText>
        </w:r>
        <w:r w:rsidR="00BF35BC">
          <w:rPr>
            <w:webHidden/>
          </w:rPr>
        </w:r>
        <w:r w:rsidR="00BF35BC">
          <w:rPr>
            <w:webHidden/>
          </w:rPr>
          <w:fldChar w:fldCharType="separate"/>
        </w:r>
        <w:r w:rsidR="00A456ED">
          <w:rPr>
            <w:webHidden/>
          </w:rPr>
          <w:t>189</w:t>
        </w:r>
        <w:r w:rsidR="00BF35BC">
          <w:rPr>
            <w:webHidden/>
          </w:rPr>
          <w:fldChar w:fldCharType="end"/>
        </w:r>
      </w:hyperlink>
    </w:p>
    <w:p w14:paraId="6E050E48" w14:textId="2B1E4EA5" w:rsidR="00BF35BC" w:rsidRDefault="00B76E8C">
      <w:pPr>
        <w:pStyle w:val="TableofFigures"/>
        <w:rPr>
          <w:rFonts w:asciiTheme="minorHAnsi" w:hAnsiTheme="minorHAnsi" w:cstheme="minorBidi"/>
          <w:lang w:eastAsia="en-AU"/>
        </w:rPr>
      </w:pPr>
      <w:hyperlink w:anchor="_Toc453065435" w:history="1">
        <w:r w:rsidR="00BF35BC" w:rsidRPr="00B35470">
          <w:rPr>
            <w:rStyle w:val="Hyperlink"/>
          </w:rPr>
          <w:t>Table 99</w:t>
        </w:r>
        <w:r w:rsidR="00BF35BC">
          <w:rPr>
            <w:rFonts w:asciiTheme="minorHAnsi" w:hAnsiTheme="minorHAnsi" w:cstheme="minorBidi"/>
            <w:lang w:eastAsia="en-AU"/>
          </w:rPr>
          <w:tab/>
        </w:r>
        <w:r w:rsidR="00BF35BC" w:rsidRPr="00B35470">
          <w:rPr>
            <w:rStyle w:val="Hyperlink"/>
          </w:rPr>
          <w:t>ICERs of mechanical thrombectomy vs usual care – Alternative Model 2</w:t>
        </w:r>
        <w:r w:rsidR="00BF35BC">
          <w:rPr>
            <w:webHidden/>
          </w:rPr>
          <w:tab/>
        </w:r>
        <w:r w:rsidR="00BF35BC">
          <w:rPr>
            <w:webHidden/>
          </w:rPr>
          <w:fldChar w:fldCharType="begin"/>
        </w:r>
        <w:r w:rsidR="00BF35BC">
          <w:rPr>
            <w:webHidden/>
          </w:rPr>
          <w:instrText xml:space="preserve"> PAGEREF _Toc453065435 \h </w:instrText>
        </w:r>
        <w:r w:rsidR="00BF35BC">
          <w:rPr>
            <w:webHidden/>
          </w:rPr>
        </w:r>
        <w:r w:rsidR="00BF35BC">
          <w:rPr>
            <w:webHidden/>
          </w:rPr>
          <w:fldChar w:fldCharType="separate"/>
        </w:r>
        <w:r w:rsidR="00A456ED">
          <w:rPr>
            <w:webHidden/>
          </w:rPr>
          <w:t>190</w:t>
        </w:r>
        <w:r w:rsidR="00BF35BC">
          <w:rPr>
            <w:webHidden/>
          </w:rPr>
          <w:fldChar w:fldCharType="end"/>
        </w:r>
      </w:hyperlink>
    </w:p>
    <w:p w14:paraId="5301DEC9" w14:textId="7527704E" w:rsidR="00BF35BC" w:rsidRDefault="00B76E8C">
      <w:pPr>
        <w:pStyle w:val="TableofFigures"/>
        <w:rPr>
          <w:rFonts w:asciiTheme="minorHAnsi" w:hAnsiTheme="minorHAnsi" w:cstheme="minorBidi"/>
          <w:lang w:eastAsia="en-AU"/>
        </w:rPr>
      </w:pPr>
      <w:hyperlink w:anchor="_Toc453065436" w:history="1">
        <w:r w:rsidR="00BF35BC" w:rsidRPr="00B35470">
          <w:rPr>
            <w:rStyle w:val="Hyperlink"/>
          </w:rPr>
          <w:t>Table 100</w:t>
        </w:r>
        <w:r w:rsidR="00BF35BC">
          <w:rPr>
            <w:rFonts w:asciiTheme="minorHAnsi" w:hAnsiTheme="minorHAnsi" w:cstheme="minorBidi"/>
            <w:lang w:eastAsia="en-AU"/>
          </w:rPr>
          <w:tab/>
        </w:r>
        <w:r w:rsidR="00BF35BC" w:rsidRPr="00B35470">
          <w:rPr>
            <w:rStyle w:val="Hyperlink"/>
          </w:rPr>
          <w:t>Estimated incidence of acute ischaemic stroke due to large vessel occlusion in Australia, 2016</w:t>
        </w:r>
        <w:r w:rsidR="00BF35BC">
          <w:rPr>
            <w:webHidden/>
          </w:rPr>
          <w:tab/>
        </w:r>
        <w:r w:rsidR="00BF35BC">
          <w:rPr>
            <w:webHidden/>
          </w:rPr>
          <w:fldChar w:fldCharType="begin"/>
        </w:r>
        <w:r w:rsidR="00BF35BC">
          <w:rPr>
            <w:webHidden/>
          </w:rPr>
          <w:instrText xml:space="preserve"> PAGEREF _Toc453065436 \h </w:instrText>
        </w:r>
        <w:r w:rsidR="00BF35BC">
          <w:rPr>
            <w:webHidden/>
          </w:rPr>
        </w:r>
        <w:r w:rsidR="00BF35BC">
          <w:rPr>
            <w:webHidden/>
          </w:rPr>
          <w:fldChar w:fldCharType="separate"/>
        </w:r>
        <w:r w:rsidR="00A456ED">
          <w:rPr>
            <w:webHidden/>
          </w:rPr>
          <w:t>194</w:t>
        </w:r>
        <w:r w:rsidR="00BF35BC">
          <w:rPr>
            <w:webHidden/>
          </w:rPr>
          <w:fldChar w:fldCharType="end"/>
        </w:r>
      </w:hyperlink>
    </w:p>
    <w:p w14:paraId="09CC9DF7" w14:textId="435128F3" w:rsidR="00BF35BC" w:rsidRDefault="00B76E8C">
      <w:pPr>
        <w:pStyle w:val="TableofFigures"/>
        <w:rPr>
          <w:rFonts w:asciiTheme="minorHAnsi" w:hAnsiTheme="minorHAnsi" w:cstheme="minorBidi"/>
          <w:lang w:eastAsia="en-AU"/>
        </w:rPr>
      </w:pPr>
      <w:hyperlink w:anchor="_Toc453065437" w:history="1">
        <w:r w:rsidR="00BF35BC" w:rsidRPr="00B35470">
          <w:rPr>
            <w:rStyle w:val="Hyperlink"/>
          </w:rPr>
          <w:t>Table 101</w:t>
        </w:r>
        <w:r w:rsidR="00BF35BC">
          <w:rPr>
            <w:rFonts w:asciiTheme="minorHAnsi" w:hAnsiTheme="minorHAnsi" w:cstheme="minorBidi"/>
            <w:lang w:eastAsia="en-AU"/>
          </w:rPr>
          <w:tab/>
        </w:r>
        <w:r w:rsidR="00BF35BC" w:rsidRPr="00B35470">
          <w:rPr>
            <w:rStyle w:val="Hyperlink"/>
          </w:rPr>
          <w:t>Ischaemic stroke by stroke subtypes, the Perth Community Stroke Study</w:t>
        </w:r>
        <w:r w:rsidR="00BF35BC">
          <w:rPr>
            <w:webHidden/>
          </w:rPr>
          <w:tab/>
        </w:r>
        <w:r w:rsidR="00BF35BC">
          <w:rPr>
            <w:webHidden/>
          </w:rPr>
          <w:fldChar w:fldCharType="begin"/>
        </w:r>
        <w:r w:rsidR="00BF35BC">
          <w:rPr>
            <w:webHidden/>
          </w:rPr>
          <w:instrText xml:space="preserve"> PAGEREF _Toc453065437 \h </w:instrText>
        </w:r>
        <w:r w:rsidR="00BF35BC">
          <w:rPr>
            <w:webHidden/>
          </w:rPr>
        </w:r>
        <w:r w:rsidR="00BF35BC">
          <w:rPr>
            <w:webHidden/>
          </w:rPr>
          <w:fldChar w:fldCharType="separate"/>
        </w:r>
        <w:r w:rsidR="00A456ED">
          <w:rPr>
            <w:webHidden/>
          </w:rPr>
          <w:t>194</w:t>
        </w:r>
        <w:r w:rsidR="00BF35BC">
          <w:rPr>
            <w:webHidden/>
          </w:rPr>
          <w:fldChar w:fldCharType="end"/>
        </w:r>
      </w:hyperlink>
    </w:p>
    <w:p w14:paraId="09D4B126" w14:textId="6BA271CC" w:rsidR="00BF35BC" w:rsidRDefault="00B76E8C">
      <w:pPr>
        <w:pStyle w:val="TableofFigures"/>
        <w:rPr>
          <w:rFonts w:asciiTheme="minorHAnsi" w:hAnsiTheme="minorHAnsi" w:cstheme="minorBidi"/>
          <w:lang w:eastAsia="en-AU"/>
        </w:rPr>
      </w:pPr>
      <w:hyperlink w:anchor="_Toc453065438" w:history="1">
        <w:r w:rsidR="00BF35BC" w:rsidRPr="00B35470">
          <w:rPr>
            <w:rStyle w:val="Hyperlink"/>
          </w:rPr>
          <w:t>Table 102</w:t>
        </w:r>
        <w:r w:rsidR="00BF35BC">
          <w:rPr>
            <w:rFonts w:asciiTheme="minorHAnsi" w:hAnsiTheme="minorHAnsi" w:cstheme="minorBidi"/>
            <w:lang w:eastAsia="en-AU"/>
          </w:rPr>
          <w:tab/>
        </w:r>
        <w:r w:rsidR="00BF35BC" w:rsidRPr="00B35470">
          <w:rPr>
            <w:rStyle w:val="Hyperlink"/>
          </w:rPr>
          <w:t>Estimated incidence of acute ischaemic stroke due to large vessel occlusion – IV-tPA treated and admission by 4.5 hours of symptom onset</w:t>
        </w:r>
        <w:r w:rsidR="00BF35BC">
          <w:rPr>
            <w:webHidden/>
          </w:rPr>
          <w:tab/>
        </w:r>
        <w:r w:rsidR="00BF35BC">
          <w:rPr>
            <w:webHidden/>
          </w:rPr>
          <w:fldChar w:fldCharType="begin"/>
        </w:r>
        <w:r w:rsidR="00BF35BC">
          <w:rPr>
            <w:webHidden/>
          </w:rPr>
          <w:instrText xml:space="preserve"> PAGEREF _Toc453065438 \h </w:instrText>
        </w:r>
        <w:r w:rsidR="00BF35BC">
          <w:rPr>
            <w:webHidden/>
          </w:rPr>
        </w:r>
        <w:r w:rsidR="00BF35BC">
          <w:rPr>
            <w:webHidden/>
          </w:rPr>
          <w:fldChar w:fldCharType="separate"/>
        </w:r>
        <w:r w:rsidR="00A456ED">
          <w:rPr>
            <w:webHidden/>
          </w:rPr>
          <w:t>195</w:t>
        </w:r>
        <w:r w:rsidR="00BF35BC">
          <w:rPr>
            <w:webHidden/>
          </w:rPr>
          <w:fldChar w:fldCharType="end"/>
        </w:r>
      </w:hyperlink>
    </w:p>
    <w:p w14:paraId="3F9CBCEC" w14:textId="2F238229" w:rsidR="00BF35BC" w:rsidRDefault="00B76E8C">
      <w:pPr>
        <w:pStyle w:val="TableofFigures"/>
        <w:rPr>
          <w:rFonts w:asciiTheme="minorHAnsi" w:hAnsiTheme="minorHAnsi" w:cstheme="minorBidi"/>
          <w:lang w:eastAsia="en-AU"/>
        </w:rPr>
      </w:pPr>
      <w:hyperlink w:anchor="_Toc453065439" w:history="1">
        <w:r w:rsidR="00BF35BC" w:rsidRPr="00B35470">
          <w:rPr>
            <w:rStyle w:val="Hyperlink"/>
          </w:rPr>
          <w:t>Table 103</w:t>
        </w:r>
        <w:r w:rsidR="00BF35BC">
          <w:rPr>
            <w:rFonts w:asciiTheme="minorHAnsi" w:hAnsiTheme="minorHAnsi" w:cstheme="minorBidi"/>
            <w:lang w:eastAsia="en-AU"/>
          </w:rPr>
          <w:tab/>
        </w:r>
        <w:r w:rsidR="00BF35BC" w:rsidRPr="00B35470">
          <w:rPr>
            <w:rStyle w:val="Hyperlink"/>
          </w:rPr>
          <w:t>Summary of guideline recommendations relevant to proposed populations most suitable for mechanical thrombectomy</w:t>
        </w:r>
        <w:r w:rsidR="00BF35BC">
          <w:rPr>
            <w:webHidden/>
          </w:rPr>
          <w:tab/>
        </w:r>
        <w:r w:rsidR="00BF35BC">
          <w:rPr>
            <w:webHidden/>
          </w:rPr>
          <w:fldChar w:fldCharType="begin"/>
        </w:r>
        <w:r w:rsidR="00BF35BC">
          <w:rPr>
            <w:webHidden/>
          </w:rPr>
          <w:instrText xml:space="preserve"> PAGEREF _Toc453065439 \h </w:instrText>
        </w:r>
        <w:r w:rsidR="00BF35BC">
          <w:rPr>
            <w:webHidden/>
          </w:rPr>
        </w:r>
        <w:r w:rsidR="00BF35BC">
          <w:rPr>
            <w:webHidden/>
          </w:rPr>
          <w:fldChar w:fldCharType="separate"/>
        </w:r>
        <w:r w:rsidR="00A456ED">
          <w:rPr>
            <w:webHidden/>
          </w:rPr>
          <w:t>196</w:t>
        </w:r>
        <w:r w:rsidR="00BF35BC">
          <w:rPr>
            <w:webHidden/>
          </w:rPr>
          <w:fldChar w:fldCharType="end"/>
        </w:r>
      </w:hyperlink>
    </w:p>
    <w:p w14:paraId="7B087376" w14:textId="787F0E68" w:rsidR="00BF35BC" w:rsidRDefault="00B76E8C">
      <w:pPr>
        <w:pStyle w:val="TableofFigures"/>
        <w:rPr>
          <w:rFonts w:asciiTheme="minorHAnsi" w:hAnsiTheme="minorHAnsi" w:cstheme="minorBidi"/>
          <w:lang w:eastAsia="en-AU"/>
        </w:rPr>
      </w:pPr>
      <w:hyperlink w:anchor="_Toc453065440" w:history="1">
        <w:r w:rsidR="00BF35BC" w:rsidRPr="00B35470">
          <w:rPr>
            <w:rStyle w:val="Hyperlink"/>
          </w:rPr>
          <w:t>Table 104</w:t>
        </w:r>
        <w:r w:rsidR="00BF35BC">
          <w:rPr>
            <w:rFonts w:asciiTheme="minorHAnsi" w:hAnsiTheme="minorHAnsi" w:cstheme="minorBidi"/>
            <w:lang w:eastAsia="en-AU"/>
          </w:rPr>
          <w:tab/>
        </w:r>
        <w:r w:rsidR="00BF35BC" w:rsidRPr="00B35470">
          <w:rPr>
            <w:rStyle w:val="Hyperlink"/>
          </w:rPr>
          <w:t>Estimated number of patients potentially becoming eligible for mechanical thrombectomy under the proposed listing in 2016 (not considering the capacity issues)</w:t>
        </w:r>
        <w:r w:rsidR="00BF35BC">
          <w:rPr>
            <w:webHidden/>
          </w:rPr>
          <w:tab/>
        </w:r>
        <w:r w:rsidR="00BF35BC">
          <w:rPr>
            <w:webHidden/>
          </w:rPr>
          <w:fldChar w:fldCharType="begin"/>
        </w:r>
        <w:r w:rsidR="00BF35BC">
          <w:rPr>
            <w:webHidden/>
          </w:rPr>
          <w:instrText xml:space="preserve"> PAGEREF _Toc453065440 \h </w:instrText>
        </w:r>
        <w:r w:rsidR="00BF35BC">
          <w:rPr>
            <w:webHidden/>
          </w:rPr>
        </w:r>
        <w:r w:rsidR="00BF35BC">
          <w:rPr>
            <w:webHidden/>
          </w:rPr>
          <w:fldChar w:fldCharType="separate"/>
        </w:r>
        <w:r w:rsidR="00A456ED">
          <w:rPr>
            <w:webHidden/>
          </w:rPr>
          <w:t>197</w:t>
        </w:r>
        <w:r w:rsidR="00BF35BC">
          <w:rPr>
            <w:webHidden/>
          </w:rPr>
          <w:fldChar w:fldCharType="end"/>
        </w:r>
      </w:hyperlink>
    </w:p>
    <w:p w14:paraId="0E426BE2" w14:textId="0F770F57" w:rsidR="00BF35BC" w:rsidRDefault="00B76E8C">
      <w:pPr>
        <w:pStyle w:val="TableofFigures"/>
        <w:rPr>
          <w:rFonts w:asciiTheme="minorHAnsi" w:hAnsiTheme="minorHAnsi" w:cstheme="minorBidi"/>
          <w:lang w:eastAsia="en-AU"/>
        </w:rPr>
      </w:pPr>
      <w:hyperlink w:anchor="_Toc453065441" w:history="1">
        <w:r w:rsidR="00BF35BC" w:rsidRPr="00B35470">
          <w:rPr>
            <w:rStyle w:val="Hyperlink"/>
          </w:rPr>
          <w:t>Table 105</w:t>
        </w:r>
        <w:r w:rsidR="00BF35BC">
          <w:rPr>
            <w:rFonts w:asciiTheme="minorHAnsi" w:hAnsiTheme="minorHAnsi" w:cstheme="minorBidi"/>
            <w:lang w:eastAsia="en-AU"/>
          </w:rPr>
          <w:tab/>
        </w:r>
        <w:r w:rsidR="00BF35BC" w:rsidRPr="00B35470">
          <w:rPr>
            <w:rStyle w:val="Hyperlink"/>
          </w:rPr>
          <w:t>Capacity to provide selected hyperacute services within hospitals (N=108) by hospital volume</w:t>
        </w:r>
        <w:r w:rsidR="00BF35BC">
          <w:rPr>
            <w:webHidden/>
          </w:rPr>
          <w:tab/>
        </w:r>
        <w:r w:rsidR="00BF35BC">
          <w:rPr>
            <w:webHidden/>
          </w:rPr>
          <w:fldChar w:fldCharType="begin"/>
        </w:r>
        <w:r w:rsidR="00BF35BC">
          <w:rPr>
            <w:webHidden/>
          </w:rPr>
          <w:instrText xml:space="preserve"> PAGEREF _Toc453065441 \h </w:instrText>
        </w:r>
        <w:r w:rsidR="00BF35BC">
          <w:rPr>
            <w:webHidden/>
          </w:rPr>
        </w:r>
        <w:r w:rsidR="00BF35BC">
          <w:rPr>
            <w:webHidden/>
          </w:rPr>
          <w:fldChar w:fldCharType="separate"/>
        </w:r>
        <w:r w:rsidR="00A456ED">
          <w:rPr>
            <w:webHidden/>
          </w:rPr>
          <w:t>200</w:t>
        </w:r>
        <w:r w:rsidR="00BF35BC">
          <w:rPr>
            <w:webHidden/>
          </w:rPr>
          <w:fldChar w:fldCharType="end"/>
        </w:r>
      </w:hyperlink>
    </w:p>
    <w:p w14:paraId="253173E0" w14:textId="003390BF" w:rsidR="00BF35BC" w:rsidRDefault="00B76E8C">
      <w:pPr>
        <w:pStyle w:val="TableofFigures"/>
        <w:rPr>
          <w:rFonts w:asciiTheme="minorHAnsi" w:hAnsiTheme="minorHAnsi" w:cstheme="minorBidi"/>
          <w:lang w:eastAsia="en-AU"/>
        </w:rPr>
      </w:pPr>
      <w:hyperlink w:anchor="_Toc453065442" w:history="1">
        <w:r w:rsidR="00BF35BC" w:rsidRPr="00B35470">
          <w:rPr>
            <w:rStyle w:val="Hyperlink"/>
          </w:rPr>
          <w:t>Table 106</w:t>
        </w:r>
        <w:r w:rsidR="00BF35BC">
          <w:rPr>
            <w:rFonts w:asciiTheme="minorHAnsi" w:hAnsiTheme="minorHAnsi" w:cstheme="minorBidi"/>
            <w:lang w:eastAsia="en-AU"/>
          </w:rPr>
          <w:tab/>
        </w:r>
        <w:r w:rsidR="00BF35BC" w:rsidRPr="00B35470">
          <w:rPr>
            <w:rStyle w:val="Hyperlink"/>
          </w:rPr>
          <w:t>Number of MT procedures performed at private centres in Australia</w:t>
        </w:r>
        <w:r w:rsidR="00BF35BC">
          <w:rPr>
            <w:webHidden/>
          </w:rPr>
          <w:tab/>
        </w:r>
        <w:r w:rsidR="00BF35BC">
          <w:rPr>
            <w:webHidden/>
          </w:rPr>
          <w:fldChar w:fldCharType="begin"/>
        </w:r>
        <w:r w:rsidR="00BF35BC">
          <w:rPr>
            <w:webHidden/>
          </w:rPr>
          <w:instrText xml:space="preserve"> PAGEREF _Toc453065442 \h </w:instrText>
        </w:r>
        <w:r w:rsidR="00BF35BC">
          <w:rPr>
            <w:webHidden/>
          </w:rPr>
        </w:r>
        <w:r w:rsidR="00BF35BC">
          <w:rPr>
            <w:webHidden/>
          </w:rPr>
          <w:fldChar w:fldCharType="separate"/>
        </w:r>
        <w:r w:rsidR="00A456ED">
          <w:rPr>
            <w:webHidden/>
          </w:rPr>
          <w:t>201</w:t>
        </w:r>
        <w:r w:rsidR="00BF35BC">
          <w:rPr>
            <w:webHidden/>
          </w:rPr>
          <w:fldChar w:fldCharType="end"/>
        </w:r>
      </w:hyperlink>
    </w:p>
    <w:p w14:paraId="753729BF" w14:textId="442EB536" w:rsidR="00BF35BC" w:rsidRDefault="00B76E8C">
      <w:pPr>
        <w:pStyle w:val="TableofFigures"/>
        <w:rPr>
          <w:rFonts w:asciiTheme="minorHAnsi" w:hAnsiTheme="minorHAnsi" w:cstheme="minorBidi"/>
          <w:lang w:eastAsia="en-AU"/>
        </w:rPr>
      </w:pPr>
      <w:hyperlink w:anchor="_Toc453065443" w:history="1">
        <w:r w:rsidR="00BF35BC" w:rsidRPr="00B35470">
          <w:rPr>
            <w:rStyle w:val="Hyperlink"/>
          </w:rPr>
          <w:t>Table 107</w:t>
        </w:r>
        <w:r w:rsidR="00BF35BC">
          <w:rPr>
            <w:rFonts w:asciiTheme="minorHAnsi" w:hAnsiTheme="minorHAnsi" w:cstheme="minorBidi"/>
            <w:lang w:eastAsia="en-AU"/>
          </w:rPr>
          <w:tab/>
        </w:r>
        <w:r w:rsidR="00BF35BC" w:rsidRPr="00B35470">
          <w:rPr>
            <w:rStyle w:val="Hyperlink"/>
          </w:rPr>
          <w:t>Number of MT procedures performed at private centres in Australia, Year 1 to Year 5 based on the linear growth assumption from the current caseload</w:t>
        </w:r>
        <w:r w:rsidR="00BF35BC">
          <w:rPr>
            <w:webHidden/>
          </w:rPr>
          <w:tab/>
        </w:r>
        <w:r w:rsidR="00BF35BC">
          <w:rPr>
            <w:webHidden/>
          </w:rPr>
          <w:fldChar w:fldCharType="begin"/>
        </w:r>
        <w:r w:rsidR="00BF35BC">
          <w:rPr>
            <w:webHidden/>
          </w:rPr>
          <w:instrText xml:space="preserve"> PAGEREF _Toc453065443 \h </w:instrText>
        </w:r>
        <w:r w:rsidR="00BF35BC">
          <w:rPr>
            <w:webHidden/>
          </w:rPr>
        </w:r>
        <w:r w:rsidR="00BF35BC">
          <w:rPr>
            <w:webHidden/>
          </w:rPr>
          <w:fldChar w:fldCharType="separate"/>
        </w:r>
        <w:r w:rsidR="00A456ED">
          <w:rPr>
            <w:webHidden/>
          </w:rPr>
          <w:t>202</w:t>
        </w:r>
        <w:r w:rsidR="00BF35BC">
          <w:rPr>
            <w:webHidden/>
          </w:rPr>
          <w:fldChar w:fldCharType="end"/>
        </w:r>
      </w:hyperlink>
    </w:p>
    <w:p w14:paraId="60496844" w14:textId="1B20B773" w:rsidR="00BF35BC" w:rsidRDefault="00B76E8C">
      <w:pPr>
        <w:pStyle w:val="TableofFigures"/>
        <w:rPr>
          <w:rFonts w:asciiTheme="minorHAnsi" w:hAnsiTheme="minorHAnsi" w:cstheme="minorBidi"/>
          <w:lang w:eastAsia="en-AU"/>
        </w:rPr>
      </w:pPr>
      <w:hyperlink w:anchor="_Toc453065444" w:history="1">
        <w:r w:rsidR="00BF35BC" w:rsidRPr="00B35470">
          <w:rPr>
            <w:rStyle w:val="Hyperlink"/>
          </w:rPr>
          <w:t>Table 108</w:t>
        </w:r>
        <w:r w:rsidR="00BF35BC">
          <w:rPr>
            <w:rFonts w:asciiTheme="minorHAnsi" w:hAnsiTheme="minorHAnsi" w:cstheme="minorBidi"/>
            <w:lang w:eastAsia="en-AU"/>
          </w:rPr>
          <w:tab/>
        </w:r>
        <w:r w:rsidR="00BF35BC" w:rsidRPr="00B35470">
          <w:rPr>
            <w:rStyle w:val="Hyperlink"/>
          </w:rPr>
          <w:t>Estimated MBS costs of mT, Year 1 to Year 5 of listing</w:t>
        </w:r>
        <w:r w:rsidR="00BF35BC">
          <w:rPr>
            <w:webHidden/>
          </w:rPr>
          <w:tab/>
        </w:r>
        <w:r w:rsidR="00BF35BC">
          <w:rPr>
            <w:webHidden/>
          </w:rPr>
          <w:fldChar w:fldCharType="begin"/>
        </w:r>
        <w:r w:rsidR="00BF35BC">
          <w:rPr>
            <w:webHidden/>
          </w:rPr>
          <w:instrText xml:space="preserve"> PAGEREF _Toc453065444 \h </w:instrText>
        </w:r>
        <w:r w:rsidR="00BF35BC">
          <w:rPr>
            <w:webHidden/>
          </w:rPr>
        </w:r>
        <w:r w:rsidR="00BF35BC">
          <w:rPr>
            <w:webHidden/>
          </w:rPr>
          <w:fldChar w:fldCharType="separate"/>
        </w:r>
        <w:r w:rsidR="00A456ED">
          <w:rPr>
            <w:webHidden/>
          </w:rPr>
          <w:t>203</w:t>
        </w:r>
        <w:r w:rsidR="00BF35BC">
          <w:rPr>
            <w:webHidden/>
          </w:rPr>
          <w:fldChar w:fldCharType="end"/>
        </w:r>
      </w:hyperlink>
    </w:p>
    <w:p w14:paraId="7B31D77C" w14:textId="633271AC" w:rsidR="00BF35BC" w:rsidRDefault="00B76E8C">
      <w:pPr>
        <w:pStyle w:val="TableofFigures"/>
        <w:rPr>
          <w:rFonts w:asciiTheme="minorHAnsi" w:hAnsiTheme="minorHAnsi" w:cstheme="minorBidi"/>
          <w:lang w:eastAsia="en-AU"/>
        </w:rPr>
      </w:pPr>
      <w:hyperlink w:anchor="_Toc453065445" w:history="1">
        <w:r w:rsidR="00BF35BC" w:rsidRPr="00B35470">
          <w:rPr>
            <w:rStyle w:val="Hyperlink"/>
          </w:rPr>
          <w:t>Table 109</w:t>
        </w:r>
        <w:r w:rsidR="00BF35BC">
          <w:rPr>
            <w:rFonts w:asciiTheme="minorHAnsi" w:hAnsiTheme="minorHAnsi" w:cstheme="minorBidi"/>
            <w:lang w:eastAsia="en-AU"/>
          </w:rPr>
          <w:tab/>
        </w:r>
        <w:r w:rsidR="00BF35BC" w:rsidRPr="00B35470">
          <w:rPr>
            <w:rStyle w:val="Hyperlink"/>
          </w:rPr>
          <w:t>Estimated MBS costs of specialist consultations, Year 1 to Year 5 of listing</w:t>
        </w:r>
        <w:r w:rsidR="00BF35BC">
          <w:rPr>
            <w:webHidden/>
          </w:rPr>
          <w:tab/>
        </w:r>
        <w:r w:rsidR="00BF35BC">
          <w:rPr>
            <w:webHidden/>
          </w:rPr>
          <w:fldChar w:fldCharType="begin"/>
        </w:r>
        <w:r w:rsidR="00BF35BC">
          <w:rPr>
            <w:webHidden/>
          </w:rPr>
          <w:instrText xml:space="preserve"> PAGEREF _Toc453065445 \h </w:instrText>
        </w:r>
        <w:r w:rsidR="00BF35BC">
          <w:rPr>
            <w:webHidden/>
          </w:rPr>
        </w:r>
        <w:r w:rsidR="00BF35BC">
          <w:rPr>
            <w:webHidden/>
          </w:rPr>
          <w:fldChar w:fldCharType="separate"/>
        </w:r>
        <w:r w:rsidR="00A456ED">
          <w:rPr>
            <w:webHidden/>
          </w:rPr>
          <w:t>204</w:t>
        </w:r>
        <w:r w:rsidR="00BF35BC">
          <w:rPr>
            <w:webHidden/>
          </w:rPr>
          <w:fldChar w:fldCharType="end"/>
        </w:r>
      </w:hyperlink>
    </w:p>
    <w:p w14:paraId="4224A7A2" w14:textId="24B22643" w:rsidR="00BF35BC" w:rsidRDefault="00B76E8C">
      <w:pPr>
        <w:pStyle w:val="TableofFigures"/>
        <w:rPr>
          <w:rFonts w:asciiTheme="minorHAnsi" w:hAnsiTheme="minorHAnsi" w:cstheme="minorBidi"/>
          <w:lang w:eastAsia="en-AU"/>
        </w:rPr>
      </w:pPr>
      <w:hyperlink w:anchor="_Toc453065446" w:history="1">
        <w:r w:rsidR="00BF35BC" w:rsidRPr="00B35470">
          <w:rPr>
            <w:rStyle w:val="Hyperlink"/>
          </w:rPr>
          <w:t>Table 110</w:t>
        </w:r>
        <w:r w:rsidR="00BF35BC">
          <w:rPr>
            <w:rFonts w:asciiTheme="minorHAnsi" w:hAnsiTheme="minorHAnsi" w:cstheme="minorBidi"/>
            <w:lang w:eastAsia="en-AU"/>
          </w:rPr>
          <w:tab/>
        </w:r>
        <w:r w:rsidR="00BF35BC" w:rsidRPr="00B35470">
          <w:rPr>
            <w:rStyle w:val="Hyperlink"/>
          </w:rPr>
          <w:t>Estimated MBS costs in total, Year 1 to Year 5 of listing</w:t>
        </w:r>
        <w:r w:rsidR="00BF35BC">
          <w:rPr>
            <w:webHidden/>
          </w:rPr>
          <w:tab/>
        </w:r>
        <w:r w:rsidR="00BF35BC">
          <w:rPr>
            <w:webHidden/>
          </w:rPr>
          <w:fldChar w:fldCharType="begin"/>
        </w:r>
        <w:r w:rsidR="00BF35BC">
          <w:rPr>
            <w:webHidden/>
          </w:rPr>
          <w:instrText xml:space="preserve"> PAGEREF _Toc453065446 \h </w:instrText>
        </w:r>
        <w:r w:rsidR="00BF35BC">
          <w:rPr>
            <w:webHidden/>
          </w:rPr>
        </w:r>
        <w:r w:rsidR="00BF35BC">
          <w:rPr>
            <w:webHidden/>
          </w:rPr>
          <w:fldChar w:fldCharType="separate"/>
        </w:r>
        <w:r w:rsidR="00A456ED">
          <w:rPr>
            <w:webHidden/>
          </w:rPr>
          <w:t>205</w:t>
        </w:r>
        <w:r w:rsidR="00BF35BC">
          <w:rPr>
            <w:webHidden/>
          </w:rPr>
          <w:fldChar w:fldCharType="end"/>
        </w:r>
      </w:hyperlink>
    </w:p>
    <w:p w14:paraId="133FC7CC" w14:textId="07A34677" w:rsidR="00BF35BC" w:rsidRDefault="00B76E8C">
      <w:pPr>
        <w:pStyle w:val="TableofFigures"/>
        <w:rPr>
          <w:rFonts w:asciiTheme="minorHAnsi" w:hAnsiTheme="minorHAnsi" w:cstheme="minorBidi"/>
          <w:lang w:eastAsia="en-AU"/>
        </w:rPr>
      </w:pPr>
      <w:hyperlink w:anchor="_Toc453065447" w:history="1">
        <w:r w:rsidR="00BF35BC" w:rsidRPr="00B35470">
          <w:rPr>
            <w:rStyle w:val="Hyperlink"/>
          </w:rPr>
          <w:t>Table 111</w:t>
        </w:r>
        <w:r w:rsidR="00BF35BC">
          <w:rPr>
            <w:rFonts w:asciiTheme="minorHAnsi" w:hAnsiTheme="minorHAnsi" w:cstheme="minorBidi"/>
            <w:lang w:eastAsia="en-AU"/>
          </w:rPr>
          <w:tab/>
        </w:r>
        <w:r w:rsidR="00BF35BC" w:rsidRPr="00B35470">
          <w:rPr>
            <w:rStyle w:val="Hyperlink"/>
          </w:rPr>
          <w:t>Estimated cost savings from improved functional outcome, Year 1 to Year 5 of listing; based on the discounted life-time cost from the Section D model</w:t>
        </w:r>
        <w:r w:rsidR="00BF35BC">
          <w:rPr>
            <w:webHidden/>
          </w:rPr>
          <w:tab/>
        </w:r>
        <w:r w:rsidR="00BF35BC">
          <w:rPr>
            <w:webHidden/>
          </w:rPr>
          <w:fldChar w:fldCharType="begin"/>
        </w:r>
        <w:r w:rsidR="00BF35BC">
          <w:rPr>
            <w:webHidden/>
          </w:rPr>
          <w:instrText xml:space="preserve"> PAGEREF _Toc453065447 \h </w:instrText>
        </w:r>
        <w:r w:rsidR="00BF35BC">
          <w:rPr>
            <w:webHidden/>
          </w:rPr>
        </w:r>
        <w:r w:rsidR="00BF35BC">
          <w:rPr>
            <w:webHidden/>
          </w:rPr>
          <w:fldChar w:fldCharType="separate"/>
        </w:r>
        <w:r w:rsidR="00A456ED">
          <w:rPr>
            <w:webHidden/>
          </w:rPr>
          <w:t>206</w:t>
        </w:r>
        <w:r w:rsidR="00BF35BC">
          <w:rPr>
            <w:webHidden/>
          </w:rPr>
          <w:fldChar w:fldCharType="end"/>
        </w:r>
      </w:hyperlink>
    </w:p>
    <w:p w14:paraId="51AB15C1" w14:textId="218E9F3F" w:rsidR="00033497" w:rsidRPr="00D85E09" w:rsidRDefault="008E3B5C" w:rsidP="00931C70">
      <w:pPr>
        <w:widowControl w:val="0"/>
        <w:spacing w:line="288" w:lineRule="auto"/>
        <w:ind w:left="1701" w:hanging="1701"/>
        <w:sectPr w:rsidR="00033497" w:rsidRPr="00D85E09" w:rsidSect="00033497">
          <w:headerReference w:type="default" r:id="rId20"/>
          <w:pgSz w:w="11907" w:h="16834" w:code="9"/>
          <w:pgMar w:top="1304" w:right="1418" w:bottom="1418" w:left="1418" w:header="720" w:footer="720" w:gutter="0"/>
          <w:paperSrc w:first="7" w:other="7"/>
          <w:pgNumType w:fmt="lowerRoman"/>
          <w:cols w:space="720"/>
          <w:noEndnote/>
          <w:docGrid w:linePitch="299"/>
        </w:sectPr>
      </w:pPr>
      <w:r w:rsidRPr="00D85E09">
        <w:fldChar w:fldCharType="end"/>
      </w:r>
    </w:p>
    <w:p w14:paraId="0B36B094" w14:textId="2D255FEC" w:rsidR="008E3B5C" w:rsidRPr="00D85E09" w:rsidRDefault="00227C1C" w:rsidP="0043316B">
      <w:pPr>
        <w:pStyle w:val="Heading1"/>
        <w:keepNext w:val="0"/>
        <w:pageBreakBefore w:val="0"/>
        <w:widowControl w:val="0"/>
        <w:numPr>
          <w:ilvl w:val="0"/>
          <w:numId w:val="0"/>
        </w:numPr>
        <w:ind w:left="360" w:hanging="360"/>
        <w:rPr>
          <w:lang w:val="en-AU"/>
        </w:rPr>
      </w:pPr>
      <w:bookmarkStart w:id="24" w:name="_Toc453065232"/>
      <w:r w:rsidRPr="00D85E09">
        <w:rPr>
          <w:lang w:val="en-AU"/>
        </w:rPr>
        <w:lastRenderedPageBreak/>
        <w:t>List of F</w:t>
      </w:r>
      <w:r w:rsidR="008E3B5C" w:rsidRPr="00D85E09">
        <w:rPr>
          <w:lang w:val="en-AU"/>
        </w:rPr>
        <w:t>igures</w:t>
      </w:r>
      <w:bookmarkEnd w:id="24"/>
    </w:p>
    <w:p w14:paraId="25850466" w14:textId="4185ECF8" w:rsidR="00BF35BC" w:rsidRDefault="008E3B5C">
      <w:pPr>
        <w:pStyle w:val="TableofFigures"/>
        <w:rPr>
          <w:rFonts w:asciiTheme="minorHAnsi" w:hAnsiTheme="minorHAnsi" w:cstheme="minorBidi"/>
          <w:lang w:eastAsia="en-AU"/>
        </w:rPr>
      </w:pPr>
      <w:r w:rsidRPr="00D85E09">
        <w:fldChar w:fldCharType="begin"/>
      </w:r>
      <w:r w:rsidRPr="00D85E09">
        <w:instrText xml:space="preserve"> TOC \h \z \c "Figure" </w:instrText>
      </w:r>
      <w:r w:rsidRPr="00D85E09">
        <w:fldChar w:fldCharType="separate"/>
      </w:r>
      <w:hyperlink w:anchor="_Toc453065448" w:history="1">
        <w:r w:rsidR="00BF35BC" w:rsidRPr="00693A18">
          <w:rPr>
            <w:rStyle w:val="Hyperlink"/>
          </w:rPr>
          <w:t>Figure 1</w:t>
        </w:r>
        <w:r w:rsidR="00BF35BC">
          <w:rPr>
            <w:rFonts w:asciiTheme="minorHAnsi" w:hAnsiTheme="minorHAnsi" w:cstheme="minorBidi"/>
            <w:lang w:eastAsia="en-AU"/>
          </w:rPr>
          <w:tab/>
        </w:r>
        <w:r w:rsidR="00BF35BC" w:rsidRPr="00693A18">
          <w:rPr>
            <w:rStyle w:val="Hyperlink"/>
          </w:rPr>
          <w:t>Ischaemic penumbra – Potential to reverse neurologic impairment with post-stroke therapy</w:t>
        </w:r>
        <w:r w:rsidR="00BF35BC">
          <w:rPr>
            <w:webHidden/>
          </w:rPr>
          <w:tab/>
        </w:r>
        <w:r w:rsidR="00BF35BC">
          <w:rPr>
            <w:webHidden/>
          </w:rPr>
          <w:fldChar w:fldCharType="begin"/>
        </w:r>
        <w:r w:rsidR="00BF35BC">
          <w:rPr>
            <w:webHidden/>
          </w:rPr>
          <w:instrText xml:space="preserve"> PAGEREF _Toc453065448 \h </w:instrText>
        </w:r>
        <w:r w:rsidR="00BF35BC">
          <w:rPr>
            <w:webHidden/>
          </w:rPr>
        </w:r>
        <w:r w:rsidR="00BF35BC">
          <w:rPr>
            <w:webHidden/>
          </w:rPr>
          <w:fldChar w:fldCharType="separate"/>
        </w:r>
        <w:r w:rsidR="00A456ED">
          <w:rPr>
            <w:webHidden/>
          </w:rPr>
          <w:t>8</w:t>
        </w:r>
        <w:r w:rsidR="00BF35BC">
          <w:rPr>
            <w:webHidden/>
          </w:rPr>
          <w:fldChar w:fldCharType="end"/>
        </w:r>
      </w:hyperlink>
    </w:p>
    <w:p w14:paraId="7B067D44" w14:textId="4DE268FD" w:rsidR="00BF35BC" w:rsidRDefault="00B76E8C">
      <w:pPr>
        <w:pStyle w:val="TableofFigures"/>
        <w:rPr>
          <w:rFonts w:asciiTheme="minorHAnsi" w:hAnsiTheme="minorHAnsi" w:cstheme="minorBidi"/>
          <w:lang w:eastAsia="en-AU"/>
        </w:rPr>
      </w:pPr>
      <w:hyperlink w:anchor="_Toc453065449" w:history="1">
        <w:r w:rsidR="00BF35BC" w:rsidRPr="00693A18">
          <w:rPr>
            <w:rStyle w:val="Hyperlink"/>
          </w:rPr>
          <w:t>Figure 2</w:t>
        </w:r>
        <w:r w:rsidR="00BF35BC">
          <w:rPr>
            <w:rFonts w:asciiTheme="minorHAnsi" w:hAnsiTheme="minorHAnsi" w:cstheme="minorBidi"/>
            <w:lang w:eastAsia="en-AU"/>
          </w:rPr>
          <w:tab/>
        </w:r>
        <w:r w:rsidR="00BF35BC" w:rsidRPr="00693A18">
          <w:rPr>
            <w:rStyle w:val="Hyperlink"/>
          </w:rPr>
          <w:t>Victorian statewide flow diagram of endovascular clot retrieval pathway</w:t>
        </w:r>
        <w:r w:rsidR="00BF35BC">
          <w:rPr>
            <w:webHidden/>
          </w:rPr>
          <w:tab/>
        </w:r>
        <w:r w:rsidR="00BF35BC">
          <w:rPr>
            <w:webHidden/>
          </w:rPr>
          <w:fldChar w:fldCharType="begin"/>
        </w:r>
        <w:r w:rsidR="00BF35BC">
          <w:rPr>
            <w:webHidden/>
          </w:rPr>
          <w:instrText xml:space="preserve"> PAGEREF _Toc453065449 \h </w:instrText>
        </w:r>
        <w:r w:rsidR="00BF35BC">
          <w:rPr>
            <w:webHidden/>
          </w:rPr>
        </w:r>
        <w:r w:rsidR="00BF35BC">
          <w:rPr>
            <w:webHidden/>
          </w:rPr>
          <w:fldChar w:fldCharType="separate"/>
        </w:r>
        <w:r w:rsidR="00A456ED">
          <w:rPr>
            <w:webHidden/>
          </w:rPr>
          <w:t>19</w:t>
        </w:r>
        <w:r w:rsidR="00BF35BC">
          <w:rPr>
            <w:webHidden/>
          </w:rPr>
          <w:fldChar w:fldCharType="end"/>
        </w:r>
      </w:hyperlink>
    </w:p>
    <w:p w14:paraId="43008D18" w14:textId="6A743DCB" w:rsidR="00BF35BC" w:rsidRDefault="00B76E8C">
      <w:pPr>
        <w:pStyle w:val="TableofFigures"/>
        <w:rPr>
          <w:rFonts w:asciiTheme="minorHAnsi" w:hAnsiTheme="minorHAnsi" w:cstheme="minorBidi"/>
          <w:lang w:eastAsia="en-AU"/>
        </w:rPr>
      </w:pPr>
      <w:hyperlink w:anchor="_Toc453065450" w:history="1">
        <w:r w:rsidR="00BF35BC" w:rsidRPr="00693A18">
          <w:rPr>
            <w:rStyle w:val="Hyperlink"/>
          </w:rPr>
          <w:t>Figure 3</w:t>
        </w:r>
        <w:r w:rsidR="00BF35BC">
          <w:rPr>
            <w:rFonts w:asciiTheme="minorHAnsi" w:hAnsiTheme="minorHAnsi" w:cstheme="minorBidi"/>
            <w:lang w:eastAsia="en-AU"/>
          </w:rPr>
          <w:tab/>
        </w:r>
        <w:r w:rsidR="00BF35BC" w:rsidRPr="00693A18">
          <w:rPr>
            <w:rStyle w:val="Hyperlink"/>
          </w:rPr>
          <w:t>Current and proposed clinical management algorithm</w:t>
        </w:r>
        <w:r w:rsidR="00BF35BC">
          <w:rPr>
            <w:webHidden/>
          </w:rPr>
          <w:tab/>
        </w:r>
        <w:r w:rsidR="00BF35BC">
          <w:rPr>
            <w:webHidden/>
          </w:rPr>
          <w:fldChar w:fldCharType="begin"/>
        </w:r>
        <w:r w:rsidR="00BF35BC">
          <w:rPr>
            <w:webHidden/>
          </w:rPr>
          <w:instrText xml:space="preserve"> PAGEREF _Toc453065450 \h </w:instrText>
        </w:r>
        <w:r w:rsidR="00BF35BC">
          <w:rPr>
            <w:webHidden/>
          </w:rPr>
        </w:r>
        <w:r w:rsidR="00BF35BC">
          <w:rPr>
            <w:webHidden/>
          </w:rPr>
          <w:fldChar w:fldCharType="separate"/>
        </w:r>
        <w:r w:rsidR="00A456ED">
          <w:rPr>
            <w:webHidden/>
          </w:rPr>
          <w:t>26</w:t>
        </w:r>
        <w:r w:rsidR="00BF35BC">
          <w:rPr>
            <w:webHidden/>
          </w:rPr>
          <w:fldChar w:fldCharType="end"/>
        </w:r>
      </w:hyperlink>
    </w:p>
    <w:p w14:paraId="0731A112" w14:textId="500A31CB" w:rsidR="00BF35BC" w:rsidRDefault="00B76E8C">
      <w:pPr>
        <w:pStyle w:val="TableofFigures"/>
        <w:rPr>
          <w:rFonts w:asciiTheme="minorHAnsi" w:hAnsiTheme="minorHAnsi" w:cstheme="minorBidi"/>
          <w:lang w:eastAsia="en-AU"/>
        </w:rPr>
      </w:pPr>
      <w:hyperlink w:anchor="_Toc453065451" w:history="1">
        <w:r w:rsidR="00BF35BC" w:rsidRPr="00693A18">
          <w:rPr>
            <w:rStyle w:val="Hyperlink"/>
          </w:rPr>
          <w:t>Figure 4</w:t>
        </w:r>
        <w:r w:rsidR="00BF35BC">
          <w:rPr>
            <w:rFonts w:asciiTheme="minorHAnsi" w:hAnsiTheme="minorHAnsi" w:cstheme="minorBidi"/>
            <w:lang w:eastAsia="en-AU"/>
          </w:rPr>
          <w:tab/>
        </w:r>
        <w:r w:rsidR="00BF35BC" w:rsidRPr="00693A18">
          <w:rPr>
            <w:rStyle w:val="Hyperlink"/>
          </w:rPr>
          <w:t>Proportion of patients in each mRS category at 90 days</w:t>
        </w:r>
        <w:r w:rsidR="00BF35BC">
          <w:rPr>
            <w:webHidden/>
          </w:rPr>
          <w:tab/>
        </w:r>
        <w:r w:rsidR="00BF35BC">
          <w:rPr>
            <w:webHidden/>
          </w:rPr>
          <w:fldChar w:fldCharType="begin"/>
        </w:r>
        <w:r w:rsidR="00BF35BC">
          <w:rPr>
            <w:webHidden/>
          </w:rPr>
          <w:instrText xml:space="preserve"> PAGEREF _Toc453065451 \h </w:instrText>
        </w:r>
        <w:r w:rsidR="00BF35BC">
          <w:rPr>
            <w:webHidden/>
          </w:rPr>
        </w:r>
        <w:r w:rsidR="00BF35BC">
          <w:rPr>
            <w:webHidden/>
          </w:rPr>
          <w:fldChar w:fldCharType="separate"/>
        </w:r>
        <w:r w:rsidR="00A456ED">
          <w:rPr>
            <w:webHidden/>
          </w:rPr>
          <w:t>79</w:t>
        </w:r>
        <w:r w:rsidR="00BF35BC">
          <w:rPr>
            <w:webHidden/>
          </w:rPr>
          <w:fldChar w:fldCharType="end"/>
        </w:r>
      </w:hyperlink>
    </w:p>
    <w:p w14:paraId="15FCF0BB" w14:textId="56E46C85" w:rsidR="00BF35BC" w:rsidRDefault="00B76E8C">
      <w:pPr>
        <w:pStyle w:val="TableofFigures"/>
        <w:rPr>
          <w:rFonts w:asciiTheme="minorHAnsi" w:hAnsiTheme="minorHAnsi" w:cstheme="minorBidi"/>
          <w:lang w:eastAsia="en-AU"/>
        </w:rPr>
      </w:pPr>
      <w:hyperlink w:anchor="_Toc453065452" w:history="1">
        <w:r w:rsidR="00BF35BC" w:rsidRPr="00693A18">
          <w:rPr>
            <w:rStyle w:val="Hyperlink"/>
          </w:rPr>
          <w:t>Figure 5</w:t>
        </w:r>
        <w:r w:rsidR="00BF35BC">
          <w:rPr>
            <w:rFonts w:asciiTheme="minorHAnsi" w:hAnsiTheme="minorHAnsi" w:cstheme="minorBidi"/>
            <w:lang w:eastAsia="en-AU"/>
          </w:rPr>
          <w:tab/>
        </w:r>
        <w:r w:rsidR="00BF35BC" w:rsidRPr="00693A18">
          <w:rPr>
            <w:rStyle w:val="Hyperlink"/>
          </w:rPr>
          <w:t>Forest plot representation of the proportion of patients in each mRS category at 90 days</w:t>
        </w:r>
        <w:r w:rsidR="00BF35BC">
          <w:rPr>
            <w:webHidden/>
          </w:rPr>
          <w:tab/>
        </w:r>
        <w:r w:rsidR="00BF35BC">
          <w:rPr>
            <w:webHidden/>
          </w:rPr>
          <w:fldChar w:fldCharType="begin"/>
        </w:r>
        <w:r w:rsidR="00BF35BC">
          <w:rPr>
            <w:webHidden/>
          </w:rPr>
          <w:instrText xml:space="preserve"> PAGEREF _Toc453065452 \h </w:instrText>
        </w:r>
        <w:r w:rsidR="00BF35BC">
          <w:rPr>
            <w:webHidden/>
          </w:rPr>
        </w:r>
        <w:r w:rsidR="00BF35BC">
          <w:rPr>
            <w:webHidden/>
          </w:rPr>
          <w:fldChar w:fldCharType="separate"/>
        </w:r>
        <w:r w:rsidR="00A456ED">
          <w:rPr>
            <w:webHidden/>
          </w:rPr>
          <w:t>80</w:t>
        </w:r>
        <w:r w:rsidR="00BF35BC">
          <w:rPr>
            <w:webHidden/>
          </w:rPr>
          <w:fldChar w:fldCharType="end"/>
        </w:r>
      </w:hyperlink>
    </w:p>
    <w:p w14:paraId="23ABEA76" w14:textId="470AA9D2" w:rsidR="00BF35BC" w:rsidRDefault="00B76E8C">
      <w:pPr>
        <w:pStyle w:val="TableofFigures"/>
        <w:rPr>
          <w:rFonts w:asciiTheme="minorHAnsi" w:hAnsiTheme="minorHAnsi" w:cstheme="minorBidi"/>
          <w:lang w:eastAsia="en-AU"/>
        </w:rPr>
      </w:pPr>
      <w:hyperlink w:anchor="_Toc453065453" w:history="1">
        <w:r w:rsidR="00BF35BC" w:rsidRPr="00693A18">
          <w:rPr>
            <w:rStyle w:val="Hyperlink"/>
          </w:rPr>
          <w:t>Figure 6</w:t>
        </w:r>
        <w:r w:rsidR="00BF35BC">
          <w:rPr>
            <w:rFonts w:asciiTheme="minorHAnsi" w:hAnsiTheme="minorHAnsi" w:cstheme="minorBidi"/>
            <w:lang w:eastAsia="en-AU"/>
          </w:rPr>
          <w:tab/>
        </w:r>
        <w:r w:rsidR="00BF35BC" w:rsidRPr="00693A18">
          <w:rPr>
            <w:rStyle w:val="Hyperlink"/>
          </w:rPr>
          <w:t>Forest plot representation of the mRS score 0-2 at 90 days</w:t>
        </w:r>
        <w:r w:rsidR="00BF35BC">
          <w:rPr>
            <w:webHidden/>
          </w:rPr>
          <w:tab/>
        </w:r>
        <w:r w:rsidR="00BF35BC">
          <w:rPr>
            <w:webHidden/>
          </w:rPr>
          <w:fldChar w:fldCharType="begin"/>
        </w:r>
        <w:r w:rsidR="00BF35BC">
          <w:rPr>
            <w:webHidden/>
          </w:rPr>
          <w:instrText xml:space="preserve"> PAGEREF _Toc453065453 \h </w:instrText>
        </w:r>
        <w:r w:rsidR="00BF35BC">
          <w:rPr>
            <w:webHidden/>
          </w:rPr>
        </w:r>
        <w:r w:rsidR="00BF35BC">
          <w:rPr>
            <w:webHidden/>
          </w:rPr>
          <w:fldChar w:fldCharType="separate"/>
        </w:r>
        <w:r w:rsidR="00A456ED">
          <w:rPr>
            <w:webHidden/>
          </w:rPr>
          <w:t>81</w:t>
        </w:r>
        <w:r w:rsidR="00BF35BC">
          <w:rPr>
            <w:webHidden/>
          </w:rPr>
          <w:fldChar w:fldCharType="end"/>
        </w:r>
      </w:hyperlink>
    </w:p>
    <w:p w14:paraId="154E7102" w14:textId="4BE879BF" w:rsidR="00BF35BC" w:rsidRDefault="00B76E8C">
      <w:pPr>
        <w:pStyle w:val="TableofFigures"/>
        <w:rPr>
          <w:rFonts w:asciiTheme="minorHAnsi" w:hAnsiTheme="minorHAnsi" w:cstheme="minorBidi"/>
          <w:lang w:eastAsia="en-AU"/>
        </w:rPr>
      </w:pPr>
      <w:hyperlink w:anchor="_Toc453065454" w:history="1">
        <w:r w:rsidR="00BF35BC" w:rsidRPr="00693A18">
          <w:rPr>
            <w:rStyle w:val="Hyperlink"/>
          </w:rPr>
          <w:t>Figure 7</w:t>
        </w:r>
        <w:r w:rsidR="00BF35BC">
          <w:rPr>
            <w:rFonts w:asciiTheme="minorHAnsi" w:hAnsiTheme="minorHAnsi" w:cstheme="minorBidi"/>
            <w:lang w:eastAsia="en-AU"/>
          </w:rPr>
          <w:tab/>
        </w:r>
        <w:r w:rsidR="00BF35BC" w:rsidRPr="00693A18">
          <w:rPr>
            <w:rStyle w:val="Hyperlink"/>
          </w:rPr>
          <w:t>Forest plot representation of mortality at 90 days</w:t>
        </w:r>
        <w:r w:rsidR="00BF35BC">
          <w:rPr>
            <w:webHidden/>
          </w:rPr>
          <w:tab/>
        </w:r>
        <w:r w:rsidR="00BF35BC">
          <w:rPr>
            <w:webHidden/>
          </w:rPr>
          <w:fldChar w:fldCharType="begin"/>
        </w:r>
        <w:r w:rsidR="00BF35BC">
          <w:rPr>
            <w:webHidden/>
          </w:rPr>
          <w:instrText xml:space="preserve"> PAGEREF _Toc453065454 \h </w:instrText>
        </w:r>
        <w:r w:rsidR="00BF35BC">
          <w:rPr>
            <w:webHidden/>
          </w:rPr>
        </w:r>
        <w:r w:rsidR="00BF35BC">
          <w:rPr>
            <w:webHidden/>
          </w:rPr>
          <w:fldChar w:fldCharType="separate"/>
        </w:r>
        <w:r w:rsidR="00A456ED">
          <w:rPr>
            <w:webHidden/>
          </w:rPr>
          <w:t>82</w:t>
        </w:r>
        <w:r w:rsidR="00BF35BC">
          <w:rPr>
            <w:webHidden/>
          </w:rPr>
          <w:fldChar w:fldCharType="end"/>
        </w:r>
      </w:hyperlink>
    </w:p>
    <w:p w14:paraId="7D521FC8" w14:textId="226E7EF4" w:rsidR="00BF35BC" w:rsidRDefault="00B76E8C">
      <w:pPr>
        <w:pStyle w:val="TableofFigures"/>
        <w:rPr>
          <w:rFonts w:asciiTheme="minorHAnsi" w:hAnsiTheme="minorHAnsi" w:cstheme="minorBidi"/>
          <w:lang w:eastAsia="en-AU"/>
        </w:rPr>
      </w:pPr>
      <w:hyperlink w:anchor="_Toc453065455" w:history="1">
        <w:r w:rsidR="00BF35BC" w:rsidRPr="00693A18">
          <w:rPr>
            <w:rStyle w:val="Hyperlink"/>
          </w:rPr>
          <w:t>Figure 8</w:t>
        </w:r>
        <w:r w:rsidR="00BF35BC">
          <w:rPr>
            <w:rFonts w:asciiTheme="minorHAnsi" w:hAnsiTheme="minorHAnsi" w:cstheme="minorBidi"/>
            <w:lang w:eastAsia="en-AU"/>
          </w:rPr>
          <w:tab/>
        </w:r>
        <w:r w:rsidR="00BF35BC" w:rsidRPr="00693A18">
          <w:rPr>
            <w:rStyle w:val="Hyperlink"/>
          </w:rPr>
          <w:t>Scores on the mRS in the IPD meta-analysis</w:t>
        </w:r>
        <w:r w:rsidR="00BF35BC">
          <w:rPr>
            <w:webHidden/>
          </w:rPr>
          <w:tab/>
        </w:r>
        <w:r w:rsidR="00BF35BC">
          <w:rPr>
            <w:webHidden/>
          </w:rPr>
          <w:fldChar w:fldCharType="begin"/>
        </w:r>
        <w:r w:rsidR="00BF35BC">
          <w:rPr>
            <w:webHidden/>
          </w:rPr>
          <w:instrText xml:space="preserve"> PAGEREF _Toc453065455 \h </w:instrText>
        </w:r>
        <w:r w:rsidR="00BF35BC">
          <w:rPr>
            <w:webHidden/>
          </w:rPr>
        </w:r>
        <w:r w:rsidR="00BF35BC">
          <w:rPr>
            <w:webHidden/>
          </w:rPr>
          <w:fldChar w:fldCharType="separate"/>
        </w:r>
        <w:r w:rsidR="00A456ED">
          <w:rPr>
            <w:webHidden/>
          </w:rPr>
          <w:t>103</w:t>
        </w:r>
        <w:r w:rsidR="00BF35BC">
          <w:rPr>
            <w:webHidden/>
          </w:rPr>
          <w:fldChar w:fldCharType="end"/>
        </w:r>
      </w:hyperlink>
    </w:p>
    <w:p w14:paraId="529A357D" w14:textId="6AAAA8FF" w:rsidR="00BF35BC" w:rsidRDefault="00B76E8C">
      <w:pPr>
        <w:pStyle w:val="TableofFigures"/>
        <w:rPr>
          <w:rFonts w:asciiTheme="minorHAnsi" w:hAnsiTheme="minorHAnsi" w:cstheme="minorBidi"/>
          <w:lang w:eastAsia="en-AU"/>
        </w:rPr>
      </w:pPr>
      <w:hyperlink w:anchor="_Toc453065456" w:history="1">
        <w:r w:rsidR="00BF35BC" w:rsidRPr="00693A18">
          <w:rPr>
            <w:rStyle w:val="Hyperlink"/>
          </w:rPr>
          <w:t>Figure 9</w:t>
        </w:r>
        <w:r w:rsidR="00BF35BC">
          <w:rPr>
            <w:rFonts w:asciiTheme="minorHAnsi" w:hAnsiTheme="minorHAnsi" w:cstheme="minorBidi"/>
            <w:lang w:eastAsia="en-AU"/>
          </w:rPr>
          <w:tab/>
        </w:r>
        <w:r w:rsidR="00BF35BC" w:rsidRPr="00693A18">
          <w:rPr>
            <w:rStyle w:val="Hyperlink"/>
          </w:rPr>
          <w:t>Scores on the mRS in the aggregate-level meta-analysis</w:t>
        </w:r>
        <w:r w:rsidR="00BF35BC">
          <w:rPr>
            <w:webHidden/>
          </w:rPr>
          <w:tab/>
        </w:r>
        <w:r w:rsidR="00BF35BC">
          <w:rPr>
            <w:webHidden/>
          </w:rPr>
          <w:fldChar w:fldCharType="begin"/>
        </w:r>
        <w:r w:rsidR="00BF35BC">
          <w:rPr>
            <w:webHidden/>
          </w:rPr>
          <w:instrText xml:space="preserve"> PAGEREF _Toc453065456 \h </w:instrText>
        </w:r>
        <w:r w:rsidR="00BF35BC">
          <w:rPr>
            <w:webHidden/>
          </w:rPr>
        </w:r>
        <w:r w:rsidR="00BF35BC">
          <w:rPr>
            <w:webHidden/>
          </w:rPr>
          <w:fldChar w:fldCharType="separate"/>
        </w:r>
        <w:r w:rsidR="00A456ED">
          <w:rPr>
            <w:webHidden/>
          </w:rPr>
          <w:t>103</w:t>
        </w:r>
        <w:r w:rsidR="00BF35BC">
          <w:rPr>
            <w:webHidden/>
          </w:rPr>
          <w:fldChar w:fldCharType="end"/>
        </w:r>
      </w:hyperlink>
    </w:p>
    <w:p w14:paraId="0102E3BE" w14:textId="2D0B0D31" w:rsidR="00BF35BC" w:rsidRDefault="00B76E8C">
      <w:pPr>
        <w:pStyle w:val="TableofFigures"/>
        <w:rPr>
          <w:rFonts w:asciiTheme="minorHAnsi" w:hAnsiTheme="minorHAnsi" w:cstheme="minorBidi"/>
          <w:lang w:eastAsia="en-AU"/>
        </w:rPr>
      </w:pPr>
      <w:hyperlink w:anchor="_Toc453065457" w:history="1">
        <w:r w:rsidR="00BF35BC" w:rsidRPr="00693A18">
          <w:rPr>
            <w:rStyle w:val="Hyperlink"/>
          </w:rPr>
          <w:t>Figure 10</w:t>
        </w:r>
        <w:r w:rsidR="00BF35BC">
          <w:rPr>
            <w:rFonts w:asciiTheme="minorHAnsi" w:hAnsiTheme="minorHAnsi" w:cstheme="minorBidi"/>
            <w:lang w:eastAsia="en-AU"/>
          </w:rPr>
          <w:tab/>
        </w:r>
        <w:r w:rsidR="00BF35BC" w:rsidRPr="00693A18">
          <w:rPr>
            <w:rStyle w:val="Hyperlink"/>
          </w:rPr>
          <w:t xml:space="preserve">Forest plot showing adjusted treatment effect for mRS at 90 days in pre-specified subgroups (cOR that the intervention would lead to improvement of </w:t>
        </w:r>
        <w:r w:rsidR="00BF35BC" w:rsidRPr="00693A18">
          <w:rPr>
            <w:rStyle w:val="Hyperlink"/>
            <w:rFonts w:cs="Arial"/>
          </w:rPr>
          <w:t>≥</w:t>
        </w:r>
        <w:r w:rsidR="00BF35BC" w:rsidRPr="00693A18">
          <w:rPr>
            <w:rStyle w:val="Hyperlink"/>
          </w:rPr>
          <w:t xml:space="preserve"> 1 point on the mRS)</w:t>
        </w:r>
        <w:r w:rsidR="00BF35BC">
          <w:rPr>
            <w:webHidden/>
          </w:rPr>
          <w:tab/>
        </w:r>
        <w:r w:rsidR="00BF35BC">
          <w:rPr>
            <w:webHidden/>
          </w:rPr>
          <w:fldChar w:fldCharType="begin"/>
        </w:r>
        <w:r w:rsidR="00BF35BC">
          <w:rPr>
            <w:webHidden/>
          </w:rPr>
          <w:instrText xml:space="preserve"> PAGEREF _Toc453065457 \h </w:instrText>
        </w:r>
        <w:r w:rsidR="00BF35BC">
          <w:rPr>
            <w:webHidden/>
          </w:rPr>
        </w:r>
        <w:r w:rsidR="00BF35BC">
          <w:rPr>
            <w:webHidden/>
          </w:rPr>
          <w:fldChar w:fldCharType="separate"/>
        </w:r>
        <w:r w:rsidR="00A456ED">
          <w:rPr>
            <w:webHidden/>
          </w:rPr>
          <w:t>104</w:t>
        </w:r>
        <w:r w:rsidR="00BF35BC">
          <w:rPr>
            <w:webHidden/>
          </w:rPr>
          <w:fldChar w:fldCharType="end"/>
        </w:r>
      </w:hyperlink>
    </w:p>
    <w:p w14:paraId="66E78FA4" w14:textId="291BB1DB" w:rsidR="00BF35BC" w:rsidRDefault="00B76E8C">
      <w:pPr>
        <w:pStyle w:val="TableofFigures"/>
        <w:rPr>
          <w:rFonts w:asciiTheme="minorHAnsi" w:hAnsiTheme="minorHAnsi" w:cstheme="minorBidi"/>
          <w:lang w:eastAsia="en-AU"/>
        </w:rPr>
      </w:pPr>
      <w:hyperlink w:anchor="_Toc453065458" w:history="1">
        <w:r w:rsidR="00BF35BC" w:rsidRPr="00693A18">
          <w:rPr>
            <w:rStyle w:val="Hyperlink"/>
          </w:rPr>
          <w:t>Figure 11</w:t>
        </w:r>
        <w:r w:rsidR="00BF35BC">
          <w:rPr>
            <w:rFonts w:asciiTheme="minorHAnsi" w:hAnsiTheme="minorHAnsi" w:cstheme="minorBidi"/>
            <w:lang w:eastAsia="en-AU"/>
          </w:rPr>
          <w:tab/>
        </w:r>
        <w:r w:rsidR="00BF35BC" w:rsidRPr="00693A18">
          <w:rPr>
            <w:rStyle w:val="Hyperlink"/>
          </w:rPr>
          <w:t>Distribution of scores on the mRS by eligibility for alteplase</w:t>
        </w:r>
        <w:r w:rsidR="00BF35BC">
          <w:rPr>
            <w:webHidden/>
          </w:rPr>
          <w:tab/>
        </w:r>
        <w:r w:rsidR="00BF35BC">
          <w:rPr>
            <w:webHidden/>
          </w:rPr>
          <w:fldChar w:fldCharType="begin"/>
        </w:r>
        <w:r w:rsidR="00BF35BC">
          <w:rPr>
            <w:webHidden/>
          </w:rPr>
          <w:instrText xml:space="preserve"> PAGEREF _Toc453065458 \h </w:instrText>
        </w:r>
        <w:r w:rsidR="00BF35BC">
          <w:rPr>
            <w:webHidden/>
          </w:rPr>
        </w:r>
        <w:r w:rsidR="00BF35BC">
          <w:rPr>
            <w:webHidden/>
          </w:rPr>
          <w:fldChar w:fldCharType="separate"/>
        </w:r>
        <w:r w:rsidR="00A456ED">
          <w:rPr>
            <w:webHidden/>
          </w:rPr>
          <w:t>108</w:t>
        </w:r>
        <w:r w:rsidR="00BF35BC">
          <w:rPr>
            <w:webHidden/>
          </w:rPr>
          <w:fldChar w:fldCharType="end"/>
        </w:r>
      </w:hyperlink>
    </w:p>
    <w:p w14:paraId="5C7E7971" w14:textId="0855402E" w:rsidR="00BF35BC" w:rsidRDefault="00B76E8C">
      <w:pPr>
        <w:pStyle w:val="TableofFigures"/>
        <w:rPr>
          <w:rFonts w:asciiTheme="minorHAnsi" w:hAnsiTheme="minorHAnsi" w:cstheme="minorBidi"/>
          <w:lang w:eastAsia="en-AU"/>
        </w:rPr>
      </w:pPr>
      <w:hyperlink w:anchor="_Toc453065459" w:history="1">
        <w:r w:rsidR="00BF35BC" w:rsidRPr="00693A18">
          <w:rPr>
            <w:rStyle w:val="Hyperlink"/>
          </w:rPr>
          <w:t>Figure 12</w:t>
        </w:r>
        <w:r w:rsidR="00BF35BC">
          <w:rPr>
            <w:rFonts w:asciiTheme="minorHAnsi" w:hAnsiTheme="minorHAnsi" w:cstheme="minorBidi"/>
            <w:lang w:eastAsia="en-AU"/>
          </w:rPr>
          <w:tab/>
        </w:r>
        <w:r w:rsidR="00BF35BC" w:rsidRPr="00693A18">
          <w:rPr>
            <w:rStyle w:val="Hyperlink"/>
          </w:rPr>
          <w:t xml:space="preserve"> Meta-analysis of functional independence at 90 days</w:t>
        </w:r>
        <w:r w:rsidR="00BF35BC">
          <w:rPr>
            <w:webHidden/>
          </w:rPr>
          <w:tab/>
        </w:r>
        <w:r w:rsidR="00BF35BC">
          <w:rPr>
            <w:webHidden/>
          </w:rPr>
          <w:fldChar w:fldCharType="begin"/>
        </w:r>
        <w:r w:rsidR="00BF35BC">
          <w:rPr>
            <w:webHidden/>
          </w:rPr>
          <w:instrText xml:space="preserve"> PAGEREF _Toc453065459 \h </w:instrText>
        </w:r>
        <w:r w:rsidR="00BF35BC">
          <w:rPr>
            <w:webHidden/>
          </w:rPr>
        </w:r>
        <w:r w:rsidR="00BF35BC">
          <w:rPr>
            <w:webHidden/>
          </w:rPr>
          <w:fldChar w:fldCharType="separate"/>
        </w:r>
        <w:r w:rsidR="00A456ED">
          <w:rPr>
            <w:webHidden/>
          </w:rPr>
          <w:t>118</w:t>
        </w:r>
        <w:r w:rsidR="00BF35BC">
          <w:rPr>
            <w:webHidden/>
          </w:rPr>
          <w:fldChar w:fldCharType="end"/>
        </w:r>
      </w:hyperlink>
    </w:p>
    <w:p w14:paraId="7B05DACF" w14:textId="15DD3082" w:rsidR="00BF35BC" w:rsidRDefault="00B76E8C">
      <w:pPr>
        <w:pStyle w:val="TableofFigures"/>
        <w:rPr>
          <w:rFonts w:asciiTheme="minorHAnsi" w:hAnsiTheme="minorHAnsi" w:cstheme="minorBidi"/>
          <w:lang w:eastAsia="en-AU"/>
        </w:rPr>
      </w:pPr>
      <w:hyperlink w:anchor="_Toc453065460" w:history="1">
        <w:r w:rsidR="00BF35BC" w:rsidRPr="00693A18">
          <w:rPr>
            <w:rStyle w:val="Hyperlink"/>
          </w:rPr>
          <w:t>Figure 13</w:t>
        </w:r>
        <w:r w:rsidR="00BF35BC">
          <w:rPr>
            <w:rFonts w:asciiTheme="minorHAnsi" w:hAnsiTheme="minorHAnsi" w:cstheme="minorBidi"/>
            <w:lang w:eastAsia="en-AU"/>
          </w:rPr>
          <w:tab/>
        </w:r>
        <w:r w:rsidR="00BF35BC" w:rsidRPr="00693A18">
          <w:rPr>
            <w:rStyle w:val="Hyperlink"/>
          </w:rPr>
          <w:t>Boxplots of length of stay by treatment group</w:t>
        </w:r>
        <w:r w:rsidR="00BF35BC">
          <w:rPr>
            <w:webHidden/>
          </w:rPr>
          <w:tab/>
        </w:r>
        <w:r w:rsidR="00BF35BC">
          <w:rPr>
            <w:webHidden/>
          </w:rPr>
          <w:fldChar w:fldCharType="begin"/>
        </w:r>
        <w:r w:rsidR="00BF35BC">
          <w:rPr>
            <w:webHidden/>
          </w:rPr>
          <w:instrText xml:space="preserve"> PAGEREF _Toc453065460 \h </w:instrText>
        </w:r>
        <w:r w:rsidR="00BF35BC">
          <w:rPr>
            <w:webHidden/>
          </w:rPr>
        </w:r>
        <w:r w:rsidR="00BF35BC">
          <w:rPr>
            <w:webHidden/>
          </w:rPr>
          <w:fldChar w:fldCharType="separate"/>
        </w:r>
        <w:r w:rsidR="00A456ED">
          <w:rPr>
            <w:webHidden/>
          </w:rPr>
          <w:t>166</w:t>
        </w:r>
        <w:r w:rsidR="00BF35BC">
          <w:rPr>
            <w:webHidden/>
          </w:rPr>
          <w:fldChar w:fldCharType="end"/>
        </w:r>
      </w:hyperlink>
    </w:p>
    <w:p w14:paraId="2AA83395" w14:textId="04CFA52B" w:rsidR="00BF35BC" w:rsidRDefault="00B76E8C">
      <w:pPr>
        <w:pStyle w:val="TableofFigures"/>
        <w:rPr>
          <w:rFonts w:asciiTheme="minorHAnsi" w:hAnsiTheme="minorHAnsi" w:cstheme="minorBidi"/>
          <w:lang w:eastAsia="en-AU"/>
        </w:rPr>
      </w:pPr>
      <w:hyperlink w:anchor="_Toc453065461" w:history="1">
        <w:r w:rsidR="00BF35BC" w:rsidRPr="00693A18">
          <w:rPr>
            <w:rStyle w:val="Hyperlink"/>
          </w:rPr>
          <w:t>Figure 14</w:t>
        </w:r>
        <w:r w:rsidR="00BF35BC">
          <w:rPr>
            <w:rFonts w:asciiTheme="minorHAnsi" w:hAnsiTheme="minorHAnsi" w:cstheme="minorBidi"/>
            <w:lang w:eastAsia="en-AU"/>
          </w:rPr>
          <w:tab/>
        </w:r>
        <w:r w:rsidR="00BF35BC" w:rsidRPr="00693A18">
          <w:rPr>
            <w:rStyle w:val="Hyperlink"/>
          </w:rPr>
          <w:t>Decision tree structure for the acute phase (to Day 90)</w:t>
        </w:r>
        <w:r w:rsidR="00BF35BC">
          <w:rPr>
            <w:webHidden/>
          </w:rPr>
          <w:tab/>
        </w:r>
        <w:r w:rsidR="00BF35BC">
          <w:rPr>
            <w:webHidden/>
          </w:rPr>
          <w:fldChar w:fldCharType="begin"/>
        </w:r>
        <w:r w:rsidR="00BF35BC">
          <w:rPr>
            <w:webHidden/>
          </w:rPr>
          <w:instrText xml:space="preserve"> PAGEREF _Toc453065461 \h </w:instrText>
        </w:r>
        <w:r w:rsidR="00BF35BC">
          <w:rPr>
            <w:webHidden/>
          </w:rPr>
        </w:r>
        <w:r w:rsidR="00BF35BC">
          <w:rPr>
            <w:webHidden/>
          </w:rPr>
          <w:fldChar w:fldCharType="separate"/>
        </w:r>
        <w:r w:rsidR="00A456ED">
          <w:rPr>
            <w:webHidden/>
          </w:rPr>
          <w:t>169</w:t>
        </w:r>
        <w:r w:rsidR="00BF35BC">
          <w:rPr>
            <w:webHidden/>
          </w:rPr>
          <w:fldChar w:fldCharType="end"/>
        </w:r>
      </w:hyperlink>
    </w:p>
    <w:p w14:paraId="11CFA2B0" w14:textId="77F7C7C4" w:rsidR="00BF35BC" w:rsidRDefault="00B76E8C">
      <w:pPr>
        <w:pStyle w:val="TableofFigures"/>
        <w:rPr>
          <w:rFonts w:asciiTheme="minorHAnsi" w:hAnsiTheme="minorHAnsi" w:cstheme="minorBidi"/>
          <w:lang w:eastAsia="en-AU"/>
        </w:rPr>
      </w:pPr>
      <w:hyperlink w:anchor="_Toc453065462" w:history="1">
        <w:r w:rsidR="00BF35BC" w:rsidRPr="00693A18">
          <w:rPr>
            <w:rStyle w:val="Hyperlink"/>
          </w:rPr>
          <w:t>Figure 15</w:t>
        </w:r>
        <w:r w:rsidR="00BF35BC">
          <w:rPr>
            <w:rFonts w:asciiTheme="minorHAnsi" w:hAnsiTheme="minorHAnsi" w:cstheme="minorBidi"/>
            <w:lang w:eastAsia="en-AU"/>
          </w:rPr>
          <w:tab/>
        </w:r>
        <w:r w:rsidR="00BF35BC" w:rsidRPr="00693A18">
          <w:rPr>
            <w:rStyle w:val="Hyperlink"/>
          </w:rPr>
          <w:t>Decision tree structure for the acute phase (to Day 365)</w:t>
        </w:r>
        <w:r w:rsidR="00BF35BC">
          <w:rPr>
            <w:webHidden/>
          </w:rPr>
          <w:tab/>
        </w:r>
        <w:r w:rsidR="00BF35BC">
          <w:rPr>
            <w:webHidden/>
          </w:rPr>
          <w:fldChar w:fldCharType="begin"/>
        </w:r>
        <w:r w:rsidR="00BF35BC">
          <w:rPr>
            <w:webHidden/>
          </w:rPr>
          <w:instrText xml:space="preserve"> PAGEREF _Toc453065462 \h </w:instrText>
        </w:r>
        <w:r w:rsidR="00BF35BC">
          <w:rPr>
            <w:webHidden/>
          </w:rPr>
        </w:r>
        <w:r w:rsidR="00BF35BC">
          <w:rPr>
            <w:webHidden/>
          </w:rPr>
          <w:fldChar w:fldCharType="separate"/>
        </w:r>
        <w:r w:rsidR="00A456ED">
          <w:rPr>
            <w:webHidden/>
          </w:rPr>
          <w:t>170</w:t>
        </w:r>
        <w:r w:rsidR="00BF35BC">
          <w:rPr>
            <w:webHidden/>
          </w:rPr>
          <w:fldChar w:fldCharType="end"/>
        </w:r>
      </w:hyperlink>
    </w:p>
    <w:p w14:paraId="65A0FF52" w14:textId="5D251D1C" w:rsidR="00BF35BC" w:rsidRDefault="00B76E8C">
      <w:pPr>
        <w:pStyle w:val="TableofFigures"/>
        <w:rPr>
          <w:rFonts w:asciiTheme="minorHAnsi" w:hAnsiTheme="minorHAnsi" w:cstheme="minorBidi"/>
          <w:lang w:eastAsia="en-AU"/>
        </w:rPr>
      </w:pPr>
      <w:hyperlink w:anchor="_Toc453065463" w:history="1">
        <w:r w:rsidR="00BF35BC" w:rsidRPr="00693A18">
          <w:rPr>
            <w:rStyle w:val="Hyperlink"/>
          </w:rPr>
          <w:t>Figure 16</w:t>
        </w:r>
        <w:r w:rsidR="00BF35BC">
          <w:rPr>
            <w:rFonts w:asciiTheme="minorHAnsi" w:hAnsiTheme="minorHAnsi" w:cstheme="minorBidi"/>
            <w:lang w:eastAsia="en-AU"/>
          </w:rPr>
          <w:tab/>
        </w:r>
        <w:r w:rsidR="00BF35BC" w:rsidRPr="00693A18">
          <w:rPr>
            <w:rStyle w:val="Hyperlink"/>
          </w:rPr>
          <w:t xml:space="preserve"> Scores on the mRS at 90 days based on IPD analysis</w:t>
        </w:r>
        <w:r w:rsidR="00BF35BC">
          <w:rPr>
            <w:webHidden/>
          </w:rPr>
          <w:tab/>
        </w:r>
        <w:r w:rsidR="00BF35BC">
          <w:rPr>
            <w:webHidden/>
          </w:rPr>
          <w:fldChar w:fldCharType="begin"/>
        </w:r>
        <w:r w:rsidR="00BF35BC">
          <w:rPr>
            <w:webHidden/>
          </w:rPr>
          <w:instrText xml:space="preserve"> PAGEREF _Toc453065463 \h </w:instrText>
        </w:r>
        <w:r w:rsidR="00BF35BC">
          <w:rPr>
            <w:webHidden/>
          </w:rPr>
        </w:r>
        <w:r w:rsidR="00BF35BC">
          <w:rPr>
            <w:webHidden/>
          </w:rPr>
          <w:fldChar w:fldCharType="separate"/>
        </w:r>
        <w:r w:rsidR="00A456ED">
          <w:rPr>
            <w:webHidden/>
          </w:rPr>
          <w:t>185</w:t>
        </w:r>
        <w:r w:rsidR="00BF35BC">
          <w:rPr>
            <w:webHidden/>
          </w:rPr>
          <w:fldChar w:fldCharType="end"/>
        </w:r>
      </w:hyperlink>
    </w:p>
    <w:p w14:paraId="6C6FCE45" w14:textId="28842CDC" w:rsidR="00BF35BC" w:rsidRDefault="00B76E8C">
      <w:pPr>
        <w:pStyle w:val="TableofFigures"/>
        <w:rPr>
          <w:rFonts w:asciiTheme="minorHAnsi" w:hAnsiTheme="minorHAnsi" w:cstheme="minorBidi"/>
          <w:lang w:eastAsia="en-AU"/>
        </w:rPr>
      </w:pPr>
      <w:hyperlink w:anchor="_Toc453065464" w:history="1">
        <w:r w:rsidR="00BF35BC" w:rsidRPr="00693A18">
          <w:rPr>
            <w:rStyle w:val="Hyperlink"/>
          </w:rPr>
          <w:t>Figure 17</w:t>
        </w:r>
        <w:r w:rsidR="00BF35BC">
          <w:rPr>
            <w:rFonts w:asciiTheme="minorHAnsi" w:hAnsiTheme="minorHAnsi" w:cstheme="minorBidi"/>
            <w:lang w:eastAsia="en-AU"/>
          </w:rPr>
          <w:tab/>
        </w:r>
        <w:r w:rsidR="00BF35BC" w:rsidRPr="00693A18">
          <w:rPr>
            <w:rStyle w:val="Hyperlink"/>
          </w:rPr>
          <w:t xml:space="preserve"> Post-stroke survival as modelled in Alternative Model 2</w:t>
        </w:r>
        <w:r w:rsidR="00BF35BC">
          <w:rPr>
            <w:webHidden/>
          </w:rPr>
          <w:tab/>
        </w:r>
        <w:r w:rsidR="00BF35BC">
          <w:rPr>
            <w:webHidden/>
          </w:rPr>
          <w:fldChar w:fldCharType="begin"/>
        </w:r>
        <w:r w:rsidR="00BF35BC">
          <w:rPr>
            <w:webHidden/>
          </w:rPr>
          <w:instrText xml:space="preserve"> PAGEREF _Toc453065464 \h </w:instrText>
        </w:r>
        <w:r w:rsidR="00BF35BC">
          <w:rPr>
            <w:webHidden/>
          </w:rPr>
        </w:r>
        <w:r w:rsidR="00BF35BC">
          <w:rPr>
            <w:webHidden/>
          </w:rPr>
          <w:fldChar w:fldCharType="separate"/>
        </w:r>
        <w:r w:rsidR="00A456ED">
          <w:rPr>
            <w:webHidden/>
          </w:rPr>
          <w:t>190</w:t>
        </w:r>
        <w:r w:rsidR="00BF35BC">
          <w:rPr>
            <w:webHidden/>
          </w:rPr>
          <w:fldChar w:fldCharType="end"/>
        </w:r>
      </w:hyperlink>
    </w:p>
    <w:p w14:paraId="184912F9" w14:textId="7E85159D" w:rsidR="00BF35BC" w:rsidRDefault="00B76E8C">
      <w:pPr>
        <w:pStyle w:val="TableofFigures"/>
        <w:rPr>
          <w:rFonts w:asciiTheme="minorHAnsi" w:hAnsiTheme="minorHAnsi" w:cstheme="minorBidi"/>
          <w:lang w:eastAsia="en-AU"/>
        </w:rPr>
      </w:pPr>
      <w:hyperlink w:anchor="_Toc453065465" w:history="1">
        <w:r w:rsidR="00BF35BC" w:rsidRPr="00693A18">
          <w:rPr>
            <w:rStyle w:val="Hyperlink"/>
          </w:rPr>
          <w:t>Figure 18</w:t>
        </w:r>
        <w:r w:rsidR="00BF35BC">
          <w:rPr>
            <w:rFonts w:asciiTheme="minorHAnsi" w:hAnsiTheme="minorHAnsi" w:cstheme="minorBidi"/>
            <w:lang w:eastAsia="en-AU"/>
          </w:rPr>
          <w:tab/>
        </w:r>
        <w:r w:rsidR="00BF35BC" w:rsidRPr="00693A18">
          <w:rPr>
            <w:rStyle w:val="Hyperlink"/>
          </w:rPr>
          <w:t>Kaplan-Meier curves showing probability of survival over 10 years of follow-up stratified by the pathology of first-ever stroke</w:t>
        </w:r>
        <w:r w:rsidR="00BF35BC">
          <w:rPr>
            <w:webHidden/>
          </w:rPr>
          <w:tab/>
        </w:r>
        <w:r w:rsidR="00BF35BC">
          <w:rPr>
            <w:webHidden/>
          </w:rPr>
          <w:fldChar w:fldCharType="begin"/>
        </w:r>
        <w:r w:rsidR="00BF35BC">
          <w:rPr>
            <w:webHidden/>
          </w:rPr>
          <w:instrText xml:space="preserve"> PAGEREF _Toc453065465 \h </w:instrText>
        </w:r>
        <w:r w:rsidR="00BF35BC">
          <w:rPr>
            <w:webHidden/>
          </w:rPr>
        </w:r>
        <w:r w:rsidR="00BF35BC">
          <w:rPr>
            <w:webHidden/>
          </w:rPr>
          <w:fldChar w:fldCharType="separate"/>
        </w:r>
        <w:r w:rsidR="00A456ED">
          <w:rPr>
            <w:webHidden/>
          </w:rPr>
          <w:t>191</w:t>
        </w:r>
        <w:r w:rsidR="00BF35BC">
          <w:rPr>
            <w:webHidden/>
          </w:rPr>
          <w:fldChar w:fldCharType="end"/>
        </w:r>
      </w:hyperlink>
    </w:p>
    <w:p w14:paraId="3477E77D" w14:textId="0540E45A" w:rsidR="006C69BF" w:rsidRPr="00D85E09" w:rsidRDefault="008E3B5C" w:rsidP="00C560ED">
      <w:pPr>
        <w:widowControl w:val="0"/>
        <w:spacing w:after="0" w:line="288" w:lineRule="auto"/>
        <w:ind w:left="992" w:hanging="992"/>
        <w:sectPr w:rsidR="006C69BF" w:rsidRPr="00D85E09" w:rsidSect="00033497">
          <w:headerReference w:type="default" r:id="rId21"/>
          <w:pgSz w:w="11907" w:h="16834" w:code="9"/>
          <w:pgMar w:top="1304" w:right="1418" w:bottom="1418" w:left="1418" w:header="720" w:footer="720" w:gutter="0"/>
          <w:paperSrc w:first="7" w:other="7"/>
          <w:pgNumType w:fmt="lowerRoman"/>
          <w:cols w:space="720"/>
          <w:noEndnote/>
          <w:docGrid w:linePitch="299"/>
        </w:sectPr>
      </w:pPr>
      <w:r w:rsidRPr="00D85E09">
        <w:fldChar w:fldCharType="end"/>
      </w:r>
    </w:p>
    <w:p w14:paraId="76F884AB" w14:textId="77777777" w:rsidR="006C69BF" w:rsidRPr="00D85E09" w:rsidRDefault="006C69BF" w:rsidP="0043316B">
      <w:pPr>
        <w:pStyle w:val="Heading1"/>
        <w:keepNext w:val="0"/>
        <w:pageBreakBefore w:val="0"/>
        <w:widowControl w:val="0"/>
        <w:numPr>
          <w:ilvl w:val="0"/>
          <w:numId w:val="0"/>
        </w:numPr>
        <w:ind w:left="360" w:hanging="360"/>
        <w:rPr>
          <w:lang w:val="en-AU"/>
        </w:rPr>
      </w:pPr>
      <w:bookmarkStart w:id="25" w:name="_Toc400475512"/>
      <w:bookmarkStart w:id="26" w:name="_Toc453065233"/>
      <w:r w:rsidRPr="00D85E09">
        <w:rPr>
          <w:lang w:val="en-AU"/>
        </w:rPr>
        <w:lastRenderedPageBreak/>
        <w:t>List of Appendices and Attachments</w:t>
      </w:r>
      <w:bookmarkEnd w:id="25"/>
      <w:bookmarkEnd w:id="26"/>
    </w:p>
    <w:tbl>
      <w:tblPr>
        <w:tblW w:w="0" w:type="auto"/>
        <w:tblBorders>
          <w:top w:val="single" w:sz="4" w:space="0" w:color="000000"/>
          <w:bottom w:val="single" w:sz="4" w:space="0" w:color="000000"/>
        </w:tblBorders>
        <w:tblCellMar>
          <w:bottom w:w="108" w:type="dxa"/>
        </w:tblCellMar>
        <w:tblLook w:val="0000" w:firstRow="0" w:lastRow="0" w:firstColumn="0" w:lastColumn="0" w:noHBand="0" w:noVBand="0"/>
        <w:tblDescription w:val="List of Appendices and Attachments"/>
      </w:tblPr>
      <w:tblGrid>
        <w:gridCol w:w="1641"/>
        <w:gridCol w:w="4847"/>
        <w:gridCol w:w="2516"/>
      </w:tblGrid>
      <w:tr w:rsidR="006C69BF" w:rsidRPr="00D85E09" w14:paraId="5A26CF9C" w14:textId="77777777" w:rsidTr="004E6CDE">
        <w:tc>
          <w:tcPr>
            <w:tcW w:w="1641" w:type="dxa"/>
            <w:tcBorders>
              <w:top w:val="single" w:sz="4" w:space="0" w:color="000000"/>
              <w:bottom w:val="single" w:sz="4" w:space="0" w:color="000000"/>
            </w:tcBorders>
          </w:tcPr>
          <w:p w14:paraId="3706814B" w14:textId="77777777" w:rsidR="006C69BF" w:rsidRPr="00D85E09" w:rsidRDefault="006C69BF" w:rsidP="0043316B">
            <w:pPr>
              <w:pStyle w:val="Tableheaderrow"/>
              <w:keepNext w:val="0"/>
              <w:keepLines w:val="0"/>
              <w:widowControl w:val="0"/>
              <w:rPr>
                <w:bCs w:val="0"/>
              </w:rPr>
            </w:pPr>
            <w:r w:rsidRPr="00D85E09">
              <w:t>Attachment</w:t>
            </w:r>
          </w:p>
        </w:tc>
        <w:tc>
          <w:tcPr>
            <w:tcW w:w="4847" w:type="dxa"/>
            <w:tcBorders>
              <w:top w:val="single" w:sz="4" w:space="0" w:color="000000"/>
              <w:bottom w:val="single" w:sz="4" w:space="0" w:color="000000"/>
            </w:tcBorders>
          </w:tcPr>
          <w:p w14:paraId="0F9AE6C0" w14:textId="77777777" w:rsidR="006C69BF" w:rsidRPr="00D85E09" w:rsidRDefault="006C69BF" w:rsidP="0043316B">
            <w:pPr>
              <w:pStyle w:val="Tableheaderrow"/>
              <w:keepNext w:val="0"/>
              <w:keepLines w:val="0"/>
              <w:widowControl w:val="0"/>
              <w:rPr>
                <w:bCs w:val="0"/>
              </w:rPr>
            </w:pPr>
            <w:r w:rsidRPr="00D85E09">
              <w:t>Title</w:t>
            </w:r>
          </w:p>
        </w:tc>
        <w:tc>
          <w:tcPr>
            <w:tcW w:w="2516" w:type="dxa"/>
            <w:tcBorders>
              <w:top w:val="single" w:sz="4" w:space="0" w:color="000000"/>
              <w:bottom w:val="single" w:sz="4" w:space="0" w:color="000000"/>
            </w:tcBorders>
          </w:tcPr>
          <w:p w14:paraId="449318AF" w14:textId="0AAF592D" w:rsidR="006C69BF" w:rsidRPr="00D85E09" w:rsidRDefault="006C69BF" w:rsidP="00181227">
            <w:pPr>
              <w:pStyle w:val="Tableheaderrow"/>
              <w:keepNext w:val="0"/>
              <w:keepLines w:val="0"/>
              <w:widowControl w:val="0"/>
              <w:rPr>
                <w:bCs w:val="0"/>
              </w:rPr>
            </w:pPr>
            <w:r w:rsidRPr="00D85E09">
              <w:t xml:space="preserve">Numbers of </w:t>
            </w:r>
            <w:r w:rsidR="00181227">
              <w:t xml:space="preserve">copies </w:t>
            </w:r>
            <w:r w:rsidRPr="00D85E09">
              <w:t>provided</w:t>
            </w:r>
          </w:p>
        </w:tc>
      </w:tr>
      <w:tr w:rsidR="006C69BF" w:rsidRPr="00D85E09" w14:paraId="5B4722E6" w14:textId="77777777" w:rsidTr="004E6CDE">
        <w:tc>
          <w:tcPr>
            <w:tcW w:w="1641" w:type="dxa"/>
            <w:tcBorders>
              <w:top w:val="single" w:sz="4" w:space="0" w:color="000000"/>
            </w:tcBorders>
          </w:tcPr>
          <w:p w14:paraId="1DF76BF1" w14:textId="77777777" w:rsidR="006C69BF" w:rsidRPr="00D85E09" w:rsidRDefault="006C69BF" w:rsidP="0043316B">
            <w:pPr>
              <w:pStyle w:val="Tableheaderrow"/>
              <w:keepNext w:val="0"/>
              <w:keepLines w:val="0"/>
              <w:widowControl w:val="0"/>
              <w:rPr>
                <w:bCs w:val="0"/>
                <w:iCs/>
              </w:rPr>
            </w:pPr>
            <w:r w:rsidRPr="00D85E09">
              <w:t>Appendix A</w:t>
            </w:r>
          </w:p>
        </w:tc>
        <w:tc>
          <w:tcPr>
            <w:tcW w:w="4847" w:type="dxa"/>
            <w:tcBorders>
              <w:top w:val="single" w:sz="4" w:space="0" w:color="000000"/>
            </w:tcBorders>
          </w:tcPr>
          <w:p w14:paraId="37F4AEFA" w14:textId="324B1D30" w:rsidR="006C69BF" w:rsidRPr="00D85E09" w:rsidRDefault="000708AD" w:rsidP="0043316B">
            <w:pPr>
              <w:pStyle w:val="Tabletext"/>
              <w:keepNext w:val="0"/>
              <w:widowControl w:val="0"/>
            </w:pPr>
            <w:r>
              <w:t>Instructions for Use</w:t>
            </w:r>
          </w:p>
        </w:tc>
        <w:tc>
          <w:tcPr>
            <w:tcW w:w="2516" w:type="dxa"/>
            <w:tcBorders>
              <w:top w:val="single" w:sz="4" w:space="0" w:color="000000"/>
            </w:tcBorders>
          </w:tcPr>
          <w:p w14:paraId="40E99007" w14:textId="5386BBC9" w:rsidR="006C69BF" w:rsidRPr="00D85E09" w:rsidRDefault="00181227" w:rsidP="0043316B">
            <w:pPr>
              <w:pStyle w:val="Tabletext"/>
              <w:keepNext w:val="0"/>
              <w:widowControl w:val="0"/>
            </w:pPr>
            <w:r>
              <w:t>4</w:t>
            </w:r>
          </w:p>
        </w:tc>
      </w:tr>
      <w:tr w:rsidR="006C69BF" w:rsidRPr="00D85E09" w14:paraId="3E3E66C4" w14:textId="77777777" w:rsidTr="004E6CDE">
        <w:tc>
          <w:tcPr>
            <w:tcW w:w="1641" w:type="dxa"/>
          </w:tcPr>
          <w:p w14:paraId="5312C0E6" w14:textId="77777777" w:rsidR="006C69BF" w:rsidRPr="00D85E09" w:rsidRDefault="006C69BF" w:rsidP="0043316B">
            <w:pPr>
              <w:pStyle w:val="Tableheaderrow"/>
              <w:keepNext w:val="0"/>
              <w:keepLines w:val="0"/>
              <w:widowControl w:val="0"/>
              <w:rPr>
                <w:bCs w:val="0"/>
              </w:rPr>
            </w:pPr>
            <w:r w:rsidRPr="00D85E09">
              <w:t>Appendix B</w:t>
            </w:r>
          </w:p>
        </w:tc>
        <w:tc>
          <w:tcPr>
            <w:tcW w:w="4847" w:type="dxa"/>
          </w:tcPr>
          <w:p w14:paraId="117F0E40" w14:textId="1AD96EE5" w:rsidR="006C69BF" w:rsidRPr="00D85E09" w:rsidRDefault="000708AD" w:rsidP="0043316B">
            <w:pPr>
              <w:pStyle w:val="Tabletext"/>
              <w:keepNext w:val="0"/>
              <w:widowControl w:val="0"/>
            </w:pPr>
            <w:r>
              <w:t>Publications, Protocols and Supplementary Appendix</w:t>
            </w:r>
          </w:p>
        </w:tc>
        <w:tc>
          <w:tcPr>
            <w:tcW w:w="2516" w:type="dxa"/>
          </w:tcPr>
          <w:p w14:paraId="525266CB" w14:textId="158F77BF" w:rsidR="006C69BF" w:rsidRPr="00D85E09" w:rsidRDefault="00181227" w:rsidP="0043316B">
            <w:pPr>
              <w:pStyle w:val="Tabletext"/>
              <w:keepNext w:val="0"/>
              <w:widowControl w:val="0"/>
            </w:pPr>
            <w:r>
              <w:t>4</w:t>
            </w:r>
          </w:p>
        </w:tc>
      </w:tr>
      <w:tr w:rsidR="006C69BF" w:rsidRPr="00D85E09" w14:paraId="7372247D" w14:textId="77777777" w:rsidTr="004E6CDE">
        <w:trPr>
          <w:trHeight w:val="366"/>
        </w:trPr>
        <w:tc>
          <w:tcPr>
            <w:tcW w:w="1641" w:type="dxa"/>
          </w:tcPr>
          <w:p w14:paraId="7AF9520E" w14:textId="77777777" w:rsidR="006C69BF" w:rsidRPr="00D85E09" w:rsidRDefault="006C69BF" w:rsidP="0043316B">
            <w:pPr>
              <w:pStyle w:val="Tableheaderrow"/>
              <w:keepNext w:val="0"/>
              <w:keepLines w:val="0"/>
              <w:widowControl w:val="0"/>
              <w:rPr>
                <w:bCs w:val="0"/>
              </w:rPr>
            </w:pPr>
            <w:r w:rsidRPr="00D85E09">
              <w:t>Appendix C</w:t>
            </w:r>
          </w:p>
        </w:tc>
        <w:tc>
          <w:tcPr>
            <w:tcW w:w="4847" w:type="dxa"/>
          </w:tcPr>
          <w:p w14:paraId="49CDCFA8" w14:textId="076F094C" w:rsidR="006C69BF" w:rsidRPr="00D85E09" w:rsidRDefault="000708AD" w:rsidP="0043316B">
            <w:pPr>
              <w:pStyle w:val="Tabletext"/>
              <w:keepNext w:val="0"/>
              <w:widowControl w:val="0"/>
            </w:pPr>
            <w:r>
              <w:t>IPD meta-analysis</w:t>
            </w:r>
          </w:p>
        </w:tc>
        <w:tc>
          <w:tcPr>
            <w:tcW w:w="2516" w:type="dxa"/>
          </w:tcPr>
          <w:p w14:paraId="77A44183" w14:textId="61E3C8F1" w:rsidR="006C69BF" w:rsidRPr="00D85E09" w:rsidRDefault="00181227" w:rsidP="0043316B">
            <w:pPr>
              <w:pStyle w:val="Tabletext"/>
              <w:keepNext w:val="0"/>
              <w:widowControl w:val="0"/>
            </w:pPr>
            <w:r>
              <w:t>4</w:t>
            </w:r>
          </w:p>
        </w:tc>
      </w:tr>
      <w:tr w:rsidR="006C69BF" w:rsidRPr="00D85E09" w14:paraId="19D8DE66" w14:textId="77777777" w:rsidTr="004E6CDE">
        <w:tc>
          <w:tcPr>
            <w:tcW w:w="1641" w:type="dxa"/>
          </w:tcPr>
          <w:p w14:paraId="33C67757" w14:textId="77777777" w:rsidR="006C69BF" w:rsidRPr="00D85E09" w:rsidRDefault="006C69BF" w:rsidP="0043316B">
            <w:pPr>
              <w:pStyle w:val="Tableheaderrow"/>
              <w:keepNext w:val="0"/>
              <w:keepLines w:val="0"/>
              <w:widowControl w:val="0"/>
            </w:pPr>
            <w:r w:rsidRPr="00D85E09">
              <w:t>Attachment 1</w:t>
            </w:r>
          </w:p>
        </w:tc>
        <w:tc>
          <w:tcPr>
            <w:tcW w:w="4847" w:type="dxa"/>
          </w:tcPr>
          <w:p w14:paraId="5FDD1A52" w14:textId="1A5893A5" w:rsidR="006C69BF" w:rsidRPr="00D85E09" w:rsidRDefault="000708AD" w:rsidP="0043316B">
            <w:pPr>
              <w:pStyle w:val="Tabletext"/>
              <w:keepNext w:val="0"/>
              <w:widowControl w:val="0"/>
            </w:pPr>
            <w:r>
              <w:t>Literature search report and results</w:t>
            </w:r>
          </w:p>
        </w:tc>
        <w:tc>
          <w:tcPr>
            <w:tcW w:w="2516" w:type="dxa"/>
          </w:tcPr>
          <w:p w14:paraId="4047B433" w14:textId="334B4D81" w:rsidR="006C69BF" w:rsidRPr="00D85E09" w:rsidRDefault="00181227" w:rsidP="0043316B">
            <w:pPr>
              <w:pStyle w:val="Tabletext"/>
              <w:keepNext w:val="0"/>
              <w:widowControl w:val="0"/>
            </w:pPr>
            <w:r>
              <w:t>4</w:t>
            </w:r>
          </w:p>
        </w:tc>
      </w:tr>
    </w:tbl>
    <w:p w14:paraId="2FD8A8AD" w14:textId="77777777" w:rsidR="006C69BF" w:rsidRPr="00D85E09" w:rsidRDefault="006C69BF" w:rsidP="0043316B">
      <w:pPr>
        <w:widowControl w:val="0"/>
      </w:pPr>
    </w:p>
    <w:p w14:paraId="25CBC27A" w14:textId="77777777" w:rsidR="006C69BF" w:rsidRPr="00D85E09" w:rsidRDefault="006C69BF" w:rsidP="0043316B">
      <w:pPr>
        <w:pStyle w:val="Heading1"/>
        <w:keepNext w:val="0"/>
        <w:pageBreakBefore w:val="0"/>
        <w:widowControl w:val="0"/>
        <w:numPr>
          <w:ilvl w:val="0"/>
          <w:numId w:val="0"/>
        </w:numPr>
        <w:ind w:left="360" w:hanging="360"/>
        <w:rPr>
          <w:lang w:val="en-AU"/>
        </w:rPr>
      </w:pPr>
      <w:bookmarkStart w:id="27" w:name="_Toc400475513"/>
      <w:bookmarkStart w:id="28" w:name="_Toc453065234"/>
      <w:r w:rsidRPr="00D85E09">
        <w:rPr>
          <w:lang w:val="en-AU"/>
        </w:rPr>
        <w:t>List of Electronic Files</w:t>
      </w:r>
      <w:bookmarkEnd w:id="27"/>
      <w:bookmarkEnd w:id="28"/>
    </w:p>
    <w:tbl>
      <w:tblPr>
        <w:tblW w:w="0" w:type="auto"/>
        <w:tblBorders>
          <w:top w:val="single" w:sz="4" w:space="0" w:color="000000"/>
          <w:bottom w:val="single" w:sz="4" w:space="0" w:color="000000"/>
        </w:tblBorders>
        <w:tblCellMar>
          <w:bottom w:w="108" w:type="dxa"/>
        </w:tblCellMar>
        <w:tblLook w:val="0000" w:firstRow="0" w:lastRow="0" w:firstColumn="0" w:lastColumn="0" w:noHBand="0" w:noVBand="0"/>
        <w:tblDescription w:val="List of Electronic Files"/>
      </w:tblPr>
      <w:tblGrid>
        <w:gridCol w:w="4395"/>
        <w:gridCol w:w="4609"/>
      </w:tblGrid>
      <w:tr w:rsidR="006C69BF" w:rsidRPr="00D85E09" w14:paraId="4E1AB3FC" w14:textId="77777777" w:rsidTr="004E6CDE">
        <w:tc>
          <w:tcPr>
            <w:tcW w:w="4395" w:type="dxa"/>
            <w:tcBorders>
              <w:top w:val="single" w:sz="4" w:space="0" w:color="000000"/>
              <w:bottom w:val="single" w:sz="4" w:space="0" w:color="000000"/>
            </w:tcBorders>
          </w:tcPr>
          <w:p w14:paraId="14F07CB1" w14:textId="77777777" w:rsidR="006C69BF" w:rsidRPr="00D85E09" w:rsidRDefault="006C69BF" w:rsidP="0043316B">
            <w:pPr>
              <w:pStyle w:val="Tableheading"/>
              <w:keepNext w:val="0"/>
              <w:widowControl w:val="0"/>
              <w:rPr>
                <w:iCs/>
              </w:rPr>
            </w:pPr>
            <w:r w:rsidRPr="00D85E09">
              <w:t>Description</w:t>
            </w:r>
          </w:p>
        </w:tc>
        <w:tc>
          <w:tcPr>
            <w:tcW w:w="4609" w:type="dxa"/>
            <w:tcBorders>
              <w:top w:val="single" w:sz="4" w:space="0" w:color="000000"/>
              <w:bottom w:val="single" w:sz="4" w:space="0" w:color="000000"/>
            </w:tcBorders>
          </w:tcPr>
          <w:p w14:paraId="68EC58E2" w14:textId="77777777" w:rsidR="006C69BF" w:rsidRPr="00D85E09" w:rsidRDefault="006C69BF" w:rsidP="0043316B">
            <w:pPr>
              <w:pStyle w:val="Tableheading"/>
              <w:keepNext w:val="0"/>
              <w:widowControl w:val="0"/>
              <w:rPr>
                <w:bCs/>
              </w:rPr>
            </w:pPr>
            <w:r w:rsidRPr="00D85E09">
              <w:rPr>
                <w:bCs/>
              </w:rPr>
              <w:t>Filename</w:t>
            </w:r>
          </w:p>
        </w:tc>
      </w:tr>
      <w:tr w:rsidR="006C69BF" w:rsidRPr="00D85E09" w14:paraId="37E2DE55" w14:textId="77777777" w:rsidTr="004E6CDE">
        <w:tc>
          <w:tcPr>
            <w:tcW w:w="4395" w:type="dxa"/>
          </w:tcPr>
          <w:p w14:paraId="7177BB3D" w14:textId="32916F0F" w:rsidR="006C69BF" w:rsidRPr="00D85E09" w:rsidRDefault="00775651" w:rsidP="0043316B">
            <w:pPr>
              <w:pStyle w:val="Tabletext"/>
              <w:keepNext w:val="0"/>
              <w:widowControl w:val="0"/>
            </w:pPr>
            <w:r w:rsidRPr="00D85E09">
              <w:t>Cost-Effectiveness Analysis of Solitaire for Acute Isch</w:t>
            </w:r>
            <w:r w:rsidR="00E56287" w:rsidRPr="00D85E09">
              <w:t>aemic</w:t>
            </w:r>
            <w:r w:rsidRPr="00D85E09">
              <w:t xml:space="preserve"> Strokes due to Large Vessel Occlusions</w:t>
            </w:r>
          </w:p>
        </w:tc>
        <w:tc>
          <w:tcPr>
            <w:tcW w:w="4609" w:type="dxa"/>
          </w:tcPr>
          <w:p w14:paraId="1956F432" w14:textId="38997F3A" w:rsidR="006C69BF" w:rsidRPr="00D85E09" w:rsidRDefault="00775651" w:rsidP="0043316B">
            <w:pPr>
              <w:pStyle w:val="Tabletext"/>
              <w:keepNext w:val="0"/>
              <w:widowControl w:val="0"/>
            </w:pPr>
            <w:r w:rsidRPr="00D85E09">
              <w:t>1. MT MSAC June 2016 Section D</w:t>
            </w:r>
          </w:p>
        </w:tc>
      </w:tr>
      <w:tr w:rsidR="006C69BF" w:rsidRPr="00D85E09" w14:paraId="3EE80422" w14:textId="77777777" w:rsidTr="004E6CDE">
        <w:tc>
          <w:tcPr>
            <w:tcW w:w="4395" w:type="dxa"/>
          </w:tcPr>
          <w:p w14:paraId="08ACDBE3" w14:textId="77777777" w:rsidR="006C69BF" w:rsidRPr="00D85E09" w:rsidRDefault="006C69BF" w:rsidP="0043316B">
            <w:pPr>
              <w:pStyle w:val="Tabletext"/>
              <w:keepNext w:val="0"/>
              <w:widowControl w:val="0"/>
            </w:pPr>
            <w:r w:rsidRPr="00D85E09">
              <w:t>Estimated utilisation and financial implications</w:t>
            </w:r>
          </w:p>
        </w:tc>
        <w:tc>
          <w:tcPr>
            <w:tcW w:w="4609" w:type="dxa"/>
          </w:tcPr>
          <w:p w14:paraId="6A7C5579" w14:textId="60C4ED84" w:rsidR="006C69BF" w:rsidRPr="00D85E09" w:rsidRDefault="00775651" w:rsidP="0043316B">
            <w:pPr>
              <w:pStyle w:val="Tabletext"/>
              <w:keepNext w:val="0"/>
              <w:widowControl w:val="0"/>
            </w:pPr>
            <w:r w:rsidRPr="00D85E09">
              <w:t>2</w:t>
            </w:r>
            <w:r w:rsidR="006C69BF" w:rsidRPr="00D85E09">
              <w:t xml:space="preserve">. </w:t>
            </w:r>
            <w:r w:rsidRPr="00D85E09">
              <w:t xml:space="preserve">MT MSAC June 2016 Section </w:t>
            </w:r>
            <w:r w:rsidR="00181227">
              <w:t>E</w:t>
            </w:r>
          </w:p>
        </w:tc>
      </w:tr>
    </w:tbl>
    <w:p w14:paraId="467EADA5" w14:textId="6145801A" w:rsidR="006C69BF" w:rsidRPr="00D85E09" w:rsidRDefault="006C69BF" w:rsidP="0043316B">
      <w:pPr>
        <w:widowControl w:val="0"/>
      </w:pPr>
    </w:p>
    <w:p w14:paraId="3AD5BA81" w14:textId="77777777" w:rsidR="006C69BF" w:rsidRPr="00D85E09" w:rsidRDefault="006C69BF" w:rsidP="0043316B">
      <w:pPr>
        <w:widowControl w:val="0"/>
        <w:sectPr w:rsidR="006C69BF" w:rsidRPr="00D85E09" w:rsidSect="00033497">
          <w:headerReference w:type="default" r:id="rId22"/>
          <w:pgSz w:w="11907" w:h="16834" w:code="9"/>
          <w:pgMar w:top="1304" w:right="1418" w:bottom="1418" w:left="1418" w:header="720" w:footer="720" w:gutter="0"/>
          <w:paperSrc w:first="7" w:other="7"/>
          <w:pgNumType w:fmt="lowerRoman"/>
          <w:cols w:space="720"/>
          <w:noEndnote/>
          <w:docGrid w:linePitch="299"/>
        </w:sectPr>
      </w:pPr>
    </w:p>
    <w:p w14:paraId="3460B1DE" w14:textId="571B227D" w:rsidR="006C69BF" w:rsidRPr="00D85E09" w:rsidRDefault="00227C1C" w:rsidP="0043316B">
      <w:pPr>
        <w:pStyle w:val="Heading1"/>
        <w:keepNext w:val="0"/>
        <w:pageBreakBefore w:val="0"/>
        <w:widowControl w:val="0"/>
        <w:numPr>
          <w:ilvl w:val="0"/>
          <w:numId w:val="0"/>
        </w:numPr>
        <w:ind w:left="360" w:hanging="360"/>
        <w:rPr>
          <w:lang w:val="en-AU"/>
        </w:rPr>
      </w:pPr>
      <w:bookmarkStart w:id="29" w:name="_Toc400475514"/>
      <w:bookmarkStart w:id="30" w:name="_Toc453065235"/>
      <w:r w:rsidRPr="00D85E09">
        <w:rPr>
          <w:lang w:val="en-AU"/>
        </w:rPr>
        <w:lastRenderedPageBreak/>
        <w:t>List of A</w:t>
      </w:r>
      <w:r w:rsidR="006C69BF" w:rsidRPr="00D85E09">
        <w:rPr>
          <w:lang w:val="en-AU"/>
        </w:rPr>
        <w:t>bbreviations</w:t>
      </w:r>
      <w:bookmarkEnd w:id="29"/>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abbreviations "/>
      </w:tblPr>
      <w:tblGrid>
        <w:gridCol w:w="1488"/>
        <w:gridCol w:w="7583"/>
      </w:tblGrid>
      <w:tr w:rsidR="00993F58" w:rsidRPr="00D85E09" w14:paraId="360AA432" w14:textId="77777777" w:rsidTr="00BE6331">
        <w:trPr>
          <w:tblHeader/>
        </w:trPr>
        <w:tc>
          <w:tcPr>
            <w:tcW w:w="1488" w:type="dxa"/>
          </w:tcPr>
          <w:p w14:paraId="733B435F" w14:textId="5AEC606D" w:rsidR="00993F58" w:rsidRPr="00D85E09" w:rsidRDefault="00993F58" w:rsidP="00993F58">
            <w:pPr>
              <w:spacing w:after="0"/>
            </w:pPr>
            <w:r w:rsidRPr="00D85E09">
              <w:t>ABS</w:t>
            </w:r>
          </w:p>
        </w:tc>
        <w:tc>
          <w:tcPr>
            <w:tcW w:w="7583" w:type="dxa"/>
          </w:tcPr>
          <w:p w14:paraId="43949450" w14:textId="36B09527" w:rsidR="00993F58" w:rsidRPr="00D85E09" w:rsidRDefault="00D85E09" w:rsidP="00993F58">
            <w:pPr>
              <w:spacing w:after="0"/>
            </w:pPr>
            <w:r w:rsidRPr="00D85E09">
              <w:t>Australian Bureau of Statistics</w:t>
            </w:r>
          </w:p>
        </w:tc>
      </w:tr>
      <w:tr w:rsidR="00993F58" w:rsidRPr="00D85E09" w14:paraId="4495CABF" w14:textId="77777777" w:rsidTr="00C22925">
        <w:tc>
          <w:tcPr>
            <w:tcW w:w="1488" w:type="dxa"/>
          </w:tcPr>
          <w:p w14:paraId="3B92DB25" w14:textId="22D71A6B" w:rsidR="00993F58" w:rsidRPr="00D85E09" w:rsidRDefault="00993F58" w:rsidP="00993F58">
            <w:pPr>
              <w:spacing w:after="0"/>
            </w:pPr>
            <w:r w:rsidRPr="00D85E09">
              <w:t>AHA</w:t>
            </w:r>
          </w:p>
        </w:tc>
        <w:tc>
          <w:tcPr>
            <w:tcW w:w="7583" w:type="dxa"/>
          </w:tcPr>
          <w:p w14:paraId="0BEE007F" w14:textId="40FF226F" w:rsidR="00993F58" w:rsidRPr="00D85E09" w:rsidRDefault="00C22925" w:rsidP="00993F58">
            <w:pPr>
              <w:spacing w:after="0"/>
            </w:pPr>
            <w:r w:rsidRPr="00C22925">
              <w:t>American Heart Association</w:t>
            </w:r>
          </w:p>
        </w:tc>
      </w:tr>
      <w:tr w:rsidR="00993F58" w:rsidRPr="00D85E09" w14:paraId="1A401DEC" w14:textId="77777777" w:rsidTr="00C22925">
        <w:tc>
          <w:tcPr>
            <w:tcW w:w="1488" w:type="dxa"/>
          </w:tcPr>
          <w:p w14:paraId="52E30A5D" w14:textId="758815EC" w:rsidR="00993F58" w:rsidRPr="00D85E09" w:rsidRDefault="00993F58" w:rsidP="00993F58">
            <w:pPr>
              <w:spacing w:after="0"/>
            </w:pPr>
            <w:r w:rsidRPr="00D85E09">
              <w:t>AIHW</w:t>
            </w:r>
          </w:p>
        </w:tc>
        <w:tc>
          <w:tcPr>
            <w:tcW w:w="7583" w:type="dxa"/>
          </w:tcPr>
          <w:p w14:paraId="6B11859F" w14:textId="590B5AA8" w:rsidR="00993F58" w:rsidRPr="00D85E09" w:rsidRDefault="00D85E09" w:rsidP="00993F58">
            <w:pPr>
              <w:spacing w:after="0"/>
            </w:pPr>
            <w:r w:rsidRPr="00D85E09">
              <w:t>Australian Institute of Health and Welfare</w:t>
            </w:r>
          </w:p>
        </w:tc>
      </w:tr>
      <w:tr w:rsidR="00993F58" w:rsidRPr="00D85E09" w14:paraId="4F506AE6" w14:textId="77777777" w:rsidTr="00C22925">
        <w:tc>
          <w:tcPr>
            <w:tcW w:w="1488" w:type="dxa"/>
          </w:tcPr>
          <w:p w14:paraId="1BD58686" w14:textId="51FD9F71" w:rsidR="00993F58" w:rsidRPr="00D85E09" w:rsidRDefault="00993F58" w:rsidP="00993F58">
            <w:pPr>
              <w:spacing w:after="0"/>
            </w:pPr>
            <w:r w:rsidRPr="00D85E09">
              <w:t>AIS</w:t>
            </w:r>
          </w:p>
        </w:tc>
        <w:tc>
          <w:tcPr>
            <w:tcW w:w="7583" w:type="dxa"/>
          </w:tcPr>
          <w:p w14:paraId="69968A9C" w14:textId="32A8346D" w:rsidR="00993F58" w:rsidRPr="00D85E09" w:rsidRDefault="00993F58" w:rsidP="00993F58">
            <w:pPr>
              <w:spacing w:after="0"/>
            </w:pPr>
            <w:r w:rsidRPr="00D85E09">
              <w:t>Acute ischaemic stroke</w:t>
            </w:r>
          </w:p>
        </w:tc>
      </w:tr>
      <w:tr w:rsidR="00993F58" w:rsidRPr="00D85E09" w14:paraId="3038BE38" w14:textId="77777777" w:rsidTr="00C22925">
        <w:tc>
          <w:tcPr>
            <w:tcW w:w="1488" w:type="dxa"/>
          </w:tcPr>
          <w:p w14:paraId="379E2A04" w14:textId="20CE0D9B" w:rsidR="00993F58" w:rsidRPr="00D85E09" w:rsidRDefault="00993F58" w:rsidP="00993F58">
            <w:pPr>
              <w:spacing w:after="0"/>
            </w:pPr>
            <w:r w:rsidRPr="00D85E09">
              <w:t>AQoL</w:t>
            </w:r>
          </w:p>
        </w:tc>
        <w:tc>
          <w:tcPr>
            <w:tcW w:w="7583" w:type="dxa"/>
          </w:tcPr>
          <w:p w14:paraId="49BE9A78" w14:textId="645569B4" w:rsidR="00993F58" w:rsidRPr="00D85E09" w:rsidRDefault="00273BC2" w:rsidP="00993F58">
            <w:pPr>
              <w:spacing w:after="0"/>
            </w:pPr>
            <w:r w:rsidRPr="00273BC2">
              <w:t>Assessment of Quality of Life</w:t>
            </w:r>
          </w:p>
        </w:tc>
      </w:tr>
      <w:tr w:rsidR="00993F58" w:rsidRPr="00D85E09" w14:paraId="3B1E99BA" w14:textId="77777777" w:rsidTr="00C22925">
        <w:tc>
          <w:tcPr>
            <w:tcW w:w="1488" w:type="dxa"/>
          </w:tcPr>
          <w:p w14:paraId="33518E83" w14:textId="27199A7E" w:rsidR="00993F58" w:rsidRPr="00D85E09" w:rsidRDefault="00993F58" w:rsidP="00993F58">
            <w:pPr>
              <w:spacing w:after="0"/>
            </w:pPr>
            <w:r w:rsidRPr="00D85E09">
              <w:t>ARTG</w:t>
            </w:r>
          </w:p>
        </w:tc>
        <w:tc>
          <w:tcPr>
            <w:tcW w:w="7583" w:type="dxa"/>
          </w:tcPr>
          <w:p w14:paraId="5AD511F4" w14:textId="404E4C68" w:rsidR="00993F58" w:rsidRPr="00D85E09" w:rsidRDefault="00993F58" w:rsidP="00993F58">
            <w:pPr>
              <w:spacing w:after="0"/>
            </w:pPr>
            <w:r w:rsidRPr="00D85E09">
              <w:t>Australian Register of Therapeutic Goods</w:t>
            </w:r>
          </w:p>
        </w:tc>
      </w:tr>
      <w:tr w:rsidR="00993F58" w:rsidRPr="00D85E09" w14:paraId="27D7B0B3" w14:textId="77777777" w:rsidTr="00C22925">
        <w:tc>
          <w:tcPr>
            <w:tcW w:w="1488" w:type="dxa"/>
          </w:tcPr>
          <w:p w14:paraId="081AFFBF" w14:textId="0D17FBF9" w:rsidR="00993F58" w:rsidRPr="00D85E09" w:rsidRDefault="00993F58" w:rsidP="00993F58">
            <w:pPr>
              <w:spacing w:after="0"/>
            </w:pPr>
            <w:r w:rsidRPr="00D85E09">
              <w:t>ASA</w:t>
            </w:r>
          </w:p>
        </w:tc>
        <w:tc>
          <w:tcPr>
            <w:tcW w:w="7583" w:type="dxa"/>
          </w:tcPr>
          <w:p w14:paraId="0ED1F604" w14:textId="025D661B" w:rsidR="00993F58" w:rsidRPr="00D85E09" w:rsidRDefault="00C22925" w:rsidP="00993F58">
            <w:pPr>
              <w:spacing w:after="0"/>
            </w:pPr>
            <w:r w:rsidRPr="00C22925">
              <w:t>American Stroke Association</w:t>
            </w:r>
          </w:p>
        </w:tc>
      </w:tr>
      <w:tr w:rsidR="00993F58" w:rsidRPr="00D85E09" w14:paraId="571D6B33" w14:textId="77777777" w:rsidTr="00C22925">
        <w:tc>
          <w:tcPr>
            <w:tcW w:w="1488" w:type="dxa"/>
          </w:tcPr>
          <w:p w14:paraId="39449616" w14:textId="2E9ED1C4" w:rsidR="00993F58" w:rsidRPr="00D85E09" w:rsidRDefault="00993F58" w:rsidP="00993F58">
            <w:pPr>
              <w:spacing w:after="0"/>
            </w:pPr>
            <w:r w:rsidRPr="00D85E09">
              <w:t>BI</w:t>
            </w:r>
            <w:r w:rsidRPr="00D85E09">
              <w:tab/>
            </w:r>
          </w:p>
        </w:tc>
        <w:tc>
          <w:tcPr>
            <w:tcW w:w="7583" w:type="dxa"/>
          </w:tcPr>
          <w:p w14:paraId="173E966C" w14:textId="298B34B7" w:rsidR="00993F58" w:rsidRPr="00D85E09" w:rsidRDefault="00993F58" w:rsidP="00993F58">
            <w:pPr>
              <w:spacing w:after="0"/>
            </w:pPr>
            <w:r w:rsidRPr="00D85E09">
              <w:t>Barthel Index</w:t>
            </w:r>
          </w:p>
        </w:tc>
      </w:tr>
      <w:tr w:rsidR="00993F58" w:rsidRPr="00D85E09" w14:paraId="677A05F5" w14:textId="77777777" w:rsidTr="00C22925">
        <w:tc>
          <w:tcPr>
            <w:tcW w:w="1488" w:type="dxa"/>
          </w:tcPr>
          <w:p w14:paraId="4668D836" w14:textId="5E69E872" w:rsidR="00993F58" w:rsidRPr="00D85E09" w:rsidRDefault="00993F58" w:rsidP="00993F58">
            <w:pPr>
              <w:spacing w:after="0"/>
            </w:pPr>
            <w:r w:rsidRPr="00D85E09">
              <w:t>BP</w:t>
            </w:r>
          </w:p>
        </w:tc>
        <w:tc>
          <w:tcPr>
            <w:tcW w:w="7583" w:type="dxa"/>
          </w:tcPr>
          <w:p w14:paraId="3F3B7811" w14:textId="468A7BEE" w:rsidR="00993F58" w:rsidRPr="00D85E09" w:rsidRDefault="00993F58" w:rsidP="00993F58">
            <w:pPr>
              <w:spacing w:after="0"/>
            </w:pPr>
            <w:r w:rsidRPr="00D85E09">
              <w:t>Blood pressure</w:t>
            </w:r>
          </w:p>
        </w:tc>
      </w:tr>
      <w:tr w:rsidR="00993F58" w:rsidRPr="00D85E09" w14:paraId="3BE33532" w14:textId="77777777" w:rsidTr="00C22925">
        <w:tc>
          <w:tcPr>
            <w:tcW w:w="1488" w:type="dxa"/>
          </w:tcPr>
          <w:p w14:paraId="1CA5FE26" w14:textId="6888F8EF" w:rsidR="00993F58" w:rsidRPr="00D85E09" w:rsidRDefault="00993F58" w:rsidP="00993F58">
            <w:pPr>
              <w:spacing w:after="0"/>
            </w:pPr>
            <w:r w:rsidRPr="00D85E09">
              <w:t>CPG</w:t>
            </w:r>
            <w:r w:rsidRPr="00D85E09">
              <w:tab/>
            </w:r>
          </w:p>
        </w:tc>
        <w:tc>
          <w:tcPr>
            <w:tcW w:w="7583" w:type="dxa"/>
          </w:tcPr>
          <w:p w14:paraId="2713C116" w14:textId="51C1F955" w:rsidR="00993F58" w:rsidRPr="00D85E09" w:rsidRDefault="00993F58" w:rsidP="00993F58">
            <w:pPr>
              <w:spacing w:after="0"/>
            </w:pPr>
            <w:r w:rsidRPr="00D85E09">
              <w:t>Clinical practice guidelines</w:t>
            </w:r>
          </w:p>
        </w:tc>
      </w:tr>
      <w:tr w:rsidR="00993F58" w:rsidRPr="00D85E09" w14:paraId="4574D431" w14:textId="77777777" w:rsidTr="00C22925">
        <w:tc>
          <w:tcPr>
            <w:tcW w:w="1488" w:type="dxa"/>
          </w:tcPr>
          <w:p w14:paraId="16B9CABC" w14:textId="5D18B7D6" w:rsidR="00993F58" w:rsidRPr="00D85E09" w:rsidRDefault="00993F58" w:rsidP="00993F58">
            <w:pPr>
              <w:spacing w:after="0"/>
            </w:pPr>
            <w:r w:rsidRPr="00D85E09">
              <w:t>CT</w:t>
            </w:r>
          </w:p>
        </w:tc>
        <w:tc>
          <w:tcPr>
            <w:tcW w:w="7583" w:type="dxa"/>
          </w:tcPr>
          <w:p w14:paraId="70A35806" w14:textId="5133313B" w:rsidR="00993F58" w:rsidRPr="00D85E09" w:rsidRDefault="00D85E09" w:rsidP="00D85E09">
            <w:pPr>
              <w:spacing w:after="0"/>
            </w:pPr>
            <w:r w:rsidRPr="00D85E09">
              <w:t xml:space="preserve">Computed tomography </w:t>
            </w:r>
          </w:p>
        </w:tc>
      </w:tr>
      <w:tr w:rsidR="00993F58" w:rsidRPr="00D85E09" w14:paraId="0818413C" w14:textId="77777777" w:rsidTr="00C22925">
        <w:tc>
          <w:tcPr>
            <w:tcW w:w="1488" w:type="dxa"/>
          </w:tcPr>
          <w:p w14:paraId="59C8F2A8" w14:textId="0BFA1F28" w:rsidR="00993F58" w:rsidRPr="00D85E09" w:rsidRDefault="00993F58" w:rsidP="00993F58">
            <w:pPr>
              <w:spacing w:after="0"/>
            </w:pPr>
            <w:r w:rsidRPr="00D85E09">
              <w:t>CTA</w:t>
            </w:r>
          </w:p>
        </w:tc>
        <w:tc>
          <w:tcPr>
            <w:tcW w:w="7583" w:type="dxa"/>
          </w:tcPr>
          <w:p w14:paraId="0D120A0D" w14:textId="6961EDF5" w:rsidR="00993F58" w:rsidRPr="00D85E09" w:rsidRDefault="00D85E09" w:rsidP="00993F58">
            <w:pPr>
              <w:spacing w:after="0"/>
            </w:pPr>
            <w:r w:rsidRPr="00D85E09">
              <w:t>Computed tomography angiography</w:t>
            </w:r>
          </w:p>
        </w:tc>
      </w:tr>
      <w:tr w:rsidR="00993F58" w:rsidRPr="00D85E09" w14:paraId="7E1C63F4" w14:textId="77777777" w:rsidTr="00C22925">
        <w:tc>
          <w:tcPr>
            <w:tcW w:w="1488" w:type="dxa"/>
          </w:tcPr>
          <w:p w14:paraId="43A5867F" w14:textId="6B286318" w:rsidR="00993F58" w:rsidRPr="00D85E09" w:rsidRDefault="00993F58" w:rsidP="00993F58">
            <w:pPr>
              <w:spacing w:after="0"/>
            </w:pPr>
            <w:r w:rsidRPr="00D85E09">
              <w:t>DAP</w:t>
            </w:r>
            <w:r w:rsidRPr="00D85E09">
              <w:tab/>
            </w:r>
          </w:p>
        </w:tc>
        <w:tc>
          <w:tcPr>
            <w:tcW w:w="7583" w:type="dxa"/>
          </w:tcPr>
          <w:p w14:paraId="40259D9D" w14:textId="0253BA3F" w:rsidR="00993F58" w:rsidRPr="00D85E09" w:rsidRDefault="00993F58" w:rsidP="00993F58">
            <w:pPr>
              <w:spacing w:after="0"/>
            </w:pPr>
            <w:r w:rsidRPr="00D85E09">
              <w:t>Decision analytic protocol</w:t>
            </w:r>
          </w:p>
        </w:tc>
      </w:tr>
      <w:tr w:rsidR="00993F58" w:rsidRPr="00D85E09" w14:paraId="76996D19" w14:textId="77777777" w:rsidTr="00C22925">
        <w:tc>
          <w:tcPr>
            <w:tcW w:w="1488" w:type="dxa"/>
          </w:tcPr>
          <w:p w14:paraId="165FAD69" w14:textId="37BC1F50" w:rsidR="00993F58" w:rsidRPr="00D85E09" w:rsidRDefault="00993F58" w:rsidP="00993F58">
            <w:pPr>
              <w:spacing w:after="0"/>
            </w:pPr>
            <w:r w:rsidRPr="00D85E09">
              <w:t>DOH</w:t>
            </w:r>
            <w:r w:rsidRPr="00D85E09">
              <w:tab/>
            </w:r>
          </w:p>
        </w:tc>
        <w:tc>
          <w:tcPr>
            <w:tcW w:w="7583" w:type="dxa"/>
          </w:tcPr>
          <w:p w14:paraId="6F8C5B5A" w14:textId="4D0E570F" w:rsidR="00993F58" w:rsidRPr="00D85E09" w:rsidRDefault="00993F58" w:rsidP="00993F58">
            <w:pPr>
              <w:spacing w:after="0"/>
            </w:pPr>
            <w:r w:rsidRPr="00D85E09">
              <w:t>Department of Health</w:t>
            </w:r>
          </w:p>
        </w:tc>
      </w:tr>
      <w:tr w:rsidR="00993F58" w:rsidRPr="00D85E09" w14:paraId="5CE601B9" w14:textId="77777777" w:rsidTr="00C22925">
        <w:tc>
          <w:tcPr>
            <w:tcW w:w="1488" w:type="dxa"/>
          </w:tcPr>
          <w:p w14:paraId="2FF2DCC6" w14:textId="18B08B6D" w:rsidR="00993F58" w:rsidRPr="00D85E09" w:rsidRDefault="00993F58" w:rsidP="00993F58">
            <w:pPr>
              <w:spacing w:after="0"/>
            </w:pPr>
            <w:r w:rsidRPr="00D85E09">
              <w:t>DSA</w:t>
            </w:r>
            <w:r w:rsidRPr="00D85E09">
              <w:tab/>
            </w:r>
          </w:p>
        </w:tc>
        <w:tc>
          <w:tcPr>
            <w:tcW w:w="7583" w:type="dxa"/>
          </w:tcPr>
          <w:p w14:paraId="130C60B0" w14:textId="6D79E8D8" w:rsidR="00993F58" w:rsidRPr="00D85E09" w:rsidRDefault="00993F58" w:rsidP="00993F58">
            <w:pPr>
              <w:spacing w:after="0"/>
            </w:pPr>
            <w:r w:rsidRPr="00D85E09">
              <w:t>Digital subtraction angiography</w:t>
            </w:r>
          </w:p>
        </w:tc>
      </w:tr>
      <w:tr w:rsidR="00993F58" w:rsidRPr="00D85E09" w14:paraId="530C8714" w14:textId="77777777" w:rsidTr="00C22925">
        <w:tc>
          <w:tcPr>
            <w:tcW w:w="1488" w:type="dxa"/>
          </w:tcPr>
          <w:p w14:paraId="27F27FC2" w14:textId="67DF74CC" w:rsidR="00993F58" w:rsidRPr="00D85E09" w:rsidRDefault="00993F58" w:rsidP="00993F58">
            <w:pPr>
              <w:spacing w:after="0"/>
            </w:pPr>
            <w:r w:rsidRPr="00D85E09">
              <w:t>DVT</w:t>
            </w:r>
            <w:r w:rsidRPr="00D85E09">
              <w:tab/>
            </w:r>
          </w:p>
        </w:tc>
        <w:tc>
          <w:tcPr>
            <w:tcW w:w="7583" w:type="dxa"/>
          </w:tcPr>
          <w:p w14:paraId="1D1BEAD4" w14:textId="370B7284" w:rsidR="00993F58" w:rsidRPr="00D85E09" w:rsidRDefault="00993F58" w:rsidP="00993F58">
            <w:pPr>
              <w:spacing w:after="0"/>
            </w:pPr>
            <w:r w:rsidRPr="00D85E09">
              <w:t>Deep vien thrombosis</w:t>
            </w:r>
          </w:p>
        </w:tc>
      </w:tr>
      <w:tr w:rsidR="00993F58" w:rsidRPr="00D85E09" w14:paraId="1FEE6DD7" w14:textId="77777777" w:rsidTr="00C22925">
        <w:tc>
          <w:tcPr>
            <w:tcW w:w="1488" w:type="dxa"/>
          </w:tcPr>
          <w:p w14:paraId="0ED24F6D" w14:textId="4CFE749F" w:rsidR="00993F58" w:rsidRPr="00D85E09" w:rsidRDefault="00993F58" w:rsidP="00993F58">
            <w:pPr>
              <w:spacing w:after="0"/>
            </w:pPr>
            <w:r w:rsidRPr="00D85E09">
              <w:t>DWI</w:t>
            </w:r>
          </w:p>
        </w:tc>
        <w:tc>
          <w:tcPr>
            <w:tcW w:w="7583" w:type="dxa"/>
          </w:tcPr>
          <w:p w14:paraId="353DD3AD" w14:textId="12DDF369" w:rsidR="00993F58" w:rsidRPr="00D85E09" w:rsidRDefault="00C22925" w:rsidP="00993F58">
            <w:pPr>
              <w:spacing w:after="0"/>
            </w:pPr>
            <w:r>
              <w:t>D</w:t>
            </w:r>
            <w:r w:rsidRPr="00C22925">
              <w:t>iffusion weighted imaging</w:t>
            </w:r>
          </w:p>
        </w:tc>
      </w:tr>
      <w:tr w:rsidR="00993F58" w:rsidRPr="00D85E09" w14:paraId="3AFA61D0" w14:textId="77777777" w:rsidTr="00C22925">
        <w:tc>
          <w:tcPr>
            <w:tcW w:w="1488" w:type="dxa"/>
          </w:tcPr>
          <w:p w14:paraId="242AC16D" w14:textId="07EA7F1B" w:rsidR="00993F58" w:rsidRPr="00D85E09" w:rsidRDefault="00993F58" w:rsidP="00993F58">
            <w:pPr>
              <w:spacing w:after="0"/>
            </w:pPr>
            <w:r w:rsidRPr="00D85E09">
              <w:t>EASI</w:t>
            </w:r>
          </w:p>
        </w:tc>
        <w:tc>
          <w:tcPr>
            <w:tcW w:w="7583" w:type="dxa"/>
          </w:tcPr>
          <w:p w14:paraId="174B3343" w14:textId="53916530" w:rsidR="00993F58" w:rsidRPr="00D85E09" w:rsidRDefault="00993F58" w:rsidP="00993F58">
            <w:pPr>
              <w:spacing w:after="0"/>
            </w:pPr>
            <w:r w:rsidRPr="00D85E09">
              <w:t>Endovascular Acute Stoke Intervention</w:t>
            </w:r>
          </w:p>
        </w:tc>
      </w:tr>
      <w:tr w:rsidR="00993F58" w:rsidRPr="00D85E09" w14:paraId="38E62BA5" w14:textId="77777777" w:rsidTr="00C22925">
        <w:tc>
          <w:tcPr>
            <w:tcW w:w="1488" w:type="dxa"/>
          </w:tcPr>
          <w:p w14:paraId="1296DB9D" w14:textId="5A8C17E2" w:rsidR="00993F58" w:rsidRPr="00D85E09" w:rsidRDefault="00993F58" w:rsidP="00993F58">
            <w:pPr>
              <w:spacing w:after="0"/>
            </w:pPr>
            <w:r w:rsidRPr="00D85E09">
              <w:t>ECR</w:t>
            </w:r>
            <w:r w:rsidRPr="00D85E09">
              <w:tab/>
            </w:r>
          </w:p>
        </w:tc>
        <w:tc>
          <w:tcPr>
            <w:tcW w:w="7583" w:type="dxa"/>
          </w:tcPr>
          <w:p w14:paraId="4073E35D" w14:textId="089DC83F" w:rsidR="00993F58" w:rsidRPr="00D85E09" w:rsidRDefault="00993F58" w:rsidP="00993F58">
            <w:pPr>
              <w:spacing w:after="0"/>
            </w:pPr>
            <w:r w:rsidRPr="00D85E09">
              <w:t>Endovascular clot retrieval</w:t>
            </w:r>
          </w:p>
        </w:tc>
      </w:tr>
      <w:tr w:rsidR="00C22925" w:rsidRPr="00D85E09" w14:paraId="40F5A037" w14:textId="77777777" w:rsidTr="00C22925">
        <w:tc>
          <w:tcPr>
            <w:tcW w:w="1488" w:type="dxa"/>
          </w:tcPr>
          <w:p w14:paraId="4767B216" w14:textId="13263232" w:rsidR="00C22925" w:rsidRPr="00D85E09" w:rsidRDefault="00C22925" w:rsidP="00993F58">
            <w:pPr>
              <w:spacing w:after="0"/>
            </w:pPr>
            <w:r w:rsidRPr="00C22925">
              <w:t>ESO</w:t>
            </w:r>
          </w:p>
        </w:tc>
        <w:tc>
          <w:tcPr>
            <w:tcW w:w="7583" w:type="dxa"/>
          </w:tcPr>
          <w:p w14:paraId="7027C676" w14:textId="053C16AC" w:rsidR="00C22925" w:rsidRPr="00D85E09" w:rsidRDefault="00C22925" w:rsidP="00C22925">
            <w:pPr>
              <w:spacing w:after="0"/>
            </w:pPr>
            <w:r w:rsidRPr="00C22925">
              <w:t xml:space="preserve">European Stroke Organisation </w:t>
            </w:r>
          </w:p>
        </w:tc>
      </w:tr>
      <w:tr w:rsidR="00C22925" w:rsidRPr="00D85E09" w14:paraId="0953BB78" w14:textId="77777777" w:rsidTr="00C22925">
        <w:tc>
          <w:tcPr>
            <w:tcW w:w="1488" w:type="dxa"/>
          </w:tcPr>
          <w:p w14:paraId="32E60978" w14:textId="6F5BF6B9" w:rsidR="00C22925" w:rsidRPr="00C22925" w:rsidRDefault="00C22925" w:rsidP="00993F58">
            <w:pPr>
              <w:spacing w:after="0"/>
            </w:pPr>
            <w:r w:rsidRPr="00C22925">
              <w:t>EUnetHTA</w:t>
            </w:r>
          </w:p>
        </w:tc>
        <w:tc>
          <w:tcPr>
            <w:tcW w:w="7583" w:type="dxa"/>
          </w:tcPr>
          <w:p w14:paraId="3E060DFF" w14:textId="1DAE522F" w:rsidR="00C22925" w:rsidRPr="00C22925" w:rsidRDefault="00C22925" w:rsidP="00993F58">
            <w:pPr>
              <w:spacing w:after="0"/>
            </w:pPr>
            <w:r w:rsidRPr="00C22925">
              <w:t>European Network for Health Technology Assessment</w:t>
            </w:r>
          </w:p>
        </w:tc>
      </w:tr>
      <w:tr w:rsidR="00993F58" w:rsidRPr="00D85E09" w14:paraId="6F9593D8" w14:textId="77777777" w:rsidTr="00C22925">
        <w:tc>
          <w:tcPr>
            <w:tcW w:w="1488" w:type="dxa"/>
          </w:tcPr>
          <w:p w14:paraId="75CA38E0" w14:textId="3236C526" w:rsidR="00993F58" w:rsidRPr="00D85E09" w:rsidRDefault="00993F58" w:rsidP="00993F58">
            <w:pPr>
              <w:spacing w:after="0"/>
            </w:pPr>
            <w:r w:rsidRPr="00D85E09">
              <w:t>GP</w:t>
            </w:r>
          </w:p>
        </w:tc>
        <w:tc>
          <w:tcPr>
            <w:tcW w:w="7583" w:type="dxa"/>
          </w:tcPr>
          <w:p w14:paraId="69F4CE27" w14:textId="6A00B27B" w:rsidR="00993F58" w:rsidRPr="00D85E09" w:rsidRDefault="00993F58" w:rsidP="00993F58">
            <w:pPr>
              <w:spacing w:after="0"/>
            </w:pPr>
            <w:r w:rsidRPr="00D85E09">
              <w:t>General practitioner</w:t>
            </w:r>
          </w:p>
        </w:tc>
      </w:tr>
      <w:tr w:rsidR="00993F58" w:rsidRPr="00D85E09" w14:paraId="27AB9BF6" w14:textId="77777777" w:rsidTr="00C22925">
        <w:tc>
          <w:tcPr>
            <w:tcW w:w="1488" w:type="dxa"/>
          </w:tcPr>
          <w:p w14:paraId="01266258" w14:textId="4E572E3B" w:rsidR="00993F58" w:rsidRPr="00D85E09" w:rsidRDefault="00993F58" w:rsidP="00993F58">
            <w:pPr>
              <w:spacing w:after="0"/>
            </w:pPr>
            <w:r w:rsidRPr="00D85E09">
              <w:t>GRIM</w:t>
            </w:r>
            <w:r w:rsidRPr="00D85E09">
              <w:tab/>
            </w:r>
          </w:p>
        </w:tc>
        <w:tc>
          <w:tcPr>
            <w:tcW w:w="7583" w:type="dxa"/>
          </w:tcPr>
          <w:p w14:paraId="389783E4" w14:textId="52AC4BE8" w:rsidR="00993F58" w:rsidRPr="00D85E09" w:rsidRDefault="00993F58" w:rsidP="00993F58">
            <w:pPr>
              <w:spacing w:after="0"/>
            </w:pPr>
            <w:r w:rsidRPr="00D85E09">
              <w:t>General Record of Incidence of Mortality</w:t>
            </w:r>
          </w:p>
        </w:tc>
      </w:tr>
      <w:tr w:rsidR="00993F58" w:rsidRPr="00D85E09" w14:paraId="2F2A235B" w14:textId="77777777" w:rsidTr="00C22925">
        <w:tc>
          <w:tcPr>
            <w:tcW w:w="1488" w:type="dxa"/>
          </w:tcPr>
          <w:p w14:paraId="1E8EE1B3" w14:textId="7D002FFF" w:rsidR="00993F58" w:rsidRPr="00D85E09" w:rsidRDefault="00993F58" w:rsidP="00993F58">
            <w:pPr>
              <w:spacing w:after="0"/>
            </w:pPr>
            <w:r w:rsidRPr="00D85E09">
              <w:t>HERMES</w:t>
            </w:r>
          </w:p>
        </w:tc>
        <w:tc>
          <w:tcPr>
            <w:tcW w:w="7583" w:type="dxa"/>
          </w:tcPr>
          <w:p w14:paraId="6A754021" w14:textId="38C531E0" w:rsidR="00993F58" w:rsidRPr="00D85E09" w:rsidRDefault="00993F58" w:rsidP="00993F58">
            <w:pPr>
              <w:spacing w:after="0"/>
            </w:pPr>
            <w:r w:rsidRPr="00D85E09">
              <w:t>Highly Effective Reperfusion evaluated in Multiple Endovascular Stroke</w:t>
            </w:r>
          </w:p>
        </w:tc>
      </w:tr>
      <w:tr w:rsidR="00993F58" w:rsidRPr="00D85E09" w14:paraId="260E60B7" w14:textId="77777777" w:rsidTr="00C22925">
        <w:tc>
          <w:tcPr>
            <w:tcW w:w="1488" w:type="dxa"/>
          </w:tcPr>
          <w:p w14:paraId="6A922DCE" w14:textId="44FF9804" w:rsidR="00993F58" w:rsidRPr="00D85E09" w:rsidRDefault="00993F58" w:rsidP="00993F58">
            <w:pPr>
              <w:spacing w:after="0"/>
            </w:pPr>
            <w:r w:rsidRPr="00D85E09">
              <w:t>HRQoL</w:t>
            </w:r>
          </w:p>
        </w:tc>
        <w:tc>
          <w:tcPr>
            <w:tcW w:w="7583" w:type="dxa"/>
          </w:tcPr>
          <w:p w14:paraId="04F42A7B" w14:textId="70972CA4" w:rsidR="00993F58" w:rsidRPr="00D85E09" w:rsidRDefault="00D85E09" w:rsidP="00993F58">
            <w:pPr>
              <w:spacing w:after="0"/>
            </w:pPr>
            <w:r w:rsidRPr="00D85E09">
              <w:t>Health-related quality of life</w:t>
            </w:r>
          </w:p>
        </w:tc>
      </w:tr>
      <w:tr w:rsidR="00993F58" w:rsidRPr="00D85E09" w14:paraId="695B8F7A" w14:textId="77777777" w:rsidTr="00C22925">
        <w:tc>
          <w:tcPr>
            <w:tcW w:w="1488" w:type="dxa"/>
          </w:tcPr>
          <w:p w14:paraId="6B3DB817" w14:textId="0B6FD2AF" w:rsidR="00993F58" w:rsidRPr="00D85E09" w:rsidRDefault="00993F58" w:rsidP="00993F58">
            <w:pPr>
              <w:spacing w:after="0"/>
            </w:pPr>
            <w:r w:rsidRPr="00D85E09">
              <w:t>HTA</w:t>
            </w:r>
          </w:p>
        </w:tc>
        <w:tc>
          <w:tcPr>
            <w:tcW w:w="7583" w:type="dxa"/>
          </w:tcPr>
          <w:p w14:paraId="39CC3009" w14:textId="56B5C1C3" w:rsidR="00993F58" w:rsidRPr="00D85E09" w:rsidRDefault="00993F58" w:rsidP="00993F58">
            <w:pPr>
              <w:spacing w:after="0"/>
            </w:pPr>
            <w:r w:rsidRPr="00D85E09">
              <w:t>Health Technology Assessment</w:t>
            </w:r>
          </w:p>
        </w:tc>
      </w:tr>
      <w:tr w:rsidR="00993F58" w:rsidRPr="00D85E09" w14:paraId="4BB680A0" w14:textId="77777777" w:rsidTr="00C22925">
        <w:tc>
          <w:tcPr>
            <w:tcW w:w="1488" w:type="dxa"/>
          </w:tcPr>
          <w:p w14:paraId="1272E488" w14:textId="6A8A8233" w:rsidR="00993F58" w:rsidRPr="00D85E09" w:rsidRDefault="00993F58" w:rsidP="00993F58">
            <w:pPr>
              <w:spacing w:after="0"/>
            </w:pPr>
            <w:r w:rsidRPr="00D85E09">
              <w:t>HUI</w:t>
            </w:r>
          </w:p>
        </w:tc>
        <w:tc>
          <w:tcPr>
            <w:tcW w:w="7583" w:type="dxa"/>
          </w:tcPr>
          <w:p w14:paraId="5CB5F64B" w14:textId="6CBBCA3E" w:rsidR="00993F58" w:rsidRPr="00D85E09" w:rsidRDefault="00993F58" w:rsidP="00993F58">
            <w:pPr>
              <w:spacing w:after="0"/>
            </w:pPr>
            <w:r w:rsidRPr="00D85E09">
              <w:t>Health utilities index</w:t>
            </w:r>
          </w:p>
        </w:tc>
      </w:tr>
      <w:tr w:rsidR="00993F58" w:rsidRPr="00D85E09" w14:paraId="18380A3A" w14:textId="77777777" w:rsidTr="00C22925">
        <w:tc>
          <w:tcPr>
            <w:tcW w:w="1488" w:type="dxa"/>
          </w:tcPr>
          <w:p w14:paraId="0D003DF0" w14:textId="27EEA85C" w:rsidR="00993F58" w:rsidRPr="00D85E09" w:rsidRDefault="00993F58" w:rsidP="00993F58">
            <w:pPr>
              <w:spacing w:after="0"/>
            </w:pPr>
            <w:r w:rsidRPr="00D85E09">
              <w:t>IA</w:t>
            </w:r>
          </w:p>
        </w:tc>
        <w:tc>
          <w:tcPr>
            <w:tcW w:w="7583" w:type="dxa"/>
          </w:tcPr>
          <w:p w14:paraId="5D54C5E0" w14:textId="51A11FC4" w:rsidR="00993F58" w:rsidRPr="00D85E09" w:rsidRDefault="00993F58" w:rsidP="00993F58">
            <w:pPr>
              <w:spacing w:after="0"/>
            </w:pPr>
            <w:r w:rsidRPr="00D85E09">
              <w:t>Intra-Arterial</w:t>
            </w:r>
          </w:p>
        </w:tc>
      </w:tr>
      <w:tr w:rsidR="00993F58" w:rsidRPr="00D85E09" w14:paraId="1756F4F6" w14:textId="77777777" w:rsidTr="00C22925">
        <w:tc>
          <w:tcPr>
            <w:tcW w:w="1488" w:type="dxa"/>
          </w:tcPr>
          <w:p w14:paraId="0537233D" w14:textId="1D2BA598" w:rsidR="00993F58" w:rsidRPr="00D85E09" w:rsidRDefault="00993F58" w:rsidP="00993F58">
            <w:pPr>
              <w:spacing w:after="0"/>
            </w:pPr>
            <w:r w:rsidRPr="00D85E09">
              <w:t>IAT</w:t>
            </w:r>
            <w:r w:rsidRPr="00D85E09">
              <w:tab/>
            </w:r>
          </w:p>
        </w:tc>
        <w:tc>
          <w:tcPr>
            <w:tcW w:w="7583" w:type="dxa"/>
          </w:tcPr>
          <w:p w14:paraId="2F4F7C0E" w14:textId="0CE2A3EB" w:rsidR="00993F58" w:rsidRPr="00D85E09" w:rsidRDefault="00993F58" w:rsidP="00993F58">
            <w:pPr>
              <w:spacing w:after="0"/>
            </w:pPr>
            <w:r w:rsidRPr="00D85E09">
              <w:t>Intra-arterial thrombolysis</w:t>
            </w:r>
          </w:p>
        </w:tc>
      </w:tr>
      <w:tr w:rsidR="00993F58" w:rsidRPr="00D85E09" w14:paraId="40CC6530" w14:textId="77777777" w:rsidTr="00C22925">
        <w:tc>
          <w:tcPr>
            <w:tcW w:w="1488" w:type="dxa"/>
          </w:tcPr>
          <w:p w14:paraId="0820BA48" w14:textId="7A5EC138" w:rsidR="00993F58" w:rsidRPr="00D85E09" w:rsidRDefault="00993F58" w:rsidP="00993F58">
            <w:pPr>
              <w:spacing w:after="0"/>
            </w:pPr>
            <w:r w:rsidRPr="00D85E09">
              <w:t>ICA</w:t>
            </w:r>
          </w:p>
        </w:tc>
        <w:tc>
          <w:tcPr>
            <w:tcW w:w="7583" w:type="dxa"/>
          </w:tcPr>
          <w:p w14:paraId="6A97134D" w14:textId="752FAB28" w:rsidR="00993F58" w:rsidRPr="00D85E09" w:rsidRDefault="00993F58" w:rsidP="00993F58">
            <w:pPr>
              <w:spacing w:after="0"/>
            </w:pPr>
            <w:r w:rsidRPr="00D85E09">
              <w:t>Internal carotid artery</w:t>
            </w:r>
          </w:p>
        </w:tc>
      </w:tr>
      <w:tr w:rsidR="00993F58" w:rsidRPr="00D85E09" w14:paraId="38D324A9" w14:textId="77777777" w:rsidTr="00C22925">
        <w:tc>
          <w:tcPr>
            <w:tcW w:w="1488" w:type="dxa"/>
          </w:tcPr>
          <w:p w14:paraId="1A112055" w14:textId="68C01D5B" w:rsidR="00993F58" w:rsidRPr="00D85E09" w:rsidRDefault="00993F58" w:rsidP="00993F58">
            <w:pPr>
              <w:spacing w:after="0"/>
            </w:pPr>
            <w:r w:rsidRPr="00D85E09">
              <w:t>ICER</w:t>
            </w:r>
            <w:r w:rsidRPr="00D85E09">
              <w:tab/>
            </w:r>
          </w:p>
        </w:tc>
        <w:tc>
          <w:tcPr>
            <w:tcW w:w="7583" w:type="dxa"/>
          </w:tcPr>
          <w:p w14:paraId="1E1222F0" w14:textId="5EE711FE" w:rsidR="00993F58" w:rsidRPr="00D85E09" w:rsidRDefault="00993F58" w:rsidP="00993F58">
            <w:pPr>
              <w:spacing w:after="0"/>
            </w:pPr>
            <w:r w:rsidRPr="00D85E09">
              <w:t>Incremental cost-effectiveness ratio</w:t>
            </w:r>
          </w:p>
        </w:tc>
      </w:tr>
      <w:tr w:rsidR="00993F58" w:rsidRPr="00D85E09" w14:paraId="18679B3B" w14:textId="77777777" w:rsidTr="00C22925">
        <w:tc>
          <w:tcPr>
            <w:tcW w:w="1488" w:type="dxa"/>
          </w:tcPr>
          <w:p w14:paraId="1098042E" w14:textId="46AD59DA" w:rsidR="00993F58" w:rsidRPr="00D85E09" w:rsidRDefault="00993F58" w:rsidP="00993F58">
            <w:pPr>
              <w:spacing w:after="0"/>
            </w:pPr>
            <w:r w:rsidRPr="00D85E09">
              <w:t>ICH</w:t>
            </w:r>
            <w:r w:rsidRPr="00D85E09">
              <w:tab/>
            </w:r>
          </w:p>
        </w:tc>
        <w:tc>
          <w:tcPr>
            <w:tcW w:w="7583" w:type="dxa"/>
          </w:tcPr>
          <w:p w14:paraId="32E50E70" w14:textId="2D291582" w:rsidR="00993F58" w:rsidRPr="00D85E09" w:rsidRDefault="00993F58" w:rsidP="00993F58">
            <w:pPr>
              <w:spacing w:after="0"/>
            </w:pPr>
            <w:r w:rsidRPr="00D85E09">
              <w:t>Intra-cranial haemorrhage</w:t>
            </w:r>
          </w:p>
        </w:tc>
      </w:tr>
      <w:tr w:rsidR="00993F58" w:rsidRPr="00D85E09" w14:paraId="5ABE1426" w14:textId="77777777" w:rsidTr="00C22925">
        <w:tc>
          <w:tcPr>
            <w:tcW w:w="1488" w:type="dxa"/>
          </w:tcPr>
          <w:p w14:paraId="03935D45" w14:textId="0251B0FA" w:rsidR="00993F58" w:rsidRPr="00D85E09" w:rsidRDefault="00993F58" w:rsidP="00993F58">
            <w:pPr>
              <w:spacing w:after="0"/>
            </w:pPr>
            <w:r w:rsidRPr="00D85E09">
              <w:t>ICU</w:t>
            </w:r>
          </w:p>
        </w:tc>
        <w:tc>
          <w:tcPr>
            <w:tcW w:w="7583" w:type="dxa"/>
          </w:tcPr>
          <w:p w14:paraId="476DCF7F" w14:textId="49C391D7" w:rsidR="00993F58" w:rsidRPr="00D85E09" w:rsidRDefault="00993F58" w:rsidP="00993F58">
            <w:pPr>
              <w:spacing w:after="0"/>
            </w:pPr>
            <w:r w:rsidRPr="00D85E09">
              <w:t>Intensive care unit</w:t>
            </w:r>
          </w:p>
        </w:tc>
      </w:tr>
      <w:tr w:rsidR="00993F58" w:rsidRPr="00D85E09" w14:paraId="76A0D4D6" w14:textId="77777777" w:rsidTr="00C22925">
        <w:tc>
          <w:tcPr>
            <w:tcW w:w="1488" w:type="dxa"/>
          </w:tcPr>
          <w:p w14:paraId="3A5FA503" w14:textId="392A3AC1" w:rsidR="00993F58" w:rsidRPr="00D85E09" w:rsidRDefault="00993F58" w:rsidP="00993F58">
            <w:pPr>
              <w:spacing w:after="0"/>
            </w:pPr>
            <w:r w:rsidRPr="00D85E09">
              <w:lastRenderedPageBreak/>
              <w:t>IFU</w:t>
            </w:r>
          </w:p>
        </w:tc>
        <w:tc>
          <w:tcPr>
            <w:tcW w:w="7583" w:type="dxa"/>
          </w:tcPr>
          <w:p w14:paraId="024A4760" w14:textId="6ACAFF33" w:rsidR="00993F58" w:rsidRPr="00D85E09" w:rsidRDefault="00993F58" w:rsidP="00993F58">
            <w:pPr>
              <w:spacing w:after="0"/>
            </w:pPr>
            <w:r w:rsidRPr="00D85E09">
              <w:t>Instructions for Use</w:t>
            </w:r>
          </w:p>
        </w:tc>
      </w:tr>
      <w:tr w:rsidR="00310EA3" w:rsidRPr="00D85E09" w14:paraId="44418952" w14:textId="77777777" w:rsidTr="00C22925">
        <w:tc>
          <w:tcPr>
            <w:tcW w:w="1488" w:type="dxa"/>
          </w:tcPr>
          <w:p w14:paraId="740B024B" w14:textId="271CF13E" w:rsidR="00310EA3" w:rsidRPr="00D85E09" w:rsidRDefault="00993F58" w:rsidP="00993F58">
            <w:pPr>
              <w:spacing w:after="0"/>
            </w:pPr>
            <w:r w:rsidRPr="00D85E09">
              <w:t>IPD</w:t>
            </w:r>
            <w:r w:rsidRPr="00D85E09">
              <w:tab/>
            </w:r>
          </w:p>
        </w:tc>
        <w:tc>
          <w:tcPr>
            <w:tcW w:w="7583" w:type="dxa"/>
          </w:tcPr>
          <w:p w14:paraId="6563E47D" w14:textId="238F9DD8" w:rsidR="00310EA3" w:rsidRPr="00D85E09" w:rsidRDefault="00993F58" w:rsidP="00993F58">
            <w:pPr>
              <w:spacing w:after="0"/>
            </w:pPr>
            <w:r w:rsidRPr="00D85E09">
              <w:t>Individual patient data</w:t>
            </w:r>
          </w:p>
        </w:tc>
      </w:tr>
      <w:tr w:rsidR="00993F58" w:rsidRPr="00D85E09" w14:paraId="4736BE1F" w14:textId="77777777" w:rsidTr="00C22925">
        <w:tc>
          <w:tcPr>
            <w:tcW w:w="1488" w:type="dxa"/>
          </w:tcPr>
          <w:p w14:paraId="59272BC5" w14:textId="6F2EF6F7" w:rsidR="00993F58" w:rsidRPr="00D85E09" w:rsidRDefault="00993F58" w:rsidP="00993F58">
            <w:pPr>
              <w:spacing w:after="0"/>
            </w:pPr>
            <w:r w:rsidRPr="00D85E09">
              <w:t>IQR</w:t>
            </w:r>
          </w:p>
        </w:tc>
        <w:tc>
          <w:tcPr>
            <w:tcW w:w="7583" w:type="dxa"/>
          </w:tcPr>
          <w:p w14:paraId="4EC719D4" w14:textId="7C33E97B" w:rsidR="00993F58" w:rsidRPr="00D85E09" w:rsidRDefault="00D85E09" w:rsidP="00993F58">
            <w:pPr>
              <w:spacing w:after="0"/>
            </w:pPr>
            <w:r>
              <w:t>I</w:t>
            </w:r>
            <w:r w:rsidRPr="00D85E09">
              <w:t>nterquartile range</w:t>
            </w:r>
          </w:p>
        </w:tc>
      </w:tr>
      <w:tr w:rsidR="00310EA3" w:rsidRPr="00D85E09" w14:paraId="46A1705E" w14:textId="77777777" w:rsidTr="00C22925">
        <w:tc>
          <w:tcPr>
            <w:tcW w:w="1488" w:type="dxa"/>
          </w:tcPr>
          <w:p w14:paraId="57BF3C04" w14:textId="46B7A981" w:rsidR="00310EA3" w:rsidRPr="00D85E09" w:rsidRDefault="00310EA3" w:rsidP="00993F58">
            <w:pPr>
              <w:spacing w:after="0"/>
            </w:pPr>
            <w:r w:rsidRPr="00D85E09">
              <w:t>ITT</w:t>
            </w:r>
          </w:p>
        </w:tc>
        <w:tc>
          <w:tcPr>
            <w:tcW w:w="7583" w:type="dxa"/>
          </w:tcPr>
          <w:p w14:paraId="5E6E4031" w14:textId="189AB81A" w:rsidR="00310EA3" w:rsidRPr="00D85E09" w:rsidRDefault="00310EA3" w:rsidP="00993F58">
            <w:pPr>
              <w:spacing w:after="0"/>
            </w:pPr>
            <w:r w:rsidRPr="00D85E09">
              <w:t>Intention-to-treat</w:t>
            </w:r>
          </w:p>
        </w:tc>
      </w:tr>
      <w:tr w:rsidR="00310EA3" w:rsidRPr="00D85E09" w14:paraId="3E65DC86" w14:textId="77777777" w:rsidTr="00C22925">
        <w:tc>
          <w:tcPr>
            <w:tcW w:w="1488" w:type="dxa"/>
          </w:tcPr>
          <w:p w14:paraId="3493CDE1" w14:textId="734465E9" w:rsidR="00310EA3" w:rsidRPr="00D85E09" w:rsidRDefault="00310EA3" w:rsidP="00993F58">
            <w:pPr>
              <w:spacing w:after="0"/>
            </w:pPr>
            <w:r w:rsidRPr="00D85E09">
              <w:t>IVRS</w:t>
            </w:r>
            <w:r w:rsidRPr="00D85E09">
              <w:tab/>
            </w:r>
          </w:p>
        </w:tc>
        <w:tc>
          <w:tcPr>
            <w:tcW w:w="7583" w:type="dxa"/>
          </w:tcPr>
          <w:p w14:paraId="254E0D6D" w14:textId="6F37B67E" w:rsidR="00310EA3" w:rsidRPr="00D85E09" w:rsidRDefault="00310EA3" w:rsidP="00993F58">
            <w:pPr>
              <w:spacing w:after="0"/>
            </w:pPr>
            <w:r w:rsidRPr="00D85E09">
              <w:t>Interactive voice response system</w:t>
            </w:r>
          </w:p>
        </w:tc>
      </w:tr>
      <w:tr w:rsidR="00310EA3" w:rsidRPr="00D85E09" w14:paraId="50E1A386" w14:textId="77777777" w:rsidTr="00C22925">
        <w:tc>
          <w:tcPr>
            <w:tcW w:w="1488" w:type="dxa"/>
          </w:tcPr>
          <w:p w14:paraId="3C7AA030" w14:textId="04FA07D1" w:rsidR="00310EA3" w:rsidRPr="00D85E09" w:rsidRDefault="00310EA3" w:rsidP="00993F58">
            <w:pPr>
              <w:spacing w:after="0"/>
            </w:pPr>
            <w:r w:rsidRPr="00D85E09">
              <w:t>IWRS</w:t>
            </w:r>
            <w:r w:rsidRPr="00D85E09">
              <w:tab/>
            </w:r>
          </w:p>
        </w:tc>
        <w:tc>
          <w:tcPr>
            <w:tcW w:w="7583" w:type="dxa"/>
          </w:tcPr>
          <w:p w14:paraId="47603518" w14:textId="32F3D9FC" w:rsidR="00310EA3" w:rsidRPr="00D85E09" w:rsidRDefault="00310EA3" w:rsidP="00993F58">
            <w:pPr>
              <w:spacing w:after="0"/>
            </w:pPr>
            <w:r w:rsidRPr="00D85E09">
              <w:t>Interactive web response</w:t>
            </w:r>
          </w:p>
        </w:tc>
      </w:tr>
      <w:tr w:rsidR="00310EA3" w:rsidRPr="00D85E09" w14:paraId="50537CAC" w14:textId="77777777" w:rsidTr="00C22925">
        <w:tc>
          <w:tcPr>
            <w:tcW w:w="1488" w:type="dxa"/>
          </w:tcPr>
          <w:p w14:paraId="2B7F5CFC" w14:textId="5DDC57C5" w:rsidR="00310EA3" w:rsidRPr="00D85E09" w:rsidRDefault="00310EA3" w:rsidP="00993F58">
            <w:pPr>
              <w:spacing w:after="0"/>
            </w:pPr>
            <w:r w:rsidRPr="00D85E09">
              <w:t>KOL</w:t>
            </w:r>
            <w:r w:rsidRPr="00D85E09">
              <w:tab/>
            </w:r>
          </w:p>
        </w:tc>
        <w:tc>
          <w:tcPr>
            <w:tcW w:w="7583" w:type="dxa"/>
          </w:tcPr>
          <w:p w14:paraId="501F0018" w14:textId="3B6BD0EC" w:rsidR="00310EA3" w:rsidRPr="00D85E09" w:rsidRDefault="00310EA3" w:rsidP="00993F58">
            <w:pPr>
              <w:spacing w:after="0"/>
            </w:pPr>
            <w:r w:rsidRPr="00D85E09">
              <w:t>Key opinion leader</w:t>
            </w:r>
          </w:p>
        </w:tc>
      </w:tr>
      <w:tr w:rsidR="00C22925" w:rsidRPr="00D85E09" w14:paraId="44E23ED8" w14:textId="77777777" w:rsidTr="00C22925">
        <w:tc>
          <w:tcPr>
            <w:tcW w:w="1488" w:type="dxa"/>
          </w:tcPr>
          <w:p w14:paraId="772C5309" w14:textId="339D2599" w:rsidR="00C22925" w:rsidRPr="00D85E09" w:rsidRDefault="00C22925" w:rsidP="00993F58">
            <w:pPr>
              <w:spacing w:after="0"/>
            </w:pPr>
            <w:r w:rsidRPr="00C22925">
              <w:t>KSU</w:t>
            </w:r>
          </w:p>
        </w:tc>
        <w:tc>
          <w:tcPr>
            <w:tcW w:w="7583" w:type="dxa"/>
          </w:tcPr>
          <w:p w14:paraId="7A7A6784" w14:textId="51F912FA" w:rsidR="00C22925" w:rsidRPr="00D85E09" w:rsidRDefault="00C22925" w:rsidP="00993F58">
            <w:pPr>
              <w:spacing w:after="0"/>
            </w:pPr>
            <w:r w:rsidRPr="00C22925">
              <w:t>Karolinska Stroke Update</w:t>
            </w:r>
          </w:p>
        </w:tc>
      </w:tr>
      <w:tr w:rsidR="00310EA3" w:rsidRPr="00D85E09" w14:paraId="2BBABF65" w14:textId="77777777" w:rsidTr="00C22925">
        <w:tc>
          <w:tcPr>
            <w:tcW w:w="1488" w:type="dxa"/>
          </w:tcPr>
          <w:p w14:paraId="2FB80B39" w14:textId="1CC96204" w:rsidR="00310EA3" w:rsidRPr="00D85E09" w:rsidRDefault="00310EA3" w:rsidP="00993F58">
            <w:pPr>
              <w:spacing w:after="0"/>
            </w:pPr>
            <w:r w:rsidRPr="00D85E09">
              <w:t>LVO</w:t>
            </w:r>
            <w:r w:rsidRPr="00D85E09">
              <w:tab/>
            </w:r>
          </w:p>
        </w:tc>
        <w:tc>
          <w:tcPr>
            <w:tcW w:w="7583" w:type="dxa"/>
          </w:tcPr>
          <w:p w14:paraId="429365F2" w14:textId="028680FA" w:rsidR="00310EA3" w:rsidRPr="00D85E09" w:rsidRDefault="00310EA3" w:rsidP="00993F58">
            <w:pPr>
              <w:spacing w:after="0"/>
            </w:pPr>
            <w:r w:rsidRPr="00D85E09">
              <w:t>Large vessel occlusion</w:t>
            </w:r>
          </w:p>
        </w:tc>
      </w:tr>
      <w:tr w:rsidR="00993F58" w:rsidRPr="00D85E09" w14:paraId="11913ADD" w14:textId="77777777" w:rsidTr="00C22925">
        <w:tc>
          <w:tcPr>
            <w:tcW w:w="1488" w:type="dxa"/>
          </w:tcPr>
          <w:p w14:paraId="37C65A69" w14:textId="6EFD5BB2" w:rsidR="00993F58" w:rsidRPr="00D85E09" w:rsidRDefault="00993F58" w:rsidP="00993F58">
            <w:pPr>
              <w:spacing w:after="0"/>
            </w:pPr>
            <w:r w:rsidRPr="00D85E09">
              <w:t>LY</w:t>
            </w:r>
          </w:p>
        </w:tc>
        <w:tc>
          <w:tcPr>
            <w:tcW w:w="7583" w:type="dxa"/>
          </w:tcPr>
          <w:p w14:paraId="4F87388C" w14:textId="1FBC1B1D" w:rsidR="00993F58" w:rsidRPr="00D85E09" w:rsidRDefault="00D85E09" w:rsidP="00993F58">
            <w:pPr>
              <w:spacing w:after="0"/>
            </w:pPr>
            <w:r>
              <w:t>Life-years</w:t>
            </w:r>
          </w:p>
        </w:tc>
      </w:tr>
      <w:tr w:rsidR="00993F58" w:rsidRPr="00D85E09" w14:paraId="7F34A6E3" w14:textId="77777777" w:rsidTr="00C22925">
        <w:tc>
          <w:tcPr>
            <w:tcW w:w="1488" w:type="dxa"/>
          </w:tcPr>
          <w:p w14:paraId="1F79F932" w14:textId="1F874E98" w:rsidR="00993F58" w:rsidRPr="00D85E09" w:rsidRDefault="00993F58" w:rsidP="00993F58">
            <w:pPr>
              <w:spacing w:after="0"/>
            </w:pPr>
            <w:r w:rsidRPr="00D85E09">
              <w:t>MBS</w:t>
            </w:r>
          </w:p>
        </w:tc>
        <w:tc>
          <w:tcPr>
            <w:tcW w:w="7583" w:type="dxa"/>
          </w:tcPr>
          <w:p w14:paraId="2559C058" w14:textId="4DAD2D10" w:rsidR="00993F58" w:rsidRPr="00D85E09" w:rsidRDefault="00993F58" w:rsidP="00993F58">
            <w:pPr>
              <w:spacing w:after="0"/>
            </w:pPr>
            <w:r w:rsidRPr="00D85E09">
              <w:t>Medical Benefits Schedule</w:t>
            </w:r>
          </w:p>
        </w:tc>
      </w:tr>
      <w:tr w:rsidR="00993F58" w:rsidRPr="00D85E09" w14:paraId="5F9FEE8F" w14:textId="77777777" w:rsidTr="00C22925">
        <w:tc>
          <w:tcPr>
            <w:tcW w:w="1488" w:type="dxa"/>
          </w:tcPr>
          <w:p w14:paraId="47BA7B39" w14:textId="05321ADC" w:rsidR="00993F58" w:rsidRPr="00D85E09" w:rsidRDefault="00993F58" w:rsidP="00993F58">
            <w:pPr>
              <w:spacing w:after="0"/>
            </w:pPr>
            <w:r w:rsidRPr="00D85E09">
              <w:t>MC</w:t>
            </w:r>
          </w:p>
        </w:tc>
        <w:tc>
          <w:tcPr>
            <w:tcW w:w="7583" w:type="dxa"/>
          </w:tcPr>
          <w:p w14:paraId="581603E3" w14:textId="4524A848" w:rsidR="00993F58" w:rsidRPr="00D85E09" w:rsidRDefault="00D85E09" w:rsidP="00993F58">
            <w:pPr>
              <w:spacing w:after="0"/>
            </w:pPr>
            <w:r>
              <w:t xml:space="preserve">Multicentre </w:t>
            </w:r>
          </w:p>
        </w:tc>
      </w:tr>
      <w:tr w:rsidR="00310EA3" w:rsidRPr="00D85E09" w14:paraId="4D064327" w14:textId="77777777" w:rsidTr="00C22925">
        <w:tc>
          <w:tcPr>
            <w:tcW w:w="1488" w:type="dxa"/>
          </w:tcPr>
          <w:p w14:paraId="4F3D90AC" w14:textId="3D1646DF" w:rsidR="00310EA3" w:rsidRPr="00D85E09" w:rsidRDefault="00310EA3" w:rsidP="00993F58">
            <w:pPr>
              <w:spacing w:after="0"/>
            </w:pPr>
            <w:r w:rsidRPr="00D85E09">
              <w:t>MCA</w:t>
            </w:r>
          </w:p>
        </w:tc>
        <w:tc>
          <w:tcPr>
            <w:tcW w:w="7583" w:type="dxa"/>
          </w:tcPr>
          <w:p w14:paraId="07E3E649" w14:textId="6F158465" w:rsidR="00310EA3" w:rsidRPr="00D85E09" w:rsidRDefault="00310EA3" w:rsidP="00993F58">
            <w:pPr>
              <w:spacing w:after="0"/>
            </w:pPr>
            <w:r w:rsidRPr="00D85E09">
              <w:t>Middle cerebral artery</w:t>
            </w:r>
          </w:p>
        </w:tc>
      </w:tr>
      <w:tr w:rsidR="00993F58" w:rsidRPr="00D85E09" w14:paraId="43235E07" w14:textId="77777777" w:rsidTr="00C22925">
        <w:tc>
          <w:tcPr>
            <w:tcW w:w="1488" w:type="dxa"/>
          </w:tcPr>
          <w:p w14:paraId="6F781E67" w14:textId="58237CB1" w:rsidR="00993F58" w:rsidRPr="00D85E09" w:rsidRDefault="00993F58" w:rsidP="00993F58">
            <w:pPr>
              <w:spacing w:after="0"/>
            </w:pPr>
            <w:r w:rsidRPr="00D85E09">
              <w:t>MCID</w:t>
            </w:r>
          </w:p>
        </w:tc>
        <w:tc>
          <w:tcPr>
            <w:tcW w:w="7583" w:type="dxa"/>
          </w:tcPr>
          <w:p w14:paraId="6E335A7D" w14:textId="66B72BEB" w:rsidR="00993F58" w:rsidRPr="00D85E09" w:rsidRDefault="00D85E09" w:rsidP="00993F58">
            <w:pPr>
              <w:spacing w:after="0"/>
            </w:pPr>
            <w:r w:rsidRPr="00D85E09">
              <w:t>Minimal clinically important difference</w:t>
            </w:r>
          </w:p>
        </w:tc>
      </w:tr>
      <w:tr w:rsidR="00993F58" w:rsidRPr="00D85E09" w14:paraId="2A8AB55B" w14:textId="77777777" w:rsidTr="00C22925">
        <w:tc>
          <w:tcPr>
            <w:tcW w:w="1488" w:type="dxa"/>
          </w:tcPr>
          <w:p w14:paraId="2EBEAB0D" w14:textId="4FFD7B99" w:rsidR="00993F58" w:rsidRPr="00D85E09" w:rsidRDefault="00993F58" w:rsidP="00993F58">
            <w:pPr>
              <w:spacing w:after="0"/>
            </w:pPr>
            <w:r w:rsidRPr="00D85E09">
              <w:t>mRS</w:t>
            </w:r>
          </w:p>
        </w:tc>
        <w:tc>
          <w:tcPr>
            <w:tcW w:w="7583" w:type="dxa"/>
          </w:tcPr>
          <w:p w14:paraId="63B4CF89" w14:textId="186804C7" w:rsidR="00993F58" w:rsidRPr="00D85E09" w:rsidRDefault="000F2632" w:rsidP="00993F58">
            <w:pPr>
              <w:spacing w:after="0"/>
            </w:pPr>
            <w:r w:rsidRPr="00D85E09">
              <w:t>Modified Rankin Scale</w:t>
            </w:r>
          </w:p>
        </w:tc>
      </w:tr>
      <w:tr w:rsidR="00310EA3" w:rsidRPr="00D85E09" w14:paraId="5CE8BB04" w14:textId="77777777" w:rsidTr="00C22925">
        <w:tc>
          <w:tcPr>
            <w:tcW w:w="1488" w:type="dxa"/>
          </w:tcPr>
          <w:p w14:paraId="7780D176" w14:textId="6AC65836" w:rsidR="00310EA3" w:rsidRPr="00D85E09" w:rsidRDefault="00310EA3" w:rsidP="00993F58">
            <w:pPr>
              <w:spacing w:after="0"/>
            </w:pPr>
            <w:r w:rsidRPr="00D85E09">
              <w:t>MSAC</w:t>
            </w:r>
            <w:r w:rsidRPr="00D85E09">
              <w:tab/>
            </w:r>
          </w:p>
        </w:tc>
        <w:tc>
          <w:tcPr>
            <w:tcW w:w="7583" w:type="dxa"/>
          </w:tcPr>
          <w:p w14:paraId="23F08345" w14:textId="3DBAE1A0" w:rsidR="00310EA3" w:rsidRPr="00D85E09" w:rsidRDefault="00310EA3" w:rsidP="00993F58">
            <w:pPr>
              <w:spacing w:after="0"/>
            </w:pPr>
            <w:r w:rsidRPr="00D85E09">
              <w:t>Medical Services Advisory Committee</w:t>
            </w:r>
          </w:p>
        </w:tc>
      </w:tr>
      <w:tr w:rsidR="00993F58" w:rsidRPr="00D85E09" w14:paraId="1B51781A" w14:textId="77777777" w:rsidTr="00C22925">
        <w:tc>
          <w:tcPr>
            <w:tcW w:w="1488" w:type="dxa"/>
          </w:tcPr>
          <w:p w14:paraId="561E04DF" w14:textId="584BDABE" w:rsidR="00993F58" w:rsidRPr="00D85E09" w:rsidRDefault="00993F58" w:rsidP="00993F58">
            <w:pPr>
              <w:spacing w:after="0"/>
            </w:pPr>
            <w:r w:rsidRPr="00D85E09">
              <w:t>MT</w:t>
            </w:r>
          </w:p>
        </w:tc>
        <w:tc>
          <w:tcPr>
            <w:tcW w:w="7583" w:type="dxa"/>
          </w:tcPr>
          <w:p w14:paraId="58ADB6FA" w14:textId="5A1C2EC1" w:rsidR="00993F58" w:rsidRPr="00D85E09" w:rsidRDefault="00993F58" w:rsidP="00993F58">
            <w:pPr>
              <w:spacing w:after="0"/>
            </w:pPr>
            <w:r w:rsidRPr="00D85E09">
              <w:t xml:space="preserve">Mechnical thrombectomy </w:t>
            </w:r>
          </w:p>
        </w:tc>
      </w:tr>
      <w:tr w:rsidR="00310EA3" w:rsidRPr="00D85E09" w14:paraId="6574FE14" w14:textId="77777777" w:rsidTr="00C22925">
        <w:tc>
          <w:tcPr>
            <w:tcW w:w="1488" w:type="dxa"/>
          </w:tcPr>
          <w:p w14:paraId="4A78CD57" w14:textId="72A4D3AD" w:rsidR="00310EA3" w:rsidRPr="00D85E09" w:rsidRDefault="00310EA3" w:rsidP="00993F58">
            <w:pPr>
              <w:spacing w:after="0"/>
            </w:pPr>
            <w:r w:rsidRPr="00D85E09">
              <w:t>NIH</w:t>
            </w:r>
            <w:r w:rsidRPr="00D85E09">
              <w:tab/>
            </w:r>
          </w:p>
        </w:tc>
        <w:tc>
          <w:tcPr>
            <w:tcW w:w="7583" w:type="dxa"/>
          </w:tcPr>
          <w:p w14:paraId="176A5614" w14:textId="7A6692E1" w:rsidR="00310EA3" w:rsidRPr="00D85E09" w:rsidRDefault="00310EA3" w:rsidP="00993F58">
            <w:pPr>
              <w:spacing w:after="0"/>
            </w:pPr>
            <w:r w:rsidRPr="00D85E09">
              <w:t>National Institute of Health</w:t>
            </w:r>
          </w:p>
        </w:tc>
      </w:tr>
      <w:tr w:rsidR="00310EA3" w:rsidRPr="00D85E09" w14:paraId="67E7DFAB" w14:textId="77777777" w:rsidTr="00C22925">
        <w:tc>
          <w:tcPr>
            <w:tcW w:w="1488" w:type="dxa"/>
          </w:tcPr>
          <w:p w14:paraId="14675BEF" w14:textId="1ED808D3" w:rsidR="00310EA3" w:rsidRPr="00D85E09" w:rsidRDefault="00310EA3" w:rsidP="00993F58">
            <w:pPr>
              <w:spacing w:after="0"/>
            </w:pPr>
            <w:r w:rsidRPr="00D85E09">
              <w:t>NIHSS</w:t>
            </w:r>
            <w:r w:rsidRPr="00D85E09">
              <w:tab/>
            </w:r>
          </w:p>
        </w:tc>
        <w:tc>
          <w:tcPr>
            <w:tcW w:w="7583" w:type="dxa"/>
          </w:tcPr>
          <w:p w14:paraId="5C3E9506" w14:textId="4CA83919" w:rsidR="00310EA3" w:rsidRPr="00D85E09" w:rsidRDefault="00310EA3" w:rsidP="00993F58">
            <w:pPr>
              <w:spacing w:after="0"/>
            </w:pPr>
            <w:r w:rsidRPr="00D85E09">
              <w:t>National Institutes of Health Stroke Scale</w:t>
            </w:r>
          </w:p>
        </w:tc>
      </w:tr>
      <w:tr w:rsidR="00310EA3" w:rsidRPr="00D85E09" w14:paraId="3DFA2287" w14:textId="77777777" w:rsidTr="00C22925">
        <w:tc>
          <w:tcPr>
            <w:tcW w:w="1488" w:type="dxa"/>
          </w:tcPr>
          <w:p w14:paraId="699351EC" w14:textId="756EC121" w:rsidR="00310EA3" w:rsidRPr="00D85E09" w:rsidRDefault="00310EA3" w:rsidP="00993F58">
            <w:pPr>
              <w:spacing w:after="0"/>
            </w:pPr>
            <w:r w:rsidRPr="00D85E09">
              <w:t>NNT</w:t>
            </w:r>
            <w:r w:rsidRPr="00D85E09">
              <w:tab/>
            </w:r>
          </w:p>
        </w:tc>
        <w:tc>
          <w:tcPr>
            <w:tcW w:w="7583" w:type="dxa"/>
          </w:tcPr>
          <w:p w14:paraId="53BABD39" w14:textId="67B9ECC3" w:rsidR="00310EA3" w:rsidRPr="00D85E09" w:rsidRDefault="00310EA3" w:rsidP="00993F58">
            <w:pPr>
              <w:spacing w:after="0"/>
            </w:pPr>
            <w:r w:rsidRPr="00D85E09">
              <w:t>Number needed to treat</w:t>
            </w:r>
          </w:p>
        </w:tc>
      </w:tr>
      <w:tr w:rsidR="00310EA3" w:rsidRPr="00D85E09" w14:paraId="25832F92" w14:textId="77777777" w:rsidTr="00C22925">
        <w:tc>
          <w:tcPr>
            <w:tcW w:w="1488" w:type="dxa"/>
          </w:tcPr>
          <w:p w14:paraId="7AC65DF7" w14:textId="228C9E7F" w:rsidR="00310EA3" w:rsidRPr="00D85E09" w:rsidRDefault="00310EA3" w:rsidP="00993F58">
            <w:pPr>
              <w:spacing w:after="0"/>
            </w:pPr>
            <w:r w:rsidRPr="00D85E09">
              <w:t>NSF</w:t>
            </w:r>
          </w:p>
        </w:tc>
        <w:tc>
          <w:tcPr>
            <w:tcW w:w="7583" w:type="dxa"/>
          </w:tcPr>
          <w:p w14:paraId="270FD5A0" w14:textId="75FEC9B4" w:rsidR="00310EA3" w:rsidRPr="00D85E09" w:rsidRDefault="00310EA3" w:rsidP="00993F58">
            <w:pPr>
              <w:spacing w:after="0"/>
            </w:pPr>
            <w:r w:rsidRPr="00D85E09">
              <w:t>National Stroke Foundation</w:t>
            </w:r>
          </w:p>
        </w:tc>
      </w:tr>
      <w:tr w:rsidR="00310EA3" w:rsidRPr="00D85E09" w14:paraId="533A3237" w14:textId="77777777" w:rsidTr="00C22925">
        <w:tc>
          <w:tcPr>
            <w:tcW w:w="1488" w:type="dxa"/>
          </w:tcPr>
          <w:p w14:paraId="43CC33DC" w14:textId="66624C8E" w:rsidR="00310EA3" w:rsidRPr="00D85E09" w:rsidRDefault="00310EA3" w:rsidP="00993F58">
            <w:pPr>
              <w:spacing w:after="0"/>
            </w:pPr>
            <w:r w:rsidRPr="00D85E09">
              <w:t>OHTAC</w:t>
            </w:r>
          </w:p>
        </w:tc>
        <w:tc>
          <w:tcPr>
            <w:tcW w:w="7583" w:type="dxa"/>
          </w:tcPr>
          <w:p w14:paraId="0BEE6235" w14:textId="04B3A4D2" w:rsidR="00310EA3" w:rsidRPr="00D85E09" w:rsidRDefault="00310EA3" w:rsidP="00993F58">
            <w:pPr>
              <w:spacing w:after="0"/>
            </w:pPr>
            <w:r w:rsidRPr="00D85E09">
              <w:t>Ontario Health Technology Advisory Committee</w:t>
            </w:r>
          </w:p>
        </w:tc>
      </w:tr>
      <w:tr w:rsidR="00310EA3" w:rsidRPr="00D85E09" w14:paraId="3D57794A" w14:textId="77777777" w:rsidTr="00C22925">
        <w:tc>
          <w:tcPr>
            <w:tcW w:w="1488" w:type="dxa"/>
          </w:tcPr>
          <w:p w14:paraId="71899EBE" w14:textId="467B7B1B" w:rsidR="00310EA3" w:rsidRPr="00D85E09" w:rsidRDefault="00310EA3" w:rsidP="00993F58">
            <w:pPr>
              <w:spacing w:after="0"/>
            </w:pPr>
            <w:r w:rsidRPr="00D85E09">
              <w:t>OR</w:t>
            </w:r>
          </w:p>
        </w:tc>
        <w:tc>
          <w:tcPr>
            <w:tcW w:w="7583" w:type="dxa"/>
          </w:tcPr>
          <w:p w14:paraId="479BC167" w14:textId="71589F48" w:rsidR="00310EA3" w:rsidRPr="00D85E09" w:rsidRDefault="00310EA3" w:rsidP="00993F58">
            <w:pPr>
              <w:spacing w:after="0"/>
            </w:pPr>
            <w:r w:rsidRPr="00D85E09">
              <w:t>Odds ratio</w:t>
            </w:r>
          </w:p>
        </w:tc>
      </w:tr>
      <w:tr w:rsidR="00310EA3" w:rsidRPr="00D85E09" w14:paraId="5AC485C2" w14:textId="77777777" w:rsidTr="00C22925">
        <w:tc>
          <w:tcPr>
            <w:tcW w:w="1488" w:type="dxa"/>
          </w:tcPr>
          <w:p w14:paraId="1E88FE12" w14:textId="45C4BADD" w:rsidR="00310EA3" w:rsidRPr="00D85E09" w:rsidRDefault="00310EA3" w:rsidP="00993F58">
            <w:pPr>
              <w:spacing w:after="0"/>
            </w:pPr>
            <w:r w:rsidRPr="00D85E09">
              <w:t>PACS</w:t>
            </w:r>
            <w:r w:rsidRPr="00D85E09">
              <w:tab/>
            </w:r>
          </w:p>
        </w:tc>
        <w:tc>
          <w:tcPr>
            <w:tcW w:w="7583" w:type="dxa"/>
          </w:tcPr>
          <w:p w14:paraId="0887BF5A" w14:textId="4C17F76D" w:rsidR="00310EA3" w:rsidRPr="00D85E09" w:rsidRDefault="00310EA3" w:rsidP="00993F58">
            <w:pPr>
              <w:spacing w:after="0"/>
            </w:pPr>
            <w:r w:rsidRPr="00D85E09">
              <w:t>Picture archiving and communication system</w:t>
            </w:r>
          </w:p>
        </w:tc>
      </w:tr>
      <w:tr w:rsidR="00310EA3" w:rsidRPr="00D85E09" w14:paraId="10F645DC" w14:textId="77777777" w:rsidTr="00C22925">
        <w:tc>
          <w:tcPr>
            <w:tcW w:w="1488" w:type="dxa"/>
          </w:tcPr>
          <w:p w14:paraId="4BCB0131" w14:textId="6ADC4EF9" w:rsidR="00310EA3" w:rsidRPr="00D85E09" w:rsidRDefault="00310EA3" w:rsidP="00993F58">
            <w:pPr>
              <w:spacing w:after="0"/>
            </w:pPr>
            <w:r w:rsidRPr="00D85E09">
              <w:t>PASC</w:t>
            </w:r>
            <w:r w:rsidRPr="00D85E09">
              <w:tab/>
            </w:r>
          </w:p>
        </w:tc>
        <w:tc>
          <w:tcPr>
            <w:tcW w:w="7583" w:type="dxa"/>
          </w:tcPr>
          <w:p w14:paraId="45F9887F" w14:textId="6EC12888" w:rsidR="00310EA3" w:rsidRPr="00D85E09" w:rsidRDefault="00310EA3" w:rsidP="00993F58">
            <w:pPr>
              <w:spacing w:after="0"/>
            </w:pPr>
            <w:r w:rsidRPr="00D85E09">
              <w:t>Protocol Advisory Sub-Committee</w:t>
            </w:r>
          </w:p>
        </w:tc>
      </w:tr>
      <w:tr w:rsidR="00993F58" w:rsidRPr="00D85E09" w14:paraId="3EE97EB6" w14:textId="77777777" w:rsidTr="00C22925">
        <w:tc>
          <w:tcPr>
            <w:tcW w:w="1488" w:type="dxa"/>
          </w:tcPr>
          <w:p w14:paraId="6C78995B" w14:textId="42ACB0FB" w:rsidR="00993F58" w:rsidRPr="00D85E09" w:rsidRDefault="00993F58" w:rsidP="00993F58">
            <w:pPr>
              <w:spacing w:after="0"/>
            </w:pPr>
            <w:r w:rsidRPr="00D85E09">
              <w:t>PBAC</w:t>
            </w:r>
          </w:p>
        </w:tc>
        <w:tc>
          <w:tcPr>
            <w:tcW w:w="7583" w:type="dxa"/>
          </w:tcPr>
          <w:p w14:paraId="69A01F9B" w14:textId="20CAF596" w:rsidR="00993F58" w:rsidRPr="00D85E09" w:rsidRDefault="000F2632" w:rsidP="00993F58">
            <w:pPr>
              <w:spacing w:after="0"/>
            </w:pPr>
            <w:r w:rsidRPr="00D85E09">
              <w:t>Pharmaceutical Benefits Advisory Committee</w:t>
            </w:r>
          </w:p>
        </w:tc>
      </w:tr>
      <w:tr w:rsidR="00310EA3" w:rsidRPr="00D85E09" w14:paraId="58D07D28" w14:textId="77777777" w:rsidTr="00C22925">
        <w:tc>
          <w:tcPr>
            <w:tcW w:w="1488" w:type="dxa"/>
          </w:tcPr>
          <w:p w14:paraId="7CBB9D3F" w14:textId="0A4CB556" w:rsidR="00310EA3" w:rsidRPr="00D85E09" w:rsidRDefault="00310EA3" w:rsidP="00993F58">
            <w:pPr>
              <w:spacing w:after="0"/>
            </w:pPr>
            <w:r w:rsidRPr="00D85E09">
              <w:t>PCSS</w:t>
            </w:r>
            <w:r w:rsidRPr="00D85E09">
              <w:tab/>
            </w:r>
          </w:p>
        </w:tc>
        <w:tc>
          <w:tcPr>
            <w:tcW w:w="7583" w:type="dxa"/>
          </w:tcPr>
          <w:p w14:paraId="448C6376" w14:textId="5FEB4C03" w:rsidR="00310EA3" w:rsidRPr="00D85E09" w:rsidRDefault="00310EA3" w:rsidP="00993F58">
            <w:pPr>
              <w:spacing w:after="0"/>
            </w:pPr>
            <w:r w:rsidRPr="00D85E09">
              <w:t>Perth Community Stroke Study</w:t>
            </w:r>
          </w:p>
        </w:tc>
      </w:tr>
      <w:tr w:rsidR="00993F58" w:rsidRPr="00D85E09" w14:paraId="79647692" w14:textId="77777777" w:rsidTr="00C22925">
        <w:tc>
          <w:tcPr>
            <w:tcW w:w="1488" w:type="dxa"/>
          </w:tcPr>
          <w:p w14:paraId="1B071E66" w14:textId="10B44294" w:rsidR="00993F58" w:rsidRPr="00D85E09" w:rsidRDefault="00993F58" w:rsidP="00993F58">
            <w:pPr>
              <w:spacing w:after="0"/>
            </w:pPr>
            <w:r w:rsidRPr="00D85E09">
              <w:t>PICH</w:t>
            </w:r>
          </w:p>
        </w:tc>
        <w:tc>
          <w:tcPr>
            <w:tcW w:w="7583" w:type="dxa"/>
          </w:tcPr>
          <w:p w14:paraId="7B25EF91" w14:textId="604114AF" w:rsidR="00993F58" w:rsidRPr="00D85E09" w:rsidRDefault="00D85E09" w:rsidP="00993F58">
            <w:pPr>
              <w:spacing w:after="0"/>
            </w:pPr>
            <w:r>
              <w:t>P</w:t>
            </w:r>
            <w:r w:rsidRPr="00D85E09">
              <w:t>rimary intracerebral hemorrhage</w:t>
            </w:r>
          </w:p>
        </w:tc>
      </w:tr>
      <w:tr w:rsidR="00310EA3" w:rsidRPr="00D85E09" w14:paraId="62E03A26" w14:textId="77777777" w:rsidTr="00C22925">
        <w:tc>
          <w:tcPr>
            <w:tcW w:w="1488" w:type="dxa"/>
          </w:tcPr>
          <w:p w14:paraId="36A3B4DE" w14:textId="53F74E44" w:rsidR="00310EA3" w:rsidRPr="00D85E09" w:rsidRDefault="00310EA3" w:rsidP="00993F58">
            <w:pPr>
              <w:spacing w:after="0"/>
            </w:pPr>
            <w:r w:rsidRPr="00D85E09">
              <w:t>PL</w:t>
            </w:r>
            <w:r w:rsidRPr="00D85E09">
              <w:tab/>
            </w:r>
          </w:p>
        </w:tc>
        <w:tc>
          <w:tcPr>
            <w:tcW w:w="7583" w:type="dxa"/>
          </w:tcPr>
          <w:p w14:paraId="415E89FB" w14:textId="44CD3495" w:rsidR="00310EA3" w:rsidRPr="00D85E09" w:rsidRDefault="00310EA3" w:rsidP="00993F58">
            <w:pPr>
              <w:spacing w:after="0"/>
            </w:pPr>
            <w:r w:rsidRPr="00D85E09">
              <w:t>Prostheses List</w:t>
            </w:r>
          </w:p>
        </w:tc>
      </w:tr>
      <w:tr w:rsidR="00310EA3" w:rsidRPr="00D85E09" w14:paraId="50E73F64" w14:textId="77777777" w:rsidTr="00C22925">
        <w:tc>
          <w:tcPr>
            <w:tcW w:w="1488" w:type="dxa"/>
          </w:tcPr>
          <w:p w14:paraId="3925015B" w14:textId="5BFA59E1" w:rsidR="00310EA3" w:rsidRPr="00D85E09" w:rsidRDefault="00310EA3" w:rsidP="00993F58">
            <w:pPr>
              <w:spacing w:after="0"/>
            </w:pPr>
            <w:r w:rsidRPr="00D85E09">
              <w:t>PTT</w:t>
            </w:r>
          </w:p>
        </w:tc>
        <w:tc>
          <w:tcPr>
            <w:tcW w:w="7583" w:type="dxa"/>
          </w:tcPr>
          <w:p w14:paraId="5BB1D939" w14:textId="5AA3D1E9" w:rsidR="00310EA3" w:rsidRPr="00D85E09" w:rsidRDefault="00310EA3" w:rsidP="00993F58">
            <w:pPr>
              <w:spacing w:after="0"/>
            </w:pPr>
            <w:r w:rsidRPr="00D85E09">
              <w:t>Partial thromboplastin time</w:t>
            </w:r>
          </w:p>
        </w:tc>
      </w:tr>
      <w:tr w:rsidR="00993F58" w:rsidRPr="00D85E09" w14:paraId="45AA9008" w14:textId="77777777" w:rsidTr="00C22925">
        <w:tc>
          <w:tcPr>
            <w:tcW w:w="1488" w:type="dxa"/>
          </w:tcPr>
          <w:p w14:paraId="1F914D13" w14:textId="38C6164D" w:rsidR="00993F58" w:rsidRPr="00D85E09" w:rsidRDefault="00993F58" w:rsidP="00993F58">
            <w:pPr>
              <w:spacing w:after="0"/>
            </w:pPr>
            <w:r w:rsidRPr="00D85E09">
              <w:t>QALY</w:t>
            </w:r>
          </w:p>
        </w:tc>
        <w:tc>
          <w:tcPr>
            <w:tcW w:w="7583" w:type="dxa"/>
          </w:tcPr>
          <w:p w14:paraId="2446A812" w14:textId="367C8A72" w:rsidR="00993F58" w:rsidRPr="00D85E09" w:rsidRDefault="000F2632" w:rsidP="00993F58">
            <w:pPr>
              <w:spacing w:after="0"/>
            </w:pPr>
            <w:r w:rsidRPr="00D85E09">
              <w:t>Quality-adjusted life-years</w:t>
            </w:r>
          </w:p>
        </w:tc>
      </w:tr>
      <w:tr w:rsidR="00993F58" w:rsidRPr="00D85E09" w14:paraId="3E9EA080" w14:textId="77777777" w:rsidTr="00C22925">
        <w:tc>
          <w:tcPr>
            <w:tcW w:w="1488" w:type="dxa"/>
          </w:tcPr>
          <w:p w14:paraId="6EC01BF3" w14:textId="162F5DA4" w:rsidR="00993F58" w:rsidRPr="00D85E09" w:rsidRDefault="00993F58" w:rsidP="00993F58">
            <w:pPr>
              <w:spacing w:after="0"/>
            </w:pPr>
            <w:r w:rsidRPr="00D85E09">
              <w:t>QoL</w:t>
            </w:r>
          </w:p>
        </w:tc>
        <w:tc>
          <w:tcPr>
            <w:tcW w:w="7583" w:type="dxa"/>
          </w:tcPr>
          <w:p w14:paraId="5AFD331C" w14:textId="69266111" w:rsidR="00993F58" w:rsidRPr="00D85E09" w:rsidRDefault="000F2632" w:rsidP="00993F58">
            <w:pPr>
              <w:spacing w:after="0"/>
            </w:pPr>
            <w:r w:rsidRPr="00D85E09">
              <w:t>Quality-of-life</w:t>
            </w:r>
          </w:p>
        </w:tc>
      </w:tr>
      <w:tr w:rsidR="00310EA3" w:rsidRPr="00D85E09" w14:paraId="72305D83" w14:textId="77777777" w:rsidTr="00C22925">
        <w:tc>
          <w:tcPr>
            <w:tcW w:w="1488" w:type="dxa"/>
          </w:tcPr>
          <w:p w14:paraId="20ABAADA" w14:textId="077DD334" w:rsidR="00310EA3" w:rsidRPr="00D85E09" w:rsidRDefault="00310EA3" w:rsidP="00993F58">
            <w:pPr>
              <w:spacing w:after="0"/>
            </w:pPr>
            <w:r w:rsidRPr="00D85E09">
              <w:t>RCT</w:t>
            </w:r>
          </w:p>
        </w:tc>
        <w:tc>
          <w:tcPr>
            <w:tcW w:w="7583" w:type="dxa"/>
          </w:tcPr>
          <w:p w14:paraId="74C6301A" w14:textId="63FCA599" w:rsidR="00310EA3" w:rsidRPr="00D85E09" w:rsidRDefault="00310EA3" w:rsidP="00993F58">
            <w:pPr>
              <w:spacing w:after="0"/>
            </w:pPr>
            <w:r w:rsidRPr="00D85E09">
              <w:t>Randomised controlled trials</w:t>
            </w:r>
          </w:p>
        </w:tc>
      </w:tr>
      <w:tr w:rsidR="00993F58" w:rsidRPr="00D85E09" w14:paraId="25273D7E" w14:textId="77777777" w:rsidTr="00C22925">
        <w:tc>
          <w:tcPr>
            <w:tcW w:w="1488" w:type="dxa"/>
          </w:tcPr>
          <w:p w14:paraId="41C95547" w14:textId="7FFF6915" w:rsidR="00993F58" w:rsidRPr="00D85E09" w:rsidRDefault="00993F58" w:rsidP="00993F58">
            <w:pPr>
              <w:spacing w:after="0"/>
            </w:pPr>
            <w:r w:rsidRPr="00D85E09">
              <w:t>RD</w:t>
            </w:r>
          </w:p>
        </w:tc>
        <w:tc>
          <w:tcPr>
            <w:tcW w:w="7583" w:type="dxa"/>
          </w:tcPr>
          <w:p w14:paraId="63D95F3B" w14:textId="454E6DAF" w:rsidR="00993F58" w:rsidRPr="00D85E09" w:rsidRDefault="000F2632" w:rsidP="00993F58">
            <w:pPr>
              <w:spacing w:after="0"/>
            </w:pPr>
            <w:r w:rsidRPr="00D85E09">
              <w:t>Risk difference</w:t>
            </w:r>
          </w:p>
        </w:tc>
      </w:tr>
      <w:tr w:rsidR="00993F58" w:rsidRPr="00D85E09" w14:paraId="77E1B2A1" w14:textId="77777777" w:rsidTr="00C22925">
        <w:tc>
          <w:tcPr>
            <w:tcW w:w="1488" w:type="dxa"/>
          </w:tcPr>
          <w:p w14:paraId="2EABFCDF" w14:textId="4E30E470" w:rsidR="00993F58" w:rsidRPr="00D85E09" w:rsidRDefault="00993F58" w:rsidP="00993F58">
            <w:pPr>
              <w:spacing w:after="0"/>
            </w:pPr>
            <w:r w:rsidRPr="00D85E09">
              <w:lastRenderedPageBreak/>
              <w:t>RR</w:t>
            </w:r>
          </w:p>
        </w:tc>
        <w:tc>
          <w:tcPr>
            <w:tcW w:w="7583" w:type="dxa"/>
          </w:tcPr>
          <w:p w14:paraId="1710BAF9" w14:textId="7798828C" w:rsidR="00993F58" w:rsidRPr="00D85E09" w:rsidRDefault="000F2632" w:rsidP="00993F58">
            <w:pPr>
              <w:spacing w:after="0"/>
            </w:pPr>
            <w:r w:rsidRPr="00D85E09">
              <w:t>Relative risk</w:t>
            </w:r>
          </w:p>
        </w:tc>
      </w:tr>
      <w:tr w:rsidR="00993F58" w:rsidRPr="00D85E09" w14:paraId="7C4AC8AF" w14:textId="77777777" w:rsidTr="00C22925">
        <w:tc>
          <w:tcPr>
            <w:tcW w:w="1488" w:type="dxa"/>
          </w:tcPr>
          <w:p w14:paraId="6D17E985" w14:textId="27857105" w:rsidR="00993F58" w:rsidRPr="00D85E09" w:rsidRDefault="00993F58" w:rsidP="00993F58">
            <w:pPr>
              <w:spacing w:after="0"/>
            </w:pPr>
            <w:r w:rsidRPr="00D85E09">
              <w:t>SAH</w:t>
            </w:r>
          </w:p>
        </w:tc>
        <w:tc>
          <w:tcPr>
            <w:tcW w:w="7583" w:type="dxa"/>
          </w:tcPr>
          <w:p w14:paraId="4966800A" w14:textId="25030128" w:rsidR="00993F58" w:rsidRPr="00D85E09" w:rsidRDefault="00D85E09" w:rsidP="00993F58">
            <w:pPr>
              <w:spacing w:after="0"/>
            </w:pPr>
            <w:r>
              <w:t>S</w:t>
            </w:r>
            <w:r w:rsidRPr="00D85E09">
              <w:t>ubarachnoid h</w:t>
            </w:r>
            <w:r>
              <w:t>a</w:t>
            </w:r>
            <w:r w:rsidRPr="00D85E09">
              <w:t>emorrhage</w:t>
            </w:r>
          </w:p>
        </w:tc>
      </w:tr>
      <w:tr w:rsidR="00993F58" w:rsidRPr="00D85E09" w14:paraId="23A41E90" w14:textId="77777777" w:rsidTr="00C22925">
        <w:tc>
          <w:tcPr>
            <w:tcW w:w="1488" w:type="dxa"/>
          </w:tcPr>
          <w:p w14:paraId="5B117B8B" w14:textId="4C53C39C" w:rsidR="00993F58" w:rsidRPr="00D85E09" w:rsidRDefault="00993F58" w:rsidP="00993F58">
            <w:pPr>
              <w:spacing w:after="0"/>
            </w:pPr>
            <w:r w:rsidRPr="00D85E09">
              <w:t>SG</w:t>
            </w:r>
          </w:p>
        </w:tc>
        <w:tc>
          <w:tcPr>
            <w:tcW w:w="7583" w:type="dxa"/>
          </w:tcPr>
          <w:p w14:paraId="48BD5CF6" w14:textId="3C99C75D" w:rsidR="00993F58" w:rsidRPr="00D85E09" w:rsidRDefault="000F2632" w:rsidP="00993F58">
            <w:pPr>
              <w:spacing w:after="0"/>
            </w:pPr>
            <w:r w:rsidRPr="00D85E09">
              <w:t>Standard gamble</w:t>
            </w:r>
          </w:p>
        </w:tc>
      </w:tr>
      <w:tr w:rsidR="00993F58" w:rsidRPr="00D85E09" w14:paraId="1E6DE728" w14:textId="77777777" w:rsidTr="00C22925">
        <w:tc>
          <w:tcPr>
            <w:tcW w:w="1488" w:type="dxa"/>
          </w:tcPr>
          <w:p w14:paraId="1F6AAB3A" w14:textId="0E30F5F5" w:rsidR="00993F58" w:rsidRPr="00D85E09" w:rsidRDefault="00993F58" w:rsidP="00993F58">
            <w:pPr>
              <w:spacing w:after="0"/>
            </w:pPr>
            <w:r w:rsidRPr="00D85E09">
              <w:t>SOC</w:t>
            </w:r>
          </w:p>
        </w:tc>
        <w:tc>
          <w:tcPr>
            <w:tcW w:w="7583" w:type="dxa"/>
          </w:tcPr>
          <w:p w14:paraId="5A378172" w14:textId="7189D073" w:rsidR="00993F58" w:rsidRPr="00D85E09" w:rsidRDefault="000F2632" w:rsidP="00993F58">
            <w:pPr>
              <w:spacing w:after="0"/>
            </w:pPr>
            <w:r w:rsidRPr="00D85E09">
              <w:t>Standard of care</w:t>
            </w:r>
          </w:p>
        </w:tc>
      </w:tr>
      <w:tr w:rsidR="00310EA3" w:rsidRPr="00D85E09" w14:paraId="79568ABC" w14:textId="77777777" w:rsidTr="00C22925">
        <w:tc>
          <w:tcPr>
            <w:tcW w:w="1488" w:type="dxa"/>
          </w:tcPr>
          <w:p w14:paraId="38A360F2" w14:textId="74ED1C59" w:rsidR="00310EA3" w:rsidRPr="00D85E09" w:rsidRDefault="00993F58" w:rsidP="00993F58">
            <w:pPr>
              <w:spacing w:after="0"/>
            </w:pPr>
            <w:r w:rsidRPr="00D85E09">
              <w:t>S.T.R.O.K.E.</w:t>
            </w:r>
          </w:p>
        </w:tc>
        <w:tc>
          <w:tcPr>
            <w:tcW w:w="7583" w:type="dxa"/>
          </w:tcPr>
          <w:p w14:paraId="6ECAE8EC" w14:textId="1EE11274" w:rsidR="00310EA3" w:rsidRPr="00D85E09" w:rsidRDefault="00310EA3" w:rsidP="00993F58">
            <w:pPr>
              <w:spacing w:after="0"/>
            </w:pPr>
            <w:r w:rsidRPr="00D85E09">
              <w:t>Stroke Time Registry for Outcomes Knowledge and Epidemiology</w:t>
            </w:r>
          </w:p>
        </w:tc>
      </w:tr>
      <w:tr w:rsidR="00310EA3" w:rsidRPr="00D85E09" w14:paraId="3E1F1F8E" w14:textId="77777777" w:rsidTr="00C22925">
        <w:tc>
          <w:tcPr>
            <w:tcW w:w="1488" w:type="dxa"/>
          </w:tcPr>
          <w:p w14:paraId="081548CF" w14:textId="4AD2EF1A" w:rsidR="00310EA3" w:rsidRPr="00D85E09" w:rsidRDefault="00310EA3" w:rsidP="00993F58">
            <w:pPr>
              <w:spacing w:after="0"/>
            </w:pPr>
            <w:r w:rsidRPr="00D85E09">
              <w:t>SICH</w:t>
            </w:r>
            <w:r w:rsidRPr="00D85E09">
              <w:tab/>
            </w:r>
          </w:p>
        </w:tc>
        <w:tc>
          <w:tcPr>
            <w:tcW w:w="7583" w:type="dxa"/>
          </w:tcPr>
          <w:p w14:paraId="3396E014" w14:textId="2CCD4B34" w:rsidR="00310EA3" w:rsidRPr="00D85E09" w:rsidRDefault="00310EA3" w:rsidP="00993F58">
            <w:pPr>
              <w:spacing w:after="0"/>
            </w:pPr>
            <w:r w:rsidRPr="00D85E09">
              <w:t>Symptomatic intracerebral haemorrhage</w:t>
            </w:r>
          </w:p>
        </w:tc>
      </w:tr>
      <w:tr w:rsidR="00310EA3" w:rsidRPr="00D85E09" w14:paraId="62009BFB" w14:textId="77777777" w:rsidTr="00C22925">
        <w:tc>
          <w:tcPr>
            <w:tcW w:w="1488" w:type="dxa"/>
          </w:tcPr>
          <w:p w14:paraId="4B0A5E95" w14:textId="708C082C" w:rsidR="00310EA3" w:rsidRPr="00D85E09" w:rsidRDefault="00310EA3" w:rsidP="00993F58">
            <w:pPr>
              <w:spacing w:after="0"/>
            </w:pPr>
            <w:r w:rsidRPr="00D85E09">
              <w:t>STAR</w:t>
            </w:r>
            <w:r w:rsidRPr="00D85E09">
              <w:tab/>
            </w:r>
          </w:p>
        </w:tc>
        <w:tc>
          <w:tcPr>
            <w:tcW w:w="7583" w:type="dxa"/>
          </w:tcPr>
          <w:p w14:paraId="67DB455B" w14:textId="6B90D998" w:rsidR="00310EA3" w:rsidRPr="00D85E09" w:rsidRDefault="00310EA3" w:rsidP="00993F58">
            <w:pPr>
              <w:spacing w:after="0"/>
            </w:pPr>
            <w:r w:rsidRPr="00D85E09">
              <w:t>Solitaire Flow Restoration Thrombectomy for Acute Revascularization</w:t>
            </w:r>
          </w:p>
        </w:tc>
      </w:tr>
      <w:tr w:rsidR="00310EA3" w:rsidRPr="00D85E09" w14:paraId="57A89736" w14:textId="77777777" w:rsidTr="00C22925">
        <w:tc>
          <w:tcPr>
            <w:tcW w:w="1488" w:type="dxa"/>
          </w:tcPr>
          <w:p w14:paraId="4C6CE9EA" w14:textId="7DC59CB7" w:rsidR="00310EA3" w:rsidRPr="00D85E09" w:rsidRDefault="00310EA3" w:rsidP="00993F58">
            <w:pPr>
              <w:spacing w:after="0"/>
            </w:pPr>
            <w:r w:rsidRPr="00D85E09">
              <w:t>TGA</w:t>
            </w:r>
            <w:r w:rsidRPr="00D85E09">
              <w:tab/>
            </w:r>
          </w:p>
        </w:tc>
        <w:tc>
          <w:tcPr>
            <w:tcW w:w="7583" w:type="dxa"/>
          </w:tcPr>
          <w:p w14:paraId="095687E8" w14:textId="2CC6D25C" w:rsidR="00310EA3" w:rsidRPr="00D85E09" w:rsidRDefault="00310EA3" w:rsidP="00993F58">
            <w:pPr>
              <w:spacing w:after="0"/>
            </w:pPr>
            <w:r w:rsidRPr="00D85E09">
              <w:t>Therapeutics Goods Administration</w:t>
            </w:r>
          </w:p>
        </w:tc>
      </w:tr>
      <w:tr w:rsidR="00993F58" w:rsidRPr="00D85E09" w14:paraId="072ED9CD" w14:textId="77777777" w:rsidTr="00C22925">
        <w:tc>
          <w:tcPr>
            <w:tcW w:w="1488" w:type="dxa"/>
          </w:tcPr>
          <w:p w14:paraId="12F3AFC2" w14:textId="756213BE" w:rsidR="00993F58" w:rsidRPr="00D85E09" w:rsidRDefault="00993F58" w:rsidP="00993F58">
            <w:pPr>
              <w:spacing w:after="0"/>
            </w:pPr>
            <w:r w:rsidRPr="00D85E09">
              <w:t>TIA</w:t>
            </w:r>
          </w:p>
        </w:tc>
        <w:tc>
          <w:tcPr>
            <w:tcW w:w="7583" w:type="dxa"/>
          </w:tcPr>
          <w:p w14:paraId="29AA5941" w14:textId="2054D794" w:rsidR="00993F58" w:rsidRPr="00D85E09" w:rsidRDefault="000F2632" w:rsidP="00993F58">
            <w:pPr>
              <w:spacing w:after="0"/>
            </w:pPr>
            <w:r w:rsidRPr="00D85E09">
              <w:t>Tr</w:t>
            </w:r>
            <w:r w:rsidR="00D85E09">
              <w:t>ansient</w:t>
            </w:r>
            <w:r w:rsidR="00D85E09" w:rsidRPr="00D85E09">
              <w:t xml:space="preserve"> </w:t>
            </w:r>
            <w:r w:rsidR="00D85E09">
              <w:t>Isc</w:t>
            </w:r>
            <w:r w:rsidR="00D85E09" w:rsidRPr="00D85E09">
              <w:t>haemic Attack</w:t>
            </w:r>
          </w:p>
        </w:tc>
      </w:tr>
      <w:tr w:rsidR="00310EA3" w:rsidRPr="00D85E09" w14:paraId="14E6E0E6" w14:textId="77777777" w:rsidTr="00C22925">
        <w:tc>
          <w:tcPr>
            <w:tcW w:w="1488" w:type="dxa"/>
          </w:tcPr>
          <w:p w14:paraId="79BDDAD7" w14:textId="3E6A8CC2" w:rsidR="00310EA3" w:rsidRPr="00D85E09" w:rsidRDefault="00310EA3" w:rsidP="00993F58">
            <w:pPr>
              <w:spacing w:after="0"/>
            </w:pPr>
            <w:r w:rsidRPr="00D85E09">
              <w:t>TICI</w:t>
            </w:r>
          </w:p>
        </w:tc>
        <w:tc>
          <w:tcPr>
            <w:tcW w:w="7583" w:type="dxa"/>
          </w:tcPr>
          <w:p w14:paraId="03815D59" w14:textId="3E350A75" w:rsidR="00310EA3" w:rsidRPr="00D85E09" w:rsidRDefault="00310EA3" w:rsidP="00993F58">
            <w:pPr>
              <w:spacing w:after="0"/>
            </w:pPr>
            <w:r w:rsidRPr="00D85E09">
              <w:t>Thrombolysis in Cerebral Infarction</w:t>
            </w:r>
          </w:p>
        </w:tc>
      </w:tr>
      <w:tr w:rsidR="00993F58" w:rsidRPr="00D85E09" w14:paraId="67DFAB00" w14:textId="77777777" w:rsidTr="00C22925">
        <w:tc>
          <w:tcPr>
            <w:tcW w:w="1488" w:type="dxa"/>
          </w:tcPr>
          <w:p w14:paraId="7BB79E9A" w14:textId="318E2CFC" w:rsidR="00993F58" w:rsidRPr="00D85E09" w:rsidRDefault="00993F58" w:rsidP="00993F58">
            <w:pPr>
              <w:spacing w:after="0"/>
            </w:pPr>
            <w:r w:rsidRPr="00D85E09">
              <w:t>TTO</w:t>
            </w:r>
          </w:p>
        </w:tc>
        <w:tc>
          <w:tcPr>
            <w:tcW w:w="7583" w:type="dxa"/>
          </w:tcPr>
          <w:p w14:paraId="4E4C8037" w14:textId="2DBD6A8F" w:rsidR="00993F58" w:rsidRPr="00D85E09" w:rsidRDefault="000F2632" w:rsidP="00993F58">
            <w:pPr>
              <w:spacing w:after="0"/>
            </w:pPr>
            <w:r w:rsidRPr="00D85E09">
              <w:t>Time-trade-off</w:t>
            </w:r>
          </w:p>
        </w:tc>
      </w:tr>
      <w:tr w:rsidR="00310EA3" w:rsidRPr="00D85E09" w14:paraId="7408F7D6" w14:textId="77777777" w:rsidTr="00C22925">
        <w:tc>
          <w:tcPr>
            <w:tcW w:w="1488" w:type="dxa"/>
          </w:tcPr>
          <w:p w14:paraId="784E888E" w14:textId="60E710B2" w:rsidR="00310EA3" w:rsidRPr="00D85E09" w:rsidRDefault="00310EA3" w:rsidP="00993F58">
            <w:pPr>
              <w:spacing w:after="0"/>
            </w:pPr>
            <w:r w:rsidRPr="00D85E09">
              <w:t>VST</w:t>
            </w:r>
          </w:p>
        </w:tc>
        <w:tc>
          <w:tcPr>
            <w:tcW w:w="7583" w:type="dxa"/>
          </w:tcPr>
          <w:p w14:paraId="77D9A7D8" w14:textId="6971619F" w:rsidR="00310EA3" w:rsidRPr="00D85E09" w:rsidRDefault="00310EA3" w:rsidP="00993F58">
            <w:pPr>
              <w:spacing w:after="0"/>
            </w:pPr>
            <w:r w:rsidRPr="00D85E09">
              <w:t>Victorian Stroke Telemedicine</w:t>
            </w:r>
          </w:p>
        </w:tc>
      </w:tr>
      <w:tr w:rsidR="00310EA3" w:rsidRPr="00D85E09" w14:paraId="10038577" w14:textId="77777777" w:rsidTr="00C22925">
        <w:tc>
          <w:tcPr>
            <w:tcW w:w="1488" w:type="dxa"/>
          </w:tcPr>
          <w:p w14:paraId="1718BC03" w14:textId="091492A3" w:rsidR="00310EA3" w:rsidRPr="00D85E09" w:rsidRDefault="00310EA3" w:rsidP="00993F58">
            <w:pPr>
              <w:spacing w:after="0"/>
            </w:pPr>
            <w:r w:rsidRPr="00D85E09">
              <w:t>WHO</w:t>
            </w:r>
            <w:r w:rsidRPr="00D85E09">
              <w:tab/>
            </w:r>
          </w:p>
        </w:tc>
        <w:tc>
          <w:tcPr>
            <w:tcW w:w="7583" w:type="dxa"/>
          </w:tcPr>
          <w:p w14:paraId="2AF18EE4" w14:textId="31F53DF8" w:rsidR="00310EA3" w:rsidRPr="00D85E09" w:rsidRDefault="00310EA3" w:rsidP="00993F58">
            <w:pPr>
              <w:spacing w:after="0"/>
            </w:pPr>
            <w:r w:rsidRPr="00D85E09">
              <w:t>World Health Organisation</w:t>
            </w:r>
          </w:p>
        </w:tc>
      </w:tr>
    </w:tbl>
    <w:p w14:paraId="4706FDC9" w14:textId="77777777" w:rsidR="00310EA3" w:rsidRPr="00D85E09" w:rsidRDefault="00310EA3" w:rsidP="00310EA3"/>
    <w:p w14:paraId="2293A2C1" w14:textId="2F07019D" w:rsidR="008E3B5C" w:rsidRPr="00D85E09" w:rsidRDefault="008E3B5C" w:rsidP="0043316B">
      <w:pPr>
        <w:widowControl w:val="0"/>
      </w:pPr>
    </w:p>
    <w:p w14:paraId="2F777684" w14:textId="77777777" w:rsidR="008C6C02" w:rsidRPr="00D85E09" w:rsidRDefault="008C6C02" w:rsidP="0043316B">
      <w:pPr>
        <w:widowControl w:val="0"/>
        <w:sectPr w:rsidR="008C6C02" w:rsidRPr="00D85E09" w:rsidSect="00033497">
          <w:headerReference w:type="default" r:id="rId23"/>
          <w:pgSz w:w="11907" w:h="16834" w:code="9"/>
          <w:pgMar w:top="1304" w:right="1418" w:bottom="1418" w:left="1418" w:header="720" w:footer="720" w:gutter="0"/>
          <w:paperSrc w:first="7" w:other="7"/>
          <w:pgNumType w:fmt="lowerRoman"/>
          <w:cols w:space="720"/>
          <w:noEndnote/>
          <w:docGrid w:linePitch="299"/>
        </w:sectPr>
      </w:pPr>
    </w:p>
    <w:p w14:paraId="564F2318" w14:textId="0CC728BC" w:rsidR="000C04B5" w:rsidRPr="00D85E09" w:rsidRDefault="000C04B5" w:rsidP="0043316B">
      <w:pPr>
        <w:pStyle w:val="Heading1"/>
        <w:keepNext w:val="0"/>
        <w:pageBreakBefore w:val="0"/>
        <w:widowControl w:val="0"/>
        <w:rPr>
          <w:lang w:val="en-AU"/>
        </w:rPr>
      </w:pPr>
      <w:bookmarkStart w:id="31" w:name="_Toc453065236"/>
      <w:r w:rsidRPr="00D85E09">
        <w:rPr>
          <w:lang w:val="en-AU"/>
        </w:rPr>
        <w:lastRenderedPageBreak/>
        <w:t>Details of the Proposed Service and its intended use on the MBS</w:t>
      </w:r>
      <w:bookmarkEnd w:id="9"/>
      <w:bookmarkEnd w:id="10"/>
      <w:bookmarkEnd w:id="31"/>
    </w:p>
    <w:tbl>
      <w:tblPr>
        <w:tblStyle w:val="TableGrid"/>
        <w:tblW w:w="0" w:type="auto"/>
        <w:tblLook w:val="04A0" w:firstRow="1" w:lastRow="0" w:firstColumn="1" w:lastColumn="0" w:noHBand="0" w:noVBand="1"/>
        <w:tblDescription w:val="Details of the proposed service and its intended use on the MBS"/>
      </w:tblPr>
      <w:tblGrid>
        <w:gridCol w:w="9004"/>
      </w:tblGrid>
      <w:tr w:rsidR="00EC3F95" w:rsidRPr="00D85E09" w14:paraId="1532B205" w14:textId="77777777" w:rsidTr="00BE6331">
        <w:trPr>
          <w:tblHeader/>
        </w:trPr>
        <w:tc>
          <w:tcPr>
            <w:tcW w:w="9004" w:type="dxa"/>
            <w:shd w:val="clear" w:color="auto" w:fill="F2F2F2" w:themeFill="background1" w:themeFillShade="F2"/>
          </w:tcPr>
          <w:p w14:paraId="068CC7BC" w14:textId="77777777" w:rsidR="000C3ACF" w:rsidRPr="00D85E09" w:rsidRDefault="000C3ACF" w:rsidP="0043316B">
            <w:pPr>
              <w:pStyle w:val="NoSpacing"/>
              <w:widowControl w:val="0"/>
              <w:rPr>
                <w:b/>
                <w:lang w:val="en-AU"/>
              </w:rPr>
            </w:pPr>
            <w:r w:rsidRPr="00D85E09">
              <w:rPr>
                <w:b/>
                <w:lang w:val="en-AU"/>
              </w:rPr>
              <w:t>Summary</w:t>
            </w:r>
          </w:p>
          <w:p w14:paraId="670194A9" w14:textId="3C6FC276" w:rsidR="00E3758A" w:rsidRPr="00D85E09" w:rsidRDefault="000C3ACF" w:rsidP="0043316B">
            <w:pPr>
              <w:pStyle w:val="NoSpacing"/>
              <w:widowControl w:val="0"/>
              <w:numPr>
                <w:ilvl w:val="0"/>
                <w:numId w:val="31"/>
              </w:numPr>
              <w:rPr>
                <w:lang w:val="en-AU"/>
              </w:rPr>
            </w:pPr>
            <w:r w:rsidRPr="00D85E09">
              <w:rPr>
                <w:lang w:val="en-AU"/>
              </w:rPr>
              <w:t>Mechanical thrombectomy</w:t>
            </w:r>
            <w:r w:rsidR="00E3758A" w:rsidRPr="00D85E09">
              <w:rPr>
                <w:lang w:val="en-AU"/>
              </w:rPr>
              <w:t xml:space="preserve"> (MT) is a highly effective treatment that reduces the occurrence of disability after acute ischaemic stroke </w:t>
            </w:r>
            <w:r w:rsidR="006C69BF" w:rsidRPr="00D85E09">
              <w:rPr>
                <w:lang w:val="en-AU"/>
              </w:rPr>
              <w:t xml:space="preserve">(AIS) </w:t>
            </w:r>
            <w:r w:rsidR="00E3758A" w:rsidRPr="00D85E09">
              <w:rPr>
                <w:lang w:val="en-AU"/>
              </w:rPr>
              <w:t>caused by a large vessel occlusion</w:t>
            </w:r>
            <w:r w:rsidR="006C69BF" w:rsidRPr="00D85E09">
              <w:rPr>
                <w:lang w:val="en-AU"/>
              </w:rPr>
              <w:t xml:space="preserve"> (LVO)</w:t>
            </w:r>
            <w:r w:rsidR="00E3758A" w:rsidRPr="00D85E09">
              <w:rPr>
                <w:lang w:val="en-AU"/>
              </w:rPr>
              <w:t>.</w:t>
            </w:r>
          </w:p>
          <w:p w14:paraId="3889B09A" w14:textId="0A8F198A" w:rsidR="000C3ACF" w:rsidRPr="00D85E09" w:rsidRDefault="00E3758A" w:rsidP="0043316B">
            <w:pPr>
              <w:pStyle w:val="NoSpacing"/>
              <w:widowControl w:val="0"/>
              <w:numPr>
                <w:ilvl w:val="0"/>
                <w:numId w:val="31"/>
              </w:numPr>
              <w:rPr>
                <w:lang w:val="en-AU"/>
              </w:rPr>
            </w:pPr>
            <w:r w:rsidRPr="00D85E09">
              <w:rPr>
                <w:lang w:val="en-AU"/>
              </w:rPr>
              <w:t>Delivery of the service</w:t>
            </w:r>
            <w:r w:rsidR="000C3ACF" w:rsidRPr="00D85E09">
              <w:rPr>
                <w:lang w:val="en-AU"/>
              </w:rPr>
              <w:t xml:space="preserve"> involves the use of a specialised endovascular device to remove an obstructing clot from the artery, thereby restoring blood flow to the brain and minimising brain tissue damage</w:t>
            </w:r>
            <w:r w:rsidRPr="00D85E09">
              <w:rPr>
                <w:lang w:val="en-AU"/>
              </w:rPr>
              <w:t>.</w:t>
            </w:r>
            <w:r w:rsidR="000C3ACF" w:rsidRPr="00D85E09">
              <w:rPr>
                <w:lang w:val="en-AU"/>
              </w:rPr>
              <w:t xml:space="preserve"> </w:t>
            </w:r>
            <w:r w:rsidR="00723588" w:rsidRPr="00D85E09">
              <w:rPr>
                <w:lang w:val="en-AU"/>
              </w:rPr>
              <w:t xml:space="preserve">This improves neurological outcomes, reducing or avoiding prolonged neurologic disability with improved functional independence. Avoiding disability is associated with significant clinical and cost benefits. Broader societal benefits through reduced carer burden and </w:t>
            </w:r>
            <w:r w:rsidR="0000074A" w:rsidRPr="00D85E09">
              <w:rPr>
                <w:lang w:val="en-AU"/>
              </w:rPr>
              <w:t>improved workforce participation are also expected.</w:t>
            </w:r>
          </w:p>
          <w:p w14:paraId="39D5C49A" w14:textId="572D1CE2" w:rsidR="00E3758A" w:rsidRPr="00D85E09" w:rsidRDefault="00E3758A" w:rsidP="0043316B">
            <w:pPr>
              <w:pStyle w:val="NoSpacing"/>
              <w:widowControl w:val="0"/>
              <w:numPr>
                <w:ilvl w:val="0"/>
                <w:numId w:val="31"/>
              </w:numPr>
              <w:rPr>
                <w:lang w:val="en-AU"/>
              </w:rPr>
            </w:pPr>
            <w:r w:rsidRPr="00D85E09">
              <w:rPr>
                <w:lang w:val="en-AU"/>
              </w:rPr>
              <w:t>MT is a highly specialised procedure. It is a time-critical treatment, with the greatest benefit achieved with early restoration of blood flow. It requires a well</w:t>
            </w:r>
            <w:r w:rsidR="00300BB6" w:rsidRPr="00D85E09">
              <w:rPr>
                <w:lang w:val="en-AU"/>
              </w:rPr>
              <w:t xml:space="preserve"> </w:t>
            </w:r>
            <w:r w:rsidRPr="00D85E09">
              <w:rPr>
                <w:lang w:val="en-AU"/>
              </w:rPr>
              <w:t>organised system to identify suitable candidates for therapy, and should only be performed by highly</w:t>
            </w:r>
            <w:r w:rsidR="00D32933" w:rsidRPr="00D85E09">
              <w:rPr>
                <w:lang w:val="en-AU"/>
              </w:rPr>
              <w:t xml:space="preserve"> </w:t>
            </w:r>
            <w:r w:rsidRPr="00D85E09">
              <w:rPr>
                <w:lang w:val="en-AU"/>
              </w:rPr>
              <w:t>trained neurointerventionists at suitable stroke units.</w:t>
            </w:r>
          </w:p>
          <w:p w14:paraId="1548DEB0" w14:textId="272F289C" w:rsidR="000C3ACF" w:rsidRPr="00D85E09" w:rsidRDefault="000C3ACF" w:rsidP="0043316B">
            <w:pPr>
              <w:pStyle w:val="NoSpacing"/>
              <w:widowControl w:val="0"/>
              <w:numPr>
                <w:ilvl w:val="0"/>
                <w:numId w:val="31"/>
              </w:numPr>
              <w:rPr>
                <w:lang w:val="en-AU"/>
              </w:rPr>
            </w:pPr>
            <w:r w:rsidRPr="00D85E09">
              <w:rPr>
                <w:lang w:val="en-AU"/>
              </w:rPr>
              <w:t xml:space="preserve">Following </w:t>
            </w:r>
            <w:r w:rsidR="004E32DF" w:rsidRPr="00D85E09">
              <w:rPr>
                <w:lang w:val="en-AU"/>
              </w:rPr>
              <w:t>favourable</w:t>
            </w:r>
            <w:r w:rsidRPr="00D85E09">
              <w:rPr>
                <w:lang w:val="en-AU"/>
              </w:rPr>
              <w:t xml:space="preserve"> results fr</w:t>
            </w:r>
            <w:r w:rsidR="004E32DF" w:rsidRPr="00D85E09">
              <w:rPr>
                <w:lang w:val="en-AU"/>
              </w:rPr>
              <w:t>om five recent RCTs and strong positive</w:t>
            </w:r>
            <w:r w:rsidRPr="00D85E09">
              <w:rPr>
                <w:lang w:val="en-AU"/>
              </w:rPr>
              <w:t xml:space="preserve"> recommendations in international </w:t>
            </w:r>
            <w:r w:rsidR="004E32DF" w:rsidRPr="00D85E09">
              <w:rPr>
                <w:lang w:val="en-AU"/>
              </w:rPr>
              <w:t xml:space="preserve">and local </w:t>
            </w:r>
            <w:r w:rsidRPr="00D85E09">
              <w:rPr>
                <w:lang w:val="en-AU"/>
              </w:rPr>
              <w:t xml:space="preserve">guidelines, stroke care pathways are rapidly being updated to incorporate </w:t>
            </w:r>
            <w:r w:rsidR="006C69BF" w:rsidRPr="00D85E09">
              <w:rPr>
                <w:lang w:val="en-AU"/>
              </w:rPr>
              <w:t>MT p</w:t>
            </w:r>
            <w:r w:rsidRPr="00D85E09">
              <w:rPr>
                <w:lang w:val="en-AU"/>
              </w:rPr>
              <w:t>rocedures as a treatment option for patients with AIS.</w:t>
            </w:r>
          </w:p>
          <w:p w14:paraId="7BB2341B" w14:textId="76BC90D1" w:rsidR="002009EC" w:rsidRPr="00D85E09" w:rsidRDefault="002009EC" w:rsidP="0043316B">
            <w:pPr>
              <w:pStyle w:val="NoSpacing"/>
              <w:widowControl w:val="0"/>
              <w:numPr>
                <w:ilvl w:val="0"/>
                <w:numId w:val="31"/>
              </w:numPr>
              <w:rPr>
                <w:lang w:val="en-AU"/>
              </w:rPr>
            </w:pPr>
            <w:r w:rsidRPr="00D85E09">
              <w:rPr>
                <w:lang w:val="en-AU"/>
              </w:rPr>
              <w:t>The fee for the proposed service is $3500. This amount reflects the complexity, duration and skills required to provide the service.</w:t>
            </w:r>
          </w:p>
          <w:p w14:paraId="19809611" w14:textId="40FE2BCF" w:rsidR="002009EC" w:rsidRPr="00D85E09" w:rsidRDefault="002009EC" w:rsidP="0043316B">
            <w:pPr>
              <w:pStyle w:val="NoSpacing"/>
              <w:widowControl w:val="0"/>
              <w:numPr>
                <w:ilvl w:val="0"/>
                <w:numId w:val="31"/>
              </w:numPr>
              <w:rPr>
                <w:lang w:val="en-AU"/>
              </w:rPr>
            </w:pPr>
            <w:r w:rsidRPr="00D85E09">
              <w:rPr>
                <w:lang w:val="en-AU"/>
              </w:rPr>
              <w:t>MT is indicated as an additional therapy in patients who are eligible for treatment with intravenous thrombolytic therapy (IV</w:t>
            </w:r>
            <w:r w:rsidR="00D32933" w:rsidRPr="00D85E09">
              <w:rPr>
                <w:lang w:val="en-AU"/>
              </w:rPr>
              <w:t>-</w:t>
            </w:r>
            <w:r w:rsidRPr="00D85E09">
              <w:rPr>
                <w:lang w:val="en-AU"/>
              </w:rPr>
              <w:t>tPA), and as an alternative therapy in patients for whom IV</w:t>
            </w:r>
            <w:r w:rsidR="00D32933" w:rsidRPr="00D85E09">
              <w:rPr>
                <w:lang w:val="en-AU"/>
              </w:rPr>
              <w:t>-</w:t>
            </w:r>
            <w:r w:rsidRPr="00D85E09">
              <w:rPr>
                <w:lang w:val="en-AU"/>
              </w:rPr>
              <w:t>tPA is contraindicated. The comparators for these respective groups are:</w:t>
            </w:r>
          </w:p>
          <w:p w14:paraId="7509CEF5" w14:textId="1526716E" w:rsidR="002009EC" w:rsidRPr="00D85E09" w:rsidRDefault="002009EC" w:rsidP="0043316B">
            <w:pPr>
              <w:pStyle w:val="NoSpacing"/>
              <w:widowControl w:val="0"/>
              <w:numPr>
                <w:ilvl w:val="1"/>
                <w:numId w:val="31"/>
              </w:numPr>
              <w:rPr>
                <w:lang w:val="en-AU"/>
              </w:rPr>
            </w:pPr>
            <w:r w:rsidRPr="00D85E09">
              <w:rPr>
                <w:lang w:val="en-AU"/>
              </w:rPr>
              <w:t>IV</w:t>
            </w:r>
            <w:r w:rsidR="00D32933" w:rsidRPr="00D85E09">
              <w:rPr>
                <w:lang w:val="en-AU"/>
              </w:rPr>
              <w:t>-</w:t>
            </w:r>
            <w:r w:rsidRPr="00D85E09">
              <w:rPr>
                <w:lang w:val="en-AU"/>
              </w:rPr>
              <w:t>tPA alone (where indicated), and</w:t>
            </w:r>
          </w:p>
          <w:p w14:paraId="14558378" w14:textId="2258F477" w:rsidR="002009EC" w:rsidRPr="00D85E09" w:rsidRDefault="002009EC" w:rsidP="0043316B">
            <w:pPr>
              <w:pStyle w:val="NoSpacing"/>
              <w:widowControl w:val="0"/>
              <w:numPr>
                <w:ilvl w:val="1"/>
                <w:numId w:val="31"/>
              </w:numPr>
              <w:rPr>
                <w:lang w:val="en-AU"/>
              </w:rPr>
            </w:pPr>
            <w:r w:rsidRPr="00D85E09">
              <w:rPr>
                <w:lang w:val="en-AU"/>
              </w:rPr>
              <w:t>Medical management (anti-thrombotic therapy) where IV thrombolytic therapy is contraindicated.</w:t>
            </w:r>
          </w:p>
          <w:p w14:paraId="66383413" w14:textId="63DA4A6C" w:rsidR="000C3ACF" w:rsidRPr="00D85E09" w:rsidRDefault="002009EC" w:rsidP="0043316B">
            <w:pPr>
              <w:pStyle w:val="NoSpacing"/>
              <w:widowControl w:val="0"/>
              <w:numPr>
                <w:ilvl w:val="0"/>
                <w:numId w:val="31"/>
              </w:numPr>
              <w:spacing w:after="120"/>
              <w:ind w:left="714" w:hanging="357"/>
              <w:rPr>
                <w:lang w:val="en-AU"/>
              </w:rPr>
            </w:pPr>
            <w:r w:rsidRPr="00D85E09">
              <w:rPr>
                <w:lang w:val="en-AU"/>
              </w:rPr>
              <w:t>In both groups, AIS is currently associated with very poor long</w:t>
            </w:r>
            <w:r w:rsidR="00D32933" w:rsidRPr="00D85E09">
              <w:rPr>
                <w:lang w:val="en-AU"/>
              </w:rPr>
              <w:t>-</w:t>
            </w:r>
            <w:r w:rsidRPr="00D85E09">
              <w:rPr>
                <w:lang w:val="en-AU"/>
              </w:rPr>
              <w:t>term outcomes. Compared to the current standard of care, MT devices offer more rapid reperfusion</w:t>
            </w:r>
            <w:r w:rsidR="006C69BF" w:rsidRPr="00D85E09">
              <w:rPr>
                <w:lang w:val="en-AU"/>
              </w:rPr>
              <w:t>,</w:t>
            </w:r>
            <w:r w:rsidRPr="00D85E09">
              <w:rPr>
                <w:lang w:val="en-AU"/>
              </w:rPr>
              <w:t xml:space="preserve"> enhanced efficacy in treating </w:t>
            </w:r>
            <w:r w:rsidR="006C69BF" w:rsidRPr="00D85E09">
              <w:rPr>
                <w:lang w:val="en-AU"/>
              </w:rPr>
              <w:t>LVO,</w:t>
            </w:r>
            <w:r w:rsidRPr="00D85E09">
              <w:rPr>
                <w:lang w:val="en-AU"/>
              </w:rPr>
              <w:t xml:space="preserve"> and a potentially lower risk for haemorrhagic events.</w:t>
            </w:r>
            <w:r w:rsidR="006C69BF" w:rsidRPr="00D85E09">
              <w:rPr>
                <w:lang w:val="en-AU"/>
              </w:rPr>
              <w:t xml:space="preserve"> These translate to improved long-term functional outcomes. </w:t>
            </w:r>
          </w:p>
        </w:tc>
      </w:tr>
    </w:tbl>
    <w:p w14:paraId="46924135" w14:textId="77777777" w:rsidR="000C3ACF" w:rsidRPr="00D85E09" w:rsidRDefault="000C3ACF" w:rsidP="0043316B">
      <w:pPr>
        <w:widowControl w:val="0"/>
      </w:pPr>
    </w:p>
    <w:p w14:paraId="32C6F92B" w14:textId="77777777" w:rsidR="000C04B5" w:rsidRPr="00D85E09" w:rsidRDefault="000C04B5" w:rsidP="0043316B">
      <w:pPr>
        <w:pStyle w:val="Heading2"/>
        <w:widowControl w:val="0"/>
        <w:ind w:left="851" w:hanging="851"/>
        <w:rPr>
          <w:lang w:val="en-AU"/>
        </w:rPr>
      </w:pPr>
      <w:bookmarkStart w:id="32" w:name="_Toc358217041"/>
      <w:bookmarkStart w:id="33" w:name="_Toc362869544"/>
      <w:bookmarkStart w:id="34" w:name="_Toc453065237"/>
      <w:r w:rsidRPr="00D85E09">
        <w:rPr>
          <w:lang w:val="en-AU"/>
        </w:rPr>
        <w:t>Background</w:t>
      </w:r>
      <w:bookmarkEnd w:id="32"/>
      <w:bookmarkEnd w:id="33"/>
      <w:bookmarkEnd w:id="34"/>
    </w:p>
    <w:p w14:paraId="1651BC6B" w14:textId="77777777" w:rsidR="000C04B5" w:rsidRPr="00D85E09" w:rsidRDefault="000C04B5" w:rsidP="0043316B">
      <w:pPr>
        <w:pStyle w:val="Heading3"/>
        <w:keepNext w:val="0"/>
        <w:widowControl w:val="0"/>
        <w:rPr>
          <w:lang w:val="en-AU"/>
        </w:rPr>
      </w:pPr>
      <w:bookmarkStart w:id="35" w:name="_Toc362869545"/>
      <w:bookmarkStart w:id="36" w:name="_Toc453065238"/>
      <w:r w:rsidRPr="00D85E09">
        <w:rPr>
          <w:lang w:val="en-AU"/>
        </w:rPr>
        <w:t>Submission history</w:t>
      </w:r>
      <w:bookmarkEnd w:id="35"/>
      <w:bookmarkEnd w:id="36"/>
    </w:p>
    <w:p w14:paraId="58B60785" w14:textId="48DF5CBA" w:rsidR="000C04B5" w:rsidRPr="00D85E09" w:rsidRDefault="000C04B5" w:rsidP="0043316B">
      <w:pPr>
        <w:widowControl w:val="0"/>
        <w:spacing w:before="120"/>
      </w:pPr>
      <w:r w:rsidRPr="00D85E09">
        <w:t xml:space="preserve">This </w:t>
      </w:r>
      <w:r w:rsidR="00A8075A" w:rsidRPr="00D85E09">
        <w:t>A</w:t>
      </w:r>
      <w:r w:rsidRPr="00D85E09">
        <w:t>pplication by Medtronic Australasia requests a Medicare Benefits Schedule (</w:t>
      </w:r>
      <w:r w:rsidRPr="00D85E09">
        <w:rPr>
          <w:sz w:val="23"/>
          <w:szCs w:val="23"/>
        </w:rPr>
        <w:t>MBS) listing for mechanical thrombectomy (MT) to treat acute ischaemic stroke (AIS) due to a large vessel occlusion</w:t>
      </w:r>
      <w:r w:rsidR="006C69BF" w:rsidRPr="00D85E09">
        <w:rPr>
          <w:sz w:val="23"/>
          <w:szCs w:val="23"/>
        </w:rPr>
        <w:t xml:space="preserve"> (LVO)</w:t>
      </w:r>
      <w:r w:rsidRPr="00D85E09">
        <w:rPr>
          <w:sz w:val="23"/>
          <w:szCs w:val="23"/>
        </w:rPr>
        <w:t xml:space="preserve">. The proposed service involves the use of a specialised endovascular device to remove an obstructing clot from the artery, thereby restoring blood flow to the brain and minimising brain tissue damage. More specifically, </w:t>
      </w:r>
      <w:r w:rsidRPr="00D85E09">
        <w:t xml:space="preserve">MT aims to salvage the ischaemic penumbra, the area surrounding the core zone of a cerebral infarction. The penumbral region is not irreversibly damaged and successful revascularisation can </w:t>
      </w:r>
      <w:r w:rsidRPr="00D85E09">
        <w:lastRenderedPageBreak/>
        <w:t>improve functional outcomes and quality of life for patients. With strong evidence for a high level of clinical efficacy in comparison to current treatment options, mechanical thrombectomy has the potential to revolutionise the management of acute stroke.</w:t>
      </w:r>
    </w:p>
    <w:p w14:paraId="5A4B716D" w14:textId="23B1F0EF" w:rsidR="000C04B5" w:rsidRPr="00D85E09" w:rsidRDefault="000C04B5" w:rsidP="0043316B">
      <w:pPr>
        <w:widowControl w:val="0"/>
        <w:rPr>
          <w:shd w:val="clear" w:color="auto" w:fill="FFFFFF"/>
        </w:rPr>
      </w:pPr>
      <w:r w:rsidRPr="00D85E09">
        <w:rPr>
          <w:sz w:val="23"/>
          <w:szCs w:val="23"/>
        </w:rPr>
        <w:t xml:space="preserve">MT can be performed using a range of devices, including coil retrievers, aspiration devices and most recently, stent retrievers (Raychev and Saver, 2012). All are delivered to occluded sites with the aid of microcatheters and guidewires, but each type of device uses a slightly different mechanical approach to remove the target clot. Although the Applicant manufactures and markets the Solitaire™ brand of stent retrievers, this </w:t>
      </w:r>
      <w:r w:rsidRPr="00D85E09">
        <w:rPr>
          <w:shd w:val="clear" w:color="auto" w:fill="FFFFFF"/>
        </w:rPr>
        <w:t xml:space="preserve">submission considers evidence for all types of devices used in MT. MT may be used in addition to the current standard of care for AIS, thrombolysis with recombinant tissue plasminogen activator (IV </w:t>
      </w:r>
      <w:r w:rsidR="005B7DCE">
        <w:rPr>
          <w:shd w:val="clear" w:color="auto" w:fill="FFFFFF"/>
        </w:rPr>
        <w:t>tPA</w:t>
      </w:r>
      <w:r w:rsidRPr="00D85E09">
        <w:rPr>
          <w:shd w:val="clear" w:color="auto" w:fill="FFFFFF"/>
        </w:rPr>
        <w:t>), or as a standalone in patients who are ineligible or contra</w:t>
      </w:r>
      <w:r w:rsidR="00300BB6" w:rsidRPr="00D85E09">
        <w:rPr>
          <w:shd w:val="clear" w:color="auto" w:fill="FFFFFF"/>
        </w:rPr>
        <w:t>indicated</w:t>
      </w:r>
      <w:r w:rsidRPr="00D85E09">
        <w:rPr>
          <w:shd w:val="clear" w:color="auto" w:fill="FFFFFF"/>
        </w:rPr>
        <w:t xml:space="preserve"> to IV </w:t>
      </w:r>
      <w:r w:rsidR="005B7DCE">
        <w:rPr>
          <w:shd w:val="clear" w:color="auto" w:fill="FFFFFF"/>
        </w:rPr>
        <w:t>tPA</w:t>
      </w:r>
      <w:r w:rsidRPr="00D85E09">
        <w:rPr>
          <w:shd w:val="clear" w:color="auto" w:fill="FFFFFF"/>
        </w:rPr>
        <w:t>.</w:t>
      </w:r>
    </w:p>
    <w:p w14:paraId="1B4B42F5" w14:textId="5500B62D" w:rsidR="000C04B5" w:rsidRPr="00D85E09" w:rsidRDefault="000C04B5" w:rsidP="0043316B">
      <w:pPr>
        <w:widowControl w:val="0"/>
        <w:rPr>
          <w:shd w:val="clear" w:color="auto" w:fill="FFFFFF"/>
        </w:rPr>
      </w:pPr>
      <w:r w:rsidRPr="00D85E09">
        <w:rPr>
          <w:shd w:val="clear" w:color="auto" w:fill="FFFFFF"/>
        </w:rPr>
        <w:t>Three major initial randomised controlled trials (IMS</w:t>
      </w:r>
      <w:r w:rsidR="00D32933" w:rsidRPr="00D85E09">
        <w:rPr>
          <w:shd w:val="clear" w:color="auto" w:fill="FFFFFF"/>
        </w:rPr>
        <w:t>-</w:t>
      </w:r>
      <w:r w:rsidRPr="00D85E09">
        <w:rPr>
          <w:shd w:val="clear" w:color="auto" w:fill="FFFFFF"/>
        </w:rPr>
        <w:t>III, MR RESCUE</w:t>
      </w:r>
      <w:r w:rsidRPr="00D85E09">
        <w:t> </w:t>
      </w:r>
      <w:r w:rsidRPr="00D85E09">
        <w:rPr>
          <w:shd w:val="clear" w:color="auto" w:fill="FFFFFF"/>
        </w:rPr>
        <w:t xml:space="preserve">and SYNTHESIS) failed to provide definitive evidence for the efficacy of endovascular therapies compared to IV </w:t>
      </w:r>
      <w:r w:rsidR="005B7DCE">
        <w:rPr>
          <w:shd w:val="clear" w:color="auto" w:fill="FFFFFF"/>
        </w:rPr>
        <w:t>tPA</w:t>
      </w:r>
      <w:r w:rsidRPr="00D85E09">
        <w:rPr>
          <w:shd w:val="clear" w:color="auto" w:fill="FFFFFF"/>
        </w:rPr>
        <w:t>. However</w:t>
      </w:r>
      <w:r w:rsidRPr="00D85E09">
        <w:t>, in the past couple of years, five landmark randomised clinical trials have been published, all showing a significant clinical benefit for endovascular therapy with MT in AIS patients presenting with proximal intra</w:t>
      </w:r>
      <w:r w:rsidR="00300BB6" w:rsidRPr="00D85E09">
        <w:t>-cranial</w:t>
      </w:r>
      <w:r w:rsidRPr="00D85E09">
        <w:t xml:space="preserve"> large vesse</w:t>
      </w:r>
      <w:r w:rsidR="005B7DCE">
        <w:t>l occlusions (MR CLEAN, EXTEND-I</w:t>
      </w:r>
      <w:r w:rsidRPr="00D85E09">
        <w:t>A, SWIFT PRIME, ESCAPE an</w:t>
      </w:r>
      <w:r w:rsidR="005B7DCE">
        <w:t>d REVASCAT). One study (EXTEND-I</w:t>
      </w:r>
      <w:r w:rsidRPr="00D85E09">
        <w:t>A) was conducted in Australia and New Zealand, led by investigators from Royal Melbourne Hospital (Campbell, 2015). The positive findings of the new cohort of studies is attributable to several improvements in study</w:t>
      </w:r>
      <w:r w:rsidR="00300BB6" w:rsidRPr="00D85E09">
        <w:t xml:space="preserve"> </w:t>
      </w:r>
      <w:r w:rsidRPr="00D85E09">
        <w:t>design. In particular, early studies of MT were limited by the use of first generation thrombectomy devices and intra-arterial thrombolytic agents</w:t>
      </w:r>
      <w:r w:rsidRPr="00D85E09">
        <w:rPr>
          <w:rStyle w:val="FootnoteReference"/>
        </w:rPr>
        <w:footnoteReference w:id="2"/>
      </w:r>
      <w:r w:rsidRPr="00D85E09">
        <w:t xml:space="preserve"> to achieve recanalisation (Saver et al, 2012; Noguiera et al, 2012), suboptimal patient</w:t>
      </w:r>
      <w:r w:rsidRPr="00D85E09">
        <w:rPr>
          <w:shd w:val="clear" w:color="auto" w:fill="FFFFFF"/>
        </w:rPr>
        <w:t xml:space="preserve"> selection due to the lack of sophisticated imaging techniques employed, and lengthy delays to initiation of treatment.</w:t>
      </w:r>
    </w:p>
    <w:p w14:paraId="31547B1C" w14:textId="55DF0BE4" w:rsidR="000C04B5" w:rsidRPr="00D85E09" w:rsidRDefault="000C04B5" w:rsidP="0043316B">
      <w:pPr>
        <w:widowControl w:val="0"/>
      </w:pPr>
      <w:r w:rsidRPr="00D85E09">
        <w:t xml:space="preserve">The results of these studies have now been confirmed through the publication of a number of systematic reviews and meta-analyses (Sardar et al, 2015; Elgendy et al, 2015). A recent meta-analysis provides the most precise estimates of overall treatment effect by using </w:t>
      </w:r>
      <w:r w:rsidR="0070191F" w:rsidRPr="00D85E09">
        <w:t>IPD</w:t>
      </w:r>
      <w:r w:rsidRPr="00D85E09">
        <w:t xml:space="preserve"> from five pivotal studies of MT (Goyal et al, 2016). This analysis reported an adjusted common odds ratio for reduced disability of 2·49 (95% CI 1·76–3·53; p&lt;0·0001) and </w:t>
      </w:r>
      <w:r w:rsidRPr="00D85E09">
        <w:lastRenderedPageBreak/>
        <w:t xml:space="preserve">consistent effects across major subgroups of age and severity. The number needed to treat (NNT) with MT to reduce disability by at least one level on the modified Rankin </w:t>
      </w:r>
      <w:r w:rsidR="00F67AF7" w:rsidRPr="00D85E09">
        <w:t>s</w:t>
      </w:r>
      <w:r w:rsidRPr="00D85E09">
        <w:t>cale (mRS) for one patient was 2·6. The results of this IPD meta-analysis are presented in detail in Section C.2 of this submission.</w:t>
      </w:r>
    </w:p>
    <w:p w14:paraId="1103AD4D" w14:textId="4FA3AB5E" w:rsidR="000C04B5" w:rsidRPr="00D85E09" w:rsidRDefault="000C04B5" w:rsidP="0043316B">
      <w:pPr>
        <w:widowControl w:val="0"/>
      </w:pPr>
      <w:r w:rsidRPr="00D85E09">
        <w:t>Major stroke management guidelines were updated in 2015 with a new set of recommendations regarding the use of MT (Powers et al, 2015; ESO, 2014 and EUnetHTA, 2015). On 16th December 2015 EUnetHTA published the results of a rapid health technology assessment of endovascular therapy using MT devices for AIS (EUnetHTA, 2015). Key findings of the report were as follows:</w:t>
      </w:r>
    </w:p>
    <w:p w14:paraId="551C2B6D" w14:textId="72DCF6C6" w:rsidR="000C04B5" w:rsidRPr="00D85E09" w:rsidRDefault="000C04B5" w:rsidP="0043316B">
      <w:pPr>
        <w:pStyle w:val="ListParagraph"/>
        <w:widowControl w:val="0"/>
        <w:numPr>
          <w:ilvl w:val="0"/>
          <w:numId w:val="23"/>
        </w:numPr>
        <w:rPr>
          <w:i/>
        </w:rPr>
      </w:pPr>
      <w:r w:rsidRPr="00D85E09">
        <w:rPr>
          <w:i/>
        </w:rPr>
        <w:t>“…mechanical thrombectomy is of benefit, in terms of morbidity and function and, perhaps, generic quality of life, in selected patients with anterior circulation AIS, treated with second-generation (stent retriever) thrombectomy devices after having first received IV</w:t>
      </w:r>
      <w:r w:rsidR="00D32933" w:rsidRPr="00D85E09">
        <w:rPr>
          <w:i/>
        </w:rPr>
        <w:t>-</w:t>
      </w:r>
      <w:r w:rsidRPr="00D85E09">
        <w:rPr>
          <w:i/>
        </w:rPr>
        <w:t>tPA, where appropriate”.</w:t>
      </w:r>
    </w:p>
    <w:p w14:paraId="34BAE73D" w14:textId="77777777" w:rsidR="000C04B5" w:rsidRPr="00D85E09" w:rsidRDefault="000C04B5" w:rsidP="0043316B">
      <w:pPr>
        <w:pStyle w:val="ListParagraph"/>
        <w:widowControl w:val="0"/>
        <w:numPr>
          <w:ilvl w:val="0"/>
          <w:numId w:val="23"/>
        </w:numPr>
        <w:rPr>
          <w:i/>
        </w:rPr>
      </w:pPr>
      <w:r w:rsidRPr="00D85E09">
        <w:rPr>
          <w:i/>
        </w:rPr>
        <w:t>“…stent retriever technology was used in all, or the majority of cases, in these trials and hence the evidence presented here should not be interpreted as evidence of effect for other types of thrombectomy device”.</w:t>
      </w:r>
    </w:p>
    <w:p w14:paraId="0145E58E" w14:textId="77777777" w:rsidR="000C04B5" w:rsidRPr="00D85E09" w:rsidRDefault="000C04B5" w:rsidP="0043316B">
      <w:pPr>
        <w:widowControl w:val="0"/>
        <w:ind w:left="6480" w:firstLine="720"/>
      </w:pPr>
      <w:r w:rsidRPr="00D85E09">
        <w:t>EUnetHTA, 2015</w:t>
      </w:r>
    </w:p>
    <w:p w14:paraId="71843C9E" w14:textId="7FE799E8" w:rsidR="000C04B5" w:rsidRPr="00D85E09" w:rsidRDefault="000C04B5" w:rsidP="0043316B">
      <w:pPr>
        <w:widowControl w:val="0"/>
      </w:pPr>
      <w:r w:rsidRPr="00D85E09">
        <w:t>Most recently, the Ontario Health Technology Advisory Committee (OHTAC) recommended publically funding stent retrievers and thrombo-aspiration devices for mechanical thrombectomy in patients with AIS, in selected stroke centres. This decision was based on “</w:t>
      </w:r>
      <w:r w:rsidRPr="00D85E09">
        <w:rPr>
          <w:i/>
        </w:rPr>
        <w:t>high quality evidence (that) showed a significant difference in functional independence in patients who received mechanical thrombectomy relative to intravenous thrombolysis</w:t>
      </w:r>
      <w:r w:rsidRPr="00D85E09">
        <w:t>” and a favourable cost-effectiveness ratio (OHTAC, 2016).</w:t>
      </w:r>
    </w:p>
    <w:p w14:paraId="791676E7" w14:textId="38CC02AE" w:rsidR="000C04B5" w:rsidRPr="00D85E09" w:rsidRDefault="000C04B5" w:rsidP="0043316B">
      <w:pPr>
        <w:widowControl w:val="0"/>
      </w:pPr>
      <w:r w:rsidRPr="00D85E09">
        <w:t>Following overwhelmingly positive clinical trial results and recent recommendations in international guidelines, stroke care pathways are rapidly being updated to incorporate endovascular procedures as a treatment option for patients with AIS. For example, the Victorian State Government has recently published a state</w:t>
      </w:r>
      <w:r w:rsidR="00300BB6" w:rsidRPr="00D85E09">
        <w:t>wide</w:t>
      </w:r>
      <w:r w:rsidRPr="00D85E09">
        <w:t xml:space="preserve"> service protocol for endovascular clot retrieval (Department of Human Health Services, 2016) to ensure that as many Victorians as possible will have access to treatment. The recommendations in this protocol are based on evidence that the treatment is highly effective and associated with an “overwhelming benefit”. It is expected that other states will soon develop their own guidance for incorporating MT into stroke management pathways. In addition, the National Stroke Foundation is currently updating its clinical guidelines to incorporate recently</w:t>
      </w:r>
      <w:r w:rsidR="00300BB6" w:rsidRPr="00D85E09">
        <w:t xml:space="preserve"> </w:t>
      </w:r>
      <w:r w:rsidRPr="00D85E09">
        <w:t xml:space="preserve">published </w:t>
      </w:r>
      <w:r w:rsidRPr="00D85E09">
        <w:lastRenderedPageBreak/>
        <w:t>evidence for MT.</w:t>
      </w:r>
    </w:p>
    <w:p w14:paraId="6DDC6AE2" w14:textId="77777777" w:rsidR="000C04B5" w:rsidRPr="00D85E09" w:rsidRDefault="000C04B5" w:rsidP="0043316B">
      <w:pPr>
        <w:pStyle w:val="Heading3"/>
        <w:keepNext w:val="0"/>
        <w:widowControl w:val="0"/>
        <w:rPr>
          <w:lang w:val="en-AU"/>
        </w:rPr>
      </w:pPr>
      <w:bookmarkStart w:id="37" w:name="_Toc453065239"/>
      <w:r w:rsidRPr="00D85E09">
        <w:rPr>
          <w:lang w:val="en-AU"/>
        </w:rPr>
        <w:t>Clinical overview</w:t>
      </w:r>
      <w:bookmarkEnd w:id="37"/>
    </w:p>
    <w:p w14:paraId="3BFD60C1" w14:textId="77777777" w:rsidR="000C04B5" w:rsidRPr="00D85E09" w:rsidRDefault="000C04B5" w:rsidP="0043316B">
      <w:pPr>
        <w:pStyle w:val="Heading4"/>
        <w:keepLines w:val="0"/>
        <w:widowControl w:val="0"/>
        <w:rPr>
          <w:lang w:val="en-AU"/>
        </w:rPr>
      </w:pPr>
      <w:r w:rsidRPr="00D85E09">
        <w:rPr>
          <w:lang w:val="en-AU"/>
        </w:rPr>
        <w:t>Acute ischaemic stroke</w:t>
      </w:r>
    </w:p>
    <w:p w14:paraId="0275A150" w14:textId="4E5F6DB3" w:rsidR="000C04B5" w:rsidRPr="00D85E09" w:rsidRDefault="000C04B5" w:rsidP="0043316B">
      <w:pPr>
        <w:widowControl w:val="0"/>
        <w:spacing w:before="120"/>
      </w:pPr>
      <w:r w:rsidRPr="00D85E09">
        <w:t>The World Health Organi</w:t>
      </w:r>
      <w:r w:rsidR="00E56287" w:rsidRPr="00D85E09">
        <w:t>s</w:t>
      </w:r>
      <w:r w:rsidRPr="00D85E09">
        <w:t>ation (WHO) defines stroke as “</w:t>
      </w:r>
      <w:r w:rsidRPr="00D85E09">
        <w:rPr>
          <w:i/>
        </w:rPr>
        <w:t xml:space="preserve">rapidly developing clinical signs of focal (or global) disturbance of cerebral function, with symptoms lasting 24 hours or longer or leading to death, with no apparent cause other than of vascular origin”. </w:t>
      </w:r>
      <w:r w:rsidRPr="00D85E09">
        <w:t>Strokes are generally classified as either ischaemic or h</w:t>
      </w:r>
      <w:r w:rsidRPr="00D85E09">
        <w:rPr>
          <w:rStyle w:val="minoreditsChar"/>
          <w:color w:val="auto"/>
        </w:rPr>
        <w:t>a</w:t>
      </w:r>
      <w:r w:rsidRPr="00D85E09">
        <w:t>emorrhagic.</w:t>
      </w:r>
    </w:p>
    <w:p w14:paraId="75BA1B54" w14:textId="2F76E695" w:rsidR="000C04B5" w:rsidRPr="00D85E09" w:rsidRDefault="000C04B5" w:rsidP="0043316B">
      <w:pPr>
        <w:widowControl w:val="0"/>
      </w:pPr>
      <w:r w:rsidRPr="00D85E09">
        <w:t>H</w:t>
      </w:r>
      <w:r w:rsidRPr="00D85E09">
        <w:rPr>
          <w:rStyle w:val="minoreditsChar"/>
          <w:color w:val="auto"/>
        </w:rPr>
        <w:t>a</w:t>
      </w:r>
      <w:r w:rsidRPr="00D85E09">
        <w:t xml:space="preserve">emorrhagic stroke, also known as spontaneous </w:t>
      </w:r>
      <w:r w:rsidRPr="00D85E09">
        <w:rPr>
          <w:rStyle w:val="minoreditsChar"/>
          <w:color w:val="auto"/>
        </w:rPr>
        <w:t>i</w:t>
      </w:r>
      <w:r w:rsidRPr="00D85E09">
        <w:t>ntracerebral h</w:t>
      </w:r>
      <w:r w:rsidRPr="00D85E09">
        <w:rPr>
          <w:rStyle w:val="minoreditsChar"/>
          <w:color w:val="auto"/>
        </w:rPr>
        <w:t>a</w:t>
      </w:r>
      <w:r w:rsidRPr="00D85E09">
        <w:t xml:space="preserve">emorrhage (ICH), </w:t>
      </w:r>
      <w:r w:rsidRPr="00D85E09">
        <w:rPr>
          <w:shd w:val="clear" w:color="auto" w:fill="FFFFFF"/>
        </w:rPr>
        <w:t xml:space="preserve">is either a brain aneurism burst or a weakened blood vessel leak. The usual mechanism is thought to be leakage from small intracerebral arteries damaged by chronic hypertension. The seepage of blood creates swelling and pressure, damaging cells and tissue in the brain. A minority of strokes are haemorrhagic, with approximately 80% of all strokes being ischaemic </w:t>
      </w:r>
      <w:r w:rsidRPr="00D85E09">
        <w:t>(Donnan et al, 2008).</w:t>
      </w:r>
    </w:p>
    <w:p w14:paraId="7FB7583B" w14:textId="111223DA" w:rsidR="000C04B5" w:rsidRPr="00D85E09" w:rsidRDefault="000C04B5" w:rsidP="0043316B">
      <w:pPr>
        <w:widowControl w:val="0"/>
      </w:pPr>
      <w:r w:rsidRPr="00D85E09">
        <w:t>Ischaemic strokes occur when an artery supplying the brain becomes occluded, leading to the death of brain tissue and focal neurological deficits. The brain does not store glycogen and requires 60-70 mL of perfusion per 100 g of tissue per minute for normal function (Felberg et al, 2003). A drop in the blood flow to 25 mL/100 g/min leads to neuronal ischaemia, energy failure, and neurologic symptoms, followed by irreversible tissue damage within minutes (Felberg et al, 2000).</w:t>
      </w:r>
    </w:p>
    <w:p w14:paraId="37C0C3CC" w14:textId="27707874" w:rsidR="000C04B5" w:rsidRPr="00D85E09" w:rsidRDefault="000C04B5" w:rsidP="0043316B">
      <w:pPr>
        <w:widowControl w:val="0"/>
      </w:pPr>
      <w:r w:rsidRPr="00D85E09">
        <w:t>There are two types of ischaemic stroke: transient ischaemic stroke (TIA) and acute ischaemic stroke (AIS). Both occur through similar mechanisms; however TIA involves a temporary clot with symptoms that last 24 hours or less (Donnan et al, 2008). TIAs are a risk factor for subsequent AIS, with about 5-10% of TIA patients experiencing further stroke within the following week (Johnston et al, 2000).</w:t>
      </w:r>
    </w:p>
    <w:p w14:paraId="79244664" w14:textId="2E44F22F" w:rsidR="000C04B5" w:rsidRPr="00D85E09" w:rsidRDefault="000C04B5" w:rsidP="0043316B">
      <w:pPr>
        <w:widowControl w:val="0"/>
      </w:pPr>
      <w:r w:rsidRPr="00D85E09">
        <w:t>The patient population who would benefit from the proposed service are patients with AIS due to large (or proximal) vessel occlusion (LVO). This form of stroke occurs as a result of occlusion of large intra</w:t>
      </w:r>
      <w:r w:rsidR="00300BB6" w:rsidRPr="00D85E09">
        <w:t>-cranial</w:t>
      </w:r>
      <w:r w:rsidRPr="00D85E09">
        <w:t xml:space="preserve"> vessels, including the vertebral, basilar, carotid terminus, and middle and anterior cerebral arteries. LVOs are often associated with a poorer prognosis than stroke not associated with LVO, and are less likely to respond to IV</w:t>
      </w:r>
      <w:r w:rsidR="00D32933" w:rsidRPr="00D85E09">
        <w:t>-</w:t>
      </w:r>
      <w:r w:rsidRPr="00D85E09">
        <w:t>tPA (Smith et al, 2009).</w:t>
      </w:r>
    </w:p>
    <w:p w14:paraId="7FAD6FFF" w14:textId="3EE9D8FD" w:rsidR="000C04B5" w:rsidRPr="00D85E09" w:rsidRDefault="000C04B5" w:rsidP="0043316B">
      <w:pPr>
        <w:widowControl w:val="0"/>
        <w:spacing w:before="120"/>
      </w:pPr>
      <w:r w:rsidRPr="00D85E09">
        <w:t xml:space="preserve">In the “core” zone of a stroke-affected area, blood flow is so drastically reduced that neurons and supporting (glial) cells may undergo necrosis. The “ischaemic penumbra” is the rim of mild to moderately ischaemic tissue lying between tissue that remains perfused with blood </w:t>
      </w:r>
      <w:r w:rsidRPr="00D85E09">
        <w:lastRenderedPageBreak/>
        <w:t>and the area in which the infarction is developing is less severely affected. This region is rendered functionally ineffective by the AIS, but remains metabolically active. The ischaemic penumbra may remain viable for several hours if blood is available through collateral circulation. However, if reperfusion is not established, the cells in the ischaemic penumbra will also die due to lack of oxygen and glucose.</w:t>
      </w:r>
    </w:p>
    <w:p w14:paraId="3BAE8BA3" w14:textId="7CA59479" w:rsidR="000C04B5" w:rsidRPr="00D85E09" w:rsidRDefault="000C04B5" w:rsidP="0043316B">
      <w:pPr>
        <w:widowControl w:val="0"/>
        <w:spacing w:before="120"/>
      </w:pPr>
      <w:r w:rsidRPr="00D85E09">
        <w:t>Ischaemic stroke is a heterogeneous disease and occurs due to a multitude of underlying causes. According to the widely</w:t>
      </w:r>
      <w:r w:rsidR="00300BB6" w:rsidRPr="00D85E09">
        <w:t xml:space="preserve"> </w:t>
      </w:r>
      <w:r w:rsidRPr="00D85E09">
        <w:t>used TOAST (Trial of </w:t>
      </w:r>
      <w:hyperlink r:id="rId24" w:tooltip="Danaparoid" w:history="1">
        <w:r w:rsidRPr="00D85E09">
          <w:t>Org 10172</w:t>
        </w:r>
      </w:hyperlink>
      <w:r w:rsidRPr="00D85E09">
        <w:t> in Acute Stroke Treatment) classification system (</w:t>
      </w:r>
      <w:r w:rsidRPr="00D85E09">
        <w:fldChar w:fldCharType="begin"/>
      </w:r>
      <w:r w:rsidRPr="00D85E09">
        <w:instrText xml:space="preserve"> REF _Ref443050860 \h </w:instrText>
      </w:r>
      <w:r w:rsidRPr="00D85E09">
        <w:fldChar w:fldCharType="separate"/>
      </w:r>
      <w:r w:rsidR="00A456ED" w:rsidRPr="00D85E09">
        <w:t xml:space="preserve">Table </w:t>
      </w:r>
      <w:r w:rsidR="00A456ED">
        <w:rPr>
          <w:noProof/>
        </w:rPr>
        <w:t>1</w:t>
      </w:r>
      <w:r w:rsidRPr="00D85E09">
        <w:fldChar w:fldCharType="end"/>
      </w:r>
      <w:r w:rsidRPr="00D85E09">
        <w:t>), strokes can be caused by: large artery disease, embolism, small-vessel disease, other determined cause, and undetermined cause (Adams et al, 1993). The TOAST investigators noted that stroke prognosis, risk of recurrence, and choices for management were influenced by isch</w:t>
      </w:r>
      <w:r w:rsidR="00E56287" w:rsidRPr="00D85E09">
        <w:t>aemic</w:t>
      </w:r>
      <w:r w:rsidRPr="00D85E09">
        <w:t xml:space="preserve"> stroke subtype. The subtype definitions were based on risk factor profiles, clinical features, and results of diagnostic tests.</w:t>
      </w:r>
    </w:p>
    <w:p w14:paraId="322FCBC0" w14:textId="186426C4" w:rsidR="000C04B5" w:rsidRPr="00D85E09" w:rsidRDefault="000C04B5" w:rsidP="0043316B">
      <w:pPr>
        <w:widowControl w:val="0"/>
        <w:spacing w:before="120"/>
      </w:pPr>
      <w:r w:rsidRPr="00D85E09">
        <w:t>Thrombotic strokes occur when diseased or damaged cerebral arteries become blocked by the formation of a blood clot within the brain. Large</w:t>
      </w:r>
      <w:r w:rsidR="00D32933" w:rsidRPr="00D85E09">
        <w:t xml:space="preserve"> </w:t>
      </w:r>
      <w:r w:rsidRPr="00D85E09">
        <w:t>vessel thrombosis is the term used when the blockage is in one of the brain’s larger blood-supplying arteries such as the carotid or middle cerebral, while small-vessel thrombosis involves one (or more) of the brain’s smaller, yet deeper, penetrating arteries. This latter type of stroke is also called a lacuner stroke. An embolic stroke occurs when a thrombus travels from elsewhere in the body (usually the heart) to block narrower blood vessels in the brain.</w:t>
      </w:r>
    </w:p>
    <w:p w14:paraId="6EA84EED" w14:textId="53F719ED" w:rsidR="000C04B5" w:rsidRPr="00D85E09" w:rsidRDefault="000C04B5" w:rsidP="0043316B">
      <w:pPr>
        <w:pStyle w:val="Caption"/>
        <w:keepNext w:val="0"/>
        <w:widowControl w:val="0"/>
        <w:rPr>
          <w:lang w:val="en-AU"/>
        </w:rPr>
      </w:pPr>
      <w:bookmarkStart w:id="38" w:name="_Ref443050860"/>
      <w:bookmarkStart w:id="39" w:name="_Toc45306533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w:t>
      </w:r>
      <w:r w:rsidRPr="00D85E09">
        <w:rPr>
          <w:lang w:val="en-AU"/>
        </w:rPr>
        <w:fldChar w:fldCharType="end"/>
      </w:r>
      <w:bookmarkEnd w:id="38"/>
      <w:r w:rsidRPr="00D85E09">
        <w:rPr>
          <w:lang w:val="en-AU"/>
        </w:rPr>
        <w:tab/>
        <w:t>Aetiology of acute ischaemic stroke</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D5EA"/>
        <w:tblLook w:val="01E0" w:firstRow="1" w:lastRow="1" w:firstColumn="1" w:lastColumn="1" w:noHBand="0" w:noVBand="0"/>
        <w:tblDescription w:val="Table 1 Aetiology of acute ischaemic stroke"/>
      </w:tblPr>
      <w:tblGrid>
        <w:gridCol w:w="3226"/>
        <w:gridCol w:w="6061"/>
      </w:tblGrid>
      <w:tr w:rsidR="000C04B5" w:rsidRPr="00D85E09" w14:paraId="6287720A" w14:textId="77777777" w:rsidTr="000C04B5">
        <w:tc>
          <w:tcPr>
            <w:tcW w:w="1737" w:type="pct"/>
            <w:shd w:val="clear" w:color="auto" w:fill="auto"/>
            <w:hideMark/>
          </w:tcPr>
          <w:p w14:paraId="49E8D38E" w14:textId="77777777" w:rsidR="000C04B5" w:rsidRPr="00D85E09" w:rsidRDefault="000C04B5" w:rsidP="0043316B">
            <w:pPr>
              <w:pStyle w:val="Tabletext"/>
              <w:keepNext w:val="0"/>
              <w:widowControl w:val="0"/>
              <w:rPr>
                <w:b/>
              </w:rPr>
            </w:pPr>
            <w:r w:rsidRPr="00D85E09">
              <w:rPr>
                <w:b/>
              </w:rPr>
              <w:t>Sub-classification of Ischaemic stroke</w:t>
            </w:r>
          </w:p>
        </w:tc>
        <w:tc>
          <w:tcPr>
            <w:tcW w:w="3263" w:type="pct"/>
            <w:shd w:val="clear" w:color="auto" w:fill="auto"/>
            <w:hideMark/>
          </w:tcPr>
          <w:p w14:paraId="0408D95D" w14:textId="77777777" w:rsidR="000C04B5" w:rsidRPr="00D85E09" w:rsidRDefault="000C04B5" w:rsidP="0043316B">
            <w:pPr>
              <w:pStyle w:val="Tabletext"/>
              <w:keepNext w:val="0"/>
              <w:widowControl w:val="0"/>
              <w:rPr>
                <w:b/>
              </w:rPr>
            </w:pPr>
            <w:r w:rsidRPr="00D85E09">
              <w:rPr>
                <w:b/>
              </w:rPr>
              <w:t xml:space="preserve">Aetiology </w:t>
            </w:r>
          </w:p>
        </w:tc>
      </w:tr>
      <w:tr w:rsidR="000C04B5" w:rsidRPr="00D85E09" w14:paraId="4A41EC14" w14:textId="77777777" w:rsidTr="000C04B5">
        <w:tc>
          <w:tcPr>
            <w:tcW w:w="1737" w:type="pct"/>
            <w:shd w:val="clear" w:color="auto" w:fill="auto"/>
            <w:hideMark/>
          </w:tcPr>
          <w:p w14:paraId="012EDEC0" w14:textId="77777777" w:rsidR="000C04B5" w:rsidRPr="00D85E09" w:rsidRDefault="000C04B5" w:rsidP="0043316B">
            <w:pPr>
              <w:pStyle w:val="Tabletext"/>
              <w:keepNext w:val="0"/>
              <w:widowControl w:val="0"/>
            </w:pPr>
            <w:r w:rsidRPr="00D85E09">
              <w:t>Large artery disease</w:t>
            </w:r>
          </w:p>
        </w:tc>
        <w:tc>
          <w:tcPr>
            <w:tcW w:w="3263" w:type="pct"/>
            <w:shd w:val="clear" w:color="auto" w:fill="auto"/>
            <w:hideMark/>
          </w:tcPr>
          <w:p w14:paraId="7E241B8D" w14:textId="77777777" w:rsidR="000C04B5" w:rsidRPr="00D85E09" w:rsidRDefault="000C04B5" w:rsidP="0043316B">
            <w:pPr>
              <w:pStyle w:val="Tabletext"/>
              <w:keepNext w:val="0"/>
              <w:widowControl w:val="0"/>
            </w:pPr>
            <w:r w:rsidRPr="00D85E09">
              <w:t>Atherosclerosis of large vessels, including the internal carotid artery, vertebral artery, basilar artery, and other major branches of the Circle of Willis.</w:t>
            </w:r>
          </w:p>
        </w:tc>
      </w:tr>
      <w:tr w:rsidR="000C04B5" w:rsidRPr="00D85E09" w14:paraId="187B0706" w14:textId="77777777" w:rsidTr="000C04B5">
        <w:tc>
          <w:tcPr>
            <w:tcW w:w="1737" w:type="pct"/>
            <w:shd w:val="clear" w:color="auto" w:fill="auto"/>
            <w:hideMark/>
          </w:tcPr>
          <w:p w14:paraId="5E0AAA62" w14:textId="6F5F109B" w:rsidR="000C04B5" w:rsidRPr="00D85E09" w:rsidRDefault="000C04B5" w:rsidP="0043316B">
            <w:pPr>
              <w:pStyle w:val="Tabletext"/>
              <w:keepNext w:val="0"/>
              <w:widowControl w:val="0"/>
            </w:pPr>
            <w:r w:rsidRPr="00D85E09">
              <w:t>Small</w:t>
            </w:r>
            <w:r w:rsidR="00300BB6" w:rsidRPr="00D85E09">
              <w:t>-</w:t>
            </w:r>
            <w:r w:rsidRPr="00D85E09">
              <w:t>vessel disease</w:t>
            </w:r>
          </w:p>
        </w:tc>
        <w:tc>
          <w:tcPr>
            <w:tcW w:w="3263" w:type="pct"/>
            <w:shd w:val="clear" w:color="auto" w:fill="auto"/>
            <w:hideMark/>
          </w:tcPr>
          <w:p w14:paraId="5A3759C0" w14:textId="1E1E8ED2" w:rsidR="000C04B5" w:rsidRPr="00D85E09" w:rsidRDefault="000C04B5" w:rsidP="0043316B">
            <w:pPr>
              <w:pStyle w:val="Tabletext"/>
              <w:keepNext w:val="0"/>
              <w:widowControl w:val="0"/>
            </w:pPr>
            <w:r w:rsidRPr="00D85E09">
              <w:t>Changes due to chronic disease, such as diabetes, hypertension, hyperlipidemia, and smoking, that lead decreased compliance of the arterial walls and/or narrowing and occlusion of the lumen of smaller vessels</w:t>
            </w:r>
            <w:r w:rsidR="00AB4BBF" w:rsidRPr="00D85E09">
              <w:t>.</w:t>
            </w:r>
          </w:p>
        </w:tc>
      </w:tr>
      <w:tr w:rsidR="000C04B5" w:rsidRPr="00D85E09" w14:paraId="37740C6E" w14:textId="77777777" w:rsidTr="000C04B5">
        <w:tc>
          <w:tcPr>
            <w:tcW w:w="1737" w:type="pct"/>
            <w:shd w:val="clear" w:color="auto" w:fill="auto"/>
            <w:hideMark/>
          </w:tcPr>
          <w:p w14:paraId="42C936B7" w14:textId="77777777" w:rsidR="000C04B5" w:rsidRPr="00D85E09" w:rsidRDefault="000C04B5" w:rsidP="0043316B">
            <w:pPr>
              <w:pStyle w:val="Tabletext"/>
              <w:keepNext w:val="0"/>
              <w:widowControl w:val="0"/>
            </w:pPr>
            <w:r w:rsidRPr="00D85E09">
              <w:t>Embolic stroke</w:t>
            </w:r>
          </w:p>
        </w:tc>
        <w:tc>
          <w:tcPr>
            <w:tcW w:w="3263" w:type="pct"/>
            <w:shd w:val="clear" w:color="auto" w:fill="auto"/>
            <w:hideMark/>
          </w:tcPr>
          <w:p w14:paraId="3C44D389" w14:textId="77777777" w:rsidR="000C04B5" w:rsidRPr="00D85E09" w:rsidRDefault="000C04B5" w:rsidP="0043316B">
            <w:pPr>
              <w:pStyle w:val="Tabletext"/>
              <w:keepNext w:val="0"/>
              <w:widowControl w:val="0"/>
            </w:pPr>
            <w:r w:rsidRPr="00D85E09">
              <w:t>The most common cause of an embolic stroke is atrial fibrillation.</w:t>
            </w:r>
          </w:p>
        </w:tc>
      </w:tr>
      <w:tr w:rsidR="000C04B5" w:rsidRPr="00D85E09" w14:paraId="22F340FD" w14:textId="77777777" w:rsidTr="000C04B5">
        <w:tc>
          <w:tcPr>
            <w:tcW w:w="1737" w:type="pct"/>
            <w:shd w:val="clear" w:color="auto" w:fill="auto"/>
            <w:hideMark/>
          </w:tcPr>
          <w:p w14:paraId="7A0DB3BF" w14:textId="77777777" w:rsidR="000C04B5" w:rsidRPr="00D85E09" w:rsidRDefault="000C04B5" w:rsidP="0043316B">
            <w:pPr>
              <w:pStyle w:val="Tabletext"/>
              <w:keepNext w:val="0"/>
              <w:widowControl w:val="0"/>
            </w:pPr>
            <w:r w:rsidRPr="00D85E09">
              <w:t>Stroke of determined aetiology</w:t>
            </w:r>
          </w:p>
        </w:tc>
        <w:tc>
          <w:tcPr>
            <w:tcW w:w="3263" w:type="pct"/>
            <w:shd w:val="clear" w:color="auto" w:fill="auto"/>
            <w:hideMark/>
          </w:tcPr>
          <w:p w14:paraId="7AB593C7" w14:textId="77777777" w:rsidR="000C04B5" w:rsidRPr="00D85E09" w:rsidRDefault="000C04B5" w:rsidP="0043316B">
            <w:pPr>
              <w:pStyle w:val="Tabletext"/>
              <w:keepNext w:val="0"/>
              <w:widowControl w:val="0"/>
            </w:pPr>
            <w:r w:rsidRPr="00D85E09">
              <w:t>Such as inherited diseases, metabolic disorders, and coagulopathies.</w:t>
            </w:r>
          </w:p>
        </w:tc>
      </w:tr>
      <w:tr w:rsidR="000C04B5" w:rsidRPr="00D85E09" w14:paraId="199B5140" w14:textId="77777777" w:rsidTr="000C04B5">
        <w:tc>
          <w:tcPr>
            <w:tcW w:w="1737" w:type="pct"/>
            <w:shd w:val="clear" w:color="auto" w:fill="auto"/>
            <w:hideMark/>
          </w:tcPr>
          <w:p w14:paraId="691101F3" w14:textId="77777777" w:rsidR="000C04B5" w:rsidRPr="00D85E09" w:rsidRDefault="000C04B5" w:rsidP="0043316B">
            <w:pPr>
              <w:pStyle w:val="Tabletext"/>
              <w:keepNext w:val="0"/>
              <w:widowControl w:val="0"/>
            </w:pPr>
            <w:r w:rsidRPr="00D85E09">
              <w:t>Stroke of undetermined aetiology</w:t>
            </w:r>
          </w:p>
        </w:tc>
        <w:tc>
          <w:tcPr>
            <w:tcW w:w="3263" w:type="pct"/>
            <w:shd w:val="clear" w:color="auto" w:fill="auto"/>
            <w:hideMark/>
          </w:tcPr>
          <w:p w14:paraId="4C84B186" w14:textId="77777777" w:rsidR="000C04B5" w:rsidRPr="00D85E09" w:rsidRDefault="000C04B5" w:rsidP="0043316B">
            <w:pPr>
              <w:pStyle w:val="Tabletext"/>
              <w:keepNext w:val="0"/>
              <w:widowControl w:val="0"/>
            </w:pPr>
            <w:r w:rsidRPr="00D85E09">
              <w:t>After exclusion of all of the above.</w:t>
            </w:r>
          </w:p>
        </w:tc>
      </w:tr>
    </w:tbl>
    <w:p w14:paraId="7688C97B" w14:textId="77777777" w:rsidR="000C04B5" w:rsidRPr="00D85E09" w:rsidRDefault="000C04B5" w:rsidP="0043316B">
      <w:pPr>
        <w:pStyle w:val="Heading4"/>
        <w:keepLines w:val="0"/>
        <w:widowControl w:val="0"/>
        <w:spacing w:before="360"/>
        <w:rPr>
          <w:lang w:val="en-AU"/>
        </w:rPr>
      </w:pPr>
      <w:r w:rsidRPr="00D85E09">
        <w:rPr>
          <w:lang w:val="en-AU"/>
        </w:rPr>
        <w:t>Symptoms</w:t>
      </w:r>
    </w:p>
    <w:p w14:paraId="78A66D97" w14:textId="77777777" w:rsidR="000C04B5" w:rsidRPr="00D85E09" w:rsidRDefault="000C04B5" w:rsidP="0043316B">
      <w:pPr>
        <w:widowControl w:val="0"/>
        <w:spacing w:before="120"/>
        <w:rPr>
          <w:highlight w:val="green"/>
        </w:rPr>
      </w:pPr>
      <w:r w:rsidRPr="00D85E09">
        <w:t>The presenting signs and symptoms of AIS and other forms of stroke are similar; many studies suggest the two types of strokes cannot be distinguished reliably without brain imaging. Symptoms emerge suddenly and usually peak in severity a few minutes after onset. While the clinical manifestations of stroke vary, depending on the site and size of the brain lesion, some of the more common symptoms of stroke include:</w:t>
      </w:r>
    </w:p>
    <w:p w14:paraId="23C72814" w14:textId="77777777" w:rsidR="000C04B5" w:rsidRPr="00D85E09" w:rsidRDefault="000C04B5" w:rsidP="0043316B">
      <w:pPr>
        <w:pStyle w:val="ListParagraph"/>
        <w:widowControl w:val="0"/>
        <w:numPr>
          <w:ilvl w:val="0"/>
          <w:numId w:val="21"/>
        </w:numPr>
      </w:pPr>
      <w:r w:rsidRPr="00D85E09">
        <w:lastRenderedPageBreak/>
        <w:t>Loss of (or abnormal) sensations in an arm, leg or one side of the body</w:t>
      </w:r>
    </w:p>
    <w:p w14:paraId="2A59423C" w14:textId="77777777" w:rsidR="000C04B5" w:rsidRPr="00D85E09" w:rsidRDefault="000C04B5" w:rsidP="0043316B">
      <w:pPr>
        <w:pStyle w:val="ListParagraph"/>
        <w:widowControl w:val="0"/>
        <w:numPr>
          <w:ilvl w:val="0"/>
          <w:numId w:val="21"/>
        </w:numPr>
      </w:pPr>
      <w:r w:rsidRPr="00D85E09">
        <w:t>Weakness or paralysis of an arm or leg or one side of the body</w:t>
      </w:r>
    </w:p>
    <w:p w14:paraId="3D4ECFC3" w14:textId="77777777" w:rsidR="000C04B5" w:rsidRPr="00D85E09" w:rsidRDefault="000C04B5" w:rsidP="0043316B">
      <w:pPr>
        <w:pStyle w:val="ListParagraph"/>
        <w:widowControl w:val="0"/>
        <w:numPr>
          <w:ilvl w:val="0"/>
          <w:numId w:val="21"/>
        </w:numPr>
      </w:pPr>
      <w:r w:rsidRPr="00D85E09">
        <w:t>Partial loss of vision or hearing</w:t>
      </w:r>
    </w:p>
    <w:p w14:paraId="13854F1F" w14:textId="77777777" w:rsidR="000C04B5" w:rsidRPr="00D85E09" w:rsidRDefault="000C04B5" w:rsidP="0043316B">
      <w:pPr>
        <w:pStyle w:val="ListParagraph"/>
        <w:widowControl w:val="0"/>
        <w:numPr>
          <w:ilvl w:val="0"/>
          <w:numId w:val="21"/>
        </w:numPr>
      </w:pPr>
      <w:r w:rsidRPr="00D85E09">
        <w:t>Double vision</w:t>
      </w:r>
    </w:p>
    <w:p w14:paraId="7C392596" w14:textId="77777777" w:rsidR="000C04B5" w:rsidRPr="00D85E09" w:rsidRDefault="000C04B5" w:rsidP="0043316B">
      <w:pPr>
        <w:pStyle w:val="ListParagraph"/>
        <w:widowControl w:val="0"/>
        <w:numPr>
          <w:ilvl w:val="0"/>
          <w:numId w:val="21"/>
        </w:numPr>
      </w:pPr>
      <w:r w:rsidRPr="00D85E09">
        <w:t>Dizziness</w:t>
      </w:r>
    </w:p>
    <w:p w14:paraId="3763D6B7" w14:textId="77777777" w:rsidR="000C04B5" w:rsidRPr="00D85E09" w:rsidRDefault="000C04B5" w:rsidP="0043316B">
      <w:pPr>
        <w:pStyle w:val="ListParagraph"/>
        <w:widowControl w:val="0"/>
        <w:numPr>
          <w:ilvl w:val="0"/>
          <w:numId w:val="21"/>
        </w:numPr>
      </w:pPr>
      <w:r w:rsidRPr="00D85E09">
        <w:t>Slurred speech</w:t>
      </w:r>
    </w:p>
    <w:p w14:paraId="0C3101A0" w14:textId="77777777" w:rsidR="000C04B5" w:rsidRPr="00D85E09" w:rsidRDefault="000C04B5" w:rsidP="0043316B">
      <w:pPr>
        <w:pStyle w:val="ListParagraph"/>
        <w:widowControl w:val="0"/>
        <w:numPr>
          <w:ilvl w:val="0"/>
          <w:numId w:val="21"/>
        </w:numPr>
      </w:pPr>
      <w:r w:rsidRPr="00D85E09">
        <w:t>Problems thinking of or saying the right word</w:t>
      </w:r>
    </w:p>
    <w:p w14:paraId="4F18141E" w14:textId="77777777" w:rsidR="000C04B5" w:rsidRPr="00D85E09" w:rsidRDefault="000C04B5" w:rsidP="0043316B">
      <w:pPr>
        <w:pStyle w:val="ListParagraph"/>
        <w:widowControl w:val="0"/>
        <w:numPr>
          <w:ilvl w:val="0"/>
          <w:numId w:val="21"/>
        </w:numPr>
      </w:pPr>
      <w:r w:rsidRPr="00D85E09">
        <w:t>Inability to recognise parts of the body</w:t>
      </w:r>
    </w:p>
    <w:p w14:paraId="69C89731" w14:textId="77777777" w:rsidR="000C04B5" w:rsidRPr="00D85E09" w:rsidRDefault="000C04B5" w:rsidP="0043316B">
      <w:pPr>
        <w:pStyle w:val="ListParagraph"/>
        <w:widowControl w:val="0"/>
        <w:numPr>
          <w:ilvl w:val="0"/>
          <w:numId w:val="21"/>
        </w:numPr>
      </w:pPr>
      <w:r w:rsidRPr="00D85E09">
        <w:t>Imbalance and falling</w:t>
      </w:r>
    </w:p>
    <w:p w14:paraId="4F5D19E7" w14:textId="77777777" w:rsidR="000C04B5" w:rsidRPr="00D85E09" w:rsidRDefault="000C04B5" w:rsidP="0043316B">
      <w:pPr>
        <w:widowControl w:val="0"/>
        <w:spacing w:before="120"/>
      </w:pPr>
      <w:r w:rsidRPr="00D85E09">
        <w:t>Symptoms associated with AIS include the sudden onset of weakness, numbness, vision loss, diplopia, dysarthria, gait disorder, vertigo, aphasia or a disturbed level of consciousness. The location of the stroke will determine which particular pattern of symptoms occurs. There is usually an absence of function in patients affected by AIS; for example, a patient will often report loss of vision in a single eye or in an entire hemifield.</w:t>
      </w:r>
    </w:p>
    <w:p w14:paraId="41B78A5C" w14:textId="77777777" w:rsidR="000C04B5" w:rsidRPr="00D85E09" w:rsidRDefault="000C04B5" w:rsidP="0043316B">
      <w:pPr>
        <w:pStyle w:val="Heading4"/>
        <w:keepLines w:val="0"/>
        <w:widowControl w:val="0"/>
        <w:rPr>
          <w:lang w:val="en-AU"/>
        </w:rPr>
      </w:pPr>
      <w:r w:rsidRPr="00D85E09">
        <w:rPr>
          <w:lang w:val="en-AU"/>
        </w:rPr>
        <w:t>Management of AIS</w:t>
      </w:r>
    </w:p>
    <w:p w14:paraId="3943C44A" w14:textId="455C4CE4" w:rsidR="000C04B5" w:rsidRPr="00D85E09" w:rsidRDefault="000C04B5" w:rsidP="0043316B">
      <w:pPr>
        <w:widowControl w:val="0"/>
        <w:spacing w:before="120"/>
      </w:pPr>
      <w:r w:rsidRPr="00D85E09">
        <w:rPr>
          <w:lang w:eastAsia="de-DE"/>
        </w:rPr>
        <w:t>The central goal of therapy in AIS is rapid and early reperfusion to preserve tissue in the isch</w:t>
      </w:r>
      <w:r w:rsidR="00E56287" w:rsidRPr="00D85E09">
        <w:rPr>
          <w:lang w:eastAsia="de-DE"/>
        </w:rPr>
        <w:t>aemic</w:t>
      </w:r>
      <w:r w:rsidRPr="00D85E09">
        <w:rPr>
          <w:lang w:eastAsia="de-DE"/>
        </w:rPr>
        <w:t xml:space="preserve"> penumbra, where perfusion is decreased but sufficient to stave of</w:t>
      </w:r>
      <w:r w:rsidRPr="00D85E09">
        <w:t>f infarction. Time to reperfusion has been correlated with worse outcomes, and it is therefore vital that patients are treated as soon as possible after stroke onset (Khatri et al, 2009). Currently, the main approach to restoring blood flow in the affected area is through the administration of intravenous</w:t>
      </w:r>
      <w:r w:rsidRPr="00D85E09">
        <w:rPr>
          <w:lang w:eastAsia="de-DE"/>
        </w:rPr>
        <w:t xml:space="preserve"> (IV) thrombolytic therapy, the most common of which is </w:t>
      </w:r>
      <w:r w:rsidRPr="00D85E09">
        <w:t>recombinant tissue-type plasminogen activator (tPA; alteplase). Blood clots are dissolved when tPA binds to fibrin in a thrombus and converts the entrapped plasminogen to plasmin, which in turn degrades the fibrin matrix of the thrombus.</w:t>
      </w:r>
    </w:p>
    <w:p w14:paraId="77CE0EB1" w14:textId="7A477175" w:rsidR="000C04B5" w:rsidRPr="00D85E09" w:rsidRDefault="000C04B5" w:rsidP="0043316B">
      <w:pPr>
        <w:widowControl w:val="0"/>
        <w:spacing w:before="120"/>
      </w:pPr>
      <w:r w:rsidRPr="00D85E09">
        <w:t>There are strict rules used by doctors in determining if a patient is eligible for tPA. There is strong evidence from RCTs demonstrating that the use of thrombolytic therapy within the first 3 hours of stroke onset improves reperfusion rates; however treatment is associated with an increase in the rate of intracerebral and systemic haemorrhage. Whilst tPA therapy is associated with a net benefit when administered early, this decreases rapidly over time, such that beyond 4.5 hours after stroke onset no net benefit of therapy has been demonstrated (Lees et al, 2010). The Australian National Stroke Foundation (NSF) clinical practice guidelines recommend (Grade A) that IV</w:t>
      </w:r>
      <w:r w:rsidR="00D32933" w:rsidRPr="00D85E09">
        <w:t>-</w:t>
      </w:r>
      <w:r w:rsidRPr="00D85E09">
        <w:t>tPA should be administered as a first</w:t>
      </w:r>
      <w:r w:rsidR="00D32933" w:rsidRPr="00D85E09">
        <w:t>-</w:t>
      </w:r>
      <w:r w:rsidRPr="00D85E09">
        <w:t xml:space="preserve">line therapy in patients with AIS as early as possible, but no later than 4.5 hours after stroke onset (NSF, 2010). With such a narrow window for administration, many patients arrive at hospital too late </w:t>
      </w:r>
      <w:r w:rsidRPr="00D85E09">
        <w:lastRenderedPageBreak/>
        <w:t>to receive thrombolytic therapy.</w:t>
      </w:r>
    </w:p>
    <w:p w14:paraId="371684E7" w14:textId="51920947" w:rsidR="000C04B5" w:rsidRPr="00D85E09" w:rsidRDefault="000C04B5" w:rsidP="0043316B">
      <w:pPr>
        <w:widowControl w:val="0"/>
        <w:spacing w:before="120"/>
      </w:pPr>
      <w:r w:rsidRPr="00D85E09">
        <w:t>Mainly due to the high risk of haemorrhage, tPA is also contra</w:t>
      </w:r>
      <w:r w:rsidR="00300BB6" w:rsidRPr="00D85E09">
        <w:t>indicated</w:t>
      </w:r>
      <w:r w:rsidRPr="00D85E09">
        <w:t xml:space="preserve"> in patients that meet any of the following criteria:</w:t>
      </w:r>
    </w:p>
    <w:p w14:paraId="75F55B45" w14:textId="77777777" w:rsidR="000C04B5" w:rsidRPr="00D85E09" w:rsidRDefault="000C04B5" w:rsidP="0043316B">
      <w:pPr>
        <w:pStyle w:val="ListParagraph"/>
        <w:widowControl w:val="0"/>
        <w:numPr>
          <w:ilvl w:val="0"/>
          <w:numId w:val="22"/>
        </w:numPr>
        <w:spacing w:before="120"/>
      </w:pPr>
      <w:r w:rsidRPr="00D85E09">
        <w:t>Severe, uncontrolled hypertension</w:t>
      </w:r>
    </w:p>
    <w:p w14:paraId="60BB5F99" w14:textId="77777777" w:rsidR="000C04B5" w:rsidRPr="00D85E09" w:rsidRDefault="000C04B5" w:rsidP="0043316B">
      <w:pPr>
        <w:pStyle w:val="ListParagraph"/>
        <w:widowControl w:val="0"/>
        <w:numPr>
          <w:ilvl w:val="0"/>
          <w:numId w:val="22"/>
        </w:numPr>
        <w:spacing w:before="120"/>
      </w:pPr>
      <w:r w:rsidRPr="00D85E09">
        <w:t>Previous surgery; widespread ischaemia</w:t>
      </w:r>
    </w:p>
    <w:p w14:paraId="0F4F6267" w14:textId="77777777" w:rsidR="000C04B5" w:rsidRPr="00D85E09" w:rsidRDefault="000C04B5" w:rsidP="0043316B">
      <w:pPr>
        <w:pStyle w:val="ListParagraph"/>
        <w:widowControl w:val="0"/>
        <w:numPr>
          <w:ilvl w:val="0"/>
          <w:numId w:val="22"/>
        </w:numPr>
        <w:spacing w:before="120"/>
        <w:rPr>
          <w:rStyle w:val="minoreditsChar"/>
          <w:color w:val="auto"/>
        </w:rPr>
      </w:pPr>
      <w:r w:rsidRPr="00D85E09">
        <w:rPr>
          <w:rStyle w:val="minoreditsChar"/>
          <w:color w:val="auto"/>
        </w:rPr>
        <w:t>Patient receiving oral anticoagulants with an international normalised ratio &gt;1.3</w:t>
      </w:r>
    </w:p>
    <w:p w14:paraId="737EB985" w14:textId="63E8CE43" w:rsidR="000C04B5" w:rsidRPr="00D85E09" w:rsidRDefault="000C04B5" w:rsidP="0043316B">
      <w:pPr>
        <w:pStyle w:val="ListParagraph"/>
        <w:widowControl w:val="0"/>
        <w:numPr>
          <w:ilvl w:val="0"/>
          <w:numId w:val="22"/>
        </w:numPr>
        <w:spacing w:before="120"/>
        <w:rPr>
          <w:rStyle w:val="minoreditsChar"/>
          <w:color w:val="auto"/>
        </w:rPr>
      </w:pPr>
      <w:r w:rsidRPr="00D85E09">
        <w:rPr>
          <w:rStyle w:val="minoreditsChar"/>
          <w:color w:val="auto"/>
        </w:rPr>
        <w:t>Intra</w:t>
      </w:r>
      <w:r w:rsidR="00300BB6" w:rsidRPr="00D85E09">
        <w:rPr>
          <w:rStyle w:val="minoreditsChar"/>
          <w:color w:val="auto"/>
        </w:rPr>
        <w:t>-cranial</w:t>
      </w:r>
      <w:r w:rsidRPr="00D85E09">
        <w:rPr>
          <w:rStyle w:val="minoreditsChar"/>
          <w:color w:val="auto"/>
        </w:rPr>
        <w:t xml:space="preserve"> bleeding</w:t>
      </w:r>
    </w:p>
    <w:p w14:paraId="5FA014AE" w14:textId="36EDB0D1" w:rsidR="000C04B5" w:rsidRPr="00D85E09" w:rsidRDefault="000C04B5" w:rsidP="0043316B">
      <w:pPr>
        <w:pStyle w:val="ListParagraph"/>
        <w:widowControl w:val="0"/>
        <w:numPr>
          <w:ilvl w:val="0"/>
          <w:numId w:val="22"/>
        </w:numPr>
        <w:spacing w:before="120" w:after="360"/>
        <w:ind w:left="714" w:hanging="357"/>
      </w:pPr>
      <w:r w:rsidRPr="00D85E09">
        <w:rPr>
          <w:rStyle w:val="minoreditsChar"/>
          <w:color w:val="auto"/>
        </w:rPr>
        <w:t>Previous stroke within the past three months.</w:t>
      </w:r>
    </w:p>
    <w:p w14:paraId="1B4650AC" w14:textId="3E9A23F4" w:rsidR="000C04B5" w:rsidRPr="00D85E09" w:rsidRDefault="000C04B5" w:rsidP="0043316B">
      <w:pPr>
        <w:widowControl w:val="0"/>
        <w:spacing w:before="120"/>
      </w:pPr>
      <w:r w:rsidRPr="00D85E09">
        <w:t xml:space="preserve">As a result of these factors, only a small proportion of patients with AIS currently receive thrombolytic therapy with IV </w:t>
      </w:r>
      <w:r w:rsidR="005B7DCE">
        <w:t>tPA</w:t>
      </w:r>
      <w:r w:rsidRPr="00D85E09">
        <w:t>. Well</w:t>
      </w:r>
      <w:r w:rsidR="00300BB6" w:rsidRPr="00D85E09">
        <w:t xml:space="preserve"> </w:t>
      </w:r>
      <w:r w:rsidRPr="00D85E09">
        <w:t>organised major stroke units achieve treatment rates of up to 20%; however, across Australia, the use of IV</w:t>
      </w:r>
      <w:r w:rsidR="00D32933" w:rsidRPr="00D85E09">
        <w:t>-</w:t>
      </w:r>
      <w:r w:rsidRPr="00D85E09">
        <w:t>tPA in patients with AIS is estimated to be less than 5% (NSF, 2010). For patients who are ineligible for thrombolytic therapy because they have missed the 4.5-hour window or have other contraindications, there are few effective treatment options. In general, these patients undergo medical management consisting of anti-thrombotic therapy with antiplatelet agents (aspirin) or anti</w:t>
      </w:r>
      <w:r w:rsidR="00300BB6" w:rsidRPr="00D85E09">
        <w:t>coagulants</w:t>
      </w:r>
      <w:r w:rsidRPr="00D85E09">
        <w:t>.</w:t>
      </w:r>
    </w:p>
    <w:p w14:paraId="73919AD1" w14:textId="74281C65" w:rsidR="000C04B5" w:rsidRPr="00D85E09" w:rsidRDefault="000C04B5" w:rsidP="0043316B">
      <w:pPr>
        <w:widowControl w:val="0"/>
      </w:pPr>
      <w:r w:rsidRPr="00D85E09">
        <w:rPr>
          <w:lang w:eastAsia="de-DE"/>
        </w:rPr>
        <w:t xml:space="preserve">Finally, one </w:t>
      </w:r>
      <w:r w:rsidRPr="00D85E09">
        <w:t>of the major limitations of IV</w:t>
      </w:r>
      <w:r w:rsidR="00D32933" w:rsidRPr="00D85E09">
        <w:t>-</w:t>
      </w:r>
      <w:r w:rsidRPr="00D85E09">
        <w:t>tPA is related to the resistance to enzymatic degradation due to excessive cross-linking within mature embolic clots and emboli composed of cholesterol, calcium, or other debris from atherosclerotic lesions (Mehta et al, 2012).</w:t>
      </w:r>
    </w:p>
    <w:p w14:paraId="33ED36F1" w14:textId="1C8A4890" w:rsidR="000C04B5" w:rsidRPr="00D85E09" w:rsidRDefault="000C04B5" w:rsidP="0043316B">
      <w:pPr>
        <w:widowControl w:val="0"/>
      </w:pPr>
      <w:r w:rsidRPr="00D85E09">
        <w:t>Overall, there is a strong clinical need for safe and effective stroke therapies for use in combination with IV thrombolytic therapy, or as an alternative treatment for patients who are ineligible for IV thrombolytic therapy. Compared to the current standard of care, MT devices offer more rapid achievement of reperfusion; enhanced efficacy in treating large</w:t>
      </w:r>
      <w:r w:rsidR="00D32933" w:rsidRPr="00D85E09">
        <w:t xml:space="preserve"> </w:t>
      </w:r>
      <w:r w:rsidRPr="00D85E09">
        <w:t>vessel occlusions; and a potentially lower risk for haemorrhagic events. Improved reperfusion and avoidance of neurological complications produces higher rates of functional independence in the target population compared to thrombolysis. These improved clinical outcomes also have the potential to reduce the burden on the healthcare system through shorter hospital stays, less use of rehabilitation services, reduced carer burden, and reduced use of other healthcare resources.</w:t>
      </w:r>
    </w:p>
    <w:p w14:paraId="2E618E7F" w14:textId="77777777" w:rsidR="000C04B5" w:rsidRPr="00D85E09" w:rsidRDefault="000C04B5" w:rsidP="0043316B">
      <w:pPr>
        <w:pStyle w:val="Heading3"/>
        <w:keepNext w:val="0"/>
        <w:widowControl w:val="0"/>
        <w:rPr>
          <w:lang w:val="en-AU"/>
        </w:rPr>
      </w:pPr>
      <w:bookmarkStart w:id="40" w:name="_Toc362869546"/>
      <w:bookmarkStart w:id="41" w:name="_Ref368309931"/>
      <w:bookmarkStart w:id="42" w:name="_Ref368324596"/>
      <w:bookmarkStart w:id="43" w:name="_Toc453065240"/>
      <w:r w:rsidRPr="00D85E09">
        <w:rPr>
          <w:lang w:val="en-AU"/>
        </w:rPr>
        <w:t>Description of the service</w:t>
      </w:r>
      <w:bookmarkEnd w:id="40"/>
      <w:bookmarkEnd w:id="41"/>
      <w:bookmarkEnd w:id="42"/>
      <w:bookmarkEnd w:id="43"/>
    </w:p>
    <w:p w14:paraId="6FA47AE5" w14:textId="023DE6AB" w:rsidR="000C04B5" w:rsidRPr="00D85E09" w:rsidRDefault="000C04B5" w:rsidP="0043316B">
      <w:pPr>
        <w:widowControl w:val="0"/>
        <w:spacing w:before="120"/>
      </w:pPr>
      <w:r w:rsidRPr="00D85E09">
        <w:t xml:space="preserve">As illustrated in </w:t>
      </w:r>
      <w:r w:rsidRPr="00D85E09">
        <w:fldChar w:fldCharType="begin"/>
      </w:r>
      <w:r w:rsidRPr="00D85E09">
        <w:instrText xml:space="preserve"> REF _Ref443470465 \h </w:instrText>
      </w:r>
      <w:r w:rsidRPr="00D85E09">
        <w:fldChar w:fldCharType="separate"/>
      </w:r>
      <w:r w:rsidR="00A456ED" w:rsidRPr="00D85E09">
        <w:t xml:space="preserve">Figure </w:t>
      </w:r>
      <w:r w:rsidR="00A456ED">
        <w:rPr>
          <w:noProof/>
        </w:rPr>
        <w:t>1</w:t>
      </w:r>
      <w:r w:rsidRPr="00D85E09">
        <w:fldChar w:fldCharType="end"/>
      </w:r>
      <w:r w:rsidRPr="00D85E09">
        <w:t xml:space="preserve">, MT aims to salvage the ischaemic penumbra – the area surrounding a cerebral infarct that suffers less ischaemia. The penumbral region is not irreversibly damaged and successful revascularisation is intended to result in improved </w:t>
      </w:r>
      <w:r w:rsidRPr="00D85E09">
        <w:lastRenderedPageBreak/>
        <w:t>functional outcomes and quality of life for patients, thus reducing the number of patients with stroke requiring intensive rehabilitation.</w:t>
      </w:r>
    </w:p>
    <w:p w14:paraId="140B9E74" w14:textId="7F3CBB20" w:rsidR="000C04B5" w:rsidRPr="00D85E09" w:rsidRDefault="000C04B5" w:rsidP="0043316B">
      <w:pPr>
        <w:pStyle w:val="Caption"/>
        <w:keepNext w:val="0"/>
        <w:widowControl w:val="0"/>
        <w:rPr>
          <w:lang w:val="en-AU"/>
        </w:rPr>
      </w:pPr>
      <w:bookmarkStart w:id="44" w:name="_Ref443470465"/>
      <w:bookmarkStart w:id="45" w:name="_Toc453065448"/>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w:t>
      </w:r>
      <w:r w:rsidRPr="00D85E09">
        <w:rPr>
          <w:lang w:val="en-AU"/>
        </w:rPr>
        <w:fldChar w:fldCharType="end"/>
      </w:r>
      <w:bookmarkEnd w:id="44"/>
      <w:r w:rsidRPr="00D85E09">
        <w:rPr>
          <w:lang w:val="en-AU"/>
        </w:rPr>
        <w:tab/>
        <w:t>Ischaemic penumbra – Potential to reverse neurologic impairment with post-stroke therapy</w:t>
      </w:r>
      <w:bookmarkEnd w:id="45"/>
    </w:p>
    <w:p w14:paraId="1CCA73FA" w14:textId="77777777" w:rsidR="000C04B5" w:rsidRPr="00D85E09" w:rsidRDefault="000C04B5" w:rsidP="0043316B">
      <w:pPr>
        <w:widowControl w:val="0"/>
        <w:spacing w:before="120"/>
        <w:jc w:val="center"/>
      </w:pPr>
      <w:r w:rsidRPr="00D85E09">
        <w:rPr>
          <w:noProof/>
          <w:bdr w:val="single" w:sz="4" w:space="0" w:color="auto"/>
          <w:lang w:eastAsia="en-AU"/>
        </w:rPr>
        <w:drawing>
          <wp:inline distT="0" distB="0" distL="0" distR="0" wp14:anchorId="47235ED8" wp14:editId="1E323CF4">
            <wp:extent cx="4476466" cy="2138869"/>
            <wp:effectExtent l="0" t="0" r="635" b="0"/>
            <wp:docPr id="6" name="Picture 6" descr="Figure 3  Ischaemic penumbra – Potential to reverse neurologic impairment with post-strok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9770" cy="2145226"/>
                    </a:xfrm>
                    <a:prstGeom prst="rect">
                      <a:avLst/>
                    </a:prstGeom>
                    <a:noFill/>
                  </pic:spPr>
                </pic:pic>
              </a:graphicData>
            </a:graphic>
          </wp:inline>
        </w:drawing>
      </w:r>
    </w:p>
    <w:p w14:paraId="1DCFFB44" w14:textId="77777777" w:rsidR="000C04B5" w:rsidRPr="00D85E09" w:rsidRDefault="000C04B5" w:rsidP="0043316B">
      <w:pPr>
        <w:widowControl w:val="0"/>
        <w:spacing w:after="360" w:line="240" w:lineRule="auto"/>
        <w:rPr>
          <w:rFonts w:ascii="Arial Narrow" w:eastAsia="Calibri" w:hAnsi="Arial Narrow" w:cs="Times New Roman"/>
          <w:sz w:val="18"/>
          <w:szCs w:val="18"/>
        </w:rPr>
      </w:pPr>
      <w:r w:rsidRPr="00D85E09">
        <w:rPr>
          <w:rFonts w:ascii="Arial Narrow" w:eastAsia="Calibri" w:hAnsi="Arial Narrow" w:cs="Times New Roman"/>
          <w:sz w:val="18"/>
          <w:szCs w:val="18"/>
        </w:rPr>
        <w:t>Source: http://www.strokeforum.com/stroke-background/pathophysiology.html</w:t>
      </w:r>
    </w:p>
    <w:p w14:paraId="4EE71115" w14:textId="04A72B0F" w:rsidR="000C04B5" w:rsidRPr="00D85E09" w:rsidRDefault="000C04B5" w:rsidP="0043316B">
      <w:pPr>
        <w:widowControl w:val="0"/>
        <w:spacing w:before="120"/>
      </w:pPr>
      <w:r w:rsidRPr="00D85E09">
        <w:t xml:space="preserve">The procedure can be performed using a variety of devices, </w:t>
      </w:r>
      <w:r w:rsidRPr="00D85E09">
        <w:rPr>
          <w:sz w:val="23"/>
          <w:szCs w:val="23"/>
        </w:rPr>
        <w:t xml:space="preserve">including coil retrievers, aspiration devices and most recently, stent retrievers (Raychev and Saver, 2012). These different types of endovascular devices are described in </w:t>
      </w:r>
      <w:r w:rsidRPr="00D85E09">
        <w:rPr>
          <w:sz w:val="23"/>
          <w:szCs w:val="23"/>
        </w:rPr>
        <w:fldChar w:fldCharType="begin"/>
      </w:r>
      <w:r w:rsidRPr="00D85E09">
        <w:rPr>
          <w:sz w:val="23"/>
          <w:szCs w:val="23"/>
        </w:rPr>
        <w:instrText xml:space="preserve"> REF _Ref443408628 \h </w:instrText>
      </w:r>
      <w:r w:rsidRPr="00D85E09">
        <w:rPr>
          <w:sz w:val="23"/>
          <w:szCs w:val="23"/>
        </w:rPr>
      </w:r>
      <w:r w:rsidRPr="00D85E09">
        <w:rPr>
          <w:sz w:val="23"/>
          <w:szCs w:val="23"/>
        </w:rPr>
        <w:fldChar w:fldCharType="separate"/>
      </w:r>
      <w:r w:rsidR="00A456ED" w:rsidRPr="00D85E09">
        <w:t xml:space="preserve">Table </w:t>
      </w:r>
      <w:r w:rsidR="00A456ED">
        <w:rPr>
          <w:noProof/>
        </w:rPr>
        <w:t>2</w:t>
      </w:r>
      <w:r w:rsidRPr="00D85E09">
        <w:rPr>
          <w:sz w:val="23"/>
          <w:szCs w:val="23"/>
        </w:rPr>
        <w:fldChar w:fldCharType="end"/>
      </w:r>
      <w:r w:rsidRPr="00D85E09">
        <w:rPr>
          <w:sz w:val="23"/>
          <w:szCs w:val="23"/>
        </w:rPr>
        <w:t xml:space="preserve">. </w:t>
      </w:r>
      <w:r w:rsidRPr="00D85E09">
        <w:t>Currently, the devices commonly-used in Australia are either stent retrievers, or those that use aspiration or suction techniques.</w:t>
      </w:r>
    </w:p>
    <w:p w14:paraId="11872102" w14:textId="365C5958" w:rsidR="000C04B5" w:rsidRPr="00D85E09" w:rsidRDefault="000C04B5" w:rsidP="0043316B">
      <w:pPr>
        <w:pStyle w:val="Caption"/>
        <w:keepNext w:val="0"/>
        <w:widowControl w:val="0"/>
        <w:rPr>
          <w:lang w:val="en-AU"/>
        </w:rPr>
      </w:pPr>
      <w:bookmarkStart w:id="46" w:name="_Ref443408628"/>
      <w:bookmarkStart w:id="47" w:name="_Toc45306533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w:t>
      </w:r>
      <w:r w:rsidRPr="00D85E09">
        <w:rPr>
          <w:lang w:val="en-AU"/>
        </w:rPr>
        <w:fldChar w:fldCharType="end"/>
      </w:r>
      <w:bookmarkEnd w:id="46"/>
      <w:r w:rsidRPr="00D85E09">
        <w:rPr>
          <w:lang w:val="en-AU"/>
        </w:rPr>
        <w:tab/>
        <w:t>Description of mechanical thrombectomy devices</w:t>
      </w:r>
      <w:bookmarkEnd w:id="47"/>
    </w:p>
    <w:tbl>
      <w:tblPr>
        <w:tblStyle w:val="TableGrid"/>
        <w:tblW w:w="0" w:type="auto"/>
        <w:tblLook w:val="04A0" w:firstRow="1" w:lastRow="0" w:firstColumn="1" w:lastColumn="0" w:noHBand="0" w:noVBand="1"/>
        <w:tblDescription w:val="Table 2. This table is a description of mechanical thrombectomy devices"/>
      </w:tblPr>
      <w:tblGrid>
        <w:gridCol w:w="1980"/>
        <w:gridCol w:w="7081"/>
      </w:tblGrid>
      <w:tr w:rsidR="000C04B5" w:rsidRPr="00D85E09" w14:paraId="16DAEAEC" w14:textId="77777777" w:rsidTr="00BE6331">
        <w:trPr>
          <w:tblHeader/>
        </w:trPr>
        <w:tc>
          <w:tcPr>
            <w:tcW w:w="1980" w:type="dxa"/>
          </w:tcPr>
          <w:p w14:paraId="0809FD0E" w14:textId="77777777" w:rsidR="000C04B5" w:rsidRPr="00D85E09" w:rsidRDefault="000C04B5" w:rsidP="0043316B">
            <w:pPr>
              <w:pStyle w:val="Tabletext"/>
              <w:keepNext w:val="0"/>
              <w:widowControl w:val="0"/>
              <w:rPr>
                <w:b/>
              </w:rPr>
            </w:pPr>
            <w:r w:rsidRPr="00D85E09">
              <w:rPr>
                <w:b/>
              </w:rPr>
              <w:t>Device</w:t>
            </w:r>
          </w:p>
        </w:tc>
        <w:tc>
          <w:tcPr>
            <w:tcW w:w="7081" w:type="dxa"/>
          </w:tcPr>
          <w:p w14:paraId="023DC5D3" w14:textId="77777777" w:rsidR="000C04B5" w:rsidRPr="00D85E09" w:rsidRDefault="000C04B5" w:rsidP="0043316B">
            <w:pPr>
              <w:pStyle w:val="Tabletext"/>
              <w:keepNext w:val="0"/>
              <w:widowControl w:val="0"/>
              <w:rPr>
                <w:b/>
              </w:rPr>
            </w:pPr>
            <w:r w:rsidRPr="00D85E09">
              <w:rPr>
                <w:b/>
              </w:rPr>
              <w:t>Description</w:t>
            </w:r>
          </w:p>
        </w:tc>
      </w:tr>
      <w:tr w:rsidR="000C04B5" w:rsidRPr="00D85E09" w14:paraId="56D27E73" w14:textId="77777777" w:rsidTr="002B710A">
        <w:tc>
          <w:tcPr>
            <w:tcW w:w="1980" w:type="dxa"/>
          </w:tcPr>
          <w:p w14:paraId="67732D36" w14:textId="77777777" w:rsidR="000C04B5" w:rsidRPr="00D85E09" w:rsidRDefault="000C04B5" w:rsidP="0043316B">
            <w:pPr>
              <w:pStyle w:val="Tabletext"/>
              <w:keepNext w:val="0"/>
              <w:widowControl w:val="0"/>
            </w:pPr>
            <w:r w:rsidRPr="00D85E09">
              <w:t>Coil retrievers</w:t>
            </w:r>
          </w:p>
          <w:p w14:paraId="489A5A6A" w14:textId="77777777" w:rsidR="000C04B5" w:rsidRPr="00D85E09" w:rsidRDefault="000C04B5" w:rsidP="0043316B">
            <w:pPr>
              <w:pStyle w:val="Tabletext"/>
              <w:keepNext w:val="0"/>
              <w:widowControl w:val="0"/>
            </w:pPr>
          </w:p>
        </w:tc>
        <w:tc>
          <w:tcPr>
            <w:tcW w:w="7081" w:type="dxa"/>
          </w:tcPr>
          <w:p w14:paraId="648B80A1" w14:textId="77777777" w:rsidR="000C04B5" w:rsidRPr="00D85E09" w:rsidRDefault="000C04B5" w:rsidP="0043316B">
            <w:pPr>
              <w:pStyle w:val="Tabletext"/>
              <w:keepNext w:val="0"/>
              <w:widowControl w:val="0"/>
            </w:pPr>
            <w:r w:rsidRPr="00D85E09">
              <w:t xml:space="preserve">The coil retrievers are composed of Nitinol shape-memory wire and delivered through a microcatheter across the target clot. As the device is extruded from delivery catheter, it immediately reassumes its native coil form. The neurointerventionalist deploys the loops of the coil through the clot to engage the thrombus, and then pulls both coil and clot back into the catheter, like pulling a cork from a wine bottle. </w:t>
            </w:r>
          </w:p>
        </w:tc>
      </w:tr>
      <w:tr w:rsidR="000C04B5" w:rsidRPr="00D85E09" w14:paraId="72703EA5" w14:textId="77777777" w:rsidTr="002B710A">
        <w:tc>
          <w:tcPr>
            <w:tcW w:w="1980" w:type="dxa"/>
          </w:tcPr>
          <w:p w14:paraId="6449D313" w14:textId="77777777" w:rsidR="000C04B5" w:rsidRPr="00D85E09" w:rsidRDefault="000C04B5" w:rsidP="0043316B">
            <w:pPr>
              <w:pStyle w:val="Tabletext"/>
              <w:keepNext w:val="0"/>
              <w:widowControl w:val="0"/>
            </w:pPr>
            <w:r w:rsidRPr="00D85E09">
              <w:t>Aspiration devices</w:t>
            </w:r>
          </w:p>
          <w:p w14:paraId="7F335CCF" w14:textId="77777777" w:rsidR="000C04B5" w:rsidRPr="00D85E09" w:rsidRDefault="000C04B5" w:rsidP="0043316B">
            <w:pPr>
              <w:pStyle w:val="Tabletext"/>
              <w:keepNext w:val="0"/>
              <w:widowControl w:val="0"/>
            </w:pPr>
          </w:p>
        </w:tc>
        <w:tc>
          <w:tcPr>
            <w:tcW w:w="7081" w:type="dxa"/>
          </w:tcPr>
          <w:p w14:paraId="707C7A64" w14:textId="3B5D0696" w:rsidR="000C04B5" w:rsidRPr="00D85E09" w:rsidRDefault="000C04B5" w:rsidP="0043316B">
            <w:pPr>
              <w:pStyle w:val="Tabletext"/>
              <w:keepNext w:val="0"/>
              <w:widowControl w:val="0"/>
            </w:pPr>
            <w:r w:rsidRPr="00D85E09">
              <w:t>Aspiration devices work by advancing a reperfusion catheter over a neurovascular guide</w:t>
            </w:r>
            <w:r w:rsidR="00300BB6" w:rsidRPr="00D85E09">
              <w:t>-wire</w:t>
            </w:r>
            <w:r w:rsidRPr="00D85E09">
              <w:t xml:space="preserve"> until it approaches the thrombus; guidance by neuroimaging is also used. A separator device is then introduced into the proximal part of the thrombus through the reperfusion catheter. The thrombus is extracted by aspiration, while the separator is advanced and retracted within the reperfusion catheter to aid with extraction. After aspiration, the residual thrombus can be removed using a thrombus removal ring.</w:t>
            </w:r>
          </w:p>
        </w:tc>
      </w:tr>
      <w:tr w:rsidR="000C04B5" w:rsidRPr="00D85E09" w14:paraId="06FD8399" w14:textId="77777777" w:rsidTr="002B710A">
        <w:tc>
          <w:tcPr>
            <w:tcW w:w="1980" w:type="dxa"/>
          </w:tcPr>
          <w:p w14:paraId="57202492" w14:textId="77777777" w:rsidR="000C04B5" w:rsidRPr="00D85E09" w:rsidRDefault="000C04B5" w:rsidP="0043316B">
            <w:pPr>
              <w:pStyle w:val="Tabletext"/>
              <w:keepNext w:val="0"/>
              <w:widowControl w:val="0"/>
            </w:pPr>
            <w:r w:rsidRPr="00D85E09">
              <w:t>Stent retrievers</w:t>
            </w:r>
          </w:p>
          <w:p w14:paraId="0727CCC9" w14:textId="77777777" w:rsidR="000C04B5" w:rsidRPr="00D85E09" w:rsidRDefault="000C04B5" w:rsidP="0043316B">
            <w:pPr>
              <w:pStyle w:val="Tabletext"/>
              <w:keepNext w:val="0"/>
              <w:widowControl w:val="0"/>
            </w:pPr>
          </w:p>
        </w:tc>
        <w:tc>
          <w:tcPr>
            <w:tcW w:w="7081" w:type="dxa"/>
          </w:tcPr>
          <w:p w14:paraId="1CE7E309" w14:textId="23EF0AD5" w:rsidR="000C04B5" w:rsidRPr="00D85E09" w:rsidRDefault="000C04B5" w:rsidP="0043316B">
            <w:pPr>
              <w:pStyle w:val="Tabletext"/>
              <w:keepNext w:val="0"/>
              <w:widowControl w:val="0"/>
            </w:pPr>
            <w:r w:rsidRPr="00D85E09">
              <w:t>The stent retrievers are delivered to the thrombus using a micro</w:t>
            </w:r>
            <w:r w:rsidR="00300BB6" w:rsidRPr="00D85E09">
              <w:t>catheter</w:t>
            </w:r>
            <w:r w:rsidRPr="00D85E09">
              <w:t xml:space="preserve"> percutaneously introduced via the femoral artery. Neuroimaging is used to position the device in the cranial blood vessel. The micro</w:t>
            </w:r>
            <w:r w:rsidR="00300BB6" w:rsidRPr="00D85E09">
              <w:t>catheter</w:t>
            </w:r>
            <w:r w:rsidRPr="00D85E09">
              <w:t xml:space="preserve"> is advanced distal to the thrombus position so that when the stent is fully deployed it will extend beyond both ends of the thrombus. Self-expanding stents are deployed in the occluded vessel within the thrombus, pushing it aside and entangling it within the stent struts. The stent and thrombus are then withdrawn back into the delivery catheter. </w:t>
            </w:r>
          </w:p>
        </w:tc>
      </w:tr>
    </w:tbl>
    <w:p w14:paraId="27192D0F" w14:textId="7E2DA4FC" w:rsidR="000C04B5" w:rsidRPr="00D85E09" w:rsidRDefault="000C04B5" w:rsidP="0043316B">
      <w:pPr>
        <w:widowControl w:val="0"/>
        <w:spacing w:before="120"/>
      </w:pPr>
      <w:r w:rsidRPr="00D85E09">
        <w:t xml:space="preserve">It should be noted that stent retrievers are supported by a stronger body of clinical evidence </w:t>
      </w:r>
      <w:r w:rsidRPr="00D85E09">
        <w:lastRenderedPageBreak/>
        <w:t>than other devices such as aspiration catheters; the five most recent RCTs used newer-generation stent retrievers in all (EXTEND</w:t>
      </w:r>
      <w:r w:rsidR="00D32933" w:rsidRPr="00D85E09">
        <w:t>-</w:t>
      </w:r>
      <w:r w:rsidRPr="00D85E09">
        <w:t>IA, REVASCAT, SWIFT PRIME) or the majority of cases (MR CLEAN, ESCAPE). The three older RCTs used first generation devices, such as the M</w:t>
      </w:r>
      <w:r w:rsidR="00A8075A" w:rsidRPr="00D85E09">
        <w:t>erci</w:t>
      </w:r>
      <w:r w:rsidRPr="00D85E09">
        <w:t xml:space="preserve"> </w:t>
      </w:r>
      <w:r w:rsidR="00A8075A" w:rsidRPr="00D85E09">
        <w:t>R</w:t>
      </w:r>
      <w:r w:rsidRPr="00D85E09">
        <w:t>etriever and the Penumbra clot aspiration system, either exclusively (MR RESCUE) or in the majority of cases (IMS</w:t>
      </w:r>
      <w:r w:rsidR="00D32933" w:rsidRPr="00D85E09">
        <w:t>-</w:t>
      </w:r>
      <w:r w:rsidRPr="00D85E09">
        <w:t>III, SYNTHESIS Expansion). A recent trial of the PENUMBRA aspiration system (the ‘Assess the Penumbra System in the Treatment of Acute Stroke’ (THERAPY) trial was terminated early due to positive results from other recent MT studies (Tsivgoulis et al, 2016).</w:t>
      </w:r>
    </w:p>
    <w:p w14:paraId="0BE265EE" w14:textId="377ACFD1" w:rsidR="000C04B5" w:rsidRPr="00D85E09" w:rsidRDefault="000C04B5" w:rsidP="0043316B">
      <w:pPr>
        <w:widowControl w:val="0"/>
        <w:spacing w:before="120"/>
      </w:pPr>
      <w:r w:rsidRPr="00D85E09">
        <w:t xml:space="preserve">On this basis, some CPGs specifically recommend treatment with stent retrievers over MT more broadly (see </w:t>
      </w:r>
      <w:r w:rsidRPr="00D85E09">
        <w:fldChar w:fldCharType="begin"/>
      </w:r>
      <w:r w:rsidRPr="00D85E09">
        <w:instrText xml:space="preserve"> REF _Ref442442833 \h </w:instrText>
      </w:r>
      <w:r w:rsidRPr="00D85E09">
        <w:fldChar w:fldCharType="separate"/>
      </w:r>
      <w:r w:rsidR="00A456ED" w:rsidRPr="00D85E09">
        <w:t xml:space="preserve">Table </w:t>
      </w:r>
      <w:r w:rsidR="00A456ED">
        <w:rPr>
          <w:noProof/>
        </w:rPr>
        <w:t>3</w:t>
      </w:r>
      <w:r w:rsidRPr="00D85E09">
        <w:fldChar w:fldCharType="end"/>
      </w:r>
      <w:r w:rsidRPr="00D85E09">
        <w:t>).</w:t>
      </w:r>
    </w:p>
    <w:p w14:paraId="076D07E6" w14:textId="7F978074" w:rsidR="000C04B5" w:rsidRPr="00D85E09" w:rsidRDefault="000C04B5" w:rsidP="0043316B">
      <w:pPr>
        <w:pStyle w:val="Caption"/>
        <w:keepNext w:val="0"/>
        <w:widowControl w:val="0"/>
        <w:rPr>
          <w:lang w:val="en-AU"/>
        </w:rPr>
      </w:pPr>
      <w:bookmarkStart w:id="48" w:name="_Ref442442833"/>
      <w:bookmarkStart w:id="49" w:name="_Toc45306533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w:t>
      </w:r>
      <w:r w:rsidRPr="00D85E09">
        <w:rPr>
          <w:lang w:val="en-AU"/>
        </w:rPr>
        <w:fldChar w:fldCharType="end"/>
      </w:r>
      <w:bookmarkEnd w:id="48"/>
      <w:r w:rsidRPr="00D85E09">
        <w:rPr>
          <w:lang w:val="en-AU"/>
        </w:rPr>
        <w:tab/>
        <w:t>Summary of mechanical thrombectomy devices used in key trials and international guidance around devices</w:t>
      </w:r>
      <w:bookmarkEnd w:id="49"/>
    </w:p>
    <w:tbl>
      <w:tblPr>
        <w:tblStyle w:val="TableGrid"/>
        <w:tblW w:w="5000" w:type="pct"/>
        <w:tblCellMar>
          <w:left w:w="57" w:type="dxa"/>
          <w:right w:w="57" w:type="dxa"/>
        </w:tblCellMar>
        <w:tblLook w:val="04A0" w:firstRow="1" w:lastRow="0" w:firstColumn="1" w:lastColumn="0" w:noHBand="0" w:noVBand="1"/>
        <w:tblDescription w:val="Table 3. This table is a summary of mechanical thrombectomy devices used in key trials and international guidance around devices"/>
      </w:tblPr>
      <w:tblGrid>
        <w:gridCol w:w="2972"/>
        <w:gridCol w:w="3119"/>
        <w:gridCol w:w="3094"/>
      </w:tblGrid>
      <w:tr w:rsidR="000C04B5" w:rsidRPr="00D85E09" w14:paraId="7853DBD1" w14:textId="77777777" w:rsidTr="000C04B5">
        <w:trPr>
          <w:tblHeader/>
        </w:trPr>
        <w:tc>
          <w:tcPr>
            <w:tcW w:w="1618" w:type="pct"/>
          </w:tcPr>
          <w:p w14:paraId="7CD4AB03" w14:textId="77777777" w:rsidR="000C04B5" w:rsidRPr="00D85E09" w:rsidRDefault="000C04B5" w:rsidP="0043316B">
            <w:pPr>
              <w:pStyle w:val="Tabletext"/>
              <w:keepNext w:val="0"/>
              <w:widowControl w:val="0"/>
              <w:rPr>
                <w:b/>
              </w:rPr>
            </w:pPr>
            <w:r w:rsidRPr="00D85E09">
              <w:rPr>
                <w:b/>
              </w:rPr>
              <w:t xml:space="preserve">US ASA/AHA guidelines (Powers, 2015) </w:t>
            </w:r>
          </w:p>
        </w:tc>
        <w:tc>
          <w:tcPr>
            <w:tcW w:w="1698" w:type="pct"/>
          </w:tcPr>
          <w:p w14:paraId="05B19598" w14:textId="77777777" w:rsidR="000C04B5" w:rsidRPr="00D85E09" w:rsidRDefault="000C04B5" w:rsidP="0043316B">
            <w:pPr>
              <w:pStyle w:val="Tabletext"/>
              <w:keepNext w:val="0"/>
              <w:widowControl w:val="0"/>
              <w:rPr>
                <w:b/>
              </w:rPr>
            </w:pPr>
            <w:r w:rsidRPr="00D85E09">
              <w:rPr>
                <w:b/>
              </w:rPr>
              <w:t xml:space="preserve">European guidance (ESO, 2014) </w:t>
            </w:r>
          </w:p>
        </w:tc>
        <w:tc>
          <w:tcPr>
            <w:tcW w:w="1684" w:type="pct"/>
          </w:tcPr>
          <w:p w14:paraId="08C4934E" w14:textId="77777777" w:rsidR="000C04B5" w:rsidRPr="00D85E09" w:rsidRDefault="000C04B5" w:rsidP="0043316B">
            <w:pPr>
              <w:pStyle w:val="Tabletext"/>
              <w:keepNext w:val="0"/>
              <w:widowControl w:val="0"/>
              <w:rPr>
                <w:b/>
              </w:rPr>
            </w:pPr>
            <w:r w:rsidRPr="00D85E09">
              <w:rPr>
                <w:b/>
              </w:rPr>
              <w:t xml:space="preserve">European assessment (EUnetHTA, 2015) </w:t>
            </w:r>
          </w:p>
        </w:tc>
      </w:tr>
      <w:tr w:rsidR="000C04B5" w:rsidRPr="00D85E09" w14:paraId="18EDA5B4" w14:textId="77777777" w:rsidTr="000C04B5">
        <w:tc>
          <w:tcPr>
            <w:tcW w:w="1618" w:type="pct"/>
          </w:tcPr>
          <w:p w14:paraId="4424E1E1" w14:textId="3C6073A2" w:rsidR="000C04B5" w:rsidRPr="00D85E09" w:rsidRDefault="000C04B5" w:rsidP="0043316B">
            <w:pPr>
              <w:pStyle w:val="Tabletext"/>
              <w:keepNext w:val="0"/>
              <w:widowControl w:val="0"/>
            </w:pPr>
            <w:r w:rsidRPr="00D85E09">
              <w:t>Stent retrievers are preferred to MERCI device (Class I, level of evidence A).</w:t>
            </w:r>
          </w:p>
          <w:p w14:paraId="55FA3F71" w14:textId="77777777" w:rsidR="000C04B5" w:rsidRPr="00D85E09" w:rsidRDefault="000C04B5" w:rsidP="0043316B">
            <w:pPr>
              <w:pStyle w:val="Tabletext"/>
              <w:keepNext w:val="0"/>
              <w:widowControl w:val="0"/>
            </w:pPr>
          </w:p>
          <w:p w14:paraId="7C60AF8F" w14:textId="77777777" w:rsidR="000C04B5" w:rsidRPr="00D85E09" w:rsidRDefault="000C04B5" w:rsidP="0043316B">
            <w:pPr>
              <w:pStyle w:val="Tabletext"/>
              <w:keepNext w:val="0"/>
              <w:widowControl w:val="0"/>
            </w:pPr>
            <w:r w:rsidRPr="00D85E09">
              <w:t>Use of mechanical thrombectomy devices other than stent retrievers may be reasonable in some circumstances (Class IIb, Level B-NR).</w:t>
            </w:r>
          </w:p>
        </w:tc>
        <w:tc>
          <w:tcPr>
            <w:tcW w:w="1698" w:type="pct"/>
          </w:tcPr>
          <w:p w14:paraId="243BF52A" w14:textId="7BEB83F1" w:rsidR="000C04B5" w:rsidRPr="00D85E09" w:rsidRDefault="000C04B5" w:rsidP="0043316B">
            <w:pPr>
              <w:pStyle w:val="Tabletext"/>
              <w:keepNext w:val="0"/>
              <w:widowControl w:val="0"/>
            </w:pPr>
            <w:r w:rsidRPr="00D85E09">
              <w:t>For mechanical thrombectomy, stent retrievers approved by local health authorities should be considered (Grade A, Level 1a, KSU Grade A).</w:t>
            </w:r>
          </w:p>
          <w:p w14:paraId="2B391B9C" w14:textId="77777777" w:rsidR="000C04B5" w:rsidRPr="00D85E09" w:rsidRDefault="000C04B5" w:rsidP="0043316B">
            <w:pPr>
              <w:pStyle w:val="Tabletext"/>
              <w:keepNext w:val="0"/>
              <w:widowControl w:val="0"/>
            </w:pPr>
          </w:p>
          <w:p w14:paraId="48E4F0DC" w14:textId="77777777" w:rsidR="000C04B5" w:rsidRPr="00D85E09" w:rsidRDefault="000C04B5" w:rsidP="0043316B">
            <w:pPr>
              <w:pStyle w:val="Tabletext"/>
              <w:keepNext w:val="0"/>
              <w:widowControl w:val="0"/>
            </w:pPr>
            <w:r w:rsidRPr="00D85E09">
              <w:t>Other thrombectomy or aspiration devices approved by local health authorities may be used upon the neurointerventionists discretion if rapid, complete and safe revascularisation of the target vessel can be achieved (Grade C, Level 2a, KSU Grade C).</w:t>
            </w:r>
          </w:p>
        </w:tc>
        <w:tc>
          <w:tcPr>
            <w:tcW w:w="1684" w:type="pct"/>
          </w:tcPr>
          <w:p w14:paraId="11F902D0" w14:textId="5EF4D033" w:rsidR="000C04B5" w:rsidRPr="00D85E09" w:rsidRDefault="000C04B5" w:rsidP="0043316B">
            <w:pPr>
              <w:pStyle w:val="Tabletext"/>
              <w:keepNext w:val="0"/>
              <w:widowControl w:val="0"/>
            </w:pPr>
            <w:r w:rsidRPr="00D85E09">
              <w:t>Evidence supports use of 2nd-generation (stent retriever) thrombectomy devices. Stent retriever technology was used in all, or the majority of the new trials, and hence the evidence should not be interpreted as evidence of effect for other types of thrombectomy device</w:t>
            </w:r>
            <w:r w:rsidR="00AB4BBF" w:rsidRPr="00D85E09">
              <w:t>.</w:t>
            </w:r>
          </w:p>
        </w:tc>
      </w:tr>
    </w:tbl>
    <w:p w14:paraId="6FFAB072" w14:textId="77777777" w:rsidR="000C04B5" w:rsidRPr="00D85E09" w:rsidRDefault="000C04B5" w:rsidP="0043316B">
      <w:pPr>
        <w:widowControl w:val="0"/>
        <w:spacing w:after="360" w:line="240" w:lineRule="auto"/>
        <w:rPr>
          <w:rFonts w:ascii="Arial Narrow" w:eastAsia="Calibri" w:hAnsi="Arial Narrow" w:cs="Times New Roman"/>
          <w:sz w:val="18"/>
          <w:szCs w:val="18"/>
        </w:rPr>
      </w:pPr>
      <w:r w:rsidRPr="00D85E09">
        <w:rPr>
          <w:rFonts w:ascii="Arial Narrow" w:eastAsia="Calibri" w:hAnsi="Arial Narrow" w:cs="Times New Roman"/>
          <w:sz w:val="18"/>
          <w:szCs w:val="18"/>
        </w:rPr>
        <w:t>Abbreviations: AHA, American Heart Association; ASA, American Stroke Association; ESO, European Stroke Organisation; EUnetHTA, European Network for Health Technology Assessment; MT, mechanical thrombectomy; KSU, Karolinska Stroke Update; RCT, randomised controlled trial</w:t>
      </w:r>
    </w:p>
    <w:p w14:paraId="7F4FFF3E" w14:textId="77777777" w:rsidR="000C04B5" w:rsidRPr="00D85E09" w:rsidRDefault="000C04B5" w:rsidP="0043316B">
      <w:pPr>
        <w:pStyle w:val="Heading4"/>
        <w:keepLines w:val="0"/>
        <w:widowControl w:val="0"/>
        <w:rPr>
          <w:lang w:val="en-AU"/>
        </w:rPr>
      </w:pPr>
      <w:r w:rsidRPr="00D85E09">
        <w:rPr>
          <w:lang w:val="en-AU"/>
        </w:rPr>
        <w:t>Registered trademark</w:t>
      </w:r>
    </w:p>
    <w:p w14:paraId="3AFFFB37" w14:textId="0716D82C" w:rsidR="000C04B5" w:rsidRPr="00D85E09" w:rsidRDefault="000C04B5" w:rsidP="0043316B">
      <w:pPr>
        <w:widowControl w:val="0"/>
      </w:pPr>
      <w:r w:rsidRPr="00D85E09">
        <w:t xml:space="preserve">The </w:t>
      </w:r>
      <w:r w:rsidR="00A8075A" w:rsidRPr="00D85E09">
        <w:t>A</w:t>
      </w:r>
      <w:r w:rsidRPr="00D85E09">
        <w:t xml:space="preserve">pplication for the proposed item does not limit use to any registered trademark. It is proposed that the assessment of MT will be generic and consider evidence for all relevant technologies that can deliver the proposed service. As discussed further in Section A.2.1, the following </w:t>
      </w:r>
      <w:r w:rsidRPr="00D85E09">
        <w:rPr>
          <w:rFonts w:eastAsiaTheme="minorHAnsi"/>
        </w:rPr>
        <w:t>MT</w:t>
      </w:r>
      <w:r w:rsidRPr="00D85E09">
        <w:t xml:space="preserve"> technologies are currently used in Australia:</w:t>
      </w:r>
    </w:p>
    <w:p w14:paraId="0955330B" w14:textId="77777777" w:rsidR="000C04B5" w:rsidRPr="00D85E09" w:rsidRDefault="000C04B5" w:rsidP="0043316B">
      <w:pPr>
        <w:pStyle w:val="ListParagraph"/>
        <w:widowControl w:val="0"/>
        <w:numPr>
          <w:ilvl w:val="0"/>
          <w:numId w:val="24"/>
        </w:numPr>
      </w:pPr>
      <w:r w:rsidRPr="00D85E09">
        <w:t>The Solitaire 2 and Solitaire FR revascularisation devices (Covidien)</w:t>
      </w:r>
    </w:p>
    <w:p w14:paraId="2493DA1B" w14:textId="77777777" w:rsidR="000C04B5" w:rsidRPr="00D85E09" w:rsidRDefault="000C04B5" w:rsidP="0043316B">
      <w:pPr>
        <w:pStyle w:val="ListParagraph"/>
        <w:widowControl w:val="0"/>
        <w:numPr>
          <w:ilvl w:val="0"/>
          <w:numId w:val="24"/>
        </w:numPr>
      </w:pPr>
      <w:r w:rsidRPr="00D85E09">
        <w:t>The Trevo ProVue retrievers (Stryker)</w:t>
      </w:r>
    </w:p>
    <w:p w14:paraId="5722FE9F" w14:textId="61B41368" w:rsidR="002B710A" w:rsidRDefault="000C04B5" w:rsidP="0043316B">
      <w:pPr>
        <w:pStyle w:val="ListParagraph"/>
        <w:widowControl w:val="0"/>
        <w:numPr>
          <w:ilvl w:val="0"/>
          <w:numId w:val="24"/>
        </w:numPr>
      </w:pPr>
      <w:r w:rsidRPr="00D85E09">
        <w:t>The MAX and 5MAX reperfusion catheters (Penumbra)</w:t>
      </w:r>
      <w:r w:rsidR="002B710A">
        <w:br w:type="page"/>
      </w:r>
    </w:p>
    <w:p w14:paraId="748EF82B" w14:textId="77777777" w:rsidR="000C04B5" w:rsidRPr="00D85E09" w:rsidRDefault="000C04B5" w:rsidP="0043316B">
      <w:pPr>
        <w:pStyle w:val="Heading2"/>
        <w:widowControl w:val="0"/>
        <w:ind w:left="851" w:hanging="851"/>
        <w:rPr>
          <w:lang w:val="en-AU"/>
        </w:rPr>
      </w:pPr>
      <w:bookmarkStart w:id="50" w:name="_Toc358217042"/>
      <w:bookmarkStart w:id="51" w:name="_Toc362869548"/>
      <w:bookmarkStart w:id="52" w:name="_Toc453065241"/>
      <w:r w:rsidRPr="00D85E09">
        <w:rPr>
          <w:lang w:val="en-AU"/>
        </w:rPr>
        <w:lastRenderedPageBreak/>
        <w:t>Indications and requested restrictions</w:t>
      </w:r>
      <w:bookmarkEnd w:id="50"/>
      <w:bookmarkEnd w:id="51"/>
      <w:bookmarkEnd w:id="52"/>
    </w:p>
    <w:p w14:paraId="2BD384BB" w14:textId="77777777" w:rsidR="000C04B5" w:rsidRPr="00D85E09" w:rsidRDefault="000C04B5" w:rsidP="0043316B">
      <w:pPr>
        <w:pStyle w:val="Heading3"/>
        <w:keepNext w:val="0"/>
        <w:widowControl w:val="0"/>
        <w:rPr>
          <w:lang w:val="en-AU"/>
        </w:rPr>
      </w:pPr>
      <w:bookmarkStart w:id="53" w:name="_Toc358217043"/>
      <w:bookmarkStart w:id="54" w:name="_Toc362869549"/>
      <w:bookmarkStart w:id="55" w:name="_Toc453065242"/>
      <w:r w:rsidRPr="00D85E09">
        <w:rPr>
          <w:lang w:val="en-AU"/>
        </w:rPr>
        <w:t>Regulatory status</w:t>
      </w:r>
      <w:bookmarkEnd w:id="53"/>
      <w:bookmarkEnd w:id="54"/>
      <w:bookmarkEnd w:id="55"/>
    </w:p>
    <w:p w14:paraId="6C97BE31" w14:textId="07063EA2" w:rsidR="000C04B5" w:rsidRPr="00D85E09" w:rsidRDefault="000C04B5" w:rsidP="0043316B">
      <w:pPr>
        <w:widowControl w:val="0"/>
        <w:spacing w:before="120" w:after="360"/>
      </w:pPr>
      <w:r w:rsidRPr="00D85E09">
        <w:fldChar w:fldCharType="begin"/>
      </w:r>
      <w:r w:rsidRPr="00D85E09">
        <w:instrText xml:space="preserve"> REF _Ref368054773 \h </w:instrText>
      </w:r>
      <w:r w:rsidRPr="00D85E09">
        <w:fldChar w:fldCharType="separate"/>
      </w:r>
      <w:r w:rsidR="00A456ED" w:rsidRPr="00D85E09">
        <w:t xml:space="preserve">Table </w:t>
      </w:r>
      <w:r w:rsidR="00A456ED">
        <w:rPr>
          <w:noProof/>
        </w:rPr>
        <w:t>4</w:t>
      </w:r>
      <w:r w:rsidRPr="00D85E09">
        <w:fldChar w:fldCharType="end"/>
      </w:r>
      <w:r w:rsidRPr="00D85E09">
        <w:t xml:space="preserve"> presents the regulatory status of devices used to deliver the proposed service in Australia. The Solitaire 2 and Solitaire FR revascularisation devices and the Trevo devices are stent retrievers, while the Penumbra System is an aspiration/suction device. This submission proposes that the clinical evaluation of MT should be generic, including evidence for the different classes of device.</w:t>
      </w:r>
    </w:p>
    <w:p w14:paraId="146849DA" w14:textId="2036E4E1" w:rsidR="000C04B5" w:rsidRPr="00D85E09" w:rsidRDefault="000C04B5" w:rsidP="0043316B">
      <w:pPr>
        <w:widowControl w:val="0"/>
        <w:spacing w:before="120" w:after="360"/>
      </w:pPr>
      <w:r w:rsidRPr="00D85E09">
        <w:t>For the Solitaire and Trevo devices, the Public Australian Register of Therapeutic Goods (ARTG) Summaries indicate the devices should be used in “patients who are ineligible for IV</w:t>
      </w:r>
      <w:r w:rsidR="00D32933" w:rsidRPr="00D85E09">
        <w:t>-</w:t>
      </w:r>
      <w:r w:rsidRPr="00D85E09">
        <w:t>tPA or who fail IV</w:t>
      </w:r>
      <w:r w:rsidR="00D32933" w:rsidRPr="00D85E09">
        <w:t>-</w:t>
      </w:r>
      <w:r w:rsidRPr="00D85E09">
        <w:t xml:space="preserve">tPA therapy are candidates for treatment”. It should be noted that the Therapeutics Goods Administration (TGA) indications for MT devices pre-date a number of pivotal clinical trials which were published between 2014 and 2015. The TGA indication is therefore inconsistent with </w:t>
      </w:r>
      <w:r w:rsidR="00E56287" w:rsidRPr="00D85E09">
        <w:t>CPGs</w:t>
      </w:r>
      <w:r w:rsidRPr="00D85E09">
        <w:t xml:space="preserve"> which now recommend the use of MT in patients who received IV</w:t>
      </w:r>
      <w:r w:rsidR="00D32933" w:rsidRPr="00D85E09">
        <w:t>-</w:t>
      </w:r>
      <w:r w:rsidRPr="00D85E09">
        <w:t>tPA, regardless of whether the patient “failed” to respond. The American Heart Association/American Stroke Association (United States) guidelines (Powers et al, 2015), the European (ESO, 2014) and EUnetHTA (EUnetHTA, 2015) all recommend MT in addition to IV</w:t>
      </w:r>
      <w:r w:rsidR="00D32933" w:rsidRPr="00D85E09">
        <w:t>-</w:t>
      </w:r>
      <w:r w:rsidRPr="00D85E09">
        <w:t>tPA in patients with acute stroke and large vessel occlusion state.</w:t>
      </w:r>
    </w:p>
    <w:p w14:paraId="7FE5E0F8" w14:textId="19FEEC9A" w:rsidR="000C04B5" w:rsidRPr="00D85E09" w:rsidRDefault="000C04B5" w:rsidP="0043316B">
      <w:pPr>
        <w:widowControl w:val="0"/>
        <w:spacing w:before="120" w:after="360"/>
      </w:pPr>
      <w:r w:rsidRPr="00D85E09">
        <w:t>The Applicant notes that the current TGA indication for our stent retriever devices is partially aligned with the proposed population (i.e. for patients who fail or are ineligible for IV</w:t>
      </w:r>
      <w:r w:rsidR="00D32933" w:rsidRPr="00D85E09">
        <w:t>-</w:t>
      </w:r>
      <w:r w:rsidRPr="00D85E09">
        <w:t>tPA). We have contacted the TGA to ensure the indication is revised to allow full alignment with the proposed population, following appraisal of the latest international clinical data. Following submission of an indication variation request to the TGA, we received advice that a revised Instructions for Use (IFU) is required. Once this IFU is ready, we will resubmit for indication variation. We are working to achieve the revised indication by the October 2016 ESC and November 2016 MSAC meetings.</w:t>
      </w:r>
    </w:p>
    <w:p w14:paraId="30F493D0" w14:textId="77777777" w:rsidR="000C04B5" w:rsidRPr="00D85E09" w:rsidRDefault="000C04B5" w:rsidP="0043316B">
      <w:pPr>
        <w:widowControl w:val="0"/>
        <w:spacing w:before="120" w:after="360"/>
      </w:pPr>
      <w:r w:rsidRPr="00D85E09">
        <w:t>MASC should note that our requests for indication variation are commercial-in-confidence information; hence this should not be communicated in any public forum.</w:t>
      </w:r>
    </w:p>
    <w:p w14:paraId="31D76702" w14:textId="566B1F54" w:rsidR="000C04B5" w:rsidRPr="00D85E09" w:rsidRDefault="000C04B5" w:rsidP="0043316B">
      <w:pPr>
        <w:widowControl w:val="0"/>
        <w:spacing w:before="120" w:after="360"/>
      </w:pPr>
      <w:r w:rsidRPr="00D85E09">
        <w:t>Older and less commonly-used devices that are listed on the ARTG for MT in AIS include the M</w:t>
      </w:r>
      <w:r w:rsidR="00A8075A" w:rsidRPr="00D85E09">
        <w:t>erci</w:t>
      </w:r>
      <w:r w:rsidRPr="00D85E09">
        <w:t xml:space="preserve"> </w:t>
      </w:r>
      <w:r w:rsidR="00A8075A" w:rsidRPr="00D85E09">
        <w:t>R</w:t>
      </w:r>
      <w:r w:rsidRPr="00D85E09">
        <w:t>etriever, the Trevo Pro 4, the Penumbra and MAX Penumbra systems, MindFrame 10 and CATCH. All of these devices were TGA-listed prior to 2013, and have since been superseded by newer-generation devices.</w:t>
      </w:r>
    </w:p>
    <w:p w14:paraId="2F978667" w14:textId="4E6C46B8" w:rsidR="000C04B5" w:rsidRPr="00D85E09" w:rsidRDefault="000C04B5" w:rsidP="0043316B">
      <w:pPr>
        <w:pStyle w:val="Tableheadingleft"/>
        <w:keepNext w:val="0"/>
        <w:keepLines w:val="0"/>
        <w:widowControl w:val="0"/>
        <w:rPr>
          <w:lang w:val="en-AU"/>
        </w:rPr>
      </w:pPr>
      <w:bookmarkStart w:id="56" w:name="_Ref368054773"/>
      <w:bookmarkStart w:id="57" w:name="_Toc358217053"/>
      <w:bookmarkStart w:id="58" w:name="_Toc362869563"/>
      <w:bookmarkStart w:id="59" w:name="_Toc453065340"/>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w:t>
      </w:r>
      <w:r w:rsidRPr="00D85E09">
        <w:rPr>
          <w:lang w:val="en-AU"/>
        </w:rPr>
        <w:fldChar w:fldCharType="end"/>
      </w:r>
      <w:bookmarkEnd w:id="56"/>
      <w:r w:rsidR="00C560ED">
        <w:rPr>
          <w:lang w:val="en-AU"/>
        </w:rPr>
        <w:tab/>
      </w:r>
      <w:r w:rsidRPr="00D85E09">
        <w:rPr>
          <w:lang w:val="en-AU"/>
        </w:rPr>
        <w:tab/>
        <w:t>Details of TGA</w:t>
      </w:r>
      <w:bookmarkEnd w:id="57"/>
      <w:bookmarkEnd w:id="58"/>
      <w:r w:rsidRPr="00D85E09">
        <w:rPr>
          <w:lang w:val="en-AU"/>
        </w:rPr>
        <w:t xml:space="preserve"> registration</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Table 4. Details of TGA registration"/>
      </w:tblPr>
      <w:tblGrid>
        <w:gridCol w:w="946"/>
        <w:gridCol w:w="1511"/>
        <w:gridCol w:w="4230"/>
        <w:gridCol w:w="1049"/>
        <w:gridCol w:w="1377"/>
      </w:tblGrid>
      <w:tr w:rsidR="00EC3F95" w:rsidRPr="00D85E09" w14:paraId="01273865" w14:textId="77777777" w:rsidTr="002B710A">
        <w:trPr>
          <w:trHeight w:val="70"/>
          <w:tblHeader/>
        </w:trPr>
        <w:tc>
          <w:tcPr>
            <w:tcW w:w="946" w:type="dxa"/>
          </w:tcPr>
          <w:p w14:paraId="630BEC9E" w14:textId="77777777" w:rsidR="000C04B5" w:rsidRPr="00D85E09" w:rsidRDefault="000C04B5" w:rsidP="0043316B">
            <w:pPr>
              <w:pStyle w:val="Tabletext"/>
              <w:keepNext w:val="0"/>
              <w:widowControl w:val="0"/>
              <w:rPr>
                <w:b/>
              </w:rPr>
            </w:pPr>
            <w:r w:rsidRPr="00D85E09">
              <w:rPr>
                <w:b/>
              </w:rPr>
              <w:t>ARTG no</w:t>
            </w:r>
          </w:p>
        </w:tc>
        <w:tc>
          <w:tcPr>
            <w:tcW w:w="1459" w:type="dxa"/>
          </w:tcPr>
          <w:p w14:paraId="5B814303" w14:textId="77777777" w:rsidR="000C04B5" w:rsidRPr="00D85E09" w:rsidRDefault="000C04B5" w:rsidP="0043316B">
            <w:pPr>
              <w:pStyle w:val="Tabletext"/>
              <w:keepNext w:val="0"/>
              <w:widowControl w:val="0"/>
              <w:rPr>
                <w:b/>
              </w:rPr>
            </w:pPr>
            <w:r w:rsidRPr="00D85E09">
              <w:rPr>
                <w:b/>
              </w:rPr>
              <w:t>Product name</w:t>
            </w:r>
          </w:p>
        </w:tc>
        <w:tc>
          <w:tcPr>
            <w:tcW w:w="4230" w:type="dxa"/>
          </w:tcPr>
          <w:p w14:paraId="08F4AD39" w14:textId="77777777" w:rsidR="000C04B5" w:rsidRPr="00D85E09" w:rsidRDefault="000C04B5" w:rsidP="0043316B">
            <w:pPr>
              <w:pStyle w:val="Tabletext"/>
              <w:keepNext w:val="0"/>
              <w:widowControl w:val="0"/>
              <w:rPr>
                <w:b/>
              </w:rPr>
            </w:pPr>
            <w:r w:rsidRPr="00D85E09">
              <w:rPr>
                <w:b/>
              </w:rPr>
              <w:t>Product description</w:t>
            </w:r>
          </w:p>
        </w:tc>
        <w:tc>
          <w:tcPr>
            <w:tcW w:w="1049" w:type="dxa"/>
          </w:tcPr>
          <w:p w14:paraId="2DA62319" w14:textId="77777777" w:rsidR="000C04B5" w:rsidRPr="00D85E09" w:rsidRDefault="000C04B5" w:rsidP="0043316B">
            <w:pPr>
              <w:pStyle w:val="Tabletext"/>
              <w:keepNext w:val="0"/>
              <w:widowControl w:val="0"/>
              <w:rPr>
                <w:b/>
              </w:rPr>
            </w:pPr>
            <w:r w:rsidRPr="00D85E09">
              <w:rPr>
                <w:b/>
              </w:rPr>
              <w:t>Device class</w:t>
            </w:r>
          </w:p>
        </w:tc>
        <w:tc>
          <w:tcPr>
            <w:tcW w:w="1377" w:type="dxa"/>
          </w:tcPr>
          <w:p w14:paraId="599D432F" w14:textId="77777777" w:rsidR="000C04B5" w:rsidRPr="00D85E09" w:rsidRDefault="000C04B5" w:rsidP="0043316B">
            <w:pPr>
              <w:pStyle w:val="Tabletext"/>
              <w:keepNext w:val="0"/>
              <w:widowControl w:val="0"/>
              <w:rPr>
                <w:b/>
              </w:rPr>
            </w:pPr>
            <w:r w:rsidRPr="00D85E09">
              <w:rPr>
                <w:b/>
              </w:rPr>
              <w:t>Sponsor</w:t>
            </w:r>
          </w:p>
        </w:tc>
      </w:tr>
      <w:tr w:rsidR="000C04B5" w:rsidRPr="00D85E09" w14:paraId="3B86E8BE" w14:textId="77777777" w:rsidTr="002B710A">
        <w:tc>
          <w:tcPr>
            <w:tcW w:w="9061" w:type="dxa"/>
            <w:gridSpan w:val="5"/>
          </w:tcPr>
          <w:p w14:paraId="58AB37C2" w14:textId="77777777" w:rsidR="000C04B5" w:rsidRPr="00D85E09" w:rsidRDefault="000C04B5" w:rsidP="0043316B">
            <w:pPr>
              <w:pStyle w:val="Tabletext"/>
              <w:keepNext w:val="0"/>
              <w:widowControl w:val="0"/>
              <w:rPr>
                <w:i/>
              </w:rPr>
            </w:pPr>
            <w:r w:rsidRPr="00D85E09">
              <w:rPr>
                <w:i/>
              </w:rPr>
              <w:t>Products commonly-used in Australia</w:t>
            </w:r>
          </w:p>
        </w:tc>
      </w:tr>
      <w:tr w:rsidR="00EC3F95" w:rsidRPr="00D85E09" w14:paraId="38B18EA6" w14:textId="77777777" w:rsidTr="002B710A">
        <w:tc>
          <w:tcPr>
            <w:tcW w:w="946" w:type="dxa"/>
          </w:tcPr>
          <w:p w14:paraId="419B891B" w14:textId="77777777" w:rsidR="000C04B5" w:rsidRPr="00D85E09" w:rsidRDefault="000C04B5" w:rsidP="0043316B">
            <w:pPr>
              <w:pStyle w:val="Tabletext"/>
              <w:keepNext w:val="0"/>
              <w:widowControl w:val="0"/>
            </w:pPr>
            <w:r w:rsidRPr="00D85E09">
              <w:t>230784</w:t>
            </w:r>
          </w:p>
        </w:tc>
        <w:tc>
          <w:tcPr>
            <w:tcW w:w="1459" w:type="dxa"/>
          </w:tcPr>
          <w:p w14:paraId="06E7A09C" w14:textId="55DD07B4" w:rsidR="000C04B5" w:rsidRPr="00D85E09" w:rsidRDefault="000C04B5" w:rsidP="0043316B">
            <w:pPr>
              <w:pStyle w:val="Tabletext"/>
              <w:keepNext w:val="0"/>
              <w:widowControl w:val="0"/>
            </w:pPr>
            <w:r w:rsidRPr="00D85E09">
              <w:t>S</w:t>
            </w:r>
            <w:r w:rsidR="00AB4BBF" w:rsidRPr="00D85E09">
              <w:t>OLITAIRE</w:t>
            </w:r>
            <w:r w:rsidRPr="00D85E09">
              <w:t xml:space="preserve"> 2 Revascularisation Device</w:t>
            </w:r>
          </w:p>
        </w:tc>
        <w:tc>
          <w:tcPr>
            <w:tcW w:w="4230" w:type="dxa"/>
          </w:tcPr>
          <w:p w14:paraId="7F09454D" w14:textId="6B9C0E5C" w:rsidR="000C04B5" w:rsidRPr="00D85E09" w:rsidRDefault="000C04B5" w:rsidP="0043316B">
            <w:pPr>
              <w:pStyle w:val="Tabletext"/>
              <w:keepNext w:val="0"/>
              <w:widowControl w:val="0"/>
            </w:pPr>
            <w:r w:rsidRPr="00D85E09">
              <w:t>The S</w:t>
            </w:r>
            <w:r w:rsidR="00AB4BBF" w:rsidRPr="00D85E09">
              <w:t>OLITAIRE</w:t>
            </w:r>
            <w:r w:rsidRPr="00D85E09">
              <w:t xml:space="preserve"> 2 Revascularisation device is designed to restore blood flow in patients experiencing ischaemic stroke due to large intra</w:t>
            </w:r>
            <w:r w:rsidR="00300BB6" w:rsidRPr="00D85E09">
              <w:t>-cranial</w:t>
            </w:r>
            <w:r w:rsidRPr="00D85E09">
              <w:t xml:space="preserve"> vessel occlusion. Patients who are ineligible for intravenous tissue plasminogen activator (IV</w:t>
            </w:r>
            <w:r w:rsidR="00D32933" w:rsidRPr="00D85E09">
              <w:t>-</w:t>
            </w:r>
            <w:r w:rsidRPr="00D85E09">
              <w:t>tPA) or who fail IV</w:t>
            </w:r>
            <w:r w:rsidR="00D32933" w:rsidRPr="00D85E09">
              <w:t>-</w:t>
            </w:r>
            <w:r w:rsidRPr="00D85E09">
              <w:t>tPA therapy are candidates for treatment. The device is designed for use in the neurovasculature such as the internal carotid artery, M1 and M2 segments of the middle cerebral artery, basilar and the vertebral arteries.</w:t>
            </w:r>
          </w:p>
        </w:tc>
        <w:tc>
          <w:tcPr>
            <w:tcW w:w="1049" w:type="dxa"/>
          </w:tcPr>
          <w:p w14:paraId="21B4A9DD"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2AE545C0" w14:textId="77777777" w:rsidR="000C04B5" w:rsidRPr="00D85E09" w:rsidRDefault="000C04B5" w:rsidP="0043316B">
            <w:pPr>
              <w:pStyle w:val="Tabletext"/>
              <w:keepNext w:val="0"/>
              <w:widowControl w:val="0"/>
            </w:pPr>
            <w:r w:rsidRPr="00D85E09">
              <w:t>Covidien Pty Ltd</w:t>
            </w:r>
          </w:p>
        </w:tc>
      </w:tr>
      <w:tr w:rsidR="00EC3F95" w:rsidRPr="00D85E09" w14:paraId="5B62F105" w14:textId="77777777" w:rsidTr="002B710A">
        <w:tc>
          <w:tcPr>
            <w:tcW w:w="946" w:type="dxa"/>
          </w:tcPr>
          <w:p w14:paraId="0EBA3D1E" w14:textId="77777777" w:rsidR="000C04B5" w:rsidRPr="00D85E09" w:rsidRDefault="000C04B5" w:rsidP="0043316B">
            <w:pPr>
              <w:pStyle w:val="Tabletext"/>
              <w:keepNext w:val="0"/>
              <w:widowControl w:val="0"/>
            </w:pPr>
            <w:r w:rsidRPr="00D85E09">
              <w:t>203670</w:t>
            </w:r>
          </w:p>
        </w:tc>
        <w:tc>
          <w:tcPr>
            <w:tcW w:w="1459" w:type="dxa"/>
          </w:tcPr>
          <w:p w14:paraId="19C74DF7" w14:textId="77777777" w:rsidR="000C04B5" w:rsidRPr="00D85E09" w:rsidRDefault="000C04B5" w:rsidP="0043316B">
            <w:pPr>
              <w:pStyle w:val="Tabletext"/>
              <w:keepNext w:val="0"/>
              <w:widowControl w:val="0"/>
            </w:pPr>
            <w:r w:rsidRPr="00D85E09">
              <w:t>Solitaire FR Revascularisation Device</w:t>
            </w:r>
          </w:p>
        </w:tc>
        <w:tc>
          <w:tcPr>
            <w:tcW w:w="4230" w:type="dxa"/>
          </w:tcPr>
          <w:p w14:paraId="0E06BAB3" w14:textId="084A96EE" w:rsidR="000C04B5" w:rsidRPr="00D85E09" w:rsidRDefault="000C04B5" w:rsidP="0043316B">
            <w:pPr>
              <w:pStyle w:val="Tabletext"/>
              <w:keepNext w:val="0"/>
              <w:widowControl w:val="0"/>
            </w:pPr>
            <w:r w:rsidRPr="00D85E09">
              <w:t>Solitaire FR Revascularisation Device: For use in the flow restoration of patients with ischaemic stroke due to a large intra</w:t>
            </w:r>
            <w:r w:rsidR="00300BB6" w:rsidRPr="00D85E09">
              <w:t>-cranial</w:t>
            </w:r>
            <w:r w:rsidRPr="00D85E09">
              <w:t xml:space="preserve"> vessel occlusion. Patients who are ineligible for intravenous tissue plasminogen activator (IV</w:t>
            </w:r>
            <w:r w:rsidR="00D32933" w:rsidRPr="00D85E09">
              <w:t>-</w:t>
            </w:r>
            <w:r w:rsidRPr="00D85E09">
              <w:t>tPA) or who fail IV</w:t>
            </w:r>
            <w:r w:rsidR="00D32933" w:rsidRPr="00D85E09">
              <w:t>-</w:t>
            </w:r>
            <w:r w:rsidRPr="00D85E09">
              <w:t xml:space="preserve">tPA therapy are candidates for treatment. The Solitaire FR Revascularisation Device should only be used by physicians trained in interventional neuroradiology and treatment of ischaemic stroke. </w:t>
            </w:r>
          </w:p>
        </w:tc>
        <w:tc>
          <w:tcPr>
            <w:tcW w:w="1049" w:type="dxa"/>
          </w:tcPr>
          <w:p w14:paraId="333520D2"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1838F02F" w14:textId="77777777" w:rsidR="000C04B5" w:rsidRPr="00D85E09" w:rsidRDefault="000C04B5" w:rsidP="0043316B">
            <w:pPr>
              <w:pStyle w:val="Tabletext"/>
              <w:keepNext w:val="0"/>
              <w:widowControl w:val="0"/>
            </w:pPr>
            <w:r w:rsidRPr="00D85E09">
              <w:t>EV3 Australia Pty Limited</w:t>
            </w:r>
          </w:p>
        </w:tc>
      </w:tr>
      <w:tr w:rsidR="00EC3F95" w:rsidRPr="00D85E09" w14:paraId="29D54985" w14:textId="77777777" w:rsidTr="002B710A">
        <w:tc>
          <w:tcPr>
            <w:tcW w:w="946" w:type="dxa"/>
          </w:tcPr>
          <w:p w14:paraId="7DC544A0" w14:textId="77777777" w:rsidR="000C04B5" w:rsidRPr="00D85E09" w:rsidRDefault="000C04B5" w:rsidP="0043316B">
            <w:pPr>
              <w:pStyle w:val="Tabletext"/>
              <w:keepNext w:val="0"/>
              <w:widowControl w:val="0"/>
            </w:pPr>
            <w:r w:rsidRPr="00D85E09">
              <w:t xml:space="preserve">208795 </w:t>
            </w:r>
          </w:p>
        </w:tc>
        <w:tc>
          <w:tcPr>
            <w:tcW w:w="1459" w:type="dxa"/>
          </w:tcPr>
          <w:p w14:paraId="13E698FA" w14:textId="77777777" w:rsidR="000C04B5" w:rsidRPr="00D85E09" w:rsidRDefault="000C04B5" w:rsidP="0043316B">
            <w:pPr>
              <w:pStyle w:val="Tabletext"/>
              <w:keepNext w:val="0"/>
              <w:widowControl w:val="0"/>
            </w:pPr>
            <w:r w:rsidRPr="00D85E09">
              <w:t>Trevo ProVue</w:t>
            </w:r>
          </w:p>
        </w:tc>
        <w:tc>
          <w:tcPr>
            <w:tcW w:w="4230" w:type="dxa"/>
            <w:vMerge w:val="restart"/>
          </w:tcPr>
          <w:p w14:paraId="10876333" w14:textId="33D2C5B5" w:rsidR="000C04B5" w:rsidRPr="00D85E09" w:rsidRDefault="000C04B5" w:rsidP="0043316B">
            <w:pPr>
              <w:pStyle w:val="Tabletext"/>
              <w:keepNext w:val="0"/>
              <w:widowControl w:val="0"/>
            </w:pPr>
            <w:r w:rsidRPr="00D85E09">
              <w:t>The Trevo Retrievers are intended to restore blood flow in the neurovasculature by removing thrombus in patients experiencing ischaemic stroke within 8 hours of symptom onset. Patients who are ineligible for intravenous tissue plasminogen activator (IV</w:t>
            </w:r>
            <w:r w:rsidR="00D32933" w:rsidRPr="00D85E09">
              <w:t>-</w:t>
            </w:r>
            <w:r w:rsidRPr="00D85E09">
              <w:t>tPA) or who fail IV</w:t>
            </w:r>
            <w:r w:rsidR="00D32933" w:rsidRPr="00D85E09">
              <w:t>-</w:t>
            </w:r>
            <w:r w:rsidRPr="00D85E09">
              <w:t>tPA therapy are candidates for treatment.</w:t>
            </w:r>
          </w:p>
        </w:tc>
        <w:tc>
          <w:tcPr>
            <w:tcW w:w="1049" w:type="dxa"/>
          </w:tcPr>
          <w:p w14:paraId="34F54DBB"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41B3CD3C" w14:textId="77777777" w:rsidR="000C04B5" w:rsidRPr="00D85E09" w:rsidRDefault="000C04B5" w:rsidP="0043316B">
            <w:pPr>
              <w:pStyle w:val="Tabletext"/>
              <w:keepNext w:val="0"/>
              <w:widowControl w:val="0"/>
            </w:pPr>
            <w:r w:rsidRPr="00D85E09">
              <w:t>Stryker Australia Pty Ltd</w:t>
            </w:r>
          </w:p>
        </w:tc>
      </w:tr>
      <w:tr w:rsidR="00EC3F95" w:rsidRPr="00D85E09" w14:paraId="35C0A9E6" w14:textId="77777777" w:rsidTr="002B710A">
        <w:tc>
          <w:tcPr>
            <w:tcW w:w="946" w:type="dxa"/>
          </w:tcPr>
          <w:p w14:paraId="76723B2B" w14:textId="77777777" w:rsidR="000C04B5" w:rsidRPr="00D85E09" w:rsidRDefault="000C04B5" w:rsidP="0043316B">
            <w:pPr>
              <w:pStyle w:val="Tabletext"/>
              <w:keepNext w:val="0"/>
              <w:widowControl w:val="0"/>
            </w:pPr>
            <w:r w:rsidRPr="00D85E09">
              <w:t>230859</w:t>
            </w:r>
          </w:p>
        </w:tc>
        <w:tc>
          <w:tcPr>
            <w:tcW w:w="1459" w:type="dxa"/>
          </w:tcPr>
          <w:p w14:paraId="1754E83E" w14:textId="77777777" w:rsidR="000C04B5" w:rsidRPr="00D85E09" w:rsidRDefault="000C04B5" w:rsidP="0043316B">
            <w:pPr>
              <w:pStyle w:val="Tabletext"/>
              <w:keepNext w:val="0"/>
              <w:widowControl w:val="0"/>
            </w:pPr>
            <w:r w:rsidRPr="00D85E09">
              <w:t>Trevo XP ProVue Retriever</w:t>
            </w:r>
          </w:p>
        </w:tc>
        <w:tc>
          <w:tcPr>
            <w:tcW w:w="4230" w:type="dxa"/>
            <w:vMerge/>
          </w:tcPr>
          <w:p w14:paraId="2F5E63AC" w14:textId="77777777" w:rsidR="000C04B5" w:rsidRPr="00D85E09" w:rsidRDefault="000C04B5" w:rsidP="0043316B">
            <w:pPr>
              <w:pStyle w:val="Tabletext"/>
              <w:keepNext w:val="0"/>
              <w:widowControl w:val="0"/>
            </w:pPr>
          </w:p>
        </w:tc>
        <w:tc>
          <w:tcPr>
            <w:tcW w:w="1049" w:type="dxa"/>
          </w:tcPr>
          <w:p w14:paraId="53228C75"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6F734F93" w14:textId="77777777" w:rsidR="000C04B5" w:rsidRPr="00D85E09" w:rsidRDefault="000C04B5" w:rsidP="0043316B">
            <w:pPr>
              <w:pStyle w:val="Tabletext"/>
              <w:keepNext w:val="0"/>
              <w:widowControl w:val="0"/>
            </w:pPr>
            <w:r w:rsidRPr="00D85E09">
              <w:t>Stryker Australia Pty Ltd</w:t>
            </w:r>
          </w:p>
        </w:tc>
      </w:tr>
      <w:tr w:rsidR="00EC3F95" w:rsidRPr="00D85E09" w14:paraId="42B6CF03" w14:textId="77777777" w:rsidTr="002B710A">
        <w:tc>
          <w:tcPr>
            <w:tcW w:w="946" w:type="dxa"/>
          </w:tcPr>
          <w:p w14:paraId="3B429AD2" w14:textId="77777777" w:rsidR="000C04B5" w:rsidRPr="00D85E09" w:rsidRDefault="000C04B5" w:rsidP="0043316B">
            <w:pPr>
              <w:pStyle w:val="Tabletext"/>
              <w:keepNext w:val="0"/>
              <w:widowControl w:val="0"/>
            </w:pPr>
            <w:r w:rsidRPr="00D85E09">
              <w:t xml:space="preserve">216903 </w:t>
            </w:r>
          </w:p>
        </w:tc>
        <w:tc>
          <w:tcPr>
            <w:tcW w:w="1459" w:type="dxa"/>
          </w:tcPr>
          <w:p w14:paraId="053A41F6" w14:textId="77777777" w:rsidR="000C04B5" w:rsidRPr="00D85E09" w:rsidRDefault="000C04B5" w:rsidP="0043316B">
            <w:pPr>
              <w:pStyle w:val="Tabletext"/>
              <w:keepNext w:val="0"/>
              <w:widowControl w:val="0"/>
            </w:pPr>
            <w:r w:rsidRPr="00D85E09">
              <w:t>5MAX Reperfusion Catheter</w:t>
            </w:r>
          </w:p>
        </w:tc>
        <w:tc>
          <w:tcPr>
            <w:tcW w:w="4230" w:type="dxa"/>
          </w:tcPr>
          <w:p w14:paraId="27011B6A" w14:textId="3A31AB13" w:rsidR="000C04B5" w:rsidRPr="00D85E09" w:rsidRDefault="000C04B5" w:rsidP="0043316B">
            <w:pPr>
              <w:pStyle w:val="Tabletext"/>
              <w:keepNext w:val="0"/>
              <w:widowControl w:val="0"/>
            </w:pPr>
            <w:r w:rsidRPr="00D85E09">
              <w:t>The Penumbra System is intended for use in the revascularisation of patients with acute ischaemic stroke secondary to intra</w:t>
            </w:r>
            <w:r w:rsidR="00300BB6" w:rsidRPr="00D85E09">
              <w:t>-cranial</w:t>
            </w:r>
            <w:r w:rsidRPr="00D85E09">
              <w:t xml:space="preserve"> large vessel occlusive disease (within the internal carotid, middle cerebral ± M1 and M2 segments, basilar, and vertebral arteries) within 8 hours of symptom onset.</w:t>
            </w:r>
          </w:p>
        </w:tc>
        <w:tc>
          <w:tcPr>
            <w:tcW w:w="1049" w:type="dxa"/>
          </w:tcPr>
          <w:p w14:paraId="708568F4"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4918425D" w14:textId="77777777" w:rsidR="000C04B5" w:rsidRPr="00D85E09" w:rsidRDefault="000C04B5" w:rsidP="0043316B">
            <w:pPr>
              <w:pStyle w:val="Tabletext"/>
              <w:keepNext w:val="0"/>
              <w:widowControl w:val="0"/>
            </w:pPr>
            <w:r w:rsidRPr="00D85E09">
              <w:t>Penumbra Neuro Australia Pty Ltd</w:t>
            </w:r>
          </w:p>
        </w:tc>
      </w:tr>
      <w:tr w:rsidR="000C04B5" w:rsidRPr="00D85E09" w14:paraId="3A39803A" w14:textId="77777777" w:rsidTr="002B710A">
        <w:tc>
          <w:tcPr>
            <w:tcW w:w="9061" w:type="dxa"/>
            <w:gridSpan w:val="5"/>
          </w:tcPr>
          <w:p w14:paraId="413C1D36" w14:textId="77777777" w:rsidR="000C04B5" w:rsidRPr="00D85E09" w:rsidRDefault="000C04B5" w:rsidP="0043316B">
            <w:pPr>
              <w:pStyle w:val="Tabletext"/>
              <w:keepNext w:val="0"/>
              <w:widowControl w:val="0"/>
              <w:rPr>
                <w:i/>
              </w:rPr>
            </w:pPr>
            <w:r w:rsidRPr="00D85E09">
              <w:rPr>
                <w:i/>
              </w:rPr>
              <w:t>Products not commonly-used in Australia</w:t>
            </w:r>
          </w:p>
        </w:tc>
      </w:tr>
      <w:tr w:rsidR="00EC3F95" w:rsidRPr="00D85E09" w14:paraId="6EF5D990" w14:textId="77777777" w:rsidTr="002B710A">
        <w:tc>
          <w:tcPr>
            <w:tcW w:w="946" w:type="dxa"/>
          </w:tcPr>
          <w:p w14:paraId="4AF90238" w14:textId="77777777" w:rsidR="000C04B5" w:rsidRPr="00D85E09" w:rsidRDefault="000C04B5" w:rsidP="0043316B">
            <w:pPr>
              <w:pStyle w:val="Tabletext"/>
              <w:keepNext w:val="0"/>
              <w:widowControl w:val="0"/>
            </w:pPr>
            <w:r w:rsidRPr="00D85E09">
              <w:t>141107</w:t>
            </w:r>
          </w:p>
        </w:tc>
        <w:tc>
          <w:tcPr>
            <w:tcW w:w="1459" w:type="dxa"/>
          </w:tcPr>
          <w:p w14:paraId="4DD6ED51" w14:textId="5B847DC7" w:rsidR="000C04B5" w:rsidRPr="00D85E09" w:rsidRDefault="000C04B5" w:rsidP="0043316B">
            <w:pPr>
              <w:pStyle w:val="Tabletext"/>
              <w:keepNext w:val="0"/>
              <w:widowControl w:val="0"/>
            </w:pPr>
            <w:r w:rsidRPr="00D85E09">
              <w:t>M</w:t>
            </w:r>
            <w:r w:rsidR="00A8075A" w:rsidRPr="00D85E09">
              <w:t>erci</w:t>
            </w:r>
            <w:r w:rsidRPr="00D85E09">
              <w:t xml:space="preserve"> </w:t>
            </w:r>
            <w:r w:rsidR="00A8075A" w:rsidRPr="00D85E09">
              <w:t>R</w:t>
            </w:r>
            <w:r w:rsidRPr="00D85E09">
              <w:t>etriever</w:t>
            </w:r>
          </w:p>
        </w:tc>
        <w:tc>
          <w:tcPr>
            <w:tcW w:w="4230" w:type="dxa"/>
          </w:tcPr>
          <w:p w14:paraId="495B2780" w14:textId="77777777" w:rsidR="000C04B5" w:rsidRPr="00D85E09" w:rsidRDefault="000C04B5" w:rsidP="0043316B">
            <w:pPr>
              <w:pStyle w:val="Tabletext"/>
              <w:keepNext w:val="0"/>
              <w:widowControl w:val="0"/>
            </w:pPr>
            <w:r w:rsidRPr="00D85E09">
              <w:t>A single use device consisting of a flexible tapered core wire with helical loops at the distal end to remove thrombus or the retrieval of foreign bodies from the neurovasculature</w:t>
            </w:r>
          </w:p>
        </w:tc>
        <w:tc>
          <w:tcPr>
            <w:tcW w:w="1049" w:type="dxa"/>
          </w:tcPr>
          <w:p w14:paraId="490722A1"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31C85F1E" w14:textId="77777777" w:rsidR="000C04B5" w:rsidRPr="00D85E09" w:rsidRDefault="000C04B5" w:rsidP="0043316B">
            <w:pPr>
              <w:pStyle w:val="Tabletext"/>
              <w:keepNext w:val="0"/>
              <w:widowControl w:val="0"/>
            </w:pPr>
            <w:r w:rsidRPr="00D85E09">
              <w:t>Stryker Australia Pty Ltd</w:t>
            </w:r>
          </w:p>
        </w:tc>
      </w:tr>
      <w:tr w:rsidR="00EC3F95" w:rsidRPr="00D85E09" w14:paraId="1ED72098" w14:textId="77777777" w:rsidTr="002B710A">
        <w:tc>
          <w:tcPr>
            <w:tcW w:w="946" w:type="dxa"/>
          </w:tcPr>
          <w:p w14:paraId="68A85715" w14:textId="77777777" w:rsidR="000C04B5" w:rsidRPr="00D85E09" w:rsidRDefault="000C04B5" w:rsidP="0043316B">
            <w:pPr>
              <w:pStyle w:val="Tabletext"/>
              <w:keepNext w:val="0"/>
              <w:widowControl w:val="0"/>
            </w:pPr>
            <w:r w:rsidRPr="00D85E09">
              <w:t>193745</w:t>
            </w:r>
          </w:p>
        </w:tc>
        <w:tc>
          <w:tcPr>
            <w:tcW w:w="1459" w:type="dxa"/>
          </w:tcPr>
          <w:p w14:paraId="1D219E84" w14:textId="77777777" w:rsidR="000C04B5" w:rsidRPr="00D85E09" w:rsidRDefault="000C04B5" w:rsidP="0043316B">
            <w:pPr>
              <w:pStyle w:val="Tabletext"/>
              <w:keepNext w:val="0"/>
              <w:widowControl w:val="0"/>
            </w:pPr>
            <w:r w:rsidRPr="00D85E09">
              <w:t>Trevo Pro 4</w:t>
            </w:r>
          </w:p>
        </w:tc>
        <w:tc>
          <w:tcPr>
            <w:tcW w:w="4230" w:type="dxa"/>
          </w:tcPr>
          <w:p w14:paraId="2DCAF849" w14:textId="7F160233" w:rsidR="000C04B5" w:rsidRPr="00D85E09" w:rsidRDefault="000C04B5" w:rsidP="0043316B">
            <w:pPr>
              <w:pStyle w:val="Tabletext"/>
              <w:keepNext w:val="0"/>
              <w:widowControl w:val="0"/>
            </w:pPr>
            <w:r w:rsidRPr="00D85E09">
              <w:t>Retrievers are intended to restore blood flow in the neurovasculature by removing thrombus in patients experiencing isch</w:t>
            </w:r>
            <w:r w:rsidR="00E56287" w:rsidRPr="00D85E09">
              <w:t>aemic</w:t>
            </w:r>
            <w:r w:rsidRPr="00D85E09">
              <w:t xml:space="preserve"> stroke. Patients who are ineligible for intravenous tissue plasminogen activator (IV </w:t>
            </w:r>
            <w:r w:rsidR="005B7DCE">
              <w:t>tPA</w:t>
            </w:r>
            <w:r w:rsidRPr="00D85E09">
              <w:t xml:space="preserve">) or who fail IV </w:t>
            </w:r>
            <w:r w:rsidR="005B7DCE">
              <w:t>tPA</w:t>
            </w:r>
            <w:r w:rsidRPr="00D85E09">
              <w:t xml:space="preserve"> therapy are candidates for treatment.</w:t>
            </w:r>
          </w:p>
        </w:tc>
        <w:tc>
          <w:tcPr>
            <w:tcW w:w="1049" w:type="dxa"/>
          </w:tcPr>
          <w:p w14:paraId="5EA3C330"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4B83EAE5" w14:textId="77777777" w:rsidR="000C04B5" w:rsidRPr="00D85E09" w:rsidRDefault="000C04B5" w:rsidP="0043316B">
            <w:pPr>
              <w:pStyle w:val="Tabletext"/>
              <w:keepNext w:val="0"/>
              <w:widowControl w:val="0"/>
            </w:pPr>
            <w:r w:rsidRPr="00D85E09">
              <w:t>Stryker Australia Pty Ltd</w:t>
            </w:r>
          </w:p>
        </w:tc>
      </w:tr>
      <w:tr w:rsidR="00EC3F95" w:rsidRPr="00D85E09" w14:paraId="79205462" w14:textId="77777777" w:rsidTr="002B710A">
        <w:tc>
          <w:tcPr>
            <w:tcW w:w="946" w:type="dxa"/>
          </w:tcPr>
          <w:p w14:paraId="3E0A330C" w14:textId="77777777" w:rsidR="000C04B5" w:rsidRPr="00D85E09" w:rsidRDefault="000C04B5" w:rsidP="0043316B">
            <w:pPr>
              <w:pStyle w:val="Tabletext"/>
              <w:keepNext w:val="0"/>
              <w:widowControl w:val="0"/>
            </w:pPr>
            <w:r w:rsidRPr="00D85E09">
              <w:t>202744</w:t>
            </w:r>
          </w:p>
        </w:tc>
        <w:tc>
          <w:tcPr>
            <w:tcW w:w="1459" w:type="dxa"/>
          </w:tcPr>
          <w:p w14:paraId="2855264F" w14:textId="77777777" w:rsidR="000C04B5" w:rsidRPr="00D85E09" w:rsidRDefault="000C04B5" w:rsidP="0043316B">
            <w:pPr>
              <w:pStyle w:val="Tabletext"/>
              <w:keepNext w:val="0"/>
              <w:widowControl w:val="0"/>
            </w:pPr>
            <w:r w:rsidRPr="00D85E09">
              <w:t>MAX Reperfusion Catheter</w:t>
            </w:r>
          </w:p>
        </w:tc>
        <w:tc>
          <w:tcPr>
            <w:tcW w:w="4230" w:type="dxa"/>
          </w:tcPr>
          <w:p w14:paraId="65AB5B18" w14:textId="6787E0FC" w:rsidR="000C04B5" w:rsidRPr="00D85E09" w:rsidRDefault="000C04B5" w:rsidP="0043316B">
            <w:pPr>
              <w:pStyle w:val="Tabletext"/>
              <w:keepNext w:val="0"/>
              <w:widowControl w:val="0"/>
            </w:pPr>
            <w:r w:rsidRPr="00D85E09">
              <w:t>The Penumbra System is intended for use in the revascularisation of patients with acute isch</w:t>
            </w:r>
            <w:r w:rsidR="00E56287" w:rsidRPr="00D85E09">
              <w:t>aemic</w:t>
            </w:r>
            <w:r w:rsidRPr="00D85E09">
              <w:t xml:space="preserve"> stroke secondary to intra</w:t>
            </w:r>
            <w:r w:rsidR="00300BB6" w:rsidRPr="00D85E09">
              <w:t>-cranial</w:t>
            </w:r>
            <w:r w:rsidRPr="00D85E09">
              <w:t xml:space="preserve"> large vessel occlusive disease (within the internal carotid, middle cerebral ± M1 and M2 segments, basilar, and vertebral arteries) within 8 hours of symptom onset.</w:t>
            </w:r>
          </w:p>
        </w:tc>
        <w:tc>
          <w:tcPr>
            <w:tcW w:w="1049" w:type="dxa"/>
          </w:tcPr>
          <w:p w14:paraId="79D2A2F9"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20C322F2" w14:textId="77777777" w:rsidR="000C04B5" w:rsidRPr="00D85E09" w:rsidRDefault="000C04B5" w:rsidP="0043316B">
            <w:pPr>
              <w:pStyle w:val="Tabletext"/>
              <w:keepNext w:val="0"/>
              <w:widowControl w:val="0"/>
            </w:pPr>
            <w:r w:rsidRPr="00D85E09">
              <w:t>Penumbra Neuro Australia Pty Ltd</w:t>
            </w:r>
          </w:p>
        </w:tc>
      </w:tr>
      <w:tr w:rsidR="00EC3F95" w:rsidRPr="00D85E09" w14:paraId="038FEFEE" w14:textId="77777777" w:rsidTr="002B710A">
        <w:tc>
          <w:tcPr>
            <w:tcW w:w="946" w:type="dxa"/>
          </w:tcPr>
          <w:p w14:paraId="685235D3" w14:textId="77777777" w:rsidR="000C04B5" w:rsidRPr="00D85E09" w:rsidRDefault="000C04B5" w:rsidP="0043316B">
            <w:pPr>
              <w:pStyle w:val="Tabletext"/>
              <w:keepNext w:val="0"/>
              <w:widowControl w:val="0"/>
            </w:pPr>
            <w:r w:rsidRPr="00D85E09">
              <w:lastRenderedPageBreak/>
              <w:t>203354</w:t>
            </w:r>
          </w:p>
        </w:tc>
        <w:tc>
          <w:tcPr>
            <w:tcW w:w="1459" w:type="dxa"/>
          </w:tcPr>
          <w:p w14:paraId="34E7D42B" w14:textId="77777777" w:rsidR="000C04B5" w:rsidRPr="00D85E09" w:rsidRDefault="000C04B5" w:rsidP="0043316B">
            <w:pPr>
              <w:pStyle w:val="Tabletext"/>
              <w:keepNext w:val="0"/>
              <w:widowControl w:val="0"/>
            </w:pPr>
            <w:r w:rsidRPr="00D85E09">
              <w:t>MAX Penumbra Separator</w:t>
            </w:r>
          </w:p>
        </w:tc>
        <w:tc>
          <w:tcPr>
            <w:tcW w:w="4230" w:type="dxa"/>
          </w:tcPr>
          <w:p w14:paraId="3CC33A68" w14:textId="2C4DD3A8" w:rsidR="000C04B5" w:rsidRPr="00D85E09" w:rsidRDefault="000C04B5" w:rsidP="0043316B">
            <w:pPr>
              <w:pStyle w:val="Tabletext"/>
              <w:keepNext w:val="0"/>
              <w:widowControl w:val="0"/>
            </w:pPr>
            <w:r w:rsidRPr="00D85E09">
              <w:t>The Penumbra System is intended for use in the revascularisation of patients with acute isch</w:t>
            </w:r>
            <w:r w:rsidR="00E56287" w:rsidRPr="00D85E09">
              <w:t>aemic</w:t>
            </w:r>
            <w:r w:rsidRPr="00D85E09">
              <w:t xml:space="preserve"> stroke secondary to intra</w:t>
            </w:r>
            <w:r w:rsidR="00300BB6" w:rsidRPr="00D85E09">
              <w:t>-cranial</w:t>
            </w:r>
            <w:r w:rsidRPr="00D85E09">
              <w:t xml:space="preserve"> large vessel occlusive disease (in the internal carotid, middle cerebral ± M1 and M2 segments, basilar, and vertebral arteries) within 8 hours of symptom onset.</w:t>
            </w:r>
          </w:p>
        </w:tc>
        <w:tc>
          <w:tcPr>
            <w:tcW w:w="1049" w:type="dxa"/>
          </w:tcPr>
          <w:p w14:paraId="28A477E2"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4897D33F" w14:textId="77777777" w:rsidR="000C04B5" w:rsidRPr="00D85E09" w:rsidRDefault="000C04B5" w:rsidP="0043316B">
            <w:pPr>
              <w:pStyle w:val="Tabletext"/>
              <w:keepNext w:val="0"/>
              <w:widowControl w:val="0"/>
            </w:pPr>
            <w:r w:rsidRPr="00D85E09">
              <w:t>Penumbra Neuro Australia Pty Ltd</w:t>
            </w:r>
          </w:p>
        </w:tc>
      </w:tr>
      <w:tr w:rsidR="00EC3F95" w:rsidRPr="00D85E09" w14:paraId="3CF8D6B5" w14:textId="77777777" w:rsidTr="002B710A">
        <w:trPr>
          <w:trHeight w:val="447"/>
        </w:trPr>
        <w:tc>
          <w:tcPr>
            <w:tcW w:w="946" w:type="dxa"/>
          </w:tcPr>
          <w:p w14:paraId="43F44159" w14:textId="77777777" w:rsidR="000C04B5" w:rsidRPr="00D85E09" w:rsidRDefault="000C04B5" w:rsidP="0043316B">
            <w:pPr>
              <w:pStyle w:val="Tabletext"/>
              <w:keepNext w:val="0"/>
              <w:widowControl w:val="0"/>
            </w:pPr>
            <w:r w:rsidRPr="00D85E09">
              <w:t>157312</w:t>
            </w:r>
          </w:p>
        </w:tc>
        <w:tc>
          <w:tcPr>
            <w:tcW w:w="1459" w:type="dxa"/>
          </w:tcPr>
          <w:p w14:paraId="0C7BBC8A" w14:textId="77777777" w:rsidR="000C04B5" w:rsidRPr="00D85E09" w:rsidRDefault="000C04B5" w:rsidP="0043316B">
            <w:pPr>
              <w:pStyle w:val="Tabletext"/>
              <w:keepNext w:val="0"/>
              <w:widowControl w:val="0"/>
            </w:pPr>
            <w:r w:rsidRPr="00D85E09">
              <w:t>Penumbra Reperfusion Catheter</w:t>
            </w:r>
          </w:p>
        </w:tc>
        <w:tc>
          <w:tcPr>
            <w:tcW w:w="4230" w:type="dxa"/>
          </w:tcPr>
          <w:p w14:paraId="01FCBF5F" w14:textId="759ED021" w:rsidR="000C04B5" w:rsidRPr="00D85E09" w:rsidRDefault="000C04B5" w:rsidP="0043316B">
            <w:pPr>
              <w:pStyle w:val="Tabletext"/>
              <w:keepNext w:val="0"/>
              <w:widowControl w:val="0"/>
            </w:pPr>
            <w:r w:rsidRPr="00D85E09">
              <w:t xml:space="preserve">The Penumbra </w:t>
            </w:r>
            <w:r w:rsidR="00F67AF7" w:rsidRPr="00D85E09">
              <w:t>R</w:t>
            </w:r>
            <w:r w:rsidRPr="00D85E09">
              <w:t>eperfusion catheter, separator and the aspiration tubing should be used to remove thrombus. The reperfusion catheter provides access to the occusion site and then provides a conduit to remove the thrombus. The device is intended for use in the revascularisation of patients with acute isch</w:t>
            </w:r>
            <w:r w:rsidR="00E56287" w:rsidRPr="00D85E09">
              <w:t>aemic</w:t>
            </w:r>
            <w:r w:rsidRPr="00D85E09">
              <w:t xml:space="preserve"> stroke secondary to intra</w:t>
            </w:r>
            <w:r w:rsidR="00300BB6" w:rsidRPr="00D85E09">
              <w:t>-cranial</w:t>
            </w:r>
            <w:r w:rsidRPr="00D85E09">
              <w:t xml:space="preserve"> large vessel occulusive disease, within 8 hours of onset.</w:t>
            </w:r>
          </w:p>
        </w:tc>
        <w:tc>
          <w:tcPr>
            <w:tcW w:w="1049" w:type="dxa"/>
          </w:tcPr>
          <w:p w14:paraId="58464CB1"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1BF91073" w14:textId="77777777" w:rsidR="000C04B5" w:rsidRPr="00D85E09" w:rsidRDefault="000C04B5" w:rsidP="0043316B">
            <w:pPr>
              <w:pStyle w:val="Tabletext"/>
              <w:keepNext w:val="0"/>
              <w:widowControl w:val="0"/>
            </w:pPr>
            <w:r w:rsidRPr="00D85E09">
              <w:t>Penumbra Neuro Australia Pty Ltd</w:t>
            </w:r>
          </w:p>
        </w:tc>
      </w:tr>
      <w:tr w:rsidR="00EC3F95" w:rsidRPr="00D85E09" w14:paraId="60A675F0" w14:textId="77777777" w:rsidTr="002B710A">
        <w:tc>
          <w:tcPr>
            <w:tcW w:w="946" w:type="dxa"/>
          </w:tcPr>
          <w:p w14:paraId="3151A9CF" w14:textId="77777777" w:rsidR="000C04B5" w:rsidRPr="00D85E09" w:rsidRDefault="000C04B5" w:rsidP="0043316B">
            <w:pPr>
              <w:pStyle w:val="Tabletext"/>
              <w:keepNext w:val="0"/>
              <w:widowControl w:val="0"/>
            </w:pPr>
            <w:r w:rsidRPr="00D85E09">
              <w:t>157313</w:t>
            </w:r>
          </w:p>
        </w:tc>
        <w:tc>
          <w:tcPr>
            <w:tcW w:w="1459" w:type="dxa"/>
          </w:tcPr>
          <w:p w14:paraId="24EC2BB0" w14:textId="77777777" w:rsidR="000C04B5" w:rsidRPr="00D85E09" w:rsidRDefault="000C04B5" w:rsidP="0043316B">
            <w:pPr>
              <w:pStyle w:val="Tabletext"/>
              <w:keepNext w:val="0"/>
              <w:widowControl w:val="0"/>
            </w:pPr>
            <w:r w:rsidRPr="00D85E09">
              <w:t>Penumbra Separator</w:t>
            </w:r>
          </w:p>
        </w:tc>
        <w:tc>
          <w:tcPr>
            <w:tcW w:w="4230" w:type="dxa"/>
          </w:tcPr>
          <w:p w14:paraId="1354CF57" w14:textId="6973E2C0" w:rsidR="000C04B5" w:rsidRPr="00D85E09" w:rsidRDefault="000C04B5" w:rsidP="0043316B">
            <w:pPr>
              <w:pStyle w:val="Tabletext"/>
              <w:keepNext w:val="0"/>
              <w:widowControl w:val="0"/>
            </w:pPr>
            <w:r w:rsidRPr="00D85E09">
              <w:t xml:space="preserve">The Penumbra </w:t>
            </w:r>
            <w:r w:rsidR="00F67AF7" w:rsidRPr="00D85E09">
              <w:t>S</w:t>
            </w:r>
            <w:r w:rsidRPr="00D85E09">
              <w:t>eparator is intended to be used with the Penumbra Reperfusion catheter and Penumbra aspiration tubing to remove thrombus. The separator tip is designed to clear the thrombus from the lumen of the Reperfusion catheter during aspiration. The device is intended for use in the revascularisation of patients with acute isch</w:t>
            </w:r>
            <w:r w:rsidR="00E56287" w:rsidRPr="00D85E09">
              <w:t>aemic</w:t>
            </w:r>
            <w:r w:rsidRPr="00D85E09">
              <w:t xml:space="preserve"> stroke secondary to intra</w:t>
            </w:r>
            <w:r w:rsidR="00300BB6" w:rsidRPr="00D85E09">
              <w:t>-cranial</w:t>
            </w:r>
            <w:r w:rsidRPr="00D85E09">
              <w:t xml:space="preserve"> large vessel occulusive disease, within 8 hours of onset.</w:t>
            </w:r>
          </w:p>
        </w:tc>
        <w:tc>
          <w:tcPr>
            <w:tcW w:w="1049" w:type="dxa"/>
          </w:tcPr>
          <w:p w14:paraId="37A2EC43"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004E8DE7" w14:textId="77777777" w:rsidR="000C04B5" w:rsidRPr="00D85E09" w:rsidRDefault="000C04B5" w:rsidP="0043316B">
            <w:pPr>
              <w:pStyle w:val="Tabletext"/>
              <w:keepNext w:val="0"/>
              <w:widowControl w:val="0"/>
            </w:pPr>
            <w:r w:rsidRPr="00D85E09">
              <w:t>Penumbra Neuro Australia Pty Ltd</w:t>
            </w:r>
          </w:p>
        </w:tc>
      </w:tr>
      <w:tr w:rsidR="00EC3F95" w:rsidRPr="00D85E09" w14:paraId="068238CB" w14:textId="77777777" w:rsidTr="002B710A">
        <w:tc>
          <w:tcPr>
            <w:tcW w:w="946" w:type="dxa"/>
          </w:tcPr>
          <w:p w14:paraId="6D0759AB" w14:textId="77777777" w:rsidR="000C04B5" w:rsidRPr="00D85E09" w:rsidRDefault="000C04B5" w:rsidP="0043316B">
            <w:pPr>
              <w:pStyle w:val="Tabletext"/>
              <w:keepNext w:val="0"/>
              <w:widowControl w:val="0"/>
            </w:pPr>
            <w:r w:rsidRPr="00D85E09">
              <w:t>198621</w:t>
            </w:r>
          </w:p>
        </w:tc>
        <w:tc>
          <w:tcPr>
            <w:tcW w:w="1459" w:type="dxa"/>
          </w:tcPr>
          <w:p w14:paraId="4E07E969" w14:textId="77777777" w:rsidR="000C04B5" w:rsidRPr="00D85E09" w:rsidRDefault="000C04B5" w:rsidP="0043316B">
            <w:pPr>
              <w:pStyle w:val="Tabletext"/>
              <w:keepNext w:val="0"/>
              <w:widowControl w:val="0"/>
            </w:pPr>
            <w:r w:rsidRPr="00D85E09">
              <w:t>Separator 3D</w:t>
            </w:r>
          </w:p>
        </w:tc>
        <w:tc>
          <w:tcPr>
            <w:tcW w:w="4230" w:type="dxa"/>
          </w:tcPr>
          <w:p w14:paraId="20923764" w14:textId="12D221A1" w:rsidR="000C04B5" w:rsidRPr="00D85E09" w:rsidRDefault="000C04B5" w:rsidP="0043316B">
            <w:pPr>
              <w:pStyle w:val="Tabletext"/>
              <w:keepNext w:val="0"/>
              <w:widowControl w:val="0"/>
            </w:pPr>
            <w:r w:rsidRPr="00D85E09">
              <w:t>Intended for the revascularisation of patients with acute isch</w:t>
            </w:r>
            <w:r w:rsidR="00E56287" w:rsidRPr="00D85E09">
              <w:t>aemic</w:t>
            </w:r>
            <w:r w:rsidRPr="00D85E09">
              <w:t xml:space="preserve"> stroke secondary to intra</w:t>
            </w:r>
            <w:r w:rsidR="00300BB6" w:rsidRPr="00D85E09">
              <w:t>-cranial</w:t>
            </w:r>
            <w:r w:rsidRPr="00D85E09">
              <w:t xml:space="preserve"> large vessel occlusion disease (within the internal carotid, middle cerebral M1 and M2 segments, basilar, and vertebral arteries) within 8 hours of the symptom onset</w:t>
            </w:r>
          </w:p>
        </w:tc>
        <w:tc>
          <w:tcPr>
            <w:tcW w:w="1049" w:type="dxa"/>
          </w:tcPr>
          <w:p w14:paraId="2463AD6E"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1F010DFC" w14:textId="77777777" w:rsidR="000C04B5" w:rsidRPr="00D85E09" w:rsidRDefault="000C04B5" w:rsidP="0043316B">
            <w:pPr>
              <w:pStyle w:val="Tabletext"/>
              <w:keepNext w:val="0"/>
              <w:widowControl w:val="0"/>
            </w:pPr>
            <w:r w:rsidRPr="00D85E09">
              <w:t>Penumbra Neuro Australia Pty Ltd</w:t>
            </w:r>
          </w:p>
        </w:tc>
      </w:tr>
      <w:tr w:rsidR="00EC3F95" w:rsidRPr="00D85E09" w14:paraId="11286AFB" w14:textId="77777777" w:rsidTr="002B710A">
        <w:tc>
          <w:tcPr>
            <w:tcW w:w="946" w:type="dxa"/>
          </w:tcPr>
          <w:p w14:paraId="4CC978B8" w14:textId="77777777" w:rsidR="000C04B5" w:rsidRPr="00D85E09" w:rsidRDefault="000C04B5" w:rsidP="0043316B">
            <w:pPr>
              <w:pStyle w:val="Tabletext"/>
              <w:keepNext w:val="0"/>
              <w:widowControl w:val="0"/>
            </w:pPr>
            <w:r w:rsidRPr="00D85E09">
              <w:t>187249</w:t>
            </w:r>
          </w:p>
        </w:tc>
        <w:tc>
          <w:tcPr>
            <w:tcW w:w="1459" w:type="dxa"/>
          </w:tcPr>
          <w:p w14:paraId="682914CA" w14:textId="77777777" w:rsidR="000C04B5" w:rsidRPr="00D85E09" w:rsidRDefault="000C04B5" w:rsidP="0043316B">
            <w:pPr>
              <w:pStyle w:val="Tabletext"/>
              <w:keepNext w:val="0"/>
              <w:widowControl w:val="0"/>
            </w:pPr>
            <w:r w:rsidRPr="00D85E09">
              <w:t>Separator Flex</w:t>
            </w:r>
          </w:p>
        </w:tc>
        <w:tc>
          <w:tcPr>
            <w:tcW w:w="4230" w:type="dxa"/>
          </w:tcPr>
          <w:p w14:paraId="0B0F8372" w14:textId="71EFF24B" w:rsidR="000C04B5" w:rsidRPr="00D85E09" w:rsidRDefault="000C04B5" w:rsidP="0043316B">
            <w:pPr>
              <w:pStyle w:val="Tabletext"/>
              <w:keepNext w:val="0"/>
              <w:widowControl w:val="0"/>
            </w:pPr>
            <w:r w:rsidRPr="00D85E09">
              <w:t>The Penumbra Separator is intended to facilitate aspiration and debulking of the thrombus and reduce or eliminate the endovascular clot burden as it is passed through the Penumbra Reperfusion catheter. The Penumbra System consists of the Separator, Reperfusion Catheter, Aspiration pump and pump/canister tubing, all available separately. The Penumbra System is intended for use in the revascularisation of patients with acute isch</w:t>
            </w:r>
            <w:r w:rsidR="00E56287" w:rsidRPr="00D85E09">
              <w:t>aemic</w:t>
            </w:r>
            <w:r w:rsidRPr="00D85E09">
              <w:t xml:space="preserve"> stroke secondary to intra</w:t>
            </w:r>
            <w:r w:rsidR="00300BB6" w:rsidRPr="00D85E09">
              <w:t>-cranial</w:t>
            </w:r>
            <w:r w:rsidRPr="00D85E09">
              <w:t xml:space="preserve"> large vessel occlusive disease (within the internal carotid, middle cerebral ± M1 and M2 segments, basilar, and vertebral arteries) within 8 hours of symptom onset.</w:t>
            </w:r>
          </w:p>
        </w:tc>
        <w:tc>
          <w:tcPr>
            <w:tcW w:w="1049" w:type="dxa"/>
          </w:tcPr>
          <w:p w14:paraId="6D325BC4"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3FF7669D" w14:textId="77777777" w:rsidR="000C04B5" w:rsidRPr="00D85E09" w:rsidRDefault="000C04B5" w:rsidP="0043316B">
            <w:pPr>
              <w:pStyle w:val="Tabletext"/>
              <w:keepNext w:val="0"/>
              <w:widowControl w:val="0"/>
            </w:pPr>
            <w:r w:rsidRPr="00D85E09">
              <w:t>Penumbra Neuro Australia Pty Ltd</w:t>
            </w:r>
          </w:p>
        </w:tc>
      </w:tr>
      <w:tr w:rsidR="00EC3F95" w:rsidRPr="00D85E09" w14:paraId="4D07B3F6" w14:textId="77777777" w:rsidTr="002B710A">
        <w:tc>
          <w:tcPr>
            <w:tcW w:w="946" w:type="dxa"/>
          </w:tcPr>
          <w:p w14:paraId="569CDFC5" w14:textId="77777777" w:rsidR="000C04B5" w:rsidRPr="00D85E09" w:rsidRDefault="000C04B5" w:rsidP="0043316B">
            <w:pPr>
              <w:pStyle w:val="Tabletext"/>
              <w:keepNext w:val="0"/>
              <w:widowControl w:val="0"/>
            </w:pPr>
            <w:r w:rsidRPr="00D85E09">
              <w:t>194903</w:t>
            </w:r>
          </w:p>
        </w:tc>
        <w:tc>
          <w:tcPr>
            <w:tcW w:w="1459" w:type="dxa"/>
          </w:tcPr>
          <w:p w14:paraId="5B41786F" w14:textId="77777777" w:rsidR="000C04B5" w:rsidRPr="00D85E09" w:rsidRDefault="000C04B5" w:rsidP="0043316B">
            <w:pPr>
              <w:pStyle w:val="Tabletext"/>
              <w:keepNext w:val="0"/>
              <w:widowControl w:val="0"/>
            </w:pPr>
            <w:r w:rsidRPr="00D85E09">
              <w:t>MindFrame 10 Capture LP</w:t>
            </w:r>
          </w:p>
        </w:tc>
        <w:tc>
          <w:tcPr>
            <w:tcW w:w="4230" w:type="dxa"/>
          </w:tcPr>
          <w:p w14:paraId="79B61B6E" w14:textId="48D9CB97" w:rsidR="000C04B5" w:rsidRPr="00D85E09" w:rsidRDefault="000C04B5" w:rsidP="0043316B">
            <w:pPr>
              <w:pStyle w:val="Tabletext"/>
              <w:keepNext w:val="0"/>
              <w:widowControl w:val="0"/>
            </w:pPr>
            <w:r w:rsidRPr="00D85E09">
              <w:t>To restore blood flow in the cerebral vasculature of patients suffering from an acute isch</w:t>
            </w:r>
            <w:r w:rsidR="00E56287" w:rsidRPr="00D85E09">
              <w:t>aemic</w:t>
            </w:r>
            <w:r w:rsidRPr="00D85E09">
              <w:t xml:space="preserve"> stroke. The Mindframe System is positioned across the embolus or blood clot and is used to facilitate the restoration of blood flow and removal of the clot obstruction.</w:t>
            </w:r>
          </w:p>
        </w:tc>
        <w:tc>
          <w:tcPr>
            <w:tcW w:w="1049" w:type="dxa"/>
          </w:tcPr>
          <w:p w14:paraId="5A473462"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78B18351" w14:textId="77777777" w:rsidR="000C04B5" w:rsidRPr="00D85E09" w:rsidRDefault="000C04B5" w:rsidP="0043316B">
            <w:pPr>
              <w:pStyle w:val="Tabletext"/>
              <w:keepNext w:val="0"/>
              <w:widowControl w:val="0"/>
            </w:pPr>
            <w:r w:rsidRPr="00D85E09">
              <w:t>Covidien Pty Ltd</w:t>
            </w:r>
          </w:p>
        </w:tc>
      </w:tr>
      <w:tr w:rsidR="00EC3F95" w:rsidRPr="00D85E09" w14:paraId="0171CA0A" w14:textId="77777777" w:rsidTr="002B710A">
        <w:tc>
          <w:tcPr>
            <w:tcW w:w="946" w:type="dxa"/>
          </w:tcPr>
          <w:p w14:paraId="3B8FAFD2" w14:textId="77777777" w:rsidR="000C04B5" w:rsidRPr="00D85E09" w:rsidRDefault="000C04B5" w:rsidP="0043316B">
            <w:pPr>
              <w:pStyle w:val="Tabletext"/>
              <w:keepNext w:val="0"/>
              <w:widowControl w:val="0"/>
            </w:pPr>
            <w:r w:rsidRPr="00D85E09">
              <w:t>155097</w:t>
            </w:r>
          </w:p>
        </w:tc>
        <w:tc>
          <w:tcPr>
            <w:tcW w:w="1459" w:type="dxa"/>
          </w:tcPr>
          <w:p w14:paraId="1258E1C2" w14:textId="77777777" w:rsidR="000C04B5" w:rsidRPr="00D85E09" w:rsidRDefault="000C04B5" w:rsidP="0043316B">
            <w:pPr>
              <w:pStyle w:val="Tabletext"/>
              <w:keepNext w:val="0"/>
              <w:widowControl w:val="0"/>
            </w:pPr>
            <w:r w:rsidRPr="00D85E09">
              <w:t>CATCH</w:t>
            </w:r>
          </w:p>
        </w:tc>
        <w:tc>
          <w:tcPr>
            <w:tcW w:w="4230" w:type="dxa"/>
          </w:tcPr>
          <w:p w14:paraId="76D99A7A" w14:textId="0DBB934C" w:rsidR="000C04B5" w:rsidRPr="00D85E09" w:rsidRDefault="000C04B5" w:rsidP="0043316B">
            <w:pPr>
              <w:pStyle w:val="Tabletext"/>
              <w:keepNext w:val="0"/>
              <w:widowControl w:val="0"/>
            </w:pPr>
            <w:r w:rsidRPr="00D85E09">
              <w:t>The CATCH basket is intended for the removal of clotted blood or other formed elements that cause vascular obstruction. It is used with the VASCO+ microcatheter as a system of removing thrombi and is indicated for the treatment of isch</w:t>
            </w:r>
            <w:r w:rsidR="00E56287" w:rsidRPr="00D85E09">
              <w:t>aemic</w:t>
            </w:r>
            <w:r w:rsidRPr="00D85E09">
              <w:t xml:space="preserve"> strokes.</w:t>
            </w:r>
          </w:p>
        </w:tc>
        <w:tc>
          <w:tcPr>
            <w:tcW w:w="1049" w:type="dxa"/>
          </w:tcPr>
          <w:p w14:paraId="150833B5" w14:textId="77777777" w:rsidR="000C04B5" w:rsidRPr="00D85E09" w:rsidRDefault="000C04B5" w:rsidP="0043316B">
            <w:pPr>
              <w:pStyle w:val="Tabletext"/>
              <w:keepNext w:val="0"/>
              <w:widowControl w:val="0"/>
            </w:pPr>
            <w:r w:rsidRPr="00D85E09">
              <w:t>Medical Device</w:t>
            </w:r>
            <w:r w:rsidRPr="00D85E09">
              <w:br/>
              <w:t>Class III</w:t>
            </w:r>
          </w:p>
        </w:tc>
        <w:tc>
          <w:tcPr>
            <w:tcW w:w="1377" w:type="dxa"/>
          </w:tcPr>
          <w:p w14:paraId="76B4641E" w14:textId="77777777" w:rsidR="000C04B5" w:rsidRPr="00D85E09" w:rsidRDefault="000C04B5" w:rsidP="0043316B">
            <w:pPr>
              <w:pStyle w:val="Tabletext"/>
              <w:keepNext w:val="0"/>
              <w:widowControl w:val="0"/>
            </w:pPr>
            <w:r w:rsidRPr="00D85E09">
              <w:t>N Stenning and Co Pty Ltd</w:t>
            </w:r>
          </w:p>
        </w:tc>
      </w:tr>
    </w:tbl>
    <w:p w14:paraId="05608DEB" w14:textId="77777777" w:rsidR="000C04B5" w:rsidRPr="00D85E09" w:rsidRDefault="000C04B5" w:rsidP="0043316B">
      <w:pPr>
        <w:pStyle w:val="Tablefooter"/>
        <w:widowControl w:val="0"/>
        <w:spacing w:after="360"/>
      </w:pPr>
      <w:r w:rsidRPr="00D85E09">
        <w:t>Abbreviations: ARTG, Australian Register of Therapeutic Goods.</w:t>
      </w:r>
    </w:p>
    <w:p w14:paraId="64313142" w14:textId="12F89E23" w:rsidR="000C04B5" w:rsidRPr="00D85E09" w:rsidRDefault="000C04B5" w:rsidP="0043316B">
      <w:pPr>
        <w:pStyle w:val="Heading3"/>
        <w:keepNext w:val="0"/>
        <w:widowControl w:val="0"/>
        <w:rPr>
          <w:lang w:val="en-AU"/>
        </w:rPr>
      </w:pPr>
      <w:bookmarkStart w:id="60" w:name="_Toc358217044"/>
      <w:bookmarkStart w:id="61" w:name="_Toc362869550"/>
      <w:bookmarkStart w:id="62" w:name="_Toc453065243"/>
      <w:r w:rsidRPr="00D85E09">
        <w:rPr>
          <w:lang w:val="en-AU"/>
        </w:rPr>
        <w:lastRenderedPageBreak/>
        <w:t>Existing reimbursement arrangements</w:t>
      </w:r>
      <w:bookmarkEnd w:id="60"/>
      <w:bookmarkEnd w:id="61"/>
      <w:bookmarkEnd w:id="62"/>
    </w:p>
    <w:p w14:paraId="4E3BA1DA" w14:textId="52CC2BBB" w:rsidR="000C04B5" w:rsidRPr="00D85E09" w:rsidRDefault="000C04B5" w:rsidP="0043316B">
      <w:pPr>
        <w:widowControl w:val="0"/>
      </w:pPr>
      <w:r w:rsidRPr="00D85E09">
        <w:t xml:space="preserve">Currently, MT </w:t>
      </w:r>
      <w:r w:rsidR="006C69BF" w:rsidRPr="00D85E09">
        <w:t xml:space="preserve">is </w:t>
      </w:r>
      <w:r w:rsidRPr="00D85E09">
        <w:t>reported to be available at 19 stroke centres in Australia (NSF, 2015). All stroke centres are based in public hospitals and are therefore currently funded out of State Government health budgets.</w:t>
      </w:r>
    </w:p>
    <w:p w14:paraId="60BCFFDC" w14:textId="77777777" w:rsidR="000C04B5" w:rsidRPr="00D85E09" w:rsidRDefault="000C04B5" w:rsidP="0043316B">
      <w:pPr>
        <w:pStyle w:val="Heading3"/>
        <w:keepNext w:val="0"/>
        <w:widowControl w:val="0"/>
        <w:rPr>
          <w:lang w:val="en-AU"/>
        </w:rPr>
      </w:pPr>
      <w:bookmarkStart w:id="63" w:name="_Toc358217045"/>
      <w:bookmarkStart w:id="64" w:name="_Ref362856045"/>
      <w:bookmarkStart w:id="65" w:name="_Toc362869551"/>
      <w:bookmarkStart w:id="66" w:name="_Toc453065244"/>
      <w:r w:rsidRPr="00D85E09">
        <w:rPr>
          <w:lang w:val="en-AU"/>
        </w:rPr>
        <w:t xml:space="preserve">Proposed listing of </w:t>
      </w:r>
      <w:bookmarkEnd w:id="63"/>
      <w:bookmarkEnd w:id="64"/>
      <w:bookmarkEnd w:id="65"/>
      <w:r w:rsidRPr="00D85E09">
        <w:rPr>
          <w:lang w:val="en-AU"/>
        </w:rPr>
        <w:t>service</w:t>
      </w:r>
      <w:bookmarkEnd w:id="66"/>
    </w:p>
    <w:p w14:paraId="4DB088B1" w14:textId="7D3E3961" w:rsidR="000C04B5" w:rsidRPr="00D85E09" w:rsidRDefault="00EA1EDB" w:rsidP="0043316B">
      <w:pPr>
        <w:widowControl w:val="0"/>
      </w:pPr>
      <w:r>
        <w:fldChar w:fldCharType="begin"/>
      </w:r>
      <w:r>
        <w:instrText xml:space="preserve"> REF _Ref453058799 \h </w:instrText>
      </w:r>
      <w:r>
        <w:fldChar w:fldCharType="separate"/>
      </w:r>
      <w:r w:rsidR="00A456ED" w:rsidRPr="00EA1EDB">
        <w:t xml:space="preserve">Table </w:t>
      </w:r>
      <w:r w:rsidR="00A456ED">
        <w:rPr>
          <w:noProof/>
        </w:rPr>
        <w:t>5</w:t>
      </w:r>
      <w:r>
        <w:fldChar w:fldCharType="end"/>
      </w:r>
      <w:r>
        <w:t xml:space="preserve"> </w:t>
      </w:r>
      <w:r w:rsidR="000C04B5" w:rsidRPr="00D85E09">
        <w:t>presents the proposed MBS item descriptor. The Applicant notes that the evidence base for MT has evolved rapidly and will continue to evolve. Similar to any new therapy, patient selection criteria and procedure delivery will continue to be refined and this should be reflected in evolving clinical practice guidelines. Hence, the MBS descriptor for the proposed service should retain sufficient flexibility to accommodate changes in clinical practice, while aligning with clinical guidelines.</w:t>
      </w:r>
    </w:p>
    <w:p w14:paraId="37A19A8F" w14:textId="307F179A" w:rsidR="00227C1C" w:rsidRPr="00EA1EDB" w:rsidRDefault="00EA1EDB" w:rsidP="00EA1EDB">
      <w:pPr>
        <w:pStyle w:val="Caption"/>
      </w:pPr>
      <w:bookmarkStart w:id="67" w:name="_Ref453058799"/>
      <w:bookmarkStart w:id="68" w:name="_Toc453065341"/>
      <w:r w:rsidRPr="00EA1EDB">
        <w:t xml:space="preserve">Table </w:t>
      </w:r>
      <w:r w:rsidRPr="00EA1EDB">
        <w:fldChar w:fldCharType="begin"/>
      </w:r>
      <w:r w:rsidRPr="00EA1EDB">
        <w:instrText xml:space="preserve"> SEQ Table \* ARABIC </w:instrText>
      </w:r>
      <w:r w:rsidRPr="00EA1EDB">
        <w:fldChar w:fldCharType="separate"/>
      </w:r>
      <w:r w:rsidR="00A456ED">
        <w:rPr>
          <w:noProof/>
        </w:rPr>
        <w:t>5</w:t>
      </w:r>
      <w:r w:rsidRPr="00EA1EDB">
        <w:fldChar w:fldCharType="end"/>
      </w:r>
      <w:bookmarkEnd w:id="67"/>
      <w:r w:rsidRPr="00EA1EDB">
        <w:tab/>
      </w:r>
      <w:r w:rsidR="00227C1C" w:rsidRPr="00EA1EDB">
        <w:t>Proposed MBS item descriptor</w:t>
      </w:r>
      <w:bookmarkEnd w:id="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Table 5. Proposed MBS item descriptor"/>
      </w:tblPr>
      <w:tblGrid>
        <w:gridCol w:w="9287"/>
      </w:tblGrid>
      <w:tr w:rsidR="00227C1C" w:rsidRPr="00D85E09" w14:paraId="6BC059F7" w14:textId="77777777" w:rsidTr="00300BB6">
        <w:trPr>
          <w:cantSplit/>
        </w:trPr>
        <w:tc>
          <w:tcPr>
            <w:tcW w:w="5000" w:type="pct"/>
            <w:shd w:val="clear" w:color="auto" w:fill="D9D9D9" w:themeFill="background1" w:themeFillShade="D9"/>
          </w:tcPr>
          <w:p w14:paraId="4DB31F30" w14:textId="77777777" w:rsidR="00227C1C" w:rsidRPr="00D85E09" w:rsidRDefault="00227C1C" w:rsidP="00300BB6">
            <w:pPr>
              <w:pStyle w:val="Tabletext"/>
              <w:keepNext w:val="0"/>
              <w:widowControl w:val="0"/>
              <w:rPr>
                <w:b/>
              </w:rPr>
            </w:pPr>
            <w:r w:rsidRPr="00D85E09">
              <w:rPr>
                <w:b/>
              </w:rPr>
              <w:t>Category 3 - THERAPEUTIC PROCEDURES</w:t>
            </w:r>
          </w:p>
        </w:tc>
      </w:tr>
      <w:tr w:rsidR="00227C1C" w:rsidRPr="00181227" w14:paraId="67FCD382" w14:textId="77777777" w:rsidTr="00300BB6">
        <w:trPr>
          <w:cantSplit/>
        </w:trPr>
        <w:tc>
          <w:tcPr>
            <w:tcW w:w="5000" w:type="pct"/>
          </w:tcPr>
          <w:p w14:paraId="4D48374A" w14:textId="77777777" w:rsidR="00227C1C" w:rsidRPr="00181227" w:rsidRDefault="00227C1C" w:rsidP="00300BB6">
            <w:pPr>
              <w:pStyle w:val="Tabletext"/>
              <w:keepNext w:val="0"/>
              <w:widowControl w:val="0"/>
            </w:pPr>
            <w:r w:rsidRPr="00181227">
              <w:t>MBS [item number]</w:t>
            </w:r>
          </w:p>
          <w:p w14:paraId="667DF4B6" w14:textId="77777777" w:rsidR="00227C1C" w:rsidRPr="00181227" w:rsidRDefault="00227C1C" w:rsidP="00300BB6">
            <w:pPr>
              <w:pStyle w:val="Tabletext"/>
              <w:keepNext w:val="0"/>
              <w:widowControl w:val="0"/>
              <w:rPr>
                <w:vertAlign w:val="superscript"/>
              </w:rPr>
            </w:pPr>
            <w:r w:rsidRPr="00181227">
              <w:t>Mechanical thrombectomy of patients with a confirmed diagnosis of acute ischaemic stroke caused by large vessel occlusion, of the anterior circulation; procedure to be started within 8 hours of stroke onset; including intra-operative imaging, but in association with preoperative diagnostic imaging items</w:t>
            </w:r>
            <w:r w:rsidRPr="00181227">
              <w:rPr>
                <w:vertAlign w:val="superscript"/>
              </w:rPr>
              <w:t>a</w:t>
            </w:r>
          </w:p>
          <w:p w14:paraId="0921DA5D" w14:textId="77777777" w:rsidR="00227C1C" w:rsidRPr="00181227" w:rsidRDefault="00227C1C" w:rsidP="00300BB6">
            <w:pPr>
              <w:pStyle w:val="Tabletext"/>
              <w:keepNext w:val="0"/>
              <w:widowControl w:val="0"/>
              <w:numPr>
                <w:ilvl w:val="0"/>
                <w:numId w:val="60"/>
              </w:numPr>
            </w:pPr>
            <w:r w:rsidRPr="00181227">
              <w:t>either 56001 or 63064</w:t>
            </w:r>
          </w:p>
          <w:p w14:paraId="72C2D901" w14:textId="77777777" w:rsidR="00227C1C" w:rsidRPr="00181227" w:rsidRDefault="00227C1C" w:rsidP="00300BB6">
            <w:pPr>
              <w:pStyle w:val="Tabletext"/>
              <w:keepNext w:val="0"/>
              <w:widowControl w:val="0"/>
            </w:pPr>
            <w:r w:rsidRPr="00181227">
              <w:t>Fee: $3,500</w:t>
            </w:r>
          </w:p>
          <w:p w14:paraId="59ACF831" w14:textId="325FB893" w:rsidR="00B85B39" w:rsidRPr="00181227" w:rsidRDefault="00B85B39" w:rsidP="00300BB6">
            <w:pPr>
              <w:pStyle w:val="Tabletext"/>
              <w:keepNext w:val="0"/>
              <w:widowControl w:val="0"/>
            </w:pPr>
            <w:r w:rsidRPr="00181227">
              <w:t>(Anaes.) (Assist.)</w:t>
            </w:r>
          </w:p>
          <w:p w14:paraId="380BF68C" w14:textId="77777777" w:rsidR="00227C1C" w:rsidRPr="00181227" w:rsidRDefault="00227C1C" w:rsidP="00300BB6">
            <w:pPr>
              <w:pStyle w:val="Tabletext"/>
              <w:keepNext w:val="0"/>
              <w:widowControl w:val="0"/>
            </w:pPr>
            <w:r w:rsidRPr="00181227">
              <w:t>Explanatory notes:</w:t>
            </w:r>
          </w:p>
          <w:p w14:paraId="3DFE2403" w14:textId="77777777" w:rsidR="00227C1C" w:rsidRPr="00181227" w:rsidRDefault="00227C1C" w:rsidP="00300BB6">
            <w:pPr>
              <w:pStyle w:val="Tabletext"/>
              <w:keepNext w:val="0"/>
              <w:widowControl w:val="0"/>
            </w:pPr>
            <w:r w:rsidRPr="00181227">
              <w:t>•</w:t>
            </w:r>
            <w:r w:rsidRPr="00181227">
              <w:tab/>
              <w:t>Diagnosis confirmed by imaging: ischaemic stroke with large vessel occlusion on CTA or MRI</w:t>
            </w:r>
          </w:p>
          <w:p w14:paraId="59B8680C" w14:textId="77777777" w:rsidR="00227C1C" w:rsidRPr="00181227" w:rsidRDefault="00227C1C" w:rsidP="00300BB6">
            <w:pPr>
              <w:pStyle w:val="Tabletext"/>
              <w:keepNext w:val="0"/>
              <w:widowControl w:val="0"/>
            </w:pPr>
            <w:r w:rsidRPr="00181227">
              <w:t>•</w:t>
            </w:r>
            <w:r w:rsidRPr="00181227">
              <w:tab/>
              <w:t>Patients selected for treatment according to acute stroke management guidelines.</w:t>
            </w:r>
          </w:p>
          <w:p w14:paraId="127C6FDA" w14:textId="77777777" w:rsidR="00227C1C" w:rsidRPr="00181227" w:rsidRDefault="00227C1C" w:rsidP="00300BB6">
            <w:pPr>
              <w:pStyle w:val="Tabletext"/>
              <w:keepNext w:val="0"/>
              <w:widowControl w:val="0"/>
            </w:pPr>
            <w:r w:rsidRPr="00181227">
              <w:t>•</w:t>
            </w:r>
            <w:r w:rsidRPr="00181227">
              <w:tab/>
              <w:t xml:space="preserve">Clinician discretion for procedure use in selected patients beyond 8 hours of stroke onset, where clinical </w:t>
            </w:r>
            <w:r w:rsidRPr="00181227">
              <w:tab/>
              <w:t>assessment indicates patient is likely to benefit from treatment (salvageable brain tissue identified on imaging).</w:t>
            </w:r>
          </w:p>
          <w:p w14:paraId="4ADBA95B" w14:textId="77777777" w:rsidR="00227C1C" w:rsidRPr="00181227" w:rsidRDefault="00227C1C" w:rsidP="00300BB6">
            <w:pPr>
              <w:pStyle w:val="Tabletext"/>
              <w:keepNext w:val="0"/>
              <w:widowControl w:val="0"/>
            </w:pPr>
            <w:r w:rsidRPr="00181227">
              <w:t>•</w:t>
            </w:r>
            <w:r w:rsidRPr="00181227">
              <w:tab/>
              <w:t>Service to be provided by suitably trained and accredited operators in suitably accredited hospitals [requirements TBD]. This should include contribution to systematic registry data for audit purposes [requirements TBD].</w:t>
            </w:r>
          </w:p>
        </w:tc>
      </w:tr>
    </w:tbl>
    <w:p w14:paraId="694B1F0E" w14:textId="77777777" w:rsidR="00227C1C" w:rsidRPr="00D85E09" w:rsidRDefault="00227C1C" w:rsidP="00227C1C">
      <w:pPr>
        <w:pStyle w:val="Tablefootnote"/>
        <w:rPr>
          <w:rFonts w:ascii="Calibri" w:hAnsi="Calibri" w:cs="Times New Roman"/>
          <w:sz w:val="22"/>
          <w:szCs w:val="22"/>
          <w:lang w:val="en-AU" w:eastAsia="en-US"/>
        </w:rPr>
      </w:pPr>
      <w:r w:rsidRPr="00181227">
        <w:rPr>
          <w:lang w:val="en-AU"/>
        </w:rPr>
        <w:t xml:space="preserve"> </w:t>
      </w:r>
      <w:r w:rsidRPr="00181227">
        <w:rPr>
          <w:vertAlign w:val="superscript"/>
          <w:lang w:val="en-AU"/>
        </w:rPr>
        <w:t>a</w:t>
      </w:r>
      <w:r w:rsidRPr="00181227">
        <w:rPr>
          <w:lang w:val="en-AU"/>
        </w:rPr>
        <w:t>Examples of relevant CT and MRI items included.</w:t>
      </w:r>
    </w:p>
    <w:p w14:paraId="01F34D75" w14:textId="77777777" w:rsidR="00227C1C" w:rsidRPr="00D85E09" w:rsidRDefault="00227C1C" w:rsidP="00227C1C">
      <w:pPr>
        <w:pStyle w:val="Tablefootnote"/>
        <w:rPr>
          <w:lang w:val="en-AU"/>
        </w:rPr>
      </w:pPr>
      <w:r w:rsidRPr="00D85E09">
        <w:rPr>
          <w:lang w:val="en-AU"/>
        </w:rPr>
        <w:t>Abbreviations: TBD, to be determined; CTA, computed tomography angiography; MRI, magnetic resonance imaging</w:t>
      </w:r>
    </w:p>
    <w:p w14:paraId="560ECE56" w14:textId="5AD0B91A" w:rsidR="000C04B5" w:rsidRPr="00D85E09" w:rsidRDefault="000C04B5" w:rsidP="0043316B">
      <w:pPr>
        <w:widowControl w:val="0"/>
        <w:spacing w:before="360"/>
      </w:pPr>
      <w:r w:rsidRPr="00D85E09">
        <w:t>The proposed descriptor is intended to ensure that provision of MT on the MBS achieves optimal patient outcomes, consistent with those observed in clinical trials. Further consultation with relevant clinical societies is required to determine accreditation and registry participation requirements. Considered together, selection of patients in accordance with clinical practice guidelines and provision of the proposed service by suitably accredited operators and hospitals should ensure that MT is only provided to patients that will benefit from this therapy.</w:t>
      </w:r>
      <w:r w:rsidR="002B710A">
        <w:t xml:space="preserve"> </w:t>
      </w:r>
      <w:r w:rsidRPr="00D85E09">
        <w:t>The fee for the proposed service is $3</w:t>
      </w:r>
      <w:r w:rsidR="001C668D" w:rsidRPr="00D85E09">
        <w:t>,</w:t>
      </w:r>
      <w:r w:rsidRPr="00D85E09">
        <w:t>500. This amount reflects the complexity, duration and skills required to provide the service.</w:t>
      </w:r>
    </w:p>
    <w:p w14:paraId="110EA2F8" w14:textId="0A08A795" w:rsidR="000C04B5" w:rsidRPr="00D85E09" w:rsidRDefault="000C04B5" w:rsidP="0043316B">
      <w:pPr>
        <w:widowControl w:val="0"/>
        <w:spacing w:before="360"/>
      </w:pPr>
      <w:r w:rsidRPr="00D85E09">
        <w:rPr>
          <w:rFonts w:ascii="Arial+FPEF" w:hAnsi="Arial+FPEF" w:cs="Arial+FPEF"/>
        </w:rPr>
        <w:lastRenderedPageBreak/>
        <w:t>From a technical perspective, MT for AIS is considered more challenging than other neuro</w:t>
      </w:r>
      <w:r w:rsidR="00300BB6" w:rsidRPr="00D85E09">
        <w:rPr>
          <w:rFonts w:ascii="Arial+FPEF" w:hAnsi="Arial+FPEF" w:cs="Arial+FPEF"/>
        </w:rPr>
        <w:t>interventional</w:t>
      </w:r>
      <w:r w:rsidRPr="00D85E09">
        <w:rPr>
          <w:rFonts w:ascii="Arial+FPEF" w:hAnsi="Arial+FPEF" w:cs="Arial+FPEF"/>
        </w:rPr>
        <w:t xml:space="preserve"> procedures. </w:t>
      </w:r>
      <w:r w:rsidRPr="00D85E09">
        <w:t>A potentially similar service to MT is the endovascular coiling of intra</w:t>
      </w:r>
      <w:r w:rsidR="00300BB6" w:rsidRPr="00D85E09">
        <w:t>-cranial</w:t>
      </w:r>
      <w:r w:rsidRPr="00D85E09">
        <w:t xml:space="preserve"> aneurisms (MBS </w:t>
      </w:r>
      <w:r w:rsidR="00F67AF7" w:rsidRPr="00D85E09">
        <w:t>i</w:t>
      </w:r>
      <w:r w:rsidRPr="00D85E09">
        <w:t xml:space="preserve">tem 35412; </w:t>
      </w:r>
      <w:r w:rsidRPr="00D85E09">
        <w:rPr>
          <w:rFonts w:ascii="Arial+FPEF" w:hAnsi="Arial+FPEF" w:cs="Arial+FPEF"/>
        </w:rPr>
        <w:t>$2,857.55</w:t>
      </w:r>
      <w:r w:rsidRPr="00D85E09">
        <w:t>). However, MT is considered technically more challenging than this procedure due to the fact that the average patient for aneurysm is relatively young with more straightforward vascular access. By comparison, typical stroke patients who could benefit from MT are elderly, when vasculature becomes increasingly tortuous and difficult to navigate. Furthermore, traversing occluded vessels in AIS is more technically challenging; wire/microcatheter navigation requires precision in circumstances where there is no definitive path through an occlusion.</w:t>
      </w:r>
    </w:p>
    <w:p w14:paraId="798EC2E1" w14:textId="129E8D12" w:rsidR="000C04B5" w:rsidRPr="00D85E09" w:rsidRDefault="000C04B5" w:rsidP="0043316B">
      <w:pPr>
        <w:widowControl w:val="0"/>
        <w:spacing w:before="360"/>
      </w:pPr>
      <w:r w:rsidRPr="00D85E09">
        <w:t>A detailed justification for the proposed fee, including cost</w:t>
      </w:r>
      <w:r w:rsidR="00D32933" w:rsidRPr="00D85E09">
        <w:t xml:space="preserve"> </w:t>
      </w:r>
      <w:r w:rsidRPr="00D85E09">
        <w:t xml:space="preserve">estimates for each component of the service, is presented in </w:t>
      </w:r>
      <w:r w:rsidR="001C668D" w:rsidRPr="00D85E09">
        <w:t>Section C.5</w:t>
      </w:r>
      <w:r w:rsidRPr="00D85E09">
        <w:t xml:space="preserve"> of this submission.</w:t>
      </w:r>
    </w:p>
    <w:p w14:paraId="74D73A2E" w14:textId="77777777" w:rsidR="000C04B5" w:rsidRPr="00D85E09" w:rsidRDefault="000C04B5" w:rsidP="0043316B">
      <w:pPr>
        <w:pStyle w:val="Heading2"/>
        <w:widowControl w:val="0"/>
        <w:ind w:left="851" w:hanging="851"/>
        <w:rPr>
          <w:lang w:val="en-AU"/>
        </w:rPr>
      </w:pPr>
      <w:bookmarkStart w:id="69" w:name="_Toc358217046"/>
      <w:bookmarkStart w:id="70" w:name="_Ref361143521"/>
      <w:bookmarkStart w:id="71" w:name="_Toc362869552"/>
      <w:bookmarkStart w:id="72" w:name="_Toc453065245"/>
      <w:r w:rsidRPr="00D85E09">
        <w:rPr>
          <w:lang w:val="en-AU"/>
        </w:rPr>
        <w:t>Intervention details</w:t>
      </w:r>
      <w:bookmarkEnd w:id="69"/>
      <w:bookmarkEnd w:id="70"/>
      <w:bookmarkEnd w:id="71"/>
      <w:bookmarkEnd w:id="72"/>
    </w:p>
    <w:p w14:paraId="7FDFEE11" w14:textId="77777777" w:rsidR="000C04B5" w:rsidRPr="00D85E09" w:rsidRDefault="000C04B5" w:rsidP="0043316B">
      <w:pPr>
        <w:pStyle w:val="Heading3"/>
        <w:keepNext w:val="0"/>
        <w:widowControl w:val="0"/>
        <w:rPr>
          <w:lang w:val="en-AU"/>
        </w:rPr>
      </w:pPr>
      <w:bookmarkStart w:id="73" w:name="_Toc358217047"/>
      <w:bookmarkStart w:id="74" w:name="_Ref358386794"/>
      <w:bookmarkStart w:id="75" w:name="_Toc362869553"/>
      <w:bookmarkStart w:id="76" w:name="_Toc453065246"/>
      <w:r w:rsidRPr="00D85E09">
        <w:rPr>
          <w:lang w:val="en-AU"/>
        </w:rPr>
        <w:t xml:space="preserve">Delivery of the </w:t>
      </w:r>
      <w:bookmarkEnd w:id="73"/>
      <w:bookmarkEnd w:id="74"/>
      <w:r w:rsidRPr="00D85E09">
        <w:rPr>
          <w:lang w:val="en-AU"/>
        </w:rPr>
        <w:t>intervention</w:t>
      </w:r>
      <w:bookmarkEnd w:id="75"/>
      <w:bookmarkEnd w:id="76"/>
    </w:p>
    <w:p w14:paraId="4CBD1004" w14:textId="77777777" w:rsidR="000C04B5" w:rsidRPr="00D85E09" w:rsidRDefault="000C04B5" w:rsidP="0043316B">
      <w:pPr>
        <w:pStyle w:val="Heading4"/>
        <w:keepLines w:val="0"/>
        <w:widowControl w:val="0"/>
        <w:rPr>
          <w:lang w:val="en-AU"/>
        </w:rPr>
      </w:pPr>
      <w:r w:rsidRPr="00D85E09">
        <w:rPr>
          <w:lang w:val="en-AU"/>
        </w:rPr>
        <w:t>Proposed clinical setting</w:t>
      </w:r>
    </w:p>
    <w:p w14:paraId="0C1C3D74" w14:textId="70009672" w:rsidR="000C04B5" w:rsidRPr="00D85E09" w:rsidRDefault="000C04B5" w:rsidP="0043316B">
      <w:pPr>
        <w:widowControl w:val="0"/>
      </w:pPr>
      <w:r w:rsidRPr="00D85E09">
        <w:t>MT is a highly specialised procedure. It is a time-critical treatment, with the greatest benefit achieved with early restoration of blood flow. Time to reperfusion is well established as a major determinant of outcome in patients with LVO (Goyal et al, 2015; Khatri et al, 2009). To optimise outcomes, patients should be transferred to the closest centre that can provide the proposed service: this may be as an inpatient service in a private or public hospital.</w:t>
      </w:r>
    </w:p>
    <w:p w14:paraId="326E3002" w14:textId="78F19145" w:rsidR="000C04B5" w:rsidRPr="00D85E09" w:rsidRDefault="000C04B5" w:rsidP="0043316B">
      <w:pPr>
        <w:widowControl w:val="0"/>
      </w:pPr>
      <w:r w:rsidRPr="00D85E09">
        <w:t>Delivery of the intervention requires a well</w:t>
      </w:r>
      <w:r w:rsidR="00300BB6" w:rsidRPr="00D85E09">
        <w:t xml:space="preserve"> </w:t>
      </w:r>
      <w:r w:rsidRPr="00D85E09">
        <w:t>organised system to identify suitable candidates for therapy and rapidly transport them to an MT-capable centre. With regards to the setting for the proposed service, the Applicant notes guidance for MT states its use “</w:t>
      </w:r>
      <w:r w:rsidRPr="00D85E09">
        <w:rPr>
          <w:i/>
        </w:rPr>
        <w:t>should be confined to neuroscience centres incorporating hyperacute stroke units embedded within a high quality comprehensive stroke service with access to neurosurgical, neurocritical care and specialist in and out</w:t>
      </w:r>
      <w:r w:rsidR="00300BB6" w:rsidRPr="00D85E09">
        <w:rPr>
          <w:i/>
        </w:rPr>
        <w:t>patient</w:t>
      </w:r>
      <w:r w:rsidRPr="00D85E09">
        <w:rPr>
          <w:i/>
        </w:rPr>
        <w:t xml:space="preserve"> stroke services. The findings from the trials are generalisable to only those centres that have access to advanced brain imaging facilities and appropriate [neuro]endovascular expertise with efficient in-hospital hyper</w:t>
      </w:r>
      <w:r w:rsidR="00300BB6" w:rsidRPr="00D85E09">
        <w:rPr>
          <w:i/>
        </w:rPr>
        <w:t>acute</w:t>
      </w:r>
      <w:r w:rsidRPr="00D85E09">
        <w:rPr>
          <w:i/>
        </w:rPr>
        <w:t xml:space="preserve"> pathways</w:t>
      </w:r>
      <w:r w:rsidRPr="00D85E09">
        <w:t>” (White et al, 2015). Accordingly, the Australian NSF guidelines also recommend that “</w:t>
      </w:r>
      <w:r w:rsidRPr="00D85E09">
        <w:rPr>
          <w:i/>
        </w:rPr>
        <w:t>all people with stroke should be admitted to hospital and be treated in a stroke unit with a multidisciplinary team</w:t>
      </w:r>
      <w:r w:rsidRPr="00D85E09">
        <w:t>” (NSF, 2010).</w:t>
      </w:r>
    </w:p>
    <w:p w14:paraId="48347E4A" w14:textId="77777777" w:rsidR="000C04B5" w:rsidRPr="00D85E09" w:rsidRDefault="000C04B5" w:rsidP="0043316B">
      <w:pPr>
        <w:pStyle w:val="Heading4"/>
        <w:keepLines w:val="0"/>
        <w:widowControl w:val="0"/>
        <w:rPr>
          <w:lang w:val="en-AU"/>
        </w:rPr>
      </w:pPr>
      <w:r w:rsidRPr="00D85E09">
        <w:rPr>
          <w:lang w:val="en-AU"/>
        </w:rPr>
        <w:t>Accreditation requirements</w:t>
      </w:r>
    </w:p>
    <w:p w14:paraId="20DDB440" w14:textId="35D3309E" w:rsidR="000C04B5" w:rsidRPr="00D85E09" w:rsidRDefault="000C04B5" w:rsidP="0043316B">
      <w:pPr>
        <w:widowControl w:val="0"/>
      </w:pPr>
      <w:r w:rsidRPr="00D85E09">
        <w:t xml:space="preserve">MT is a technically challenging procedure, and should only be performed by highly trained radiologists, neurologists or neurosurgeons who have specialist skills in neurointervention. </w:t>
      </w:r>
      <w:r w:rsidRPr="00D85E09">
        <w:lastRenderedPageBreak/>
        <w:t>Close cooperation and integrated care between</w:t>
      </w:r>
      <w:r w:rsidR="00E56287" w:rsidRPr="00D85E09">
        <w:t xml:space="preserve"> endovascular clot retrieval</w:t>
      </w:r>
      <w:r w:rsidRPr="00D85E09">
        <w:t xml:space="preserve"> </w:t>
      </w:r>
      <w:r w:rsidR="00E56287" w:rsidRPr="00D85E09">
        <w:t>(</w:t>
      </w:r>
      <w:r w:rsidRPr="00D85E09">
        <w:t>ECR</w:t>
      </w:r>
      <w:r w:rsidR="00E56287" w:rsidRPr="00D85E09">
        <w:t>)</w:t>
      </w:r>
      <w:r w:rsidRPr="00D85E09">
        <w:t xml:space="preserve"> neurointerventionists and multidisciplinary stroke unit teams is required to maximise the benefit to patients. Increased procedural volume provides opportunities for improved patient outcomes and staff training (Adamczyk et al, 2013).</w:t>
      </w:r>
    </w:p>
    <w:p w14:paraId="7458CD25" w14:textId="2A83CBD2" w:rsidR="000C04B5" w:rsidRPr="00D85E09" w:rsidRDefault="000C04B5" w:rsidP="0043316B">
      <w:pPr>
        <w:widowControl w:val="0"/>
      </w:pPr>
      <w:r w:rsidRPr="00D85E09">
        <w:t>The European Stroke Organisation consensus statement states that “</w:t>
      </w:r>
      <w:r w:rsidRPr="00D85E09">
        <w:rPr>
          <w:i/>
        </w:rPr>
        <w:t>mechanical thrombectomy should be performed by a trained and experienced neurointerventionalist who meets national and/or international requirements</w:t>
      </w:r>
      <w:r w:rsidRPr="00D85E09">
        <w:t>” (ESO, 2014). Similarly, a standards document representing professional bodies from the U.K. states “</w:t>
      </w:r>
      <w:r w:rsidRPr="00D85E09">
        <w:rPr>
          <w:i/>
        </w:rPr>
        <w:t>the decision to undertake endovascular stroke therapy should be made jointly by a multidisciplinary team compromising a consultant stroke physician, (neuro)interventionist (with the necessary experience and skills) and an anaesthetist (preferably experienced in neurological care)</w:t>
      </w:r>
      <w:r w:rsidRPr="00D85E09">
        <w:t>” (White et al, 2015).</w:t>
      </w:r>
    </w:p>
    <w:p w14:paraId="0DC2F2BD" w14:textId="7351559F" w:rsidR="000C04B5" w:rsidRPr="00D85E09" w:rsidRDefault="000C04B5" w:rsidP="0043316B">
      <w:pPr>
        <w:widowControl w:val="0"/>
      </w:pPr>
      <w:r w:rsidRPr="00D85E09">
        <w:t>In Australia training and accreditation relevant to the proposed service is described in the Conjoint Committee Guidelines for Recognition of Training in Interventional Neuroradiology (INR) (CCINR, 2015). The CCINR are amongst several groups who have developed an international consensus on training for MT The Applicant recognises that appropriate operator training/accreditation and setting capabilities are necessary to achieve optimal patient outcomes with MT that have been observed in clinical trials. Increased procedural volume will also provide opportunities for improved patient outcomes and staff training.</w:t>
      </w:r>
    </w:p>
    <w:p w14:paraId="0AE6FE87" w14:textId="77777777" w:rsidR="000C04B5" w:rsidRPr="00D85E09" w:rsidRDefault="000C04B5" w:rsidP="0043316B">
      <w:pPr>
        <w:pStyle w:val="Heading4"/>
        <w:keepLines w:val="0"/>
        <w:widowControl w:val="0"/>
        <w:rPr>
          <w:lang w:val="en-AU"/>
        </w:rPr>
      </w:pPr>
      <w:r w:rsidRPr="00D85E09">
        <w:rPr>
          <w:lang w:val="en-AU"/>
        </w:rPr>
        <w:t>Service delivery</w:t>
      </w:r>
    </w:p>
    <w:p w14:paraId="5ABF278E" w14:textId="159579B0" w:rsidR="000C04B5" w:rsidRPr="00D85E09" w:rsidRDefault="000C04B5" w:rsidP="0043316B">
      <w:pPr>
        <w:widowControl w:val="0"/>
      </w:pPr>
      <w:r w:rsidRPr="00D85E09">
        <w:rPr>
          <w:rFonts w:eastAsiaTheme="minorHAnsi"/>
        </w:rPr>
        <w:t>MT</w:t>
      </w:r>
      <w:r w:rsidRPr="00D85E09">
        <w:t xml:space="preserve"> is performed in an angiography suite or catheterisation lab. Hospitals must have neuroimaging modalities similar to those used for endovascular coiling of intra</w:t>
      </w:r>
      <w:r w:rsidR="00300BB6" w:rsidRPr="00D85E09">
        <w:t>-cranial</w:t>
      </w:r>
      <w:r w:rsidRPr="00D85E09">
        <w:t xml:space="preserve"> aneurysms. Neuroimaging is required to guide the procedure as well as other general neurointerventional devices such as guidewires, microcatheters, and other access devices. Whilst the exact procedure may vary depending on the type of MT device being used, an example of the procedure with a retrievable stent is explained below:</w:t>
      </w:r>
    </w:p>
    <w:p w14:paraId="725D5A5C" w14:textId="508F09C6" w:rsidR="000C04B5" w:rsidRPr="00D85E09" w:rsidRDefault="000C04B5" w:rsidP="0043316B">
      <w:pPr>
        <w:widowControl w:val="0"/>
      </w:pPr>
      <w:r w:rsidRPr="00D85E09">
        <w:t>“</w:t>
      </w:r>
      <w:r w:rsidRPr="00D85E09">
        <w:rPr>
          <w:i/>
        </w:rPr>
        <w:t>A balloon-guided catheter is placed proximal to the intra</w:t>
      </w:r>
      <w:r w:rsidR="00300BB6" w:rsidRPr="00D85E09">
        <w:rPr>
          <w:i/>
        </w:rPr>
        <w:t>-cranial</w:t>
      </w:r>
      <w:r w:rsidRPr="00D85E09">
        <w:rPr>
          <w:i/>
        </w:rPr>
        <w:t xml:space="preserve"> thrombus. A guide-wire is passed through the thrombus and then a microcatheter is passed over the guide-wire through the thrombus. The guide-wire is withdrawn and the stent retriever is passed through the micro</w:t>
      </w:r>
      <w:r w:rsidR="00300BB6" w:rsidRPr="00D85E09">
        <w:rPr>
          <w:i/>
        </w:rPr>
        <w:t>catheter</w:t>
      </w:r>
      <w:r w:rsidRPr="00D85E09">
        <w:rPr>
          <w:i/>
        </w:rPr>
        <w:t xml:space="preserve"> to position the distal end a few millimetres distal to the thrombus. The microcatheter is then withdrawn while the retrievable stent device is held in place and the stent opens within the thrombus, allowing the tines of the stent to capture the thrombus. At this point, contrast can be injected through the balloon guide catheter to assess for distal perfusion. After a short period (5 minutes), the balloon is inflated proximally to achieve flow </w:t>
      </w:r>
      <w:r w:rsidRPr="00D85E09">
        <w:rPr>
          <w:i/>
        </w:rPr>
        <w:lastRenderedPageBreak/>
        <w:t>arrest and the microcatheter and stent is retracted gradually into the guiding catheter while aspirating the guide catheter. The balloon is then deflated and a control angiogram confirms if the clot has been removed. If not, this process can be repeated several times</w:t>
      </w:r>
      <w:r w:rsidRPr="00D85E09">
        <w:t>” (OHTAC, 2016).</w:t>
      </w:r>
    </w:p>
    <w:p w14:paraId="02606B38" w14:textId="62516EBF" w:rsidR="000C04B5" w:rsidRPr="00D85E09" w:rsidRDefault="000C04B5" w:rsidP="0043316B">
      <w:pPr>
        <w:widowControl w:val="0"/>
      </w:pPr>
      <w:r w:rsidRPr="00D85E09">
        <w:t>Additionally, the Instructions for Use for the S</w:t>
      </w:r>
      <w:r w:rsidR="00AB4BBF" w:rsidRPr="00D85E09">
        <w:t>OLITAIRE</w:t>
      </w:r>
      <w:r w:rsidRPr="00D85E09">
        <w:t xml:space="preserve"> 2 Revasculari</w:t>
      </w:r>
      <w:r w:rsidR="00E56287" w:rsidRPr="00D85E09">
        <w:t>s</w:t>
      </w:r>
      <w:r w:rsidRPr="00D85E09">
        <w:t xml:space="preserve">ation Device (Medtronic) are provided in </w:t>
      </w:r>
      <w:r w:rsidR="00164B46">
        <w:t>Appendix A</w:t>
      </w:r>
      <w:r w:rsidRPr="00D85E09">
        <w:t xml:space="preserve"> to this submission.</w:t>
      </w:r>
    </w:p>
    <w:p w14:paraId="47FDF71E" w14:textId="2631D323" w:rsidR="000C04B5" w:rsidRPr="00D85E09" w:rsidRDefault="000C04B5" w:rsidP="0043316B">
      <w:pPr>
        <w:widowControl w:val="0"/>
      </w:pPr>
      <w:r w:rsidRPr="00D85E09">
        <w:t>To minimise delays in access to thrombolytic therapy, stroke management guidelines recommend coordinating pre-hospital and in-hospital pathways and systems for patients with acute stroke (NSF, 2010; Department of Human Health Services, 2016). Similarly, stroke centres often aim to optimise efficiency of acute stroke management through the implementation of protocols that precisely guide patient evaluation and treatment, providing benchmarks for the time that should be required to complete each step. It is expected that optimised delivery of MT will require its integration within these existing protocols. Hence, the pathway of care for the proposed service will contain elements of current protocols, including ambulance pre-notification of the neurointervention service to initiate preparation of the angiography suite or catheterisation lab. A recently</w:t>
      </w:r>
      <w:r w:rsidR="00300BB6" w:rsidRPr="00D85E09">
        <w:t xml:space="preserve"> </w:t>
      </w:r>
      <w:r w:rsidRPr="00D85E09">
        <w:t>published Victorian state protocol details the management protocol for patients identified as potential candidates for endovascular clot retrieval and outlines the process for transferring patients to a state</w:t>
      </w:r>
      <w:r w:rsidR="00300BB6" w:rsidRPr="00D85E09">
        <w:t>wide</w:t>
      </w:r>
      <w:r w:rsidRPr="00D85E09">
        <w:t xml:space="preserve"> clot retrieval centre. The patient journey is described, including the duties and responsibilities of the principal care providers, including metropolitan and regional hospitals; Ambulance Victoria; the Victorian Stroke Telemedicine (VST) program; and the specialist stroke centres (Department of Human Health Services, 2016). The use of protocols to guide patient assessment and treatment is discussed further in Section A.5.</w:t>
      </w:r>
    </w:p>
    <w:p w14:paraId="74FE2771" w14:textId="5486DBF0" w:rsidR="000C04B5" w:rsidRPr="00D85E09" w:rsidRDefault="000C04B5" w:rsidP="0043316B">
      <w:pPr>
        <w:widowControl w:val="0"/>
        <w:rPr>
          <w:rFonts w:eastAsiaTheme="minorHAnsi"/>
        </w:rPr>
      </w:pPr>
      <w:r w:rsidRPr="00D85E09">
        <w:t xml:space="preserve">MT can be done under general anaesthesia or conscious sedation. Guidelines are not definitive in recommending one technique over the other. </w:t>
      </w:r>
      <w:r w:rsidRPr="00D85E09">
        <w:rPr>
          <w:rFonts w:eastAsiaTheme="minorHAnsi"/>
        </w:rPr>
        <w:t xml:space="preserve">As shown in </w:t>
      </w:r>
      <w:r w:rsidRPr="00D85E09">
        <w:rPr>
          <w:rFonts w:eastAsiaTheme="minorHAnsi"/>
        </w:rPr>
        <w:fldChar w:fldCharType="begin"/>
      </w:r>
      <w:r w:rsidRPr="00D85E09">
        <w:rPr>
          <w:rFonts w:eastAsiaTheme="minorHAnsi"/>
        </w:rPr>
        <w:instrText xml:space="preserve"> REF _Ref443465994 \h </w:instrText>
      </w:r>
      <w:r w:rsidRPr="00D85E09">
        <w:rPr>
          <w:rFonts w:eastAsiaTheme="minorHAnsi"/>
        </w:rPr>
      </w:r>
      <w:r w:rsidRPr="00D85E09">
        <w:rPr>
          <w:rFonts w:eastAsiaTheme="minorHAnsi"/>
        </w:rPr>
        <w:fldChar w:fldCharType="separate"/>
      </w:r>
      <w:r w:rsidR="00A456ED" w:rsidRPr="00D85E09">
        <w:t xml:space="preserve">Table </w:t>
      </w:r>
      <w:r w:rsidR="00A456ED">
        <w:rPr>
          <w:noProof/>
        </w:rPr>
        <w:t>6</w:t>
      </w:r>
      <w:r w:rsidRPr="00D85E09">
        <w:rPr>
          <w:rFonts w:eastAsiaTheme="minorHAnsi"/>
        </w:rPr>
        <w:fldChar w:fldCharType="end"/>
      </w:r>
      <w:r w:rsidRPr="00D85E09">
        <w:rPr>
          <w:rFonts w:eastAsiaTheme="minorHAnsi"/>
        </w:rPr>
        <w:t xml:space="preserve">, the guidelines generally recommend that the choice should depend on individual patient characteristics (e.g. neurological status and airway control), with a preference for conscious sedation, where appropriate. However, it should be noted that an increasing body of retrospective data demonstrate that patient outcomes are worse for patients treated under general anaesthesia compared to monitored anaesthesia care or conscious sedation. Patients under conscious sedation have been shown to have a lower final infarct burden, lower incidence of pneumonia and shorter stay in the ICU (Jumaa et al, 2010; Abou-Chebl et al, 2010). More recent data from MR CLEAN demonstrated a similar effect in prospective fashion (Berkhemer, 2015). Conscious sedation accelerates times from suite arrival to groin access </w:t>
      </w:r>
      <w:r w:rsidRPr="00D85E09">
        <w:rPr>
          <w:rFonts w:eastAsiaTheme="minorHAnsi"/>
        </w:rPr>
        <w:lastRenderedPageBreak/>
        <w:t>by eliminating anaesthesia induction and intubation times. Further, it permits intra- and post-procedural neurological examination and rapid post</w:t>
      </w:r>
      <w:r w:rsidR="00300BB6" w:rsidRPr="00D85E09">
        <w:rPr>
          <w:rFonts w:eastAsiaTheme="minorHAnsi"/>
        </w:rPr>
        <w:t xml:space="preserve"> </w:t>
      </w:r>
      <w:r w:rsidRPr="00D85E09">
        <w:rPr>
          <w:rFonts w:eastAsiaTheme="minorHAnsi"/>
        </w:rPr>
        <w:t>procedure recovery (Telles Cougo-Pinto et al, 2015).</w:t>
      </w:r>
    </w:p>
    <w:p w14:paraId="553C2052" w14:textId="5ADD79B5" w:rsidR="000C04B5" w:rsidRPr="00D85E09" w:rsidRDefault="000C04B5" w:rsidP="0043316B">
      <w:pPr>
        <w:pStyle w:val="Caption"/>
        <w:keepNext w:val="0"/>
        <w:widowControl w:val="0"/>
        <w:rPr>
          <w:b w:val="0"/>
          <w:i/>
          <w:lang w:val="en-AU"/>
        </w:rPr>
      </w:pPr>
      <w:bookmarkStart w:id="77" w:name="_Ref443465994"/>
      <w:bookmarkStart w:id="78" w:name="_Toc45306534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w:t>
      </w:r>
      <w:r w:rsidRPr="00D85E09">
        <w:rPr>
          <w:lang w:val="en-AU"/>
        </w:rPr>
        <w:fldChar w:fldCharType="end"/>
      </w:r>
      <w:bookmarkEnd w:id="77"/>
      <w:r w:rsidRPr="00D85E09">
        <w:rPr>
          <w:lang w:val="en-AU"/>
        </w:rPr>
        <w:tab/>
        <w:t>Summary of the use of general anaesthesia in key trials and international guidance</w:t>
      </w:r>
      <w:bookmarkEnd w:id="78"/>
    </w:p>
    <w:tbl>
      <w:tblPr>
        <w:tblStyle w:val="TableGrid"/>
        <w:tblW w:w="5000" w:type="pct"/>
        <w:tblCellMar>
          <w:left w:w="57" w:type="dxa"/>
          <w:right w:w="57" w:type="dxa"/>
        </w:tblCellMar>
        <w:tblLook w:val="04A0" w:firstRow="1" w:lastRow="0" w:firstColumn="1" w:lastColumn="0" w:noHBand="0" w:noVBand="1"/>
        <w:tblDescription w:val="Table 6 Summary of the use of general anaesthesia in key trials and international guidance "/>
      </w:tblPr>
      <w:tblGrid>
        <w:gridCol w:w="1397"/>
        <w:gridCol w:w="2045"/>
        <w:gridCol w:w="1887"/>
        <w:gridCol w:w="3856"/>
      </w:tblGrid>
      <w:tr w:rsidR="000C04B5" w:rsidRPr="00D85E09" w14:paraId="075DFE63" w14:textId="77777777" w:rsidTr="000C04B5">
        <w:trPr>
          <w:trHeight w:val="464"/>
          <w:tblHeader/>
        </w:trPr>
        <w:tc>
          <w:tcPr>
            <w:tcW w:w="761" w:type="pct"/>
          </w:tcPr>
          <w:p w14:paraId="7EB0D6CE" w14:textId="77777777" w:rsidR="000C04B5" w:rsidRPr="00D85E09" w:rsidRDefault="000C04B5" w:rsidP="0043316B">
            <w:pPr>
              <w:pStyle w:val="Tabletext"/>
              <w:keepNext w:val="0"/>
              <w:widowControl w:val="0"/>
              <w:rPr>
                <w:b/>
              </w:rPr>
            </w:pPr>
            <w:r w:rsidRPr="00D85E09">
              <w:rPr>
                <w:b/>
              </w:rPr>
              <w:t xml:space="preserve">Trial evidence </w:t>
            </w:r>
          </w:p>
        </w:tc>
        <w:tc>
          <w:tcPr>
            <w:tcW w:w="1113" w:type="pct"/>
          </w:tcPr>
          <w:p w14:paraId="612DA80D" w14:textId="77777777" w:rsidR="000C04B5" w:rsidRPr="00D85E09" w:rsidRDefault="000C04B5" w:rsidP="0043316B">
            <w:pPr>
              <w:pStyle w:val="Tabletext"/>
              <w:keepNext w:val="0"/>
              <w:widowControl w:val="0"/>
              <w:rPr>
                <w:b/>
              </w:rPr>
            </w:pPr>
            <w:r w:rsidRPr="00D85E09">
              <w:rPr>
                <w:b/>
              </w:rPr>
              <w:t xml:space="preserve">US guidelines (Powers et al., 2015) </w:t>
            </w:r>
          </w:p>
        </w:tc>
        <w:tc>
          <w:tcPr>
            <w:tcW w:w="1027" w:type="pct"/>
          </w:tcPr>
          <w:p w14:paraId="2F94E772" w14:textId="77777777" w:rsidR="000C04B5" w:rsidRPr="00D85E09" w:rsidRDefault="000C04B5" w:rsidP="0043316B">
            <w:pPr>
              <w:pStyle w:val="Tabletext"/>
              <w:keepNext w:val="0"/>
              <w:widowControl w:val="0"/>
              <w:rPr>
                <w:b/>
              </w:rPr>
            </w:pPr>
            <w:r w:rsidRPr="00D85E09">
              <w:rPr>
                <w:b/>
              </w:rPr>
              <w:t>European guidance (ESO, 2014)</w:t>
            </w:r>
          </w:p>
        </w:tc>
        <w:tc>
          <w:tcPr>
            <w:tcW w:w="2099" w:type="pct"/>
          </w:tcPr>
          <w:p w14:paraId="7E7FC964" w14:textId="77777777" w:rsidR="000C04B5" w:rsidRPr="00D85E09" w:rsidRDefault="000C04B5" w:rsidP="0043316B">
            <w:pPr>
              <w:pStyle w:val="Tabletext"/>
              <w:keepNext w:val="0"/>
              <w:widowControl w:val="0"/>
              <w:rPr>
                <w:b/>
              </w:rPr>
            </w:pPr>
            <w:r w:rsidRPr="00D85E09">
              <w:rPr>
                <w:b/>
              </w:rPr>
              <w:t>UK Standards of care (White et al, 2015)</w:t>
            </w:r>
          </w:p>
        </w:tc>
      </w:tr>
      <w:tr w:rsidR="000C04B5" w:rsidRPr="00D85E09" w14:paraId="342CD485" w14:textId="77777777" w:rsidTr="000C04B5">
        <w:trPr>
          <w:trHeight w:val="557"/>
        </w:trPr>
        <w:tc>
          <w:tcPr>
            <w:tcW w:w="761" w:type="pct"/>
          </w:tcPr>
          <w:p w14:paraId="3BF4D596" w14:textId="77777777" w:rsidR="000C04B5" w:rsidRPr="00D85E09" w:rsidRDefault="000C04B5" w:rsidP="0043316B">
            <w:pPr>
              <w:pStyle w:val="Tabletext"/>
              <w:keepNext w:val="0"/>
              <w:widowControl w:val="0"/>
            </w:pPr>
            <w:r w:rsidRPr="00D85E09">
              <w:t>Four out of five recent RCTsa had between 35%-38% of patients given general anaesthesia; one study (ESCAPE) had only 9% general anaesthesia.</w:t>
            </w:r>
          </w:p>
        </w:tc>
        <w:tc>
          <w:tcPr>
            <w:tcW w:w="1113" w:type="pct"/>
          </w:tcPr>
          <w:p w14:paraId="3AB2A91E" w14:textId="77777777" w:rsidR="000C04B5" w:rsidRPr="00D85E09" w:rsidRDefault="000C04B5" w:rsidP="0043316B">
            <w:pPr>
              <w:pStyle w:val="Tabletext"/>
              <w:keepNext w:val="0"/>
              <w:widowControl w:val="0"/>
            </w:pPr>
            <w:r w:rsidRPr="00D85E09">
              <w:t>It might be reasonable to favour conscious sedation over general anaesthesia. However, the ultimate selection of anaesthetic technique during MT for should be individualised based on patient risk factors, tolerance of the procedure, and other clinical characteristics. (Class IIb; Level of Evidence C)</w:t>
            </w:r>
          </w:p>
        </w:tc>
        <w:tc>
          <w:tcPr>
            <w:tcW w:w="1027" w:type="pct"/>
          </w:tcPr>
          <w:p w14:paraId="730EC4A1" w14:textId="77777777" w:rsidR="000C04B5" w:rsidRPr="00D85E09" w:rsidRDefault="000C04B5" w:rsidP="0043316B">
            <w:pPr>
              <w:pStyle w:val="Tabletext"/>
              <w:keepNext w:val="0"/>
              <w:widowControl w:val="0"/>
            </w:pPr>
            <w:r w:rsidRPr="00D85E09">
              <w:t>The choice of anaesthesia depends on the individual situation; independently of the method chosen, all efforts should be made to avoid thrombectomy delays (Grade C, Level 2b, KSU Grade C)</w:t>
            </w:r>
          </w:p>
        </w:tc>
        <w:tc>
          <w:tcPr>
            <w:tcW w:w="2099" w:type="pct"/>
          </w:tcPr>
          <w:p w14:paraId="189A4170" w14:textId="77777777" w:rsidR="000C04B5" w:rsidRPr="00D85E09" w:rsidRDefault="000C04B5" w:rsidP="0043316B">
            <w:pPr>
              <w:pStyle w:val="Tabletext"/>
              <w:keepNext w:val="0"/>
              <w:widowControl w:val="0"/>
            </w:pPr>
            <w:r w:rsidRPr="00D85E09">
              <w:t>The choice of anaesthetic should be tailored to the individual patient based on neurological status, airway control and treatment plan in close communication with the interventional neuroradiologist.</w:t>
            </w:r>
          </w:p>
          <w:p w14:paraId="70CD1D5B" w14:textId="77777777" w:rsidR="000C04B5" w:rsidRPr="00D85E09" w:rsidRDefault="000C04B5" w:rsidP="0043316B">
            <w:pPr>
              <w:pStyle w:val="Tabletext"/>
              <w:keepNext w:val="0"/>
              <w:widowControl w:val="0"/>
            </w:pPr>
            <w:r w:rsidRPr="00D85E09">
              <w:t>Local anaesthesia should be aimed for, if feasible, in patients who are cooperative and can protect their airway.</w:t>
            </w:r>
          </w:p>
          <w:p w14:paraId="07EC2AB1" w14:textId="77777777" w:rsidR="000C04B5" w:rsidRPr="00D85E09" w:rsidRDefault="000C04B5" w:rsidP="0043316B">
            <w:pPr>
              <w:pStyle w:val="Tabletext"/>
              <w:keepNext w:val="0"/>
              <w:widowControl w:val="0"/>
            </w:pPr>
            <w:r w:rsidRPr="00D85E09">
              <w:t>General anaesthesia is recommended in patients with a reduced level of consciousness, uncooperative or agitated patients, those who cannot protect their airway or those already intubated.</w:t>
            </w:r>
          </w:p>
          <w:p w14:paraId="0A2E7AE2" w14:textId="77777777" w:rsidR="000C04B5" w:rsidRPr="00D85E09" w:rsidRDefault="000C04B5" w:rsidP="0043316B">
            <w:pPr>
              <w:pStyle w:val="Tabletext"/>
              <w:keepNext w:val="0"/>
              <w:widowControl w:val="0"/>
            </w:pPr>
            <w:r w:rsidRPr="00D85E09">
              <w:t>Patients receiving local anaesthesia with sedation should be monitored and provision made to enable rapid conversion to a general anaesthetic if necessary.</w:t>
            </w:r>
          </w:p>
        </w:tc>
      </w:tr>
    </w:tbl>
    <w:p w14:paraId="36E1B06F" w14:textId="77777777" w:rsidR="000C04B5" w:rsidRPr="00D85E09" w:rsidRDefault="000C04B5" w:rsidP="0043316B">
      <w:pPr>
        <w:pStyle w:val="minoredits"/>
        <w:widowControl w:val="0"/>
        <w:spacing w:before="0" w:after="0" w:line="240" w:lineRule="auto"/>
        <w:rPr>
          <w:rFonts w:ascii="Arial Narrow" w:hAnsi="Arial Narrow"/>
          <w:color w:val="auto"/>
          <w:sz w:val="18"/>
          <w:szCs w:val="18"/>
        </w:rPr>
      </w:pPr>
      <w:r w:rsidRPr="00D85E09">
        <w:rPr>
          <w:rFonts w:ascii="Arial Narrow" w:hAnsi="Arial Narrow"/>
          <w:color w:val="auto"/>
          <w:sz w:val="18"/>
          <w:szCs w:val="18"/>
        </w:rPr>
        <w:t>Abbreviations: AHA, American Heart Association; ASA, American Stroke Association; MT, endovascular thrombectomy; ESO, European Stroke Organisation; KSU, Karolinska Stroke Update; RCT, randomised controlled trial</w:t>
      </w:r>
    </w:p>
    <w:p w14:paraId="0B3A5C0F" w14:textId="77777777" w:rsidR="000C04B5" w:rsidRPr="00D85E09" w:rsidRDefault="000C04B5" w:rsidP="0043316B">
      <w:pPr>
        <w:pStyle w:val="minoredits"/>
        <w:widowControl w:val="0"/>
        <w:spacing w:before="0" w:after="360" w:line="240" w:lineRule="auto"/>
        <w:rPr>
          <w:rFonts w:ascii="Arial Narrow" w:hAnsi="Arial Narrow"/>
          <w:color w:val="auto"/>
          <w:sz w:val="18"/>
          <w:szCs w:val="18"/>
        </w:rPr>
      </w:pPr>
      <w:r w:rsidRPr="00D85E09">
        <w:rPr>
          <w:rFonts w:ascii="Arial Narrow" w:hAnsi="Arial Narrow"/>
          <w:color w:val="auto"/>
          <w:sz w:val="18"/>
          <w:szCs w:val="18"/>
          <w:vertAlign w:val="superscript"/>
        </w:rPr>
        <w:t>a</w:t>
      </w:r>
      <w:r w:rsidRPr="00D85E09">
        <w:rPr>
          <w:rFonts w:ascii="Arial Narrow" w:hAnsi="Arial Narrow"/>
          <w:color w:val="auto"/>
          <w:sz w:val="18"/>
          <w:szCs w:val="18"/>
        </w:rPr>
        <w:t xml:space="preserve"> MR CLEAN, EXTEND-IA, REVASCAT and SWIFT PRIME</w:t>
      </w:r>
    </w:p>
    <w:p w14:paraId="58EA54BC" w14:textId="77777777" w:rsidR="000C04B5" w:rsidRPr="00D85E09" w:rsidRDefault="000C04B5" w:rsidP="0043316B">
      <w:pPr>
        <w:pStyle w:val="Heading3"/>
        <w:keepNext w:val="0"/>
        <w:widowControl w:val="0"/>
        <w:rPr>
          <w:lang w:val="en-AU"/>
        </w:rPr>
      </w:pPr>
      <w:bookmarkStart w:id="79" w:name="_Toc358217048"/>
      <w:bookmarkStart w:id="80" w:name="_Toc362869555"/>
      <w:bookmarkStart w:id="81" w:name="_Toc453065247"/>
      <w:r w:rsidRPr="00D85E09">
        <w:rPr>
          <w:lang w:val="en-AU"/>
        </w:rPr>
        <w:t>Other healthcare resources</w:t>
      </w:r>
      <w:bookmarkEnd w:id="79"/>
      <w:bookmarkEnd w:id="80"/>
      <w:bookmarkEnd w:id="81"/>
    </w:p>
    <w:p w14:paraId="30C18D5C" w14:textId="5618642E" w:rsidR="000C04B5" w:rsidRPr="00D85E09" w:rsidRDefault="000C04B5" w:rsidP="0043316B">
      <w:pPr>
        <w:widowControl w:val="0"/>
        <w:spacing w:before="120"/>
        <w:rPr>
          <w:rFonts w:eastAsiaTheme="minorHAnsi"/>
        </w:rPr>
      </w:pPr>
      <w:r w:rsidRPr="00D85E09">
        <w:t>In the short-term, the majority of healthcare resources required to identify AIS patients who could benefit from reperfusion (proposed service or comparator) are considered to be the same, whether the patients are managed with tPA alone, or with tPA plus MT. However, MT is associated with some additional resources required for neuroimaging (e.g. fluoroscopy) monitoring equipment, and follow-up imaging. For patients who</w:t>
      </w:r>
      <w:r w:rsidRPr="00D85E09">
        <w:rPr>
          <w:rFonts w:eastAsiaTheme="minorHAnsi"/>
        </w:rPr>
        <w:t xml:space="preserve"> are contra</w:t>
      </w:r>
      <w:r w:rsidR="00300BB6" w:rsidRPr="00D85E09">
        <w:rPr>
          <w:rFonts w:eastAsiaTheme="minorHAnsi"/>
        </w:rPr>
        <w:t>indicated</w:t>
      </w:r>
      <w:r w:rsidRPr="00D85E09">
        <w:rPr>
          <w:rFonts w:eastAsiaTheme="minorHAnsi"/>
        </w:rPr>
        <w:t xml:space="preserve"> for IV</w:t>
      </w:r>
      <w:r w:rsidR="00D32933" w:rsidRPr="00D85E09">
        <w:rPr>
          <w:rFonts w:eastAsiaTheme="minorHAnsi"/>
        </w:rPr>
        <w:t>-</w:t>
      </w:r>
      <w:r w:rsidRPr="00D85E09">
        <w:rPr>
          <w:rFonts w:eastAsiaTheme="minorHAnsi"/>
        </w:rPr>
        <w:t>tPA, these same resources are additional to medical management with anti-thrombotic agents.</w:t>
      </w:r>
    </w:p>
    <w:p w14:paraId="0C58CCD4" w14:textId="208950CF" w:rsidR="000C04B5" w:rsidRPr="00D85E09" w:rsidRDefault="000C04B5" w:rsidP="0043316B">
      <w:pPr>
        <w:widowControl w:val="0"/>
        <w:spacing w:before="120"/>
      </w:pPr>
      <w:r w:rsidRPr="00D85E09">
        <w:t>Overall, the availability of MT is anticipated to result in improved rates of reperfusion, and subsequent avoidance of neurological complications with higher rates of functional independence compared to current clinical practice. This translates to reduced healthcare resource use over the longer</w:t>
      </w:r>
      <w:r w:rsidR="00D32933" w:rsidRPr="00D85E09">
        <w:t>-</w:t>
      </w:r>
      <w:r w:rsidRPr="00D85E09">
        <w:t>term (Campbell et al, 2015).</w:t>
      </w:r>
    </w:p>
    <w:p w14:paraId="45B6A2A7" w14:textId="77777777" w:rsidR="000C04B5" w:rsidRPr="00D85E09" w:rsidRDefault="000C04B5" w:rsidP="0043316B">
      <w:pPr>
        <w:pStyle w:val="Heading2"/>
        <w:widowControl w:val="0"/>
        <w:ind w:left="851" w:hanging="851"/>
        <w:rPr>
          <w:lang w:val="en-AU"/>
        </w:rPr>
      </w:pPr>
      <w:bookmarkStart w:id="82" w:name="_Toc358217049"/>
      <w:bookmarkStart w:id="83" w:name="_Ref358386881"/>
      <w:bookmarkStart w:id="84" w:name="_Ref358386917"/>
      <w:bookmarkStart w:id="85" w:name="_Toc362869556"/>
      <w:bookmarkStart w:id="86" w:name="_Toc453065248"/>
      <w:r w:rsidRPr="00D85E09">
        <w:rPr>
          <w:lang w:val="en-AU"/>
        </w:rPr>
        <w:t>Main comparator</w:t>
      </w:r>
      <w:bookmarkStart w:id="87" w:name="_Toc358217050"/>
      <w:bookmarkStart w:id="88" w:name="_Ref358386862"/>
      <w:bookmarkStart w:id="89" w:name="_Ref358386894"/>
      <w:bookmarkEnd w:id="82"/>
      <w:bookmarkEnd w:id="83"/>
      <w:bookmarkEnd w:id="84"/>
      <w:bookmarkEnd w:id="85"/>
      <w:bookmarkEnd w:id="86"/>
    </w:p>
    <w:p w14:paraId="0A8ABF02" w14:textId="02A3DF2C" w:rsidR="000C04B5" w:rsidRPr="00D85E09" w:rsidRDefault="000C04B5" w:rsidP="0043316B">
      <w:pPr>
        <w:widowControl w:val="0"/>
      </w:pPr>
      <w:r w:rsidRPr="00D85E09">
        <w:t xml:space="preserve">For individuals who have AIS, the key to effective treatment is early reperfusion of ischaemic </w:t>
      </w:r>
      <w:r w:rsidRPr="00D85E09">
        <w:lastRenderedPageBreak/>
        <w:t>brain without causing adverse effects. To achieve reperfusion, IV thrombolytic therapy is recommended in treatment guidelines</w:t>
      </w:r>
      <w:r w:rsidRPr="00D85E09">
        <w:rPr>
          <w:vertAlign w:val="superscript"/>
        </w:rPr>
        <w:t xml:space="preserve"> </w:t>
      </w:r>
      <w:r w:rsidRPr="00D85E09">
        <w:t>(NSF, 2010). Several IV thrombolytic therapies are available, the most common being the intravenous recombinant tissue plasminogen activator alteplase (IV</w:t>
      </w:r>
      <w:r w:rsidR="00D32933" w:rsidRPr="00D85E09">
        <w:t>-</w:t>
      </w:r>
      <w:r w:rsidRPr="00D85E09">
        <w:t xml:space="preserve">tPA). Therefore, </w:t>
      </w:r>
      <w:r w:rsidRPr="00D85E09">
        <w:rPr>
          <w:u w:val="single"/>
        </w:rPr>
        <w:t>for patients considered eligible for treatment with IV thrombolytic therapy, the main comparator for MT plus IV thrombolytic therapy is IV thrombolytic therapy alone</w:t>
      </w:r>
      <w:r w:rsidRPr="00D85E09">
        <w:t>.</w:t>
      </w:r>
    </w:p>
    <w:p w14:paraId="07CE5725" w14:textId="16CD1EF1" w:rsidR="000C04B5" w:rsidRPr="00D85E09" w:rsidRDefault="000C04B5" w:rsidP="0043316B">
      <w:pPr>
        <w:widowControl w:val="0"/>
      </w:pPr>
      <w:r w:rsidRPr="00D85E09">
        <w:t>There are strict rules used by doctors in determining if a patient is eligible for tPA. Therefore, in practice the group of patients who receive treatment with IV thrombolytic therapy represents a relatively small proportion (~7%) of all patients presenting with AIS (NSF, 2015). The majority of remaining patients are considered ineligible because they have missed the 4.5 hour window for administration, or have other contraindications such as treatment with oral anti</w:t>
      </w:r>
      <w:r w:rsidR="00300BB6" w:rsidRPr="00D85E09">
        <w:t>coagulants</w:t>
      </w:r>
      <w:r w:rsidRPr="00D85E09">
        <w:t>. The only treatment option available to these patients is medical management, consisting of anti-thrombotic therapy with antiplatelet agents (aspirin) or anti</w:t>
      </w:r>
      <w:r w:rsidR="00300BB6" w:rsidRPr="00D85E09">
        <w:t>coagulants</w:t>
      </w:r>
      <w:r w:rsidRPr="00D85E09">
        <w:t xml:space="preserve">. On this basis, </w:t>
      </w:r>
      <w:r w:rsidRPr="00D85E09">
        <w:rPr>
          <w:u w:val="single"/>
        </w:rPr>
        <w:t>for patients who are contraindicated for IV thrombolytic therapy, the alternative comparator to the proposed service is medical management with anti-thrombotic therapy.</w:t>
      </w:r>
    </w:p>
    <w:p w14:paraId="11F1C863" w14:textId="77777777" w:rsidR="000C04B5" w:rsidRPr="00D85E09" w:rsidRDefault="000C04B5" w:rsidP="0043316B">
      <w:pPr>
        <w:pStyle w:val="Heading2"/>
        <w:widowControl w:val="0"/>
        <w:ind w:left="851" w:hanging="851"/>
        <w:rPr>
          <w:bCs w:val="0"/>
          <w:lang w:val="en-AU"/>
        </w:rPr>
      </w:pPr>
      <w:bookmarkStart w:id="90" w:name="_Toc362869557"/>
      <w:bookmarkStart w:id="91" w:name="_Toc453065249"/>
      <w:r w:rsidRPr="00D85E09">
        <w:rPr>
          <w:bCs w:val="0"/>
          <w:lang w:val="en-AU"/>
        </w:rPr>
        <w:t>Current and proposed clinical management algorithms</w:t>
      </w:r>
      <w:bookmarkEnd w:id="87"/>
      <w:bookmarkEnd w:id="88"/>
      <w:bookmarkEnd w:id="89"/>
      <w:bookmarkEnd w:id="90"/>
      <w:bookmarkEnd w:id="91"/>
    </w:p>
    <w:p w14:paraId="03A13C4F" w14:textId="77777777" w:rsidR="000C04B5" w:rsidRPr="00D85E09" w:rsidRDefault="000C04B5" w:rsidP="0043316B">
      <w:pPr>
        <w:pStyle w:val="Heading3"/>
        <w:keepNext w:val="0"/>
        <w:widowControl w:val="0"/>
        <w:rPr>
          <w:lang w:val="en-AU"/>
        </w:rPr>
      </w:pPr>
      <w:bookmarkStart w:id="92" w:name="_Toc453065250"/>
      <w:r w:rsidRPr="00D85E09">
        <w:rPr>
          <w:lang w:val="en-AU"/>
        </w:rPr>
        <w:t>Summary of clinical practice guidelines and Australian protocols</w:t>
      </w:r>
      <w:bookmarkEnd w:id="92"/>
    </w:p>
    <w:p w14:paraId="5B935AF8" w14:textId="1FCE2FB5" w:rsidR="000C04B5" w:rsidRPr="00D85E09" w:rsidRDefault="000C04B5" w:rsidP="0043316B">
      <w:pPr>
        <w:widowControl w:val="0"/>
      </w:pPr>
      <w:r w:rsidRPr="00D85E09">
        <w:t>One consistent finding across multiple trials in acute stroke is that faster treatment delivery leads to better clinical outcomes (Emberson et al, 2014). Stroke centres currently optimise efficiency of acute stroke management through the implementation of protocols that precisely guide patient evaluation and treatment, providing benchmarks for the time that should be required to complete each step (Meretoja et al, 2013). Protocols also emphasise the importance of managing acute stroke as a parallel process instead of a serialised one, thereby avoiding potential delays from repeated patient transfer between different areas of emergency stroke care.</w:t>
      </w:r>
    </w:p>
    <w:p w14:paraId="3F15C5BE" w14:textId="200C7CE6" w:rsidR="000C04B5" w:rsidRPr="00D85E09" w:rsidRDefault="000C04B5" w:rsidP="0043316B">
      <w:pPr>
        <w:widowControl w:val="0"/>
      </w:pPr>
      <w:r w:rsidRPr="00D85E09">
        <w:t xml:space="preserve">With some variations in sequencing and timing, it is expected that most Australian stroke centres will treat AIS in a manner that broadly reflects the Victorian state protocol for endovascular clot retrieval, presented in </w:t>
      </w:r>
      <w:r w:rsidRPr="00D85E09">
        <w:fldChar w:fldCharType="begin"/>
      </w:r>
      <w:r w:rsidRPr="00D85E09">
        <w:instrText xml:space="preserve"> REF _Ref448841246 \h </w:instrText>
      </w:r>
      <w:r w:rsidRPr="00D85E09">
        <w:fldChar w:fldCharType="separate"/>
      </w:r>
      <w:r w:rsidR="00A456ED" w:rsidRPr="00D85E09">
        <w:t xml:space="preserve">Figure </w:t>
      </w:r>
      <w:r w:rsidR="00A456ED">
        <w:rPr>
          <w:noProof/>
        </w:rPr>
        <w:t>2</w:t>
      </w:r>
      <w:r w:rsidRPr="00D85E09">
        <w:fldChar w:fldCharType="end"/>
      </w:r>
      <w:r w:rsidRPr="00D85E09">
        <w:t>. As discussed previously, this protocol was written in response to positive results from clinical trials of MT with the explicit purpose of integrating the procedure into current stroke management pathways (Department of Human Health Services, 2016).</w:t>
      </w:r>
    </w:p>
    <w:p w14:paraId="414FE835" w14:textId="183E2E21" w:rsidR="000C04B5" w:rsidRPr="00D85E09" w:rsidRDefault="000C04B5" w:rsidP="0043316B">
      <w:pPr>
        <w:widowControl w:val="0"/>
      </w:pPr>
      <w:r w:rsidRPr="00D85E09">
        <w:lastRenderedPageBreak/>
        <w:t xml:space="preserve">Based on advice from clinical practice guidelines and the Victorian state protocol for endovascular clot retrieval, key elements of the treatment algorithm for MT are presented under the headings below. These include pre-hospital pathways, initial assessment, administration of IV </w:t>
      </w:r>
      <w:r w:rsidR="005B7DCE">
        <w:t>tPA</w:t>
      </w:r>
      <w:r w:rsidRPr="00D85E09">
        <w:t>, administration of MT, and post procedure care.</w:t>
      </w:r>
    </w:p>
    <w:p w14:paraId="318C1F75" w14:textId="25FB31BB" w:rsidR="000C04B5" w:rsidRPr="00D85E09" w:rsidRDefault="000C04B5" w:rsidP="0043316B">
      <w:pPr>
        <w:pStyle w:val="Caption"/>
        <w:keepNext w:val="0"/>
        <w:widowControl w:val="0"/>
        <w:rPr>
          <w:lang w:val="en-AU"/>
        </w:rPr>
      </w:pPr>
      <w:bookmarkStart w:id="93" w:name="_Ref448841246"/>
      <w:bookmarkStart w:id="94" w:name="_Toc453065449"/>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2</w:t>
      </w:r>
      <w:r w:rsidRPr="00D85E09">
        <w:rPr>
          <w:lang w:val="en-AU"/>
        </w:rPr>
        <w:fldChar w:fldCharType="end"/>
      </w:r>
      <w:bookmarkEnd w:id="93"/>
      <w:r w:rsidRPr="00D85E09">
        <w:rPr>
          <w:lang w:val="en-AU"/>
        </w:rPr>
        <w:tab/>
        <w:t>Victorian state</w:t>
      </w:r>
      <w:r w:rsidR="00300BB6" w:rsidRPr="00D85E09">
        <w:rPr>
          <w:lang w:val="en-AU"/>
        </w:rPr>
        <w:t>wide</w:t>
      </w:r>
      <w:r w:rsidRPr="00D85E09">
        <w:rPr>
          <w:lang w:val="en-AU"/>
        </w:rPr>
        <w:t xml:space="preserve"> flow diagram of endovascular clot retrieval pathway</w:t>
      </w:r>
      <w:bookmarkEnd w:id="94"/>
    </w:p>
    <w:p w14:paraId="679F9C0D" w14:textId="77777777" w:rsidR="000C04B5" w:rsidRPr="00D85E09" w:rsidRDefault="000C04B5" w:rsidP="0043316B">
      <w:pPr>
        <w:widowControl w:val="0"/>
      </w:pPr>
      <w:r w:rsidRPr="00D85E09">
        <w:rPr>
          <w:noProof/>
          <w:lang w:eastAsia="en-AU"/>
        </w:rPr>
        <w:drawing>
          <wp:inline distT="0" distB="0" distL="0" distR="0" wp14:anchorId="47F5A5E9" wp14:editId="6D400674">
            <wp:extent cx="5760085" cy="3237586"/>
            <wp:effectExtent l="0" t="0" r="0" b="1270"/>
            <wp:docPr id="2" name="Picture 2" descr="This is a diagram that explains the Victorian statewide flow of endovascular clot retriev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85" cy="3237586"/>
                    </a:xfrm>
                    <a:prstGeom prst="rect">
                      <a:avLst/>
                    </a:prstGeom>
                  </pic:spPr>
                </pic:pic>
              </a:graphicData>
            </a:graphic>
          </wp:inline>
        </w:drawing>
      </w:r>
    </w:p>
    <w:p w14:paraId="713282AD" w14:textId="1C45262D" w:rsidR="000C04B5" w:rsidRPr="00D85E09" w:rsidRDefault="000C04B5" w:rsidP="0043316B">
      <w:pPr>
        <w:pStyle w:val="Heading4"/>
        <w:keepLines w:val="0"/>
        <w:widowControl w:val="0"/>
        <w:rPr>
          <w:lang w:val="en-AU"/>
        </w:rPr>
      </w:pPr>
      <w:r w:rsidRPr="00D85E09">
        <w:rPr>
          <w:lang w:val="en-AU"/>
        </w:rPr>
        <w:t>Pre-hospital pathways</w:t>
      </w:r>
    </w:p>
    <w:p w14:paraId="39CC0C87" w14:textId="3E48F9DA" w:rsidR="000C04B5" w:rsidRPr="00D85E09" w:rsidRDefault="000C04B5" w:rsidP="0043316B">
      <w:pPr>
        <w:widowControl w:val="0"/>
      </w:pPr>
      <w:r w:rsidRPr="00D85E09">
        <w:t xml:space="preserve">The Victorian guidance recommends patients whose stroke symptoms started within 4.5 hours are candidates for IV </w:t>
      </w:r>
      <w:r w:rsidR="005B7DCE">
        <w:t>tPA</w:t>
      </w:r>
      <w:r w:rsidRPr="00D85E09">
        <w:t xml:space="preserve">. A patient with a stroke due to a large vessel occlusion is a candidate for both IV </w:t>
      </w:r>
      <w:r w:rsidR="005B7DCE">
        <w:t>tPA</w:t>
      </w:r>
      <w:r w:rsidRPr="00D85E09">
        <w:t xml:space="preserve"> and endovascular clot retrieval, if the patient can get to the clot retrieval centre within six hours of symptom onset. The approach taken by the Victorian Government is concentrating the expertise for delivering the therapy to two centres capable of providing a 24-hour, seven-day service for potential MT patients from across the state.</w:t>
      </w:r>
    </w:p>
    <w:p w14:paraId="64095D40" w14:textId="77777777" w:rsidR="000C04B5" w:rsidRPr="00D85E09" w:rsidRDefault="000C04B5" w:rsidP="0043316B">
      <w:pPr>
        <w:pStyle w:val="Heading4"/>
        <w:keepLines w:val="0"/>
        <w:widowControl w:val="0"/>
        <w:rPr>
          <w:lang w:val="en-AU"/>
        </w:rPr>
      </w:pPr>
      <w:r w:rsidRPr="00D85E09">
        <w:rPr>
          <w:lang w:val="en-AU"/>
        </w:rPr>
        <w:t>Initial assessment</w:t>
      </w:r>
    </w:p>
    <w:p w14:paraId="564B41A8" w14:textId="559932C2" w:rsidR="000C04B5" w:rsidRPr="00D85E09" w:rsidRDefault="000C04B5" w:rsidP="0043316B">
      <w:pPr>
        <w:widowControl w:val="0"/>
      </w:pPr>
      <w:r w:rsidRPr="00D85E09">
        <w:t>Patients admitted for stroke are rapidly assessed on arrival in the emergency department or imaging/neurointerventional service using a validated stroke screening tool such as</w:t>
      </w:r>
      <w:r w:rsidR="00E56287" w:rsidRPr="00D85E09">
        <w:t xml:space="preserve"> National Institutes of Health Stroke Scale</w:t>
      </w:r>
      <w:r w:rsidRPr="00D85E09">
        <w:t xml:space="preserve"> </w:t>
      </w:r>
      <w:r w:rsidR="00E56287" w:rsidRPr="00D85E09">
        <w:t>(</w:t>
      </w:r>
      <w:r w:rsidRPr="00D85E09">
        <w:t>NIHSS</w:t>
      </w:r>
      <w:r w:rsidR="00E56287" w:rsidRPr="00D85E09">
        <w:t>)</w:t>
      </w:r>
      <w:r w:rsidRPr="00D85E09">
        <w:t xml:space="preserve"> or Scandinavian Stroke Scale (SSS) (NSF, 2010). Following this, patients eligible for IV </w:t>
      </w:r>
      <w:r w:rsidR="005B7DCE">
        <w:t>tPA</w:t>
      </w:r>
      <w:r w:rsidRPr="00D85E09">
        <w:t xml:space="preserve"> and/or MT are selected primarily on the basis of the time from stroke onset and the results of advanced imaging. Imaging is an important element of patient selection as it can be used to identify the location of the occlusion and size of the penumbra, the extent of the infarct, the presence of collateral circulation and the extent of </w:t>
      </w:r>
      <w:r w:rsidRPr="00D85E09">
        <w:lastRenderedPageBreak/>
        <w:t>tissue</w:t>
      </w:r>
      <w:r w:rsidR="00300BB6" w:rsidRPr="00D85E09">
        <w:t xml:space="preserve"> </w:t>
      </w:r>
      <w:r w:rsidRPr="00D85E09">
        <w:t>at risk for irreversible ischaemia. The use of up-to-date non-invasive arterial imaging is one of the factors attributed to the success of recent studies of MT when compared to earlier thrombectomy trials (Vo et al, 2015).</w:t>
      </w:r>
    </w:p>
    <w:p w14:paraId="2022A8F8" w14:textId="688166CA" w:rsidR="000C04B5" w:rsidRPr="00D85E09" w:rsidRDefault="000C04B5" w:rsidP="0043316B">
      <w:pPr>
        <w:widowControl w:val="0"/>
      </w:pPr>
      <w:r w:rsidRPr="00D85E09">
        <w:t xml:space="preserve">According to the Victorian statewide service protocol, routine brain imaging for AIS would generally include a non-contrast CT brain and CTA from the aortic arch to the vertex (see </w:t>
      </w:r>
      <w:r w:rsidRPr="00D85E09">
        <w:fldChar w:fldCharType="begin"/>
      </w:r>
      <w:r w:rsidRPr="00D85E09">
        <w:instrText xml:space="preserve"> REF _Ref447804984 \h </w:instrText>
      </w:r>
      <w:r w:rsidRPr="00D85E09">
        <w:fldChar w:fldCharType="separate"/>
      </w:r>
      <w:r w:rsidR="00A456ED" w:rsidRPr="00D85E09">
        <w:t xml:space="preserve">Table </w:t>
      </w:r>
      <w:r w:rsidR="00A456ED">
        <w:rPr>
          <w:noProof/>
        </w:rPr>
        <w:t>7</w:t>
      </w:r>
      <w:r w:rsidRPr="00D85E09">
        <w:fldChar w:fldCharType="end"/>
      </w:r>
      <w:r w:rsidRPr="00D85E09">
        <w:t>). Evidence from the five pivotal RCTs of MT shows this approach to selecting patients results in a substantial clinical benefit (Goyal et al, 2016). Overall, angiography using CTA or MRA was the most widely used approach to vascular imaging and detection of LVO; in most cases for the detection of the occlusion and determining the core size. Whilst it is possible use either CT or MR-based imaging for most parameters, CTA is known to be effective (as shown in the ESCAPE trial) and more rapid than MRA.</w:t>
      </w:r>
    </w:p>
    <w:p w14:paraId="6CB8EAE3" w14:textId="4A6034C0" w:rsidR="000C04B5" w:rsidRPr="00D85E09" w:rsidRDefault="000C04B5" w:rsidP="0043316B">
      <w:pPr>
        <w:widowControl w:val="0"/>
      </w:pPr>
      <w:r w:rsidRPr="00D85E09">
        <w:t>The contribution of other imaging approaches to further refine study populations (such as perfusion or diffusion imaging) remains unclear. Accordingly, the US ASA/AHA guidelines (Powers, 2015) make the following recommendation regarding imaging:</w:t>
      </w:r>
    </w:p>
    <w:p w14:paraId="0D17FA88" w14:textId="5DB85A1E" w:rsidR="000C04B5" w:rsidRPr="00D85E09" w:rsidRDefault="000C04B5" w:rsidP="0043316B">
      <w:pPr>
        <w:widowControl w:val="0"/>
        <w:rPr>
          <w:i/>
        </w:rPr>
      </w:pPr>
      <w:r w:rsidRPr="00D85E09">
        <w:rPr>
          <w:i/>
        </w:rPr>
        <w:t>“the benefits of additional imaging beyond CT and CTA or MR and MRA, such as CT perfusion or diffusion- and perfusion-weighted imaging, for selecting patients for endovascular therapy are unknown (Class IIb; Level of Evidence C). Further randomi</w:t>
      </w:r>
      <w:r w:rsidR="00E56287" w:rsidRPr="00D85E09">
        <w:rPr>
          <w:i/>
        </w:rPr>
        <w:t>s</w:t>
      </w:r>
      <w:r w:rsidRPr="00D85E09">
        <w:rPr>
          <w:i/>
        </w:rPr>
        <w:t>ed, controlled trials may be helpful to determine whether advanced imaging paradigms employing CT perfusion, CTA, and MRI perfusion and diffusion imaging, including measures of infarct core, collateral flow status, and penumbra, are beneficial for selecting patients for acute reperfusion therapy who are within 6 hours of symptom onset and have an ASPECTS &lt;6. Further randomi</w:t>
      </w:r>
      <w:r w:rsidR="00E56287" w:rsidRPr="00D85E09">
        <w:rPr>
          <w:i/>
        </w:rPr>
        <w:t>s</w:t>
      </w:r>
      <w:r w:rsidRPr="00D85E09">
        <w:rPr>
          <w:i/>
        </w:rPr>
        <w:t>ed, controlled trials should be done to determine whether advanced imaging paradigms using CT perfusion and MRI perfusion, CTA, and diffusion imaging, including measures of infarct core, collateral flow status, and penumbra, are beneficial for selecting patients for acute reperfusion therapy who are beyond 6 hours from symptom onset”.</w:t>
      </w:r>
    </w:p>
    <w:p w14:paraId="6BF2F4D1" w14:textId="27960E8C" w:rsidR="002B710A" w:rsidRDefault="000C04B5" w:rsidP="0043316B">
      <w:pPr>
        <w:widowControl w:val="0"/>
      </w:pPr>
      <w:r w:rsidRPr="00D85E09">
        <w:t xml:space="preserve">CT perfusion, although it is listed as an imaging option in </w:t>
      </w:r>
      <w:r w:rsidRPr="00D85E09">
        <w:fldChar w:fldCharType="begin"/>
      </w:r>
      <w:r w:rsidRPr="00D85E09">
        <w:instrText xml:space="preserve"> REF _Ref447804984 \h </w:instrText>
      </w:r>
      <w:r w:rsidRPr="00D85E09">
        <w:fldChar w:fldCharType="separate"/>
      </w:r>
      <w:r w:rsidR="00A456ED" w:rsidRPr="00D85E09">
        <w:t xml:space="preserve">Table </w:t>
      </w:r>
      <w:r w:rsidR="00A456ED">
        <w:rPr>
          <w:noProof/>
        </w:rPr>
        <w:t>7</w:t>
      </w:r>
      <w:r w:rsidRPr="00D85E09">
        <w:fldChar w:fldCharType="end"/>
      </w:r>
      <w:r w:rsidRPr="00D85E09">
        <w:t>, has many limitations, including lack of standardisation, effect of motion and the potential to introduce delays in the decision-making process (Zerna et al, 2015). On this basis, this form of advanced imaging is recommended primarily in patients who are treated 6-8 hours after stroke onset and who are at high risk of “futile” MT.</w:t>
      </w:r>
      <w:r w:rsidR="002B710A">
        <w:br w:type="page"/>
      </w:r>
    </w:p>
    <w:p w14:paraId="62A6E5B8" w14:textId="104182B0" w:rsidR="000C04B5" w:rsidRPr="00D85E09" w:rsidRDefault="000C04B5" w:rsidP="0043316B">
      <w:pPr>
        <w:pStyle w:val="Caption"/>
        <w:keepNext w:val="0"/>
        <w:widowControl w:val="0"/>
        <w:rPr>
          <w:lang w:val="en-AU"/>
        </w:rPr>
      </w:pPr>
      <w:bookmarkStart w:id="95" w:name="_Ref447804984"/>
      <w:bookmarkStart w:id="96" w:name="_Toc453065343"/>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w:t>
      </w:r>
      <w:r w:rsidRPr="00D85E09">
        <w:rPr>
          <w:lang w:val="en-AU"/>
        </w:rPr>
        <w:fldChar w:fldCharType="end"/>
      </w:r>
      <w:bookmarkEnd w:id="95"/>
      <w:r w:rsidRPr="00D85E09">
        <w:rPr>
          <w:lang w:val="en-AU"/>
        </w:rPr>
        <w:tab/>
        <w:t>Recommended brain imaging for suspected stroke in the Victorian statewide service protocol</w:t>
      </w:r>
      <w:bookmarkEnd w:id="96"/>
    </w:p>
    <w:tbl>
      <w:tblPr>
        <w:tblStyle w:val="TableGrid"/>
        <w:tblW w:w="0" w:type="auto"/>
        <w:tblLook w:val="04A0" w:firstRow="1" w:lastRow="0" w:firstColumn="1" w:lastColumn="0" w:noHBand="0" w:noVBand="1"/>
        <w:tblDescription w:val="Table 7. This table shows the recommended brain imaging for suspected stroke in the Victorian statewide service protocol"/>
      </w:tblPr>
      <w:tblGrid>
        <w:gridCol w:w="1384"/>
        <w:gridCol w:w="7620"/>
      </w:tblGrid>
      <w:tr w:rsidR="000C04B5" w:rsidRPr="00D85E09" w14:paraId="000493BC" w14:textId="77777777" w:rsidTr="00BE6331">
        <w:trPr>
          <w:tblHeader/>
        </w:trPr>
        <w:tc>
          <w:tcPr>
            <w:tcW w:w="9004" w:type="dxa"/>
            <w:gridSpan w:val="2"/>
          </w:tcPr>
          <w:p w14:paraId="37C79DFC" w14:textId="77777777" w:rsidR="000C04B5" w:rsidRPr="00D85E09" w:rsidRDefault="000C04B5" w:rsidP="0043316B">
            <w:pPr>
              <w:widowControl w:val="0"/>
              <w:spacing w:after="0" w:line="240" w:lineRule="auto"/>
              <w:rPr>
                <w:rFonts w:ascii="Arial Narrow" w:hAnsi="Arial Narrow" w:cs="Times New Roman"/>
                <w:b/>
                <w:bCs/>
                <w:sz w:val="20"/>
                <w:szCs w:val="20"/>
                <w:lang w:eastAsia="en-AU"/>
              </w:rPr>
            </w:pPr>
            <w:r w:rsidRPr="00D85E09">
              <w:rPr>
                <w:rFonts w:ascii="Arial Narrow" w:hAnsi="Arial Narrow" w:cs="Times New Roman"/>
                <w:b/>
                <w:bCs/>
                <w:sz w:val="20"/>
                <w:szCs w:val="20"/>
                <w:lang w:eastAsia="en-AU"/>
              </w:rPr>
              <w:t>Brain imaging for suspected stroke</w:t>
            </w:r>
          </w:p>
        </w:tc>
      </w:tr>
      <w:tr w:rsidR="000C04B5" w:rsidRPr="00D85E09" w14:paraId="589447B7" w14:textId="77777777" w:rsidTr="000C04B5">
        <w:tc>
          <w:tcPr>
            <w:tcW w:w="1384" w:type="dxa"/>
          </w:tcPr>
          <w:p w14:paraId="4AA435D7"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Non-contrast CT brain</w:t>
            </w:r>
          </w:p>
        </w:tc>
        <w:tc>
          <w:tcPr>
            <w:tcW w:w="7620" w:type="dxa"/>
          </w:tcPr>
          <w:p w14:paraId="18B248D5"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Diagnoses intracerebral haemorrhage, established ischaemic stroke, mimics (such as a tumour), subtle early ischaemic changes and hyperdense thrombus in the arteries</w:t>
            </w:r>
          </w:p>
          <w:p w14:paraId="0AA0DEE9"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Note: In addition to standard axial views, 1 mm thin slice reconstructions improve detection of hyperdense thrombus and should be a standard series</w:t>
            </w:r>
          </w:p>
        </w:tc>
      </w:tr>
      <w:tr w:rsidR="000C04B5" w:rsidRPr="00D85E09" w14:paraId="1E26D1F1" w14:textId="77777777" w:rsidTr="000C04B5">
        <w:tc>
          <w:tcPr>
            <w:tcW w:w="1384" w:type="dxa"/>
            <w:vMerge w:val="restart"/>
          </w:tcPr>
          <w:p w14:paraId="4B9024BA"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 angiogram (aortic arch to brain vertex)</w:t>
            </w:r>
          </w:p>
        </w:tc>
        <w:tc>
          <w:tcPr>
            <w:tcW w:w="7620" w:type="dxa"/>
          </w:tcPr>
          <w:p w14:paraId="73DDC6F6"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 xml:space="preserve">Confirms diagnosis in non-lacunar ischaemic stroke </w:t>
            </w:r>
          </w:p>
        </w:tc>
      </w:tr>
      <w:tr w:rsidR="000C04B5" w:rsidRPr="00D85E09" w14:paraId="75A5E6AF" w14:textId="77777777" w:rsidTr="000C04B5">
        <w:tc>
          <w:tcPr>
            <w:tcW w:w="1384" w:type="dxa"/>
            <w:vMerge/>
          </w:tcPr>
          <w:p w14:paraId="5250C6B8"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p>
        </w:tc>
        <w:tc>
          <w:tcPr>
            <w:tcW w:w="7620" w:type="dxa"/>
          </w:tcPr>
          <w:p w14:paraId="7FE45536"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Provides immediate knowledge of carotid stenosis and proximal vasculature</w:t>
            </w:r>
          </w:p>
        </w:tc>
      </w:tr>
      <w:tr w:rsidR="000C04B5" w:rsidRPr="00D85E09" w14:paraId="0A0AA079" w14:textId="77777777" w:rsidTr="000C04B5">
        <w:tc>
          <w:tcPr>
            <w:tcW w:w="1384" w:type="dxa"/>
            <w:vMerge/>
          </w:tcPr>
          <w:p w14:paraId="788FC154"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p>
        </w:tc>
        <w:tc>
          <w:tcPr>
            <w:tcW w:w="7620" w:type="dxa"/>
          </w:tcPr>
          <w:p w14:paraId="3DF8BA2A"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Provides critical information if considering transfer for ECR</w:t>
            </w:r>
          </w:p>
        </w:tc>
      </w:tr>
      <w:tr w:rsidR="000C04B5" w:rsidRPr="00D85E09" w14:paraId="1902B9DB" w14:textId="77777777" w:rsidTr="000C04B5">
        <w:tc>
          <w:tcPr>
            <w:tcW w:w="1384" w:type="dxa"/>
            <w:vMerge/>
          </w:tcPr>
          <w:p w14:paraId="54BAF2CF"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p>
        </w:tc>
        <w:tc>
          <w:tcPr>
            <w:tcW w:w="7620" w:type="dxa"/>
          </w:tcPr>
          <w:p w14:paraId="2301D986" w14:textId="25DE33E0"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For intracerebral haemorrhage CTA can demonstrate underlying vascular malformation requiring intervention and risk of on</w:t>
            </w:r>
            <w:r w:rsidR="00300BB6" w:rsidRPr="00D85E09">
              <w:rPr>
                <w:rFonts w:ascii="Arial Narrow" w:hAnsi="Arial Narrow"/>
                <w:bCs/>
                <w:sz w:val="20"/>
                <w:szCs w:val="20"/>
              </w:rPr>
              <w:t>-going</w:t>
            </w:r>
            <w:r w:rsidRPr="00D85E09">
              <w:rPr>
                <w:rFonts w:ascii="Arial Narrow" w:hAnsi="Arial Narrow"/>
                <w:bCs/>
                <w:sz w:val="20"/>
                <w:szCs w:val="20"/>
              </w:rPr>
              <w:t xml:space="preserve"> haematoma enlargement – ‘spot sign’ on</w:t>
            </w:r>
            <w:r w:rsidR="00300BB6" w:rsidRPr="00D85E09">
              <w:rPr>
                <w:rFonts w:ascii="Arial Narrow" w:hAnsi="Arial Narrow"/>
                <w:bCs/>
                <w:sz w:val="20"/>
                <w:szCs w:val="20"/>
              </w:rPr>
              <w:t>-going</w:t>
            </w:r>
            <w:r w:rsidRPr="00D85E09">
              <w:rPr>
                <w:rFonts w:ascii="Arial Narrow" w:hAnsi="Arial Narrow"/>
                <w:bCs/>
                <w:sz w:val="20"/>
                <w:szCs w:val="20"/>
              </w:rPr>
              <w:t xml:space="preserve"> contrast extravasation.</w:t>
            </w:r>
          </w:p>
        </w:tc>
      </w:tr>
      <w:tr w:rsidR="000C04B5" w:rsidRPr="00D85E09" w14:paraId="016C2F2F" w14:textId="77777777" w:rsidTr="000C04B5">
        <w:tc>
          <w:tcPr>
            <w:tcW w:w="1384" w:type="dxa"/>
            <w:vMerge/>
          </w:tcPr>
          <w:p w14:paraId="18A0C7AD"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p>
        </w:tc>
        <w:tc>
          <w:tcPr>
            <w:tcW w:w="7620" w:type="dxa"/>
          </w:tcPr>
          <w:p w14:paraId="6B18E567"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When to perform CT angiography:</w:t>
            </w:r>
          </w:p>
          <w:p w14:paraId="35258B0B"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 time of onset within six hours, with a longer window for suspected basilar occlusion</w:t>
            </w:r>
          </w:p>
          <w:p w14:paraId="7C53EAC0"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 potentially treatable clinical deficit</w:t>
            </w:r>
          </w:p>
          <w:p w14:paraId="3A61CC13"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 there is no requirement to wait for creatinine results unless there is known kidney disease with eGFR &lt; 30 mL/min (CTA is OK if the patient is already on dialysis; consider risk-benefit if eGFR &lt; 30 mL/min)</w:t>
            </w:r>
          </w:p>
          <w:p w14:paraId="54DEC659"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 consider risk-benefit and premedication if history of contrast allergy</w:t>
            </w:r>
          </w:p>
        </w:tc>
      </w:tr>
      <w:tr w:rsidR="000C04B5" w:rsidRPr="00D85E09" w14:paraId="2FCB5BFE" w14:textId="77777777" w:rsidTr="000C04B5">
        <w:tc>
          <w:tcPr>
            <w:tcW w:w="1384" w:type="dxa"/>
            <w:vMerge w:val="restart"/>
          </w:tcPr>
          <w:p w14:paraId="2E5AD24D"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 perfusion</w:t>
            </w:r>
          </w:p>
        </w:tc>
        <w:tc>
          <w:tcPr>
            <w:tcW w:w="7620" w:type="dxa"/>
          </w:tcPr>
          <w:p w14:paraId="6D429E9A"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Improves diagnostic sensitivity for ischaemic stroke</w:t>
            </w:r>
          </w:p>
        </w:tc>
      </w:tr>
      <w:tr w:rsidR="000C04B5" w:rsidRPr="00D85E09" w14:paraId="67D3D390" w14:textId="77777777" w:rsidTr="000C04B5">
        <w:tc>
          <w:tcPr>
            <w:tcW w:w="1384" w:type="dxa"/>
            <w:vMerge/>
          </w:tcPr>
          <w:p w14:paraId="2794D9A5"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p>
        </w:tc>
        <w:tc>
          <w:tcPr>
            <w:tcW w:w="7620" w:type="dxa"/>
          </w:tcPr>
          <w:p w14:paraId="146E5587"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Indicates brain tissue viability (extent of irreversible injury and tissue at risk)</w:t>
            </w:r>
          </w:p>
        </w:tc>
      </w:tr>
      <w:tr w:rsidR="000C04B5" w:rsidRPr="00D85E09" w14:paraId="50281C26" w14:textId="77777777" w:rsidTr="000C04B5">
        <w:tc>
          <w:tcPr>
            <w:tcW w:w="1384" w:type="dxa"/>
            <w:vMerge/>
          </w:tcPr>
          <w:p w14:paraId="44682C01" w14:textId="77777777" w:rsidR="000C04B5" w:rsidRPr="00D85E09" w:rsidRDefault="000C04B5" w:rsidP="0043316B">
            <w:pPr>
              <w:widowControl w:val="0"/>
              <w:spacing w:after="0" w:line="240" w:lineRule="auto"/>
              <w:rPr>
                <w:rFonts w:ascii="Arial Narrow" w:hAnsi="Arial Narrow" w:cs="Times New Roman"/>
                <w:bCs/>
                <w:sz w:val="20"/>
                <w:szCs w:val="20"/>
                <w:lang w:eastAsia="en-AU"/>
              </w:rPr>
            </w:pPr>
          </w:p>
        </w:tc>
        <w:tc>
          <w:tcPr>
            <w:tcW w:w="7620" w:type="dxa"/>
          </w:tcPr>
          <w:p w14:paraId="6B6D0365"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Recommended whenever possible to reduce the incidence of futile ECR</w:t>
            </w:r>
          </w:p>
        </w:tc>
      </w:tr>
    </w:tbl>
    <w:p w14:paraId="2DCCAB5B" w14:textId="0293D576" w:rsidR="000C04B5" w:rsidRPr="00D85E09" w:rsidRDefault="000C04B5" w:rsidP="0043316B">
      <w:pPr>
        <w:pStyle w:val="Tablefootnote"/>
        <w:widowControl w:val="0"/>
        <w:spacing w:after="360"/>
        <w:rPr>
          <w:lang w:val="en-AU"/>
        </w:rPr>
      </w:pPr>
      <w:r w:rsidRPr="00D85E09">
        <w:rPr>
          <w:lang w:val="en-AU"/>
        </w:rPr>
        <w:t>*Updated American, Canadian and European guidelines have been released; updated Australian guidelines are in development</w:t>
      </w:r>
    </w:p>
    <w:p w14:paraId="1FD69BD3" w14:textId="77777777" w:rsidR="000C04B5" w:rsidRPr="00D85E09" w:rsidRDefault="000C04B5" w:rsidP="0043316B">
      <w:pPr>
        <w:pStyle w:val="Heading4"/>
        <w:keepLines w:val="0"/>
        <w:widowControl w:val="0"/>
        <w:rPr>
          <w:lang w:val="en-AU"/>
        </w:rPr>
      </w:pPr>
      <w:r w:rsidRPr="00D85E09">
        <w:rPr>
          <w:lang w:val="en-AU"/>
        </w:rPr>
        <w:t>Thrombolytic therapy</w:t>
      </w:r>
    </w:p>
    <w:p w14:paraId="0724B85C" w14:textId="6F28F79E" w:rsidR="000C04B5" w:rsidRPr="00D85E09" w:rsidRDefault="000C04B5" w:rsidP="0043316B">
      <w:pPr>
        <w:widowControl w:val="0"/>
      </w:pPr>
      <w:r w:rsidRPr="00D85E09">
        <w:t xml:space="preserve">The AHA/ASA CPG update on endovascular treatment of patients with AIS recommends rapid administration of IV </w:t>
      </w:r>
      <w:r w:rsidR="005B7DCE">
        <w:t>tPA</w:t>
      </w:r>
      <w:r w:rsidRPr="00D85E09">
        <w:t xml:space="preserve"> to appropriate patients remains the mainstay of early treatment of acute isch</w:t>
      </w:r>
      <w:r w:rsidR="00E56287" w:rsidRPr="00D85E09">
        <w:t>aemic</w:t>
      </w:r>
      <w:r w:rsidRPr="00D85E09">
        <w:t xml:space="preserve"> stroke. Timely restoration of blood flow in isch</w:t>
      </w:r>
      <w:r w:rsidR="00E56287" w:rsidRPr="00D85E09">
        <w:t>aemic</w:t>
      </w:r>
      <w:r w:rsidRPr="00D85E09">
        <w:t xml:space="preserve"> stroke patients is effective in reducing long</w:t>
      </w:r>
      <w:r w:rsidR="00D32933" w:rsidRPr="00D85E09">
        <w:t>-</w:t>
      </w:r>
      <w:r w:rsidRPr="00D85E09">
        <w:t>term morbidity. For patients who meet national and international eligibility guidelines, IV</w:t>
      </w:r>
      <w:r w:rsidR="00D32933" w:rsidRPr="00D85E09">
        <w:t>-</w:t>
      </w:r>
      <w:r w:rsidRPr="00D85E09">
        <w:t>tPA administration improves functional outcomes at 3 to 6 months when given within 4.5 hours of isch</w:t>
      </w:r>
      <w:r w:rsidR="00E56287" w:rsidRPr="00D85E09">
        <w:t>aemic</w:t>
      </w:r>
      <w:r w:rsidRPr="00D85E09">
        <w:t xml:space="preserve"> stroke onset and should be administered. If patients who are eligible for IV</w:t>
      </w:r>
      <w:r w:rsidR="00D32933" w:rsidRPr="00D85E09">
        <w:t>-</w:t>
      </w:r>
      <w:r w:rsidRPr="00D85E09">
        <w:t>tPA do not have intra</w:t>
      </w:r>
      <w:r w:rsidR="00300BB6" w:rsidRPr="00D85E09">
        <w:t>-cranial</w:t>
      </w:r>
      <w:r w:rsidRPr="00D85E09">
        <w:t xml:space="preserve"> vascular imaging as part of their initial evaluation, they should begin receiving thrombolytic therapy before being transported for additional imaging and before being transferred for endovascular treatment. This approach helps to minimise onset-to-treatment times, which are a key driver of efficacy for tPA (Powers et al, 2015).</w:t>
      </w:r>
    </w:p>
    <w:p w14:paraId="26C15892" w14:textId="21F4736F" w:rsidR="000C04B5" w:rsidRPr="00D85E09" w:rsidRDefault="000C04B5" w:rsidP="0043316B">
      <w:pPr>
        <w:widowControl w:val="0"/>
      </w:pPr>
      <w:r w:rsidRPr="00D85E09">
        <w:t>This advice is reiterated in other relevant CPGs for stroke management, including the Australian NSF guidelines, which state: “intravenous r</w:t>
      </w:r>
      <w:r w:rsidR="005B7DCE">
        <w:t>tPA</w:t>
      </w:r>
      <w:r w:rsidRPr="00D85E09">
        <w:t xml:space="preserve"> should be given as early as possible in carefully selected patients with acute ischaemic stroke as the effect size of thrombolysis is time-dependent. Where possible, therapy should commence in the first few hours but may be used up to 4.5 hours after stroke onset” (NHF, 2010).</w:t>
      </w:r>
    </w:p>
    <w:p w14:paraId="626FA6E3" w14:textId="7ED236F9" w:rsidR="000C04B5" w:rsidRPr="00D85E09" w:rsidRDefault="000C04B5" w:rsidP="0043316B">
      <w:pPr>
        <w:widowControl w:val="0"/>
      </w:pPr>
      <w:r w:rsidRPr="00D85E09">
        <w:lastRenderedPageBreak/>
        <w:t xml:space="preserve">Consistent with this guidance, the Victorian statewide service protocol for endovascular clot retrieval integrates advice regarding the use of MT and IV </w:t>
      </w:r>
      <w:r w:rsidR="005B7DCE">
        <w:t>tPA</w:t>
      </w:r>
      <w:r w:rsidRPr="00D85E09">
        <w:t xml:space="preserve">, as eligible patients should be assessed and considered for both interventions. In relation to thrombolytic therapy, the protocol states that IV </w:t>
      </w:r>
      <w:r w:rsidR="005B7DCE">
        <w:t>tPA</w:t>
      </w:r>
      <w:r w:rsidRPr="00D85E09">
        <w:t xml:space="preserve"> should be administered to all eligible patients within 4.5 hours, in parallel with imaging and MT decision-making to avoid delays.</w:t>
      </w:r>
    </w:p>
    <w:p w14:paraId="7062481A" w14:textId="478AE1E4" w:rsidR="000C04B5" w:rsidRPr="00D85E09" w:rsidRDefault="000C04B5" w:rsidP="0043316B">
      <w:pPr>
        <w:pStyle w:val="Heading4"/>
        <w:keepLines w:val="0"/>
        <w:widowControl w:val="0"/>
        <w:rPr>
          <w:lang w:val="en-AU"/>
        </w:rPr>
      </w:pPr>
      <w:r w:rsidRPr="00D85E09">
        <w:rPr>
          <w:lang w:val="en-AU"/>
        </w:rPr>
        <w:t>Administration of MT</w:t>
      </w:r>
    </w:p>
    <w:p w14:paraId="0574EE08" w14:textId="42C8B781" w:rsidR="000C04B5" w:rsidRPr="00D85E09" w:rsidRDefault="000C04B5" w:rsidP="0043316B">
      <w:pPr>
        <w:widowControl w:val="0"/>
      </w:pPr>
      <w:r w:rsidRPr="00D85E09">
        <w:fldChar w:fldCharType="begin"/>
      </w:r>
      <w:r w:rsidRPr="00D85E09">
        <w:instrText xml:space="preserve"> REF _Ref442358811 \h  \* MERGEFORMAT </w:instrText>
      </w:r>
      <w:r w:rsidRPr="00D85E09">
        <w:fldChar w:fldCharType="separate"/>
      </w:r>
      <w:r w:rsidR="00A456ED" w:rsidRPr="00D85E09">
        <w:t xml:space="preserve">Table </w:t>
      </w:r>
      <w:r w:rsidR="00A456ED">
        <w:t>103</w:t>
      </w:r>
      <w:r w:rsidRPr="00D85E09">
        <w:fldChar w:fldCharType="end"/>
      </w:r>
      <w:r w:rsidRPr="00D85E09">
        <w:t xml:space="preserve"> presents a summary of recommendations from CPGs relevant to the administration of MT. The majority of these guidelines were updated in 2014 and 2015 following the publication of favourable results in pivotal clinical trials of the proposed service. The advice is consistent in its recommendation that in patients that are eligible for IV thrombolysis, MT should be administered in addition to IV </w:t>
      </w:r>
      <w:r w:rsidR="005B7DCE">
        <w:t>tPA</w:t>
      </w:r>
      <w:r w:rsidRPr="00D85E09">
        <w:t>. Furthermore, guidelines also recommend IV</w:t>
      </w:r>
      <w:r w:rsidR="00D32933" w:rsidRPr="00D85E09">
        <w:t>-</w:t>
      </w:r>
      <w:r w:rsidRPr="00D85E09">
        <w:t>tPA should be initiated prior to mechanical thrombectomy, without waiting for a response before starting mechanical thrombectomy: “</w:t>
      </w:r>
      <w:r w:rsidRPr="00D85E09">
        <w:rPr>
          <w:i/>
        </w:rPr>
        <w:t>Observing patients after intravenous r-tPA to assess for clinical response before pursuing endovascular therapy (i.e. mechanical thrombectomy) is not required to achieve beneficial outcomes and is not recommended”</w:t>
      </w:r>
      <w:r w:rsidRPr="00D85E09">
        <w:t xml:space="preserve"> (Powers et al, 2015). All three of the included guidelines also recommend the use of MT as a first-line therapy in patients who are contraindicated to IV</w:t>
      </w:r>
      <w:r w:rsidR="00D32933" w:rsidRPr="00D85E09">
        <w:t>-</w:t>
      </w:r>
      <w:r w:rsidRPr="00D85E09">
        <w:t>tPA (e.g. treated with warfarin) (Powers et al, 2015; ESO, 2014; EUnetHTA, 2015).</w:t>
      </w:r>
    </w:p>
    <w:p w14:paraId="71DC61A0" w14:textId="3F4202DB" w:rsidR="000C04B5" w:rsidRPr="00D85E09" w:rsidRDefault="000C04B5" w:rsidP="0043316B">
      <w:pPr>
        <w:widowControl w:val="0"/>
      </w:pPr>
      <w:r w:rsidRPr="00D85E09">
        <w:t xml:space="preserve">The AHA/ASA guidelines further recommend criteria that could be applied to select patients most likely to benefit from this therapy, including: pre-stroke mRS score (0–1), timing of IV </w:t>
      </w:r>
      <w:r w:rsidR="005B7DCE">
        <w:t>tPA</w:t>
      </w:r>
      <w:r w:rsidRPr="00D85E09">
        <w:t xml:space="preserve"> treatment from stroke onset (within 4.5 h), causative occlusion of the</w:t>
      </w:r>
      <w:r w:rsidR="00E56287" w:rsidRPr="00D85E09">
        <w:t xml:space="preserve"> </w:t>
      </w:r>
      <w:r w:rsidR="00E56287" w:rsidRPr="00D85E09">
        <w:rPr>
          <w:rFonts w:eastAsia="Calibri"/>
        </w:rPr>
        <w:t>internal carotid</w:t>
      </w:r>
      <w:r w:rsidR="00E56287" w:rsidRPr="00D85E09">
        <w:rPr>
          <w:rFonts w:eastAsia="Calibri"/>
          <w:sz w:val="24"/>
          <w:szCs w:val="18"/>
        </w:rPr>
        <w:t xml:space="preserve"> artery</w:t>
      </w:r>
      <w:r w:rsidRPr="00D85E09">
        <w:rPr>
          <w:sz w:val="32"/>
        </w:rPr>
        <w:t xml:space="preserve"> </w:t>
      </w:r>
      <w:r w:rsidR="00E56287" w:rsidRPr="00D85E09">
        <w:t>(</w:t>
      </w:r>
      <w:r w:rsidRPr="00D85E09">
        <w:t>ICA</w:t>
      </w:r>
      <w:r w:rsidR="00E56287" w:rsidRPr="00D85E09">
        <w:t>)</w:t>
      </w:r>
      <w:r w:rsidRPr="00D85E09">
        <w:t xml:space="preserve"> or proximal</w:t>
      </w:r>
      <w:r w:rsidR="00E56287" w:rsidRPr="00D85E09">
        <w:t xml:space="preserve"> </w:t>
      </w:r>
      <w:r w:rsidR="00E56287" w:rsidRPr="00D85E09">
        <w:rPr>
          <w:rFonts w:eastAsia="Calibri"/>
        </w:rPr>
        <w:t>middle cerebral artery</w:t>
      </w:r>
      <w:r w:rsidRPr="00D85E09">
        <w:t xml:space="preserve"> </w:t>
      </w:r>
      <w:r w:rsidR="00E56287" w:rsidRPr="00D85E09">
        <w:t>(</w:t>
      </w:r>
      <w:r w:rsidRPr="00D85E09">
        <w:t>MCA</w:t>
      </w:r>
      <w:r w:rsidR="00E56287" w:rsidRPr="00D85E09">
        <w:t>)</w:t>
      </w:r>
      <w:r w:rsidRPr="00D85E09">
        <w:t xml:space="preserve"> (M1), age (≥18 years), NIHSS score (≥6), ASPECTS (≥6), and ability to initiate treatment within 6 hrs of symptom onset.</w:t>
      </w:r>
    </w:p>
    <w:p w14:paraId="2E9A2439" w14:textId="2859D519" w:rsidR="000C04B5" w:rsidRPr="00D85E09" w:rsidRDefault="000C04B5" w:rsidP="0043316B">
      <w:pPr>
        <w:widowControl w:val="0"/>
      </w:pPr>
      <w:r w:rsidRPr="00D85E09">
        <w:t xml:space="preserve">This guidance reflects the fact that a patient’s suitability for MT is based on many factors, including location of the vessel occlusion, stroke severity, timeframe of intervention, whether the patient received IV </w:t>
      </w:r>
      <w:r w:rsidR="005B7DCE">
        <w:t>tPA</w:t>
      </w:r>
      <w:r w:rsidRPr="00D85E09">
        <w:t xml:space="preserve">, the volume of the ischaemic core, and the amount of salvageable tissue. Whilst these factors should be considered by clinicians in the selection of patients, there should be sufficient flexibility to allow treatment decisions to be made on a case-by-case basis in an acute emergency setting. The </w:t>
      </w:r>
      <w:r w:rsidR="0070191F" w:rsidRPr="00D85E09">
        <w:t>A</w:t>
      </w:r>
      <w:r w:rsidRPr="00D85E09">
        <w:t>pplicant also notes that the evidence base for MT is still developing, and it is likely that patient selection criteria will further evolve. This will require on</w:t>
      </w:r>
      <w:r w:rsidR="00300BB6" w:rsidRPr="00D85E09">
        <w:t>-going</w:t>
      </w:r>
      <w:r w:rsidRPr="00D85E09">
        <w:t xml:space="preserve"> and timely revision of clinical practice guidelines and acute</w:t>
      </w:r>
      <w:r w:rsidR="00D32933" w:rsidRPr="00D85E09">
        <w:t xml:space="preserve"> </w:t>
      </w:r>
      <w:r w:rsidRPr="00D85E09">
        <w:t>stroke response treatment protocols.</w:t>
      </w:r>
    </w:p>
    <w:p w14:paraId="6A6C642A" w14:textId="3530C445" w:rsidR="000C04B5" w:rsidRPr="00D85E09" w:rsidRDefault="000C04B5" w:rsidP="0043316B">
      <w:pPr>
        <w:widowControl w:val="0"/>
      </w:pPr>
      <w:r w:rsidRPr="00D85E09">
        <w:t xml:space="preserve">Two guidelines specifically recommend that MT should be delivered with a stent retriever, rather than an aspiration device (Powers et al, 2015; EUnetHTA, 2015). The current </w:t>
      </w:r>
      <w:r w:rsidRPr="00D85E09">
        <w:lastRenderedPageBreak/>
        <w:t>submission notes the weight of evidence for retriever devices is greater than for aspiration devices, but nonetheless requests an MBS listing for all MT devices to accommodate future technical developments in this therapeutic area.</w:t>
      </w:r>
    </w:p>
    <w:p w14:paraId="5B4B87B5" w14:textId="1F5E046E" w:rsidR="000C04B5" w:rsidRPr="00D85E09" w:rsidRDefault="000C04B5" w:rsidP="0043316B">
      <w:pPr>
        <w:pStyle w:val="Caption"/>
        <w:keepNext w:val="0"/>
        <w:widowControl w:val="0"/>
        <w:rPr>
          <w:lang w:val="en-AU"/>
        </w:rPr>
      </w:pPr>
      <w:bookmarkStart w:id="97" w:name="_Toc45306534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w:t>
      </w:r>
      <w:r w:rsidRPr="00D85E09">
        <w:rPr>
          <w:lang w:val="en-AU"/>
        </w:rPr>
        <w:fldChar w:fldCharType="end"/>
      </w:r>
      <w:r w:rsidRPr="00D85E09">
        <w:rPr>
          <w:lang w:val="en-AU"/>
        </w:rPr>
        <w:t>:</w:t>
      </w:r>
      <w:r w:rsidRPr="00D85E09">
        <w:rPr>
          <w:lang w:val="en-AU"/>
        </w:rPr>
        <w:tab/>
        <w:t>Summary of guideline recommendations relevant to proposed populations most suitable for mechanical thrombectomy</w:t>
      </w:r>
      <w:bookmarkEnd w:id="97"/>
    </w:p>
    <w:tbl>
      <w:tblPr>
        <w:tblStyle w:val="TableGrid"/>
        <w:tblW w:w="5000" w:type="pct"/>
        <w:tblLook w:val="04A0" w:firstRow="1" w:lastRow="0" w:firstColumn="1" w:lastColumn="0" w:noHBand="0" w:noVBand="1"/>
        <w:tblDescription w:val="Table 8. Summary of guideline recommendations relevant to proposed populations most suitable for mechanical thrombectomy"/>
      </w:tblPr>
      <w:tblGrid>
        <w:gridCol w:w="1261"/>
        <w:gridCol w:w="8026"/>
      </w:tblGrid>
      <w:tr w:rsidR="000C04B5" w:rsidRPr="00D85E09" w14:paraId="12C7BF2F" w14:textId="77777777" w:rsidTr="000C04B5">
        <w:trPr>
          <w:tblHeader/>
        </w:trPr>
        <w:tc>
          <w:tcPr>
            <w:tcW w:w="5000" w:type="pct"/>
            <w:gridSpan w:val="2"/>
          </w:tcPr>
          <w:p w14:paraId="7BA20C88" w14:textId="77777777" w:rsidR="000C04B5" w:rsidRPr="00D85E09" w:rsidRDefault="000C04B5" w:rsidP="0043316B">
            <w:pPr>
              <w:pStyle w:val="Tabletext"/>
              <w:keepNext w:val="0"/>
              <w:widowControl w:val="0"/>
              <w:rPr>
                <w:b/>
              </w:rPr>
            </w:pPr>
            <w:r w:rsidRPr="00D85E09">
              <w:rPr>
                <w:b/>
              </w:rPr>
              <w:t>Relevant recommendations from guidelines</w:t>
            </w:r>
          </w:p>
        </w:tc>
      </w:tr>
      <w:tr w:rsidR="000C04B5" w:rsidRPr="00D85E09" w14:paraId="7A21EE75" w14:textId="77777777" w:rsidTr="000C04B5">
        <w:tc>
          <w:tcPr>
            <w:tcW w:w="679" w:type="pct"/>
          </w:tcPr>
          <w:p w14:paraId="13FE38A2" w14:textId="77777777" w:rsidR="000C04B5" w:rsidRPr="00D85E09" w:rsidRDefault="000C04B5" w:rsidP="0043316B">
            <w:pPr>
              <w:pStyle w:val="Tabletext"/>
              <w:keepNext w:val="0"/>
              <w:widowControl w:val="0"/>
            </w:pPr>
            <w:r w:rsidRPr="00D85E09">
              <w:t>US guidelines (Powers, 2015)</w:t>
            </w:r>
          </w:p>
        </w:tc>
        <w:tc>
          <w:tcPr>
            <w:tcW w:w="4321" w:type="pct"/>
          </w:tcPr>
          <w:p w14:paraId="1ACF4811" w14:textId="5F203F95" w:rsidR="000C04B5" w:rsidRPr="00D85E09" w:rsidRDefault="000C04B5" w:rsidP="0043316B">
            <w:pPr>
              <w:pStyle w:val="Tabletext"/>
              <w:keepNext w:val="0"/>
              <w:widowControl w:val="0"/>
            </w:pPr>
            <w:r w:rsidRPr="00D85E09">
              <w:t>Patients eligible for intravenous r-tPA should receive intravenous r-tPA even if endovascular treatments are being considered (Class I; Level of Evidence A).</w:t>
            </w:r>
          </w:p>
          <w:p w14:paraId="1D0C63E8" w14:textId="2D62CACB" w:rsidR="000C04B5" w:rsidRPr="00D85E09" w:rsidRDefault="000C04B5" w:rsidP="0043316B">
            <w:pPr>
              <w:pStyle w:val="Tabletext"/>
              <w:keepNext w:val="0"/>
              <w:widowControl w:val="0"/>
            </w:pPr>
            <w:r w:rsidRPr="00D85E09">
              <w:t>Patients should receive MT with a stent retriever if they meet the following criteria: pre-stroke mRS score (0–1), timing of IV</w:t>
            </w:r>
            <w:r w:rsidR="00D32933" w:rsidRPr="00D85E09">
              <w:t>-</w:t>
            </w:r>
            <w:r w:rsidRPr="00D85E09">
              <w:t>tPA treatment from stroke onset (within 4.5 h), causative occlusion of the ICA or proximal MCA (M1), age (≥18 years), NIHSS score (≥6), ASPECTS (≥6), and ability to initiate treatment within 6 hrs of symptom onset.</w:t>
            </w:r>
          </w:p>
          <w:p w14:paraId="7F6189CD" w14:textId="47EFC717" w:rsidR="000C04B5" w:rsidRPr="00D85E09" w:rsidRDefault="000C04B5" w:rsidP="0043316B">
            <w:pPr>
              <w:pStyle w:val="Tabletext"/>
              <w:keepNext w:val="0"/>
              <w:widowControl w:val="0"/>
            </w:pPr>
            <w:r w:rsidRPr="00D85E09">
              <w:t>Benefits are uncertain and use may be reasonable in the following patient groups: Occlusion of the M2 or M3, anterior cerebral arteries, vertebral arteries, basilar artery, or posterior cerebral arteries (within 6 hrs) mRS &gt;1, ASPECTS &lt;6 or NIHSS &lt;6 and occlusion of the ICA or M1.</w:t>
            </w:r>
          </w:p>
          <w:p w14:paraId="5BF08B76" w14:textId="609D014D" w:rsidR="000C04B5" w:rsidRPr="00D85E09" w:rsidRDefault="000C04B5" w:rsidP="0043316B">
            <w:pPr>
              <w:pStyle w:val="Tabletext"/>
              <w:keepNext w:val="0"/>
              <w:widowControl w:val="0"/>
            </w:pPr>
            <w:r w:rsidRPr="00D85E09">
              <w:t>Observing patients after intravenous r-tPA to assess for clinical response before pursuing endovascular therapy is not required to achieve beneficial outcomes and is not recommended. (Class III; Level of Evidence B-R).</w:t>
            </w:r>
          </w:p>
          <w:p w14:paraId="36230FCD" w14:textId="79F1BFB4" w:rsidR="000C04B5" w:rsidRPr="00D85E09" w:rsidRDefault="000C04B5" w:rsidP="0043316B">
            <w:pPr>
              <w:pStyle w:val="Tabletext"/>
              <w:keepNext w:val="0"/>
              <w:widowControl w:val="0"/>
            </w:pPr>
            <w:r w:rsidRPr="00D85E09">
              <w:t>In carefully selected patients with anterior circulation occlusion who have contraindications to intravenous r-tPA, endovascular therapy with stent retrievers completed within 6 hours of stroke onset is reasonable (Class IIa; Level of Evidence C).There are inadequate data available at this time to determine the clinical efficacy of endovascular therapy with stent retrievers for those patients whose contraindications are time</w:t>
            </w:r>
            <w:r w:rsidR="00300BB6" w:rsidRPr="00D85E09">
              <w:t xml:space="preserve"> </w:t>
            </w:r>
            <w:r w:rsidRPr="00D85E09">
              <w:t>based or non</w:t>
            </w:r>
            <w:r w:rsidR="00582C35" w:rsidRPr="00D85E09">
              <w:t>-</w:t>
            </w:r>
            <w:r w:rsidRPr="00D85E09">
              <w:t>time</w:t>
            </w:r>
            <w:r w:rsidR="00300BB6" w:rsidRPr="00D85E09">
              <w:t xml:space="preserve"> </w:t>
            </w:r>
            <w:r w:rsidRPr="00D85E09">
              <w:t>based (eg, prior stroke, serious head trauma, h</w:t>
            </w:r>
            <w:r w:rsidR="00582C35" w:rsidRPr="00D85E09">
              <w:t>aemorrhagic</w:t>
            </w:r>
            <w:r w:rsidRPr="00D85E09">
              <w:t xml:space="preserve"> coagulopathy, or receiving anticoagulant medications). </w:t>
            </w:r>
          </w:p>
        </w:tc>
      </w:tr>
      <w:tr w:rsidR="000C04B5" w:rsidRPr="00D85E09" w14:paraId="1C0D91FA" w14:textId="77777777" w:rsidTr="000C04B5">
        <w:tc>
          <w:tcPr>
            <w:tcW w:w="679" w:type="pct"/>
          </w:tcPr>
          <w:p w14:paraId="02C5E72F" w14:textId="77777777" w:rsidR="000C04B5" w:rsidRPr="00D85E09" w:rsidRDefault="000C04B5" w:rsidP="0043316B">
            <w:pPr>
              <w:pStyle w:val="Tabletext"/>
              <w:keepNext w:val="0"/>
              <w:widowControl w:val="0"/>
            </w:pPr>
            <w:r w:rsidRPr="00D85E09">
              <w:t>European guidance (ESO, 2014)</w:t>
            </w:r>
          </w:p>
        </w:tc>
        <w:tc>
          <w:tcPr>
            <w:tcW w:w="4321" w:type="pct"/>
          </w:tcPr>
          <w:p w14:paraId="7D42A01B" w14:textId="0F98FE46" w:rsidR="000C04B5" w:rsidRPr="00D85E09" w:rsidRDefault="000C04B5" w:rsidP="0043316B">
            <w:pPr>
              <w:pStyle w:val="Tabletext"/>
              <w:keepNext w:val="0"/>
              <w:widowControl w:val="0"/>
            </w:pPr>
            <w:r w:rsidRPr="00D85E09">
              <w:t xml:space="preserve">Mechanical thrombectomy, in addition to </w:t>
            </w:r>
            <w:r w:rsidR="00F67AF7" w:rsidRPr="00D85E09">
              <w:t>IV</w:t>
            </w:r>
            <w:r w:rsidR="00D32933" w:rsidRPr="00D85E09">
              <w:t>-</w:t>
            </w:r>
            <w:r w:rsidRPr="00D85E09">
              <w:t>tPA within 4.5 hrs when eligible, is recommended to treat acute stroke patients with large artery occlusions in the anterior circulation up to 6 hrs after symptom onset (KSU Grade A)</w:t>
            </w:r>
          </w:p>
          <w:p w14:paraId="00052832" w14:textId="77777777" w:rsidR="000C04B5" w:rsidRPr="00D85E09" w:rsidRDefault="000C04B5" w:rsidP="0043316B">
            <w:pPr>
              <w:pStyle w:val="Tabletext"/>
              <w:keepNext w:val="0"/>
              <w:widowControl w:val="0"/>
            </w:pPr>
            <w:r w:rsidRPr="00D85E09">
              <w:t>Mechanical thrombectomy should be performed as soon as possible after its indication (Grade A, Level 1a, KSU Grade A).</w:t>
            </w:r>
          </w:p>
          <w:p w14:paraId="60E3BE6F" w14:textId="354B84AC" w:rsidR="000C04B5" w:rsidRPr="00D85E09" w:rsidRDefault="000C04B5" w:rsidP="0043316B">
            <w:pPr>
              <w:pStyle w:val="Tabletext"/>
              <w:keepNext w:val="0"/>
              <w:widowControl w:val="0"/>
            </w:pPr>
            <w:r w:rsidRPr="00D85E09">
              <w:t xml:space="preserve">If intravenous thrombolysis is contraindicated (e.g. Warfarin-treated with therapeutic INR) mechanical thrombectomy is recommended as first-line treatment in large vessel occlusions (Grade A, Level 1a, KSU Grade </w:t>
            </w:r>
            <w:r w:rsidR="00AB4BBF" w:rsidRPr="00D85E09">
              <w:t>A).</w:t>
            </w:r>
            <w:r w:rsidRPr="00D85E09">
              <w:t xml:space="preserve"> </w:t>
            </w:r>
          </w:p>
        </w:tc>
      </w:tr>
      <w:tr w:rsidR="000C04B5" w:rsidRPr="00D85E09" w14:paraId="19B1F15C" w14:textId="77777777" w:rsidTr="000C04B5">
        <w:tc>
          <w:tcPr>
            <w:tcW w:w="679" w:type="pct"/>
          </w:tcPr>
          <w:p w14:paraId="4FA5E981" w14:textId="77777777" w:rsidR="000C04B5" w:rsidRPr="00D85E09" w:rsidRDefault="000C04B5" w:rsidP="0043316B">
            <w:pPr>
              <w:pStyle w:val="Tabletext"/>
              <w:keepNext w:val="0"/>
              <w:widowControl w:val="0"/>
            </w:pPr>
            <w:r w:rsidRPr="00D85E09">
              <w:t>European assessment</w:t>
            </w:r>
          </w:p>
          <w:p w14:paraId="2AFBD0DB" w14:textId="77777777" w:rsidR="000C04B5" w:rsidRPr="00D85E09" w:rsidRDefault="000C04B5" w:rsidP="0043316B">
            <w:pPr>
              <w:pStyle w:val="Tabletext"/>
              <w:keepNext w:val="0"/>
              <w:widowControl w:val="0"/>
            </w:pPr>
            <w:r w:rsidRPr="00D85E09">
              <w:t>(EUnetHTA, 2015)</w:t>
            </w:r>
          </w:p>
        </w:tc>
        <w:tc>
          <w:tcPr>
            <w:tcW w:w="4321" w:type="pct"/>
          </w:tcPr>
          <w:p w14:paraId="198836FB" w14:textId="6037A2B9" w:rsidR="000C04B5" w:rsidRPr="00D85E09" w:rsidRDefault="000C04B5" w:rsidP="0043316B">
            <w:pPr>
              <w:pStyle w:val="Tabletext"/>
              <w:keepNext w:val="0"/>
              <w:widowControl w:val="0"/>
            </w:pPr>
            <w:r w:rsidRPr="00D85E09">
              <w:t>The evidence suggests that mechanical thrombectomy is of benefit, in terms of morbidity and function and, perhaps, generic quality of life, in selected patients with anterior circulation AIS, treated with 2nd-generation (stent retriever) thrombectomy devices after having first received IV</w:t>
            </w:r>
            <w:r w:rsidR="00D32933" w:rsidRPr="00D85E09">
              <w:t>-</w:t>
            </w:r>
            <w:r w:rsidRPr="00D85E09">
              <w:t xml:space="preserve">tPA, where appropriate. </w:t>
            </w:r>
          </w:p>
        </w:tc>
      </w:tr>
    </w:tbl>
    <w:p w14:paraId="5A851669" w14:textId="562048B6" w:rsidR="000C04B5" w:rsidRPr="00D85E09" w:rsidRDefault="000C04B5" w:rsidP="0043316B">
      <w:pPr>
        <w:widowControl w:val="0"/>
        <w:spacing w:after="360" w:line="240" w:lineRule="auto"/>
        <w:rPr>
          <w:rFonts w:ascii="Arial Narrow" w:eastAsia="Calibri" w:hAnsi="Arial Narrow" w:cs="Times New Roman"/>
          <w:sz w:val="18"/>
          <w:szCs w:val="18"/>
        </w:rPr>
      </w:pPr>
      <w:r w:rsidRPr="00D85E09">
        <w:rPr>
          <w:rFonts w:ascii="Arial Narrow" w:eastAsia="Calibri" w:hAnsi="Arial Narrow" w:cs="Times New Roman"/>
          <w:sz w:val="18"/>
          <w:szCs w:val="18"/>
        </w:rPr>
        <w:t>Abbreviations: AHA, American Heart Association; AIS, acute ischaemic stroke; ASA, American Stroke Association; ASPECTS, Alberta Stroke Program Early Computed Tomography Score; ESO, European Stroke Organisation; EUnetHTA, European Network for Health Technology Assessment; MT, Endovascular thrombectomy; hrs = hours; ICA, internal carotid artery; IV</w:t>
      </w:r>
      <w:r w:rsidR="00D32933" w:rsidRPr="00D85E09">
        <w:rPr>
          <w:rFonts w:ascii="Arial Narrow" w:eastAsia="Calibri" w:hAnsi="Arial Narrow" w:cs="Times New Roman"/>
          <w:sz w:val="18"/>
          <w:szCs w:val="18"/>
        </w:rPr>
        <w:t>-</w:t>
      </w:r>
      <w:r w:rsidRPr="00D85E09">
        <w:rPr>
          <w:rFonts w:ascii="Arial Narrow" w:eastAsia="Calibri" w:hAnsi="Arial Narrow" w:cs="Times New Roman"/>
          <w:sz w:val="18"/>
          <w:szCs w:val="18"/>
        </w:rPr>
        <w:t xml:space="preserve">tPA, intravenous tissue plasminogen activator; KSU, Karolinska Stroke Update; M1, first segment of the MCA; M2, second segment of the MCA; MCA, middle cerebral artery; mRS, modified Rankin </w:t>
      </w:r>
      <w:r w:rsidR="00F67AF7" w:rsidRPr="00D85E09">
        <w:rPr>
          <w:rFonts w:ascii="Arial Narrow" w:eastAsia="Calibri" w:hAnsi="Arial Narrow" w:cs="Times New Roman"/>
          <w:sz w:val="18"/>
          <w:szCs w:val="18"/>
        </w:rPr>
        <w:t>s</w:t>
      </w:r>
      <w:r w:rsidRPr="00D85E09">
        <w:rPr>
          <w:rFonts w:ascii="Arial Narrow" w:eastAsia="Calibri" w:hAnsi="Arial Narrow" w:cs="Times New Roman"/>
          <w:sz w:val="18"/>
          <w:szCs w:val="18"/>
        </w:rPr>
        <w:t>cale; NIHSS, National Institute of Stroke Health Scale</w:t>
      </w:r>
    </w:p>
    <w:p w14:paraId="3EB998A1" w14:textId="572008AE" w:rsidR="000C04B5" w:rsidRPr="00D85E09" w:rsidRDefault="000C04B5" w:rsidP="0043316B">
      <w:pPr>
        <w:widowControl w:val="0"/>
      </w:pPr>
      <w:r w:rsidRPr="00D85E09">
        <w:t xml:space="preserve">Overall, the clinical guidance reflects a strong body of evidence to support the use of MT in patients with AIS caused by LVO in patients that are eligible and ineligible for IV </w:t>
      </w:r>
      <w:r w:rsidR="005B7DCE">
        <w:t>tPA</w:t>
      </w:r>
      <w:r w:rsidRPr="00D85E09">
        <w:t xml:space="preserve">. It should be noted that since the publication of these guidelines in 2015, meta-analyses based on </w:t>
      </w:r>
      <w:r w:rsidR="0070191F" w:rsidRPr="00D85E09">
        <w:t>IPD</w:t>
      </w:r>
      <w:r w:rsidRPr="00D85E09">
        <w:t xml:space="preserve"> have provided additional data to support the use of MT in patients as a standalone treatment in patients that are ineligible for IV </w:t>
      </w:r>
      <w:r w:rsidR="005B7DCE">
        <w:t>tPA</w:t>
      </w:r>
      <w:r w:rsidRPr="00D85E09">
        <w:t xml:space="preserve">. Whilst outcomes may also be influenced by </w:t>
      </w:r>
      <w:r w:rsidRPr="00D85E09">
        <w:lastRenderedPageBreak/>
        <w:t xml:space="preserve">factors such as time from stroke onset, pattern of stroke damage, and disease severity, their interaction with treatment efficacy is sufficiently complex to justify a relatively non-prescriptive approach to patient selection. This approach is reflected in the Victorian protocol for endovascular clot retrieval. These eligibility guidelines, presented in </w:t>
      </w:r>
      <w:r w:rsidRPr="00D85E09">
        <w:fldChar w:fldCharType="begin"/>
      </w:r>
      <w:r w:rsidRPr="00D85E09">
        <w:instrText xml:space="preserve"> REF _Ref448933424 \h  \* MERGEFORMAT </w:instrText>
      </w:r>
      <w:r w:rsidRPr="00D85E09">
        <w:fldChar w:fldCharType="separate"/>
      </w:r>
      <w:r w:rsidR="00A456ED" w:rsidRPr="00D85E09">
        <w:t xml:space="preserve">Table </w:t>
      </w:r>
      <w:r w:rsidR="00A456ED">
        <w:t>9</w:t>
      </w:r>
      <w:r w:rsidRPr="00D85E09">
        <w:fldChar w:fldCharType="end"/>
      </w:r>
      <w:r w:rsidRPr="00D85E09">
        <w:t>, could be used as a model to better define patients who could benefit from the proposed intervention.</w:t>
      </w:r>
    </w:p>
    <w:p w14:paraId="71213433" w14:textId="2F2636E4" w:rsidR="000C04B5" w:rsidRPr="00D85E09" w:rsidRDefault="000C04B5" w:rsidP="0043316B">
      <w:pPr>
        <w:pStyle w:val="Caption"/>
        <w:keepNext w:val="0"/>
        <w:widowControl w:val="0"/>
        <w:rPr>
          <w:lang w:val="en-AU"/>
        </w:rPr>
      </w:pPr>
      <w:bookmarkStart w:id="98" w:name="_Ref448933424"/>
      <w:bookmarkStart w:id="99" w:name="_Toc45306534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w:t>
      </w:r>
      <w:r w:rsidRPr="00D85E09">
        <w:rPr>
          <w:lang w:val="en-AU"/>
        </w:rPr>
        <w:fldChar w:fldCharType="end"/>
      </w:r>
      <w:bookmarkEnd w:id="98"/>
      <w:r w:rsidRPr="00D85E09">
        <w:rPr>
          <w:lang w:val="en-AU"/>
        </w:rPr>
        <w:tab/>
        <w:t>Recommended selection of patients for MT in the Victorian statewide service protocol</w:t>
      </w:r>
      <w:bookmarkEnd w:id="99"/>
    </w:p>
    <w:tbl>
      <w:tblPr>
        <w:tblStyle w:val="TableGrid"/>
        <w:tblW w:w="0" w:type="auto"/>
        <w:tblLook w:val="04A0" w:firstRow="1" w:lastRow="0" w:firstColumn="1" w:lastColumn="0" w:noHBand="0" w:noVBand="1"/>
        <w:tblDescription w:val="Table 9. This table shows the recommended selection of patients for MT in the Victorian statewide service protocol"/>
      </w:tblPr>
      <w:tblGrid>
        <w:gridCol w:w="9004"/>
      </w:tblGrid>
      <w:tr w:rsidR="000C04B5" w:rsidRPr="00D85E09" w14:paraId="20996C2C" w14:textId="77777777" w:rsidTr="00BE6331">
        <w:trPr>
          <w:tblHeader/>
        </w:trPr>
        <w:tc>
          <w:tcPr>
            <w:tcW w:w="9004" w:type="dxa"/>
          </w:tcPr>
          <w:p w14:paraId="21DC6EF5" w14:textId="77777777" w:rsidR="000C04B5" w:rsidRPr="00D85E09" w:rsidRDefault="000C04B5" w:rsidP="0043316B">
            <w:pPr>
              <w:widowControl w:val="0"/>
              <w:spacing w:after="0" w:line="240" w:lineRule="auto"/>
              <w:rPr>
                <w:rFonts w:ascii="OYKZI O+ Helvetica Neue LT" w:hAnsi="OYKZI O+ Helvetica Neue LT" w:cs="OYKZI O+ Helvetica Neue LT"/>
                <w:b/>
                <w:sz w:val="19"/>
                <w:szCs w:val="19"/>
              </w:rPr>
            </w:pPr>
            <w:r w:rsidRPr="00D85E09">
              <w:rPr>
                <w:rFonts w:ascii="Arial Narrow" w:hAnsi="Arial Narrow" w:cs="Times New Roman"/>
                <w:b/>
                <w:bCs/>
                <w:sz w:val="20"/>
                <w:szCs w:val="20"/>
                <w:lang w:eastAsia="en-AU"/>
              </w:rPr>
              <w:t>Guidelines for endovascular clot retrieval (ECR) eligibility</w:t>
            </w:r>
          </w:p>
        </w:tc>
      </w:tr>
      <w:tr w:rsidR="000C04B5" w:rsidRPr="00D85E09" w14:paraId="09586C81" w14:textId="77777777" w:rsidTr="000C04B5">
        <w:tc>
          <w:tcPr>
            <w:tcW w:w="9004" w:type="dxa"/>
          </w:tcPr>
          <w:p w14:paraId="38D78C2E"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Ischaemic stroke with proven large vessel occlusion on CTA</w:t>
            </w:r>
          </w:p>
          <w:p w14:paraId="4029A364" w14:textId="77777777" w:rsidR="000C04B5" w:rsidRPr="00D85E09" w:rsidRDefault="000C04B5" w:rsidP="0043316B">
            <w:pPr>
              <w:pStyle w:val="Pa16"/>
              <w:widowControl w:val="0"/>
              <w:spacing w:after="40"/>
              <w:ind w:left="142"/>
              <w:rPr>
                <w:rFonts w:ascii="Arial Narrow" w:hAnsi="Arial Narrow"/>
                <w:bCs/>
                <w:sz w:val="20"/>
                <w:szCs w:val="20"/>
              </w:rPr>
            </w:pPr>
            <w:r w:rsidRPr="00D85E09">
              <w:rPr>
                <w:rFonts w:ascii="Arial Narrow" w:hAnsi="Arial Narrow"/>
                <w:bCs/>
                <w:sz w:val="20"/>
                <w:szCs w:val="20"/>
              </w:rPr>
              <w:t>• internal carotid artery (ICA)</w:t>
            </w:r>
          </w:p>
          <w:p w14:paraId="186E15A3" w14:textId="3678A4F6" w:rsidR="000C04B5" w:rsidRPr="00D85E09" w:rsidRDefault="000C04B5" w:rsidP="0043316B">
            <w:pPr>
              <w:pStyle w:val="Pa16"/>
              <w:widowControl w:val="0"/>
              <w:spacing w:after="40"/>
              <w:ind w:left="142"/>
              <w:rPr>
                <w:rFonts w:ascii="Arial Narrow" w:hAnsi="Arial Narrow"/>
                <w:bCs/>
                <w:sz w:val="20"/>
                <w:szCs w:val="20"/>
              </w:rPr>
            </w:pPr>
            <w:r w:rsidRPr="00D85E09">
              <w:rPr>
                <w:rFonts w:ascii="Arial Narrow" w:hAnsi="Arial Narrow"/>
                <w:bCs/>
                <w:sz w:val="20"/>
                <w:szCs w:val="20"/>
              </w:rPr>
              <w:t>• middle cerebral artery (MCA)</w:t>
            </w:r>
          </w:p>
          <w:p w14:paraId="5240CDAE" w14:textId="14AC860C" w:rsidR="000C04B5" w:rsidRPr="00D85E09" w:rsidRDefault="000C04B5" w:rsidP="0043316B">
            <w:pPr>
              <w:pStyle w:val="Pa16"/>
              <w:widowControl w:val="0"/>
              <w:spacing w:after="40"/>
              <w:ind w:left="567"/>
              <w:rPr>
                <w:rFonts w:ascii="Arial Narrow" w:hAnsi="Arial Narrow"/>
                <w:bCs/>
                <w:sz w:val="20"/>
                <w:szCs w:val="20"/>
              </w:rPr>
            </w:pPr>
            <w:r w:rsidRPr="00D85E09">
              <w:rPr>
                <w:rFonts w:ascii="Arial Narrow" w:hAnsi="Arial Narrow"/>
                <w:bCs/>
                <w:sz w:val="20"/>
                <w:szCs w:val="20"/>
              </w:rPr>
              <w:t>– M1 segment – between the carotid terminus and MCA bifurcation</w:t>
            </w:r>
          </w:p>
          <w:p w14:paraId="1B1F6048" w14:textId="77777777" w:rsidR="000C04B5" w:rsidRPr="00D85E09" w:rsidRDefault="000C04B5" w:rsidP="0043316B">
            <w:pPr>
              <w:pStyle w:val="Pa16"/>
              <w:widowControl w:val="0"/>
              <w:spacing w:after="40"/>
              <w:ind w:left="567"/>
              <w:rPr>
                <w:rFonts w:ascii="Arial Narrow" w:hAnsi="Arial Narrow"/>
                <w:bCs/>
                <w:sz w:val="20"/>
                <w:szCs w:val="20"/>
              </w:rPr>
            </w:pPr>
            <w:r w:rsidRPr="00D85E09">
              <w:rPr>
                <w:rFonts w:ascii="Arial Narrow" w:hAnsi="Arial Narrow"/>
                <w:bCs/>
                <w:sz w:val="20"/>
                <w:szCs w:val="20"/>
              </w:rPr>
              <w:t>– early M2 segment – after bifurcation but proximal within the Sylvian fissure</w:t>
            </w:r>
          </w:p>
          <w:p w14:paraId="1DBD7C5B" w14:textId="77777777" w:rsidR="000C04B5" w:rsidRPr="00D85E09" w:rsidRDefault="000C04B5" w:rsidP="0043316B">
            <w:pPr>
              <w:pStyle w:val="Pa16"/>
              <w:widowControl w:val="0"/>
              <w:spacing w:after="40"/>
              <w:ind w:left="142"/>
              <w:rPr>
                <w:rFonts w:ascii="Arial Narrow" w:hAnsi="Arial Narrow"/>
                <w:bCs/>
                <w:sz w:val="20"/>
                <w:szCs w:val="20"/>
              </w:rPr>
            </w:pPr>
            <w:r w:rsidRPr="00D85E09">
              <w:rPr>
                <w:rFonts w:ascii="Arial Narrow" w:hAnsi="Arial Narrow"/>
                <w:bCs/>
                <w:sz w:val="20"/>
                <w:szCs w:val="20"/>
              </w:rPr>
              <w:t>• basilar artery</w:t>
            </w:r>
          </w:p>
        </w:tc>
      </w:tr>
      <w:tr w:rsidR="000C04B5" w:rsidRPr="00D85E09" w14:paraId="68C512E5" w14:textId="77777777" w:rsidTr="000C04B5">
        <w:tc>
          <w:tcPr>
            <w:tcW w:w="9004" w:type="dxa"/>
          </w:tcPr>
          <w:p w14:paraId="2047423E"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Independent premorbid function (modified Rankin score 0–2)</w:t>
            </w:r>
          </w:p>
        </w:tc>
      </w:tr>
      <w:tr w:rsidR="000C04B5" w:rsidRPr="00D85E09" w14:paraId="3051C3A0" w14:textId="77777777" w:rsidTr="000C04B5">
        <w:tc>
          <w:tcPr>
            <w:tcW w:w="9004" w:type="dxa"/>
          </w:tcPr>
          <w:p w14:paraId="6B72DB3E"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Ability to start procedure within six hours of stroke onset – discretion for basilar artery occlusion and selected anterior circulation patients beyond six hours (CT perfusion is strongly recommended for these cases) as per current national/international guidelines*</w:t>
            </w:r>
          </w:p>
        </w:tc>
      </w:tr>
      <w:tr w:rsidR="000C04B5" w:rsidRPr="00D85E09" w14:paraId="3478CC2B" w14:textId="77777777" w:rsidTr="000C04B5">
        <w:tc>
          <w:tcPr>
            <w:tcW w:w="9004" w:type="dxa"/>
          </w:tcPr>
          <w:p w14:paraId="4BCA8C65"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Intravenous thrombolysis commenced if eligible</w:t>
            </w:r>
          </w:p>
        </w:tc>
      </w:tr>
      <w:tr w:rsidR="000C04B5" w:rsidRPr="00D85E09" w14:paraId="62A8B7B2" w14:textId="77777777" w:rsidTr="000C04B5">
        <w:tc>
          <w:tcPr>
            <w:tcW w:w="9004" w:type="dxa"/>
          </w:tcPr>
          <w:p w14:paraId="193D606B" w14:textId="77777777" w:rsidR="000C04B5" w:rsidRPr="00D85E09" w:rsidRDefault="000C04B5" w:rsidP="0043316B">
            <w:pPr>
              <w:pStyle w:val="Pa16"/>
              <w:widowControl w:val="0"/>
              <w:spacing w:after="40"/>
              <w:rPr>
                <w:rFonts w:ascii="Arial Narrow" w:hAnsi="Arial Narrow"/>
                <w:bCs/>
                <w:sz w:val="20"/>
                <w:szCs w:val="20"/>
              </w:rPr>
            </w:pPr>
            <w:r w:rsidRPr="00D85E09">
              <w:rPr>
                <w:rFonts w:ascii="Arial Narrow" w:hAnsi="Arial Narrow"/>
                <w:bCs/>
                <w:sz w:val="20"/>
                <w:szCs w:val="20"/>
              </w:rPr>
              <w:t>Accessible to clot retrieval – assessment by neurointerventionist (requires remote picture archiving and communication system (PACS) access at all referral sites)</w:t>
            </w:r>
          </w:p>
        </w:tc>
      </w:tr>
    </w:tbl>
    <w:p w14:paraId="7D9C04CC" w14:textId="02EE0AF7" w:rsidR="000C04B5" w:rsidRPr="00D85E09" w:rsidRDefault="000C04B5" w:rsidP="0043316B">
      <w:pPr>
        <w:pStyle w:val="Tablefootnote"/>
        <w:widowControl w:val="0"/>
        <w:spacing w:after="360"/>
        <w:rPr>
          <w:lang w:val="en-AU"/>
        </w:rPr>
      </w:pPr>
      <w:r w:rsidRPr="00D85E09">
        <w:rPr>
          <w:lang w:val="en-AU"/>
        </w:rPr>
        <w:t>*Updated American, Canadian and European guidelines have been released; updated Australian guidelines are in development</w:t>
      </w:r>
    </w:p>
    <w:p w14:paraId="6570FDD8" w14:textId="3FAE767C" w:rsidR="000C04B5" w:rsidRPr="00D85E09" w:rsidRDefault="000C04B5" w:rsidP="0043316B">
      <w:pPr>
        <w:widowControl w:val="0"/>
      </w:pPr>
      <w:r w:rsidRPr="00D85E09">
        <w:t xml:space="preserve">Finally, it should be noted that the Australian NSF guidelines state that “intra-arterial thrombolysis within six hours can be used in carefully selected patients” (NSF, 2010). This procedure involves the direct administration of thrombolytic drugs to the blocked artery using endovascular surgical techniques; as such, this treatment is also referred to as an endovascular therapy. The clinical management pathway presented in this submission assumes that intra-arterial thrombolysis is not a potential comparator due to a lack of evidence and poor uptake. If endovascular access to the cerebral occlusion is possible, clinical practice guidelines recommend the use of MT over the use of intra-arterial thrombolysis. Comments received during the </w:t>
      </w:r>
      <w:r w:rsidR="00F67AF7" w:rsidRPr="00D85E09">
        <w:t>P</w:t>
      </w:r>
      <w:r w:rsidRPr="00D85E09">
        <w:t xml:space="preserve">ublic </w:t>
      </w:r>
      <w:r w:rsidR="00F67AF7" w:rsidRPr="00D85E09">
        <w:t>C</w:t>
      </w:r>
      <w:r w:rsidRPr="00D85E09">
        <w:t>onsultation phase of this Application had general consensus amongst respondents: intra-arterial thrombolysis (IAT) has a minor role in Australian clinical practice and would therefore not represent an alternative comparator to MT.</w:t>
      </w:r>
    </w:p>
    <w:p w14:paraId="3AC72B80" w14:textId="77777777" w:rsidR="000C04B5" w:rsidRPr="00D85E09" w:rsidRDefault="000C04B5" w:rsidP="0043316B">
      <w:pPr>
        <w:pStyle w:val="Heading4"/>
        <w:keepLines w:val="0"/>
        <w:widowControl w:val="0"/>
        <w:rPr>
          <w:lang w:val="en-AU"/>
        </w:rPr>
      </w:pPr>
      <w:r w:rsidRPr="00D85E09">
        <w:rPr>
          <w:lang w:val="en-AU"/>
        </w:rPr>
        <w:t>Post procedure care</w:t>
      </w:r>
    </w:p>
    <w:p w14:paraId="05DC93C9" w14:textId="18FA06FD" w:rsidR="000C04B5" w:rsidRPr="00D85E09" w:rsidRDefault="000C04B5" w:rsidP="0043316B">
      <w:pPr>
        <w:widowControl w:val="0"/>
        <w:rPr>
          <w:lang w:eastAsia="de-DE"/>
        </w:rPr>
      </w:pPr>
      <w:r w:rsidRPr="00D85E09">
        <w:rPr>
          <w:lang w:eastAsia="de-DE"/>
        </w:rPr>
        <w:t>The Victorian statewide protocol states that following MT, the patient would generally remain at the centre for 24 hours for post</w:t>
      </w:r>
      <w:r w:rsidR="00300BB6" w:rsidRPr="00D85E09">
        <w:rPr>
          <w:lang w:eastAsia="de-DE"/>
        </w:rPr>
        <w:t xml:space="preserve"> </w:t>
      </w:r>
      <w:r w:rsidRPr="00D85E09">
        <w:rPr>
          <w:lang w:eastAsia="de-DE"/>
        </w:rPr>
        <w:t>procedure monitoring and repeat brain imaging. Recommended post</w:t>
      </w:r>
      <w:r w:rsidR="00300BB6" w:rsidRPr="00D85E09">
        <w:rPr>
          <w:lang w:eastAsia="de-DE"/>
        </w:rPr>
        <w:t xml:space="preserve"> </w:t>
      </w:r>
      <w:r w:rsidRPr="00D85E09">
        <w:rPr>
          <w:lang w:eastAsia="de-DE"/>
        </w:rPr>
        <w:t xml:space="preserve">procedure observations are similar to post-thrombolysis observations, </w:t>
      </w:r>
      <w:r w:rsidRPr="00D85E09">
        <w:rPr>
          <w:lang w:eastAsia="de-DE"/>
        </w:rPr>
        <w:lastRenderedPageBreak/>
        <w:t>with the addition of arterial access site and limb vascular observations:</w:t>
      </w:r>
    </w:p>
    <w:p w14:paraId="7A1E4807" w14:textId="77777777" w:rsidR="000C04B5" w:rsidRPr="00D85E09" w:rsidRDefault="000C04B5" w:rsidP="0043316B">
      <w:pPr>
        <w:pStyle w:val="ListParagraph"/>
        <w:widowControl w:val="0"/>
        <w:numPr>
          <w:ilvl w:val="0"/>
          <w:numId w:val="38"/>
        </w:numPr>
        <w:rPr>
          <w:lang w:eastAsia="de-DE"/>
        </w:rPr>
      </w:pPr>
      <w:r w:rsidRPr="00D85E09">
        <w:rPr>
          <w:lang w:eastAsia="de-DE"/>
        </w:rPr>
        <w:t>quarter-hourly for two hours</w:t>
      </w:r>
    </w:p>
    <w:p w14:paraId="76BE35B7" w14:textId="77777777" w:rsidR="000C04B5" w:rsidRPr="00D85E09" w:rsidRDefault="000C04B5" w:rsidP="0043316B">
      <w:pPr>
        <w:pStyle w:val="ListParagraph"/>
        <w:widowControl w:val="0"/>
        <w:numPr>
          <w:ilvl w:val="0"/>
          <w:numId w:val="38"/>
        </w:numPr>
        <w:rPr>
          <w:lang w:eastAsia="de-DE"/>
        </w:rPr>
      </w:pPr>
      <w:r w:rsidRPr="00D85E09">
        <w:rPr>
          <w:lang w:eastAsia="de-DE"/>
        </w:rPr>
        <w:t>half-hourly for four hours</w:t>
      </w:r>
    </w:p>
    <w:p w14:paraId="7A1FB360" w14:textId="77777777" w:rsidR="000C04B5" w:rsidRPr="00D85E09" w:rsidRDefault="000C04B5" w:rsidP="0043316B">
      <w:pPr>
        <w:pStyle w:val="ListParagraph"/>
        <w:widowControl w:val="0"/>
        <w:numPr>
          <w:ilvl w:val="0"/>
          <w:numId w:val="38"/>
        </w:numPr>
        <w:rPr>
          <w:lang w:eastAsia="de-DE"/>
        </w:rPr>
      </w:pPr>
      <w:r w:rsidRPr="00D85E09">
        <w:rPr>
          <w:lang w:eastAsia="de-DE"/>
        </w:rPr>
        <w:t>one-hourly for four hours</w:t>
      </w:r>
    </w:p>
    <w:p w14:paraId="2D315A7E" w14:textId="77777777" w:rsidR="000C04B5" w:rsidRPr="00D85E09" w:rsidRDefault="000C04B5" w:rsidP="0043316B">
      <w:pPr>
        <w:pStyle w:val="ListParagraph"/>
        <w:widowControl w:val="0"/>
        <w:numPr>
          <w:ilvl w:val="0"/>
          <w:numId w:val="38"/>
        </w:numPr>
        <w:rPr>
          <w:lang w:eastAsia="de-DE"/>
        </w:rPr>
      </w:pPr>
      <w:r w:rsidRPr="00D85E09">
        <w:rPr>
          <w:lang w:eastAsia="de-DE"/>
        </w:rPr>
        <w:t>two-hourly for 12 hours</w:t>
      </w:r>
    </w:p>
    <w:p w14:paraId="59696DE9" w14:textId="77777777" w:rsidR="000C04B5" w:rsidRPr="00D85E09" w:rsidRDefault="000C04B5" w:rsidP="0043316B">
      <w:pPr>
        <w:pStyle w:val="ListParagraph"/>
        <w:widowControl w:val="0"/>
        <w:numPr>
          <w:ilvl w:val="0"/>
          <w:numId w:val="38"/>
        </w:numPr>
        <w:rPr>
          <w:lang w:eastAsia="de-DE"/>
        </w:rPr>
      </w:pPr>
      <w:r w:rsidRPr="00D85E09">
        <w:rPr>
          <w:lang w:eastAsia="de-DE"/>
        </w:rPr>
        <w:t>four-hourly until reviewed</w:t>
      </w:r>
    </w:p>
    <w:p w14:paraId="3CAA7131" w14:textId="77777777" w:rsidR="000C04B5" w:rsidRPr="00D85E09" w:rsidRDefault="000C04B5" w:rsidP="0043316B">
      <w:pPr>
        <w:pStyle w:val="Heading4"/>
        <w:keepLines w:val="0"/>
        <w:widowControl w:val="0"/>
        <w:rPr>
          <w:lang w:val="en-AU"/>
        </w:rPr>
      </w:pPr>
      <w:r w:rsidRPr="00D85E09">
        <w:rPr>
          <w:lang w:val="en-AU"/>
        </w:rPr>
        <w:t>Medical management</w:t>
      </w:r>
    </w:p>
    <w:p w14:paraId="71C52DB4" w14:textId="2A7FC43B" w:rsidR="000C04B5" w:rsidRPr="00D85E09" w:rsidRDefault="000C04B5" w:rsidP="0043316B">
      <w:pPr>
        <w:widowControl w:val="0"/>
        <w:spacing w:before="120"/>
      </w:pPr>
      <w:r w:rsidRPr="00D85E09">
        <w:rPr>
          <w:lang w:eastAsia="de-DE"/>
        </w:rPr>
        <w:t xml:space="preserve">As discussed above, there </w:t>
      </w:r>
      <w:r w:rsidRPr="00D85E09">
        <w:t>are strict rules used by doctors in determining if a patient is eligible for tPA. In addition to restrictions around the timing of administration (i.e. less than 4.5 hours after stroke onset), tPA is also contra</w:t>
      </w:r>
      <w:r w:rsidR="00300BB6" w:rsidRPr="00D85E09">
        <w:t>indicated</w:t>
      </w:r>
      <w:r w:rsidRPr="00D85E09">
        <w:t xml:space="preserve"> in patients that meet any of the following criteria:</w:t>
      </w:r>
    </w:p>
    <w:p w14:paraId="3477487B" w14:textId="77777777" w:rsidR="000C04B5" w:rsidRPr="00D85E09" w:rsidRDefault="000C04B5" w:rsidP="0043316B">
      <w:pPr>
        <w:pStyle w:val="ListParagraph"/>
        <w:widowControl w:val="0"/>
        <w:numPr>
          <w:ilvl w:val="0"/>
          <w:numId w:val="22"/>
        </w:numPr>
        <w:spacing w:before="120"/>
      </w:pPr>
      <w:r w:rsidRPr="00D85E09">
        <w:t>Severe, uncontrolled hypertension</w:t>
      </w:r>
    </w:p>
    <w:p w14:paraId="5F245459" w14:textId="77777777" w:rsidR="000C04B5" w:rsidRPr="00D85E09" w:rsidRDefault="000C04B5" w:rsidP="0043316B">
      <w:pPr>
        <w:pStyle w:val="ListParagraph"/>
        <w:widowControl w:val="0"/>
        <w:numPr>
          <w:ilvl w:val="0"/>
          <w:numId w:val="22"/>
        </w:numPr>
        <w:spacing w:before="120"/>
      </w:pPr>
      <w:r w:rsidRPr="00D85E09">
        <w:t>Previous surgery; widespread ischaemia</w:t>
      </w:r>
    </w:p>
    <w:p w14:paraId="0FC4C6FB" w14:textId="77777777" w:rsidR="000C04B5" w:rsidRPr="00D85E09" w:rsidRDefault="000C04B5" w:rsidP="0043316B">
      <w:pPr>
        <w:pStyle w:val="ListParagraph"/>
        <w:widowControl w:val="0"/>
        <w:numPr>
          <w:ilvl w:val="0"/>
          <w:numId w:val="22"/>
        </w:numPr>
        <w:spacing w:before="120"/>
        <w:rPr>
          <w:rStyle w:val="minoreditsChar"/>
          <w:color w:val="auto"/>
        </w:rPr>
      </w:pPr>
      <w:r w:rsidRPr="00D85E09">
        <w:rPr>
          <w:rStyle w:val="minoreditsChar"/>
          <w:color w:val="auto"/>
        </w:rPr>
        <w:t>Patient receiving oral anticoagulants with an international normalised ratio &gt;1.3</w:t>
      </w:r>
    </w:p>
    <w:p w14:paraId="0B124D33" w14:textId="5F57EF09" w:rsidR="000C04B5" w:rsidRPr="00D85E09" w:rsidRDefault="000C04B5" w:rsidP="0043316B">
      <w:pPr>
        <w:pStyle w:val="ListParagraph"/>
        <w:widowControl w:val="0"/>
        <w:numPr>
          <w:ilvl w:val="0"/>
          <w:numId w:val="22"/>
        </w:numPr>
        <w:spacing w:before="120"/>
        <w:rPr>
          <w:rStyle w:val="minoreditsChar"/>
          <w:color w:val="auto"/>
        </w:rPr>
      </w:pPr>
      <w:r w:rsidRPr="00D85E09">
        <w:rPr>
          <w:rStyle w:val="minoreditsChar"/>
          <w:color w:val="auto"/>
        </w:rPr>
        <w:t>Intra</w:t>
      </w:r>
      <w:r w:rsidR="00300BB6" w:rsidRPr="00D85E09">
        <w:rPr>
          <w:rStyle w:val="minoreditsChar"/>
          <w:color w:val="auto"/>
        </w:rPr>
        <w:t>-cranial</w:t>
      </w:r>
      <w:r w:rsidRPr="00D85E09">
        <w:rPr>
          <w:rStyle w:val="minoreditsChar"/>
          <w:color w:val="auto"/>
        </w:rPr>
        <w:t xml:space="preserve"> bleeding</w:t>
      </w:r>
    </w:p>
    <w:p w14:paraId="582851FA" w14:textId="3FC17638" w:rsidR="000C04B5" w:rsidRPr="00D85E09" w:rsidRDefault="000C04B5" w:rsidP="0043316B">
      <w:pPr>
        <w:pStyle w:val="ListParagraph"/>
        <w:widowControl w:val="0"/>
        <w:numPr>
          <w:ilvl w:val="0"/>
          <w:numId w:val="22"/>
        </w:numPr>
        <w:spacing w:before="120" w:after="360"/>
        <w:ind w:left="714" w:hanging="357"/>
      </w:pPr>
      <w:r w:rsidRPr="00D85E09">
        <w:rPr>
          <w:rStyle w:val="minoreditsChar"/>
          <w:color w:val="auto"/>
        </w:rPr>
        <w:t>Previous stroke within the past three months.</w:t>
      </w:r>
    </w:p>
    <w:p w14:paraId="1DDDC35B" w14:textId="15D42786" w:rsidR="000C04B5" w:rsidRPr="00D85E09" w:rsidRDefault="000C04B5" w:rsidP="0043316B">
      <w:pPr>
        <w:widowControl w:val="0"/>
        <w:rPr>
          <w:lang w:eastAsia="de-DE"/>
        </w:rPr>
      </w:pPr>
      <w:r w:rsidRPr="00D85E09">
        <w:rPr>
          <w:lang w:eastAsia="de-DE"/>
        </w:rPr>
        <w:t>In these patients, the NSF guidelines recommend medical management in the form of anti-thrombotic therapy. This includes the administration of aspirin orally or via a nasogastric tube or suppository as soon as possible after the onset of stroke symptoms. The routine use of early anti</w:t>
      </w:r>
      <w:r w:rsidR="00300BB6" w:rsidRPr="00D85E09">
        <w:rPr>
          <w:lang w:eastAsia="de-DE"/>
        </w:rPr>
        <w:t>coagulation</w:t>
      </w:r>
      <w:r w:rsidRPr="00D85E09">
        <w:rPr>
          <w:lang w:eastAsia="de-DE"/>
        </w:rPr>
        <w:t xml:space="preserve"> (standard unfractionated heparin, low</w:t>
      </w:r>
      <w:r w:rsidR="00D32933" w:rsidRPr="00D85E09">
        <w:rPr>
          <w:lang w:eastAsia="de-DE"/>
        </w:rPr>
        <w:t xml:space="preserve"> </w:t>
      </w:r>
      <w:r w:rsidRPr="00D85E09">
        <w:rPr>
          <w:lang w:eastAsia="de-DE"/>
        </w:rPr>
        <w:t>molecular weight heapains, heparinoids, oral anti</w:t>
      </w:r>
      <w:r w:rsidR="00300BB6" w:rsidRPr="00D85E09">
        <w:rPr>
          <w:lang w:eastAsia="de-DE"/>
        </w:rPr>
        <w:t>coagulants</w:t>
      </w:r>
      <w:r w:rsidRPr="00D85E09">
        <w:rPr>
          <w:lang w:eastAsia="de-DE"/>
        </w:rPr>
        <w:t xml:space="preserve"> or thrombin inhibitors) in unselected patients following ischaemic stroke is not recommended (NSF, 2010).</w:t>
      </w:r>
    </w:p>
    <w:p w14:paraId="5F9C443C" w14:textId="77777777" w:rsidR="000C04B5" w:rsidRPr="00D85E09" w:rsidRDefault="000C04B5" w:rsidP="0043316B">
      <w:pPr>
        <w:pStyle w:val="Heading3"/>
        <w:keepNext w:val="0"/>
        <w:widowControl w:val="0"/>
        <w:rPr>
          <w:lang w:val="en-AU"/>
        </w:rPr>
      </w:pPr>
      <w:bookmarkStart w:id="100" w:name="_Toc453065251"/>
      <w:r w:rsidRPr="00D85E09">
        <w:rPr>
          <w:lang w:val="en-AU"/>
        </w:rPr>
        <w:t>Proposed clinical algorithm</w:t>
      </w:r>
      <w:bookmarkEnd w:id="100"/>
    </w:p>
    <w:p w14:paraId="08F2AB42" w14:textId="090FCEE8" w:rsidR="000C04B5" w:rsidRPr="00D85E09" w:rsidRDefault="000C04B5" w:rsidP="0043316B">
      <w:pPr>
        <w:widowControl w:val="0"/>
      </w:pPr>
      <w:r w:rsidRPr="00D85E09">
        <w:t xml:space="preserve">As shown in </w:t>
      </w:r>
      <w:r w:rsidRPr="00D85E09">
        <w:fldChar w:fldCharType="begin"/>
      </w:r>
      <w:r w:rsidRPr="00D85E09">
        <w:instrText xml:space="preserve"> REF _Ref362279549 \h </w:instrText>
      </w:r>
      <w:r w:rsidRPr="00D85E09">
        <w:fldChar w:fldCharType="separate"/>
      </w:r>
      <w:r w:rsidR="00A456ED" w:rsidRPr="00D85E09">
        <w:t xml:space="preserve">Figure </w:t>
      </w:r>
      <w:r w:rsidR="00A456ED">
        <w:rPr>
          <w:noProof/>
        </w:rPr>
        <w:t>3</w:t>
      </w:r>
      <w:r w:rsidRPr="00D85E09">
        <w:fldChar w:fldCharType="end"/>
      </w:r>
      <w:r w:rsidRPr="00D85E09">
        <w:t>, the proposed clinical algorithm presented in this submission is consistent with recommendations from CPGs and Australian stroke protocols. MT is indicated as an additional therapy in patients who are eligible for treatment with IV</w:t>
      </w:r>
      <w:r w:rsidR="00D32933" w:rsidRPr="00D85E09">
        <w:t>-</w:t>
      </w:r>
      <w:r w:rsidRPr="00D85E09">
        <w:t>tPA, and as an alternative therapy in patients for whom IV</w:t>
      </w:r>
      <w:r w:rsidR="00D32933" w:rsidRPr="00D85E09">
        <w:t>-</w:t>
      </w:r>
      <w:r w:rsidRPr="00D85E09">
        <w:t>tPA is contraindicated. The comparators for these respective groups are:</w:t>
      </w:r>
    </w:p>
    <w:p w14:paraId="60A0C74F" w14:textId="3B5B1FDE" w:rsidR="000C04B5" w:rsidRPr="00D85E09" w:rsidRDefault="000C04B5" w:rsidP="0043316B">
      <w:pPr>
        <w:pStyle w:val="ListParagraph"/>
        <w:widowControl w:val="0"/>
        <w:numPr>
          <w:ilvl w:val="0"/>
          <w:numId w:val="26"/>
        </w:numPr>
      </w:pPr>
      <w:r w:rsidRPr="00D85E09">
        <w:t>IV</w:t>
      </w:r>
      <w:r w:rsidR="00D32933" w:rsidRPr="00D85E09">
        <w:t>-</w:t>
      </w:r>
      <w:r w:rsidRPr="00D85E09">
        <w:t>tPA alone (where indicated), and:</w:t>
      </w:r>
    </w:p>
    <w:p w14:paraId="130B14B8" w14:textId="4AAE37C1" w:rsidR="002B710A" w:rsidRDefault="000C04B5" w:rsidP="0043316B">
      <w:pPr>
        <w:pStyle w:val="ListParagraph"/>
        <w:widowControl w:val="0"/>
        <w:numPr>
          <w:ilvl w:val="0"/>
          <w:numId w:val="25"/>
        </w:numPr>
      </w:pPr>
      <w:r w:rsidRPr="00D85E09">
        <w:t>Medical management (anti-thrombotic therapy) where IV thrombolytic therapy is contraindicated.</w:t>
      </w:r>
      <w:r w:rsidR="002B710A">
        <w:br w:type="page"/>
      </w:r>
    </w:p>
    <w:p w14:paraId="2B26835A" w14:textId="5AF5A4AF" w:rsidR="000C04B5" w:rsidRPr="00D85E09" w:rsidRDefault="000C04B5" w:rsidP="0043316B">
      <w:pPr>
        <w:pStyle w:val="Caption"/>
        <w:keepNext w:val="0"/>
        <w:widowControl w:val="0"/>
        <w:rPr>
          <w:lang w:val="en-AU"/>
        </w:rPr>
      </w:pPr>
      <w:bookmarkStart w:id="101" w:name="_Ref362279549"/>
      <w:bookmarkStart w:id="102" w:name="_Ref362868590"/>
      <w:bookmarkStart w:id="103" w:name="_Toc362869572"/>
      <w:bookmarkStart w:id="104" w:name="_Toc453065450"/>
      <w:r w:rsidRPr="00D85E09">
        <w:rPr>
          <w:lang w:val="en-AU"/>
        </w:rPr>
        <w:lastRenderedPageBreak/>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3</w:t>
      </w:r>
      <w:r w:rsidRPr="00D85E09">
        <w:rPr>
          <w:lang w:val="en-AU"/>
        </w:rPr>
        <w:fldChar w:fldCharType="end"/>
      </w:r>
      <w:bookmarkEnd w:id="101"/>
      <w:bookmarkEnd w:id="102"/>
      <w:r w:rsidRPr="00D85E09">
        <w:rPr>
          <w:lang w:val="en-AU"/>
        </w:rPr>
        <w:tab/>
        <w:t>Current and proposed clinical management algorithm</w:t>
      </w:r>
      <w:bookmarkEnd w:id="103"/>
      <w:bookmarkEnd w:id="104"/>
    </w:p>
    <w:p w14:paraId="7F89E97C" w14:textId="77777777" w:rsidR="000C04B5" w:rsidRPr="00D85E09" w:rsidRDefault="000C04B5" w:rsidP="0043316B">
      <w:pPr>
        <w:widowControl w:val="0"/>
        <w:spacing w:after="0"/>
      </w:pPr>
      <w:r w:rsidRPr="00D85E09">
        <w:rPr>
          <w:noProof/>
          <w:bdr w:val="single" w:sz="4" w:space="0" w:color="auto"/>
          <w:lang w:eastAsia="en-AU"/>
        </w:rPr>
        <w:drawing>
          <wp:inline distT="0" distB="0" distL="0" distR="0" wp14:anchorId="059AC63E" wp14:editId="1BA03DAE">
            <wp:extent cx="5760085" cy="3945289"/>
            <wp:effectExtent l="0" t="0" r="0" b="0"/>
            <wp:docPr id="8" name="Picture 8" descr="Figure 3. Current (comparator) and proposed clinic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085" cy="3945289"/>
                    </a:xfrm>
                    <a:prstGeom prst="rect">
                      <a:avLst/>
                    </a:prstGeom>
                  </pic:spPr>
                </pic:pic>
              </a:graphicData>
            </a:graphic>
          </wp:inline>
        </w:drawing>
      </w:r>
    </w:p>
    <w:p w14:paraId="68CF396C" w14:textId="77777777" w:rsidR="000C04B5" w:rsidRPr="00D85E09" w:rsidRDefault="000C04B5" w:rsidP="0043316B">
      <w:pPr>
        <w:widowControl w:val="0"/>
        <w:spacing w:after="360"/>
        <w:rPr>
          <w:rFonts w:ascii="Arial Narrow" w:eastAsia="Calibri" w:hAnsi="Arial Narrow" w:cs="Times New Roman"/>
          <w:sz w:val="18"/>
          <w:szCs w:val="18"/>
        </w:rPr>
      </w:pPr>
      <w:r w:rsidRPr="00D85E09">
        <w:rPr>
          <w:rFonts w:ascii="Arial Narrow" w:eastAsia="Calibri" w:hAnsi="Arial Narrow" w:cs="Times New Roman"/>
          <w:sz w:val="18"/>
          <w:szCs w:val="18"/>
        </w:rPr>
        <w:t>Abbreviations: LVO, large vessel occlusion; MT, mechanical thrombectomy</w:t>
      </w:r>
    </w:p>
    <w:p w14:paraId="70DADC57" w14:textId="4C0299D6" w:rsidR="000C04B5" w:rsidRPr="00D85E09" w:rsidRDefault="000C04B5" w:rsidP="0043316B">
      <w:pPr>
        <w:widowControl w:val="0"/>
        <w:spacing w:after="360"/>
      </w:pPr>
      <w:r w:rsidRPr="00D85E09">
        <w:t xml:space="preserve">For the proposed pathway in </w:t>
      </w:r>
      <w:r w:rsidRPr="00D85E09">
        <w:fldChar w:fldCharType="begin"/>
      </w:r>
      <w:r w:rsidRPr="00D85E09">
        <w:instrText xml:space="preserve"> REF _Ref362279549 \h </w:instrText>
      </w:r>
      <w:r w:rsidRPr="00D85E09">
        <w:fldChar w:fldCharType="separate"/>
      </w:r>
      <w:r w:rsidR="00A456ED" w:rsidRPr="00D85E09">
        <w:t xml:space="preserve">Figure </w:t>
      </w:r>
      <w:r w:rsidR="00A456ED">
        <w:rPr>
          <w:noProof/>
        </w:rPr>
        <w:t>3</w:t>
      </w:r>
      <w:r w:rsidRPr="00D85E09">
        <w:fldChar w:fldCharType="end"/>
      </w:r>
      <w:r w:rsidRPr="00D85E09">
        <w:t>, for further clarification, the following pieces of advice from PASC were provided:</w:t>
      </w:r>
    </w:p>
    <w:p w14:paraId="1743FC54" w14:textId="77777777" w:rsidR="000C04B5" w:rsidRPr="00D85E09" w:rsidRDefault="000C04B5" w:rsidP="0043316B">
      <w:pPr>
        <w:pStyle w:val="ListParagraph"/>
        <w:widowControl w:val="0"/>
        <w:numPr>
          <w:ilvl w:val="0"/>
          <w:numId w:val="25"/>
        </w:numPr>
        <w:spacing w:after="360"/>
        <w:rPr>
          <w:i/>
        </w:rPr>
      </w:pPr>
      <w:r w:rsidRPr="00D85E09">
        <w:rPr>
          <w:i/>
        </w:rPr>
        <w:t>“If eligible for tPA, this should be administered ASAP, before or during assessment of patient suitability for MT (&lt;4.5h from symptom onset)”.</w:t>
      </w:r>
    </w:p>
    <w:p w14:paraId="2633ECC5" w14:textId="77777777" w:rsidR="000C04B5" w:rsidRPr="00D85E09" w:rsidRDefault="000C04B5" w:rsidP="0043316B">
      <w:pPr>
        <w:pStyle w:val="ListParagraph"/>
        <w:widowControl w:val="0"/>
        <w:numPr>
          <w:ilvl w:val="0"/>
          <w:numId w:val="25"/>
        </w:numPr>
        <w:spacing w:after="360"/>
        <w:rPr>
          <w:i/>
        </w:rPr>
      </w:pPr>
      <w:r w:rsidRPr="00D85E09">
        <w:rPr>
          <w:i/>
        </w:rPr>
        <w:t>“If suitable for MT, this should be performed without awaiting a clinical response to tPA (&lt;6h from symptom onset)”.</w:t>
      </w:r>
    </w:p>
    <w:p w14:paraId="310F1BA2" w14:textId="0802F4EA" w:rsidR="002B710A" w:rsidRDefault="000C04B5" w:rsidP="0043316B">
      <w:pPr>
        <w:widowControl w:val="0"/>
        <w:spacing w:after="360"/>
      </w:pPr>
      <w:r w:rsidRPr="00D85E09">
        <w:t>With regards to the latter point, the Applicant notes eligibility guidelines described in the Victorian protocol for endovascular clot retrieval, which recognise that some patients outside the 6 hour time window could benefit from MT (salvageable brain tissue identified on imaging).</w:t>
      </w:r>
      <w:r w:rsidR="002B710A">
        <w:br w:type="page"/>
      </w:r>
    </w:p>
    <w:p w14:paraId="2BA3D611" w14:textId="77777777" w:rsidR="000C04B5" w:rsidRPr="00D85E09" w:rsidRDefault="000C04B5" w:rsidP="0043316B">
      <w:pPr>
        <w:pStyle w:val="Heading2"/>
        <w:widowControl w:val="0"/>
        <w:ind w:left="851" w:hanging="851"/>
        <w:rPr>
          <w:lang w:val="en-AU"/>
        </w:rPr>
      </w:pPr>
      <w:bookmarkStart w:id="105" w:name="_Toc358217051"/>
      <w:bookmarkStart w:id="106" w:name="_Toc362869558"/>
      <w:bookmarkStart w:id="107" w:name="_Toc453065252"/>
      <w:r w:rsidRPr="00D85E09">
        <w:rPr>
          <w:lang w:val="en-AU"/>
        </w:rPr>
        <w:lastRenderedPageBreak/>
        <w:t>Differences between the proposed intervention and the main comparator(s)</w:t>
      </w:r>
      <w:bookmarkEnd w:id="105"/>
      <w:bookmarkEnd w:id="106"/>
      <w:bookmarkEnd w:id="107"/>
    </w:p>
    <w:p w14:paraId="47581734" w14:textId="5711B095" w:rsidR="000C04B5" w:rsidRPr="00D85E09" w:rsidRDefault="000C04B5" w:rsidP="0043316B">
      <w:pPr>
        <w:widowControl w:val="0"/>
      </w:pPr>
      <w:r w:rsidRPr="00D85E09">
        <w:t>The main differences between MT and IV</w:t>
      </w:r>
      <w:r w:rsidR="00D32933" w:rsidRPr="00D85E09">
        <w:t>-</w:t>
      </w:r>
      <w:r w:rsidRPr="00D85E09">
        <w:t xml:space="preserve">tPA are presented in </w:t>
      </w:r>
      <w:r w:rsidRPr="00D85E09">
        <w:fldChar w:fldCharType="begin"/>
      </w:r>
      <w:r w:rsidRPr="00D85E09">
        <w:instrText xml:space="preserve"> REF _Ref443487566 \h </w:instrText>
      </w:r>
      <w:r w:rsidRPr="00D85E09">
        <w:fldChar w:fldCharType="separate"/>
      </w:r>
      <w:r w:rsidR="00A456ED" w:rsidRPr="00D85E09">
        <w:t xml:space="preserve">Table </w:t>
      </w:r>
      <w:r w:rsidR="00A456ED">
        <w:rPr>
          <w:noProof/>
        </w:rPr>
        <w:t>10</w:t>
      </w:r>
      <w:r w:rsidRPr="00D85E09">
        <w:fldChar w:fldCharType="end"/>
      </w:r>
      <w:r w:rsidRPr="00D85E09">
        <w:t>. Since alteplase is available under a variety of marketed names, and there are various types of MT devices available in Australia, this comparison is based on the Product Information for Actilyse</w:t>
      </w:r>
      <w:r w:rsidRPr="00D85E09">
        <w:rPr>
          <w:vertAlign w:val="superscript"/>
        </w:rPr>
        <w:t xml:space="preserve">® </w:t>
      </w:r>
      <w:r w:rsidRPr="00D85E09">
        <w:t>(Boehringer-Ingelheim) and the Instructions for Use brochure for the S</w:t>
      </w:r>
      <w:r w:rsidR="00AB4BBF" w:rsidRPr="00D85E09">
        <w:t>OLITAIRE</w:t>
      </w:r>
      <w:r w:rsidRPr="00D85E09">
        <w:t xml:space="preserve"> 2 </w:t>
      </w:r>
      <w:r w:rsidR="00AB4BBF" w:rsidRPr="00D85E09">
        <w:t>R</w:t>
      </w:r>
      <w:r w:rsidRPr="00D85E09">
        <w:t xml:space="preserve">evascularisation device (Medtronic; </w:t>
      </w:r>
      <w:r w:rsidR="00164B46">
        <w:t>Appendix A</w:t>
      </w:r>
      <w:r w:rsidRPr="00D85E09">
        <w:t>).</w:t>
      </w:r>
    </w:p>
    <w:p w14:paraId="197EF53E" w14:textId="5B0EAF60" w:rsidR="000C04B5" w:rsidRPr="00D85E09" w:rsidRDefault="000C04B5" w:rsidP="0043316B">
      <w:pPr>
        <w:pStyle w:val="Caption"/>
        <w:keepNext w:val="0"/>
        <w:widowControl w:val="0"/>
        <w:rPr>
          <w:lang w:val="en-AU"/>
        </w:rPr>
      </w:pPr>
      <w:bookmarkStart w:id="108" w:name="_Ref443487566"/>
      <w:bookmarkStart w:id="109" w:name="_Toc45306534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w:t>
      </w:r>
      <w:r w:rsidRPr="00D85E09">
        <w:rPr>
          <w:lang w:val="en-AU"/>
        </w:rPr>
        <w:fldChar w:fldCharType="end"/>
      </w:r>
      <w:bookmarkEnd w:id="108"/>
      <w:r w:rsidRPr="00D85E09">
        <w:rPr>
          <w:lang w:val="en-AU"/>
        </w:rPr>
        <w:tab/>
        <w:t>Differences between alteplase and MT using Solitaire stent retriever</w:t>
      </w:r>
      <w:bookmarkEnd w:id="109"/>
    </w:p>
    <w:tbl>
      <w:tblPr>
        <w:tblStyle w:val="TableGrid"/>
        <w:tblW w:w="5000" w:type="pct"/>
        <w:tblLook w:val="04A0" w:firstRow="1" w:lastRow="0" w:firstColumn="1" w:lastColumn="0" w:noHBand="0" w:noVBand="1"/>
        <w:tblDescription w:val="Table 10. This table shows the differences between the proposed intervention and the main comparator"/>
      </w:tblPr>
      <w:tblGrid>
        <w:gridCol w:w="1486"/>
        <w:gridCol w:w="4151"/>
        <w:gridCol w:w="3650"/>
      </w:tblGrid>
      <w:tr w:rsidR="000C04B5" w:rsidRPr="00D85E09" w14:paraId="46D18BB5" w14:textId="77777777" w:rsidTr="000C04B5">
        <w:trPr>
          <w:tblHeader/>
        </w:trPr>
        <w:tc>
          <w:tcPr>
            <w:tcW w:w="800" w:type="pct"/>
          </w:tcPr>
          <w:p w14:paraId="36930CB6" w14:textId="77777777" w:rsidR="000C04B5" w:rsidRPr="00D85E09" w:rsidRDefault="000C04B5" w:rsidP="0043316B">
            <w:pPr>
              <w:pStyle w:val="Tabletext"/>
              <w:keepNext w:val="0"/>
              <w:widowControl w:val="0"/>
              <w:rPr>
                <w:b/>
              </w:rPr>
            </w:pPr>
            <w:r w:rsidRPr="00D85E09">
              <w:rPr>
                <w:b/>
              </w:rPr>
              <w:t>Characteristic</w:t>
            </w:r>
          </w:p>
        </w:tc>
        <w:tc>
          <w:tcPr>
            <w:tcW w:w="2235" w:type="pct"/>
          </w:tcPr>
          <w:p w14:paraId="425B7D01" w14:textId="77777777" w:rsidR="000C04B5" w:rsidRPr="00D85E09" w:rsidRDefault="000C04B5" w:rsidP="0043316B">
            <w:pPr>
              <w:pStyle w:val="Tabletext"/>
              <w:keepNext w:val="0"/>
              <w:widowControl w:val="0"/>
              <w:rPr>
                <w:b/>
              </w:rPr>
            </w:pPr>
            <w:r w:rsidRPr="00D85E09">
              <w:rPr>
                <w:b/>
              </w:rPr>
              <w:t>Alteplase</w:t>
            </w:r>
          </w:p>
        </w:tc>
        <w:tc>
          <w:tcPr>
            <w:tcW w:w="1965" w:type="pct"/>
          </w:tcPr>
          <w:p w14:paraId="4AD775DD" w14:textId="77777777" w:rsidR="000C04B5" w:rsidRPr="00D85E09" w:rsidRDefault="000C04B5" w:rsidP="0043316B">
            <w:pPr>
              <w:pStyle w:val="Tabletext"/>
              <w:keepNext w:val="0"/>
              <w:widowControl w:val="0"/>
              <w:rPr>
                <w:b/>
              </w:rPr>
            </w:pPr>
            <w:r w:rsidRPr="00D85E09">
              <w:rPr>
                <w:b/>
              </w:rPr>
              <w:t>Solitaire 2</w:t>
            </w:r>
          </w:p>
        </w:tc>
      </w:tr>
      <w:tr w:rsidR="000C04B5" w:rsidRPr="00D85E09" w14:paraId="3B505954" w14:textId="77777777" w:rsidTr="000C04B5">
        <w:tc>
          <w:tcPr>
            <w:tcW w:w="800" w:type="pct"/>
          </w:tcPr>
          <w:p w14:paraId="6FE97239" w14:textId="77777777" w:rsidR="000C04B5" w:rsidRPr="00D85E09" w:rsidRDefault="000C04B5" w:rsidP="0043316B">
            <w:pPr>
              <w:pStyle w:val="Tabletext"/>
              <w:keepNext w:val="0"/>
              <w:widowControl w:val="0"/>
            </w:pPr>
            <w:r w:rsidRPr="00D85E09">
              <w:t>Indications</w:t>
            </w:r>
          </w:p>
        </w:tc>
        <w:tc>
          <w:tcPr>
            <w:tcW w:w="2235" w:type="pct"/>
          </w:tcPr>
          <w:p w14:paraId="69CFDBE2" w14:textId="77777777" w:rsidR="000C04B5" w:rsidRPr="00D85E09" w:rsidRDefault="000C04B5" w:rsidP="0043316B">
            <w:pPr>
              <w:pStyle w:val="Tabletext"/>
              <w:keepNext w:val="0"/>
              <w:widowControl w:val="0"/>
            </w:pPr>
            <w:r w:rsidRPr="00D85E09">
              <w:t>Myocardial infarction</w:t>
            </w:r>
          </w:p>
          <w:p w14:paraId="66334B96" w14:textId="77777777" w:rsidR="000C04B5" w:rsidRPr="00D85E09" w:rsidRDefault="000C04B5" w:rsidP="0043316B">
            <w:pPr>
              <w:pStyle w:val="Tabletext"/>
              <w:keepNext w:val="0"/>
              <w:widowControl w:val="0"/>
            </w:pPr>
            <w:r w:rsidRPr="00D85E09">
              <w:t>Pulmonary embolism</w:t>
            </w:r>
          </w:p>
          <w:p w14:paraId="58E79534" w14:textId="77777777" w:rsidR="000C04B5" w:rsidRPr="00D85E09" w:rsidRDefault="000C04B5" w:rsidP="0043316B">
            <w:pPr>
              <w:pStyle w:val="Tabletext"/>
              <w:keepNext w:val="0"/>
              <w:widowControl w:val="0"/>
            </w:pPr>
            <w:r w:rsidRPr="00D85E09">
              <w:t>Acute ischaemic stroke</w:t>
            </w:r>
          </w:p>
        </w:tc>
        <w:tc>
          <w:tcPr>
            <w:tcW w:w="1965" w:type="pct"/>
          </w:tcPr>
          <w:p w14:paraId="4753D251" w14:textId="7E4E0E8B" w:rsidR="000C04B5" w:rsidRPr="00D85E09" w:rsidRDefault="000C04B5" w:rsidP="0043316B">
            <w:pPr>
              <w:pStyle w:val="Tabletext"/>
              <w:keepNext w:val="0"/>
              <w:widowControl w:val="0"/>
            </w:pPr>
            <w:r w:rsidRPr="00D85E09">
              <w:t xml:space="preserve">Patients with AIS due to LVO. Patients who are ineligible for intravenous tissue plasminogen activator (IV </w:t>
            </w:r>
            <w:r w:rsidR="005B7DCE">
              <w:t>tPA</w:t>
            </w:r>
            <w:r w:rsidRPr="00D85E09">
              <w:t xml:space="preserve">) or who fail IV </w:t>
            </w:r>
            <w:r w:rsidR="005B7DCE">
              <w:t>tPA</w:t>
            </w:r>
            <w:r w:rsidRPr="00D85E09">
              <w:t xml:space="preserve"> therapy are candidates for treatment.</w:t>
            </w:r>
          </w:p>
          <w:p w14:paraId="75B852E0" w14:textId="7A8FA78E" w:rsidR="000C04B5" w:rsidRPr="00D85E09" w:rsidRDefault="000C04B5" w:rsidP="0043316B">
            <w:pPr>
              <w:pStyle w:val="Tabletext"/>
              <w:keepNext w:val="0"/>
              <w:widowControl w:val="0"/>
            </w:pPr>
            <w:r w:rsidRPr="00D85E09">
              <w:t>The SOLITAIRE 2 Revasculari</w:t>
            </w:r>
            <w:r w:rsidR="00E56287" w:rsidRPr="00D85E09">
              <w:t>s</w:t>
            </w:r>
            <w:r w:rsidRPr="00D85E09">
              <w:t>ation Device should only be used by physicians trainined in interventional neuroradiology and treatment of isch</w:t>
            </w:r>
            <w:r w:rsidR="00E56287" w:rsidRPr="00D85E09">
              <w:t>aemic</w:t>
            </w:r>
            <w:r w:rsidRPr="00D85E09">
              <w:t xml:space="preserve"> stroke</w:t>
            </w:r>
          </w:p>
        </w:tc>
      </w:tr>
      <w:tr w:rsidR="000C04B5" w:rsidRPr="00D85E09" w14:paraId="0A77F23A" w14:textId="77777777" w:rsidTr="000C04B5">
        <w:tc>
          <w:tcPr>
            <w:tcW w:w="800" w:type="pct"/>
          </w:tcPr>
          <w:p w14:paraId="147FD265" w14:textId="77777777" w:rsidR="000C04B5" w:rsidRPr="00D85E09" w:rsidRDefault="000C04B5" w:rsidP="0043316B">
            <w:pPr>
              <w:pStyle w:val="Tabletext"/>
              <w:keepNext w:val="0"/>
              <w:widowControl w:val="0"/>
            </w:pPr>
            <w:r w:rsidRPr="00D85E09">
              <w:t>Contraindications</w:t>
            </w:r>
          </w:p>
        </w:tc>
        <w:tc>
          <w:tcPr>
            <w:tcW w:w="2235" w:type="pct"/>
          </w:tcPr>
          <w:p w14:paraId="06B72F3B" w14:textId="77777777" w:rsidR="000C04B5" w:rsidRPr="00D85E09" w:rsidRDefault="000C04B5" w:rsidP="0043316B">
            <w:pPr>
              <w:pStyle w:val="Tabletext"/>
              <w:keepNext w:val="0"/>
              <w:widowControl w:val="0"/>
            </w:pPr>
            <w:r w:rsidRPr="00D85E09">
              <w:t>Significant bleeding disorder at present or within the past 6 months, known haemorrhagic diathesis</w:t>
            </w:r>
          </w:p>
          <w:p w14:paraId="3C9BA94D" w14:textId="7885AA83" w:rsidR="000C04B5" w:rsidRPr="00D85E09" w:rsidRDefault="000C04B5" w:rsidP="0043316B">
            <w:pPr>
              <w:pStyle w:val="Tabletext"/>
              <w:keepNext w:val="0"/>
              <w:widowControl w:val="0"/>
            </w:pPr>
            <w:r w:rsidRPr="00D85E09">
              <w:t>History or evidence of or suspected intra</w:t>
            </w:r>
            <w:r w:rsidR="00300BB6" w:rsidRPr="00D85E09">
              <w:t>-cranial</w:t>
            </w:r>
            <w:r w:rsidRPr="00D85E09">
              <w:t xml:space="preserve"> haemorrhage, including subarachnoid haemorrhage</w:t>
            </w:r>
          </w:p>
          <w:p w14:paraId="3ABAB1A9" w14:textId="2C9636FE" w:rsidR="000C04B5" w:rsidRPr="00D85E09" w:rsidRDefault="000C04B5" w:rsidP="0043316B">
            <w:pPr>
              <w:pStyle w:val="Tabletext"/>
              <w:keepNext w:val="0"/>
              <w:widowControl w:val="0"/>
            </w:pPr>
            <w:r w:rsidRPr="00D85E09">
              <w:t>History of central nervous system damage (e.g. neoplasm, aneurysm, intra</w:t>
            </w:r>
            <w:r w:rsidR="00300BB6" w:rsidRPr="00D85E09">
              <w:t>-cranial</w:t>
            </w:r>
            <w:r w:rsidRPr="00D85E09">
              <w:t xml:space="preserve"> or spinal surgery)</w:t>
            </w:r>
          </w:p>
          <w:p w14:paraId="273E6D33" w14:textId="442560F1" w:rsidR="000C04B5" w:rsidRPr="00D85E09" w:rsidRDefault="000C04B5" w:rsidP="0043316B">
            <w:pPr>
              <w:pStyle w:val="Tabletext"/>
              <w:keepNext w:val="0"/>
              <w:widowControl w:val="0"/>
            </w:pPr>
            <w:r w:rsidRPr="00D85E09">
              <w:t>Severe uncontrolled hypertension</w:t>
            </w:r>
          </w:p>
          <w:p w14:paraId="20EFF7F9" w14:textId="0DCC0A24" w:rsidR="000C04B5" w:rsidRPr="00D85E09" w:rsidRDefault="000C04B5" w:rsidP="0043316B">
            <w:pPr>
              <w:pStyle w:val="Tabletext"/>
              <w:keepNext w:val="0"/>
              <w:widowControl w:val="0"/>
            </w:pPr>
            <w:r w:rsidRPr="00D85E09">
              <w:t>Recent (within 10 days) prolonged or traumatic cardiopulmonary resuscitation (&gt; 2 minutes), obstetrical delivery, organ biopsy, puncture of noncompressible blood vessel (e.g. subclavian or jugular vein puncture)</w:t>
            </w:r>
          </w:p>
          <w:p w14:paraId="3108D902" w14:textId="56B7773B" w:rsidR="000C04B5" w:rsidRPr="00D85E09" w:rsidRDefault="000C04B5" w:rsidP="0043316B">
            <w:pPr>
              <w:pStyle w:val="Tabletext"/>
              <w:keepNext w:val="0"/>
              <w:widowControl w:val="0"/>
            </w:pPr>
            <w:r w:rsidRPr="00D85E09">
              <w:t>Major surgery (e.g. coronary artery bypass graft) or significant trauma (including any trauma associated with acute myocardial infarction) within the past 3 months, recent trauma to the head or cranium</w:t>
            </w:r>
          </w:p>
          <w:p w14:paraId="3B79FB7E" w14:textId="0A8456E4" w:rsidR="000C04B5" w:rsidRPr="00D85E09" w:rsidRDefault="000C04B5" w:rsidP="0043316B">
            <w:pPr>
              <w:pStyle w:val="Tabletext"/>
              <w:keepNext w:val="0"/>
              <w:widowControl w:val="0"/>
            </w:pPr>
            <w:r w:rsidRPr="00D85E09">
              <w:t>Documented ulcerative gastrointestinal disease during the last 3 months</w:t>
            </w:r>
          </w:p>
          <w:p w14:paraId="51B1DB7A" w14:textId="01E80A9C" w:rsidR="000C04B5" w:rsidRPr="00D85E09" w:rsidRDefault="000C04B5" w:rsidP="0043316B">
            <w:pPr>
              <w:pStyle w:val="Tabletext"/>
              <w:keepNext w:val="0"/>
              <w:widowControl w:val="0"/>
            </w:pPr>
            <w:r w:rsidRPr="00D85E09">
              <w:t>Arterial aneurysms, arterial/venous malformations</w:t>
            </w:r>
          </w:p>
          <w:p w14:paraId="2F3DB4D5" w14:textId="3907282A" w:rsidR="000C04B5" w:rsidRPr="00D85E09" w:rsidRDefault="000C04B5" w:rsidP="0043316B">
            <w:pPr>
              <w:pStyle w:val="Tabletext"/>
              <w:keepNext w:val="0"/>
              <w:widowControl w:val="0"/>
            </w:pPr>
            <w:r w:rsidRPr="00D85E09">
              <w:t>Neoplasm with increased bleeding risk</w:t>
            </w:r>
          </w:p>
          <w:p w14:paraId="6D4F1D3A" w14:textId="72992C3D" w:rsidR="000C04B5" w:rsidRPr="00D85E09" w:rsidRDefault="000C04B5" w:rsidP="0043316B">
            <w:pPr>
              <w:pStyle w:val="Tabletext"/>
              <w:keepNext w:val="0"/>
              <w:widowControl w:val="0"/>
            </w:pPr>
            <w:r w:rsidRPr="00D85E09">
              <w:t>Bacterial endocarditis, pericarditis</w:t>
            </w:r>
          </w:p>
          <w:p w14:paraId="0F212FB6" w14:textId="4BEFB831" w:rsidR="000C04B5" w:rsidRPr="00D85E09" w:rsidRDefault="000C04B5" w:rsidP="0043316B">
            <w:pPr>
              <w:pStyle w:val="Tabletext"/>
              <w:keepNext w:val="0"/>
              <w:widowControl w:val="0"/>
            </w:pPr>
            <w:r w:rsidRPr="00D85E09">
              <w:t>Acute pancreatitis</w:t>
            </w:r>
          </w:p>
          <w:p w14:paraId="0730137D" w14:textId="51C996B7" w:rsidR="000C04B5" w:rsidRPr="00D85E09" w:rsidRDefault="000C04B5" w:rsidP="0043316B">
            <w:pPr>
              <w:pStyle w:val="Tabletext"/>
              <w:keepNext w:val="0"/>
              <w:widowControl w:val="0"/>
            </w:pPr>
            <w:r w:rsidRPr="00D85E09">
              <w:t>Haemostatic defects including those secondary to severe hepatic or renal disease; special attention should be paid to coagulation parameters in patients with significant liver dysfunction</w:t>
            </w:r>
          </w:p>
          <w:p w14:paraId="5A6868FE" w14:textId="77777777" w:rsidR="000C04B5" w:rsidRPr="00D85E09" w:rsidRDefault="000C04B5" w:rsidP="0043316B">
            <w:pPr>
              <w:pStyle w:val="Tabletext"/>
              <w:keepNext w:val="0"/>
              <w:widowControl w:val="0"/>
            </w:pPr>
            <w:r w:rsidRPr="00D85E09">
              <w:t>Severe hepatic disease/dysfunction, including hepatic failure, cirrhosis, portal hypertension (oesophageal varices) and active hepatitis</w:t>
            </w:r>
          </w:p>
          <w:p w14:paraId="7290B628" w14:textId="1F646C69" w:rsidR="000C04B5" w:rsidRPr="00D85E09" w:rsidRDefault="000C04B5" w:rsidP="0043316B">
            <w:pPr>
              <w:pStyle w:val="Tabletext"/>
              <w:keepNext w:val="0"/>
              <w:widowControl w:val="0"/>
            </w:pPr>
            <w:r w:rsidRPr="00D85E09">
              <w:lastRenderedPageBreak/>
              <w:t>Patients receiving other intravenous thrombolytic agents</w:t>
            </w:r>
          </w:p>
          <w:p w14:paraId="34A90D39" w14:textId="77777777" w:rsidR="000C04B5" w:rsidRPr="00D85E09" w:rsidRDefault="000C04B5" w:rsidP="0043316B">
            <w:pPr>
              <w:pStyle w:val="Tabletext"/>
              <w:keepNext w:val="0"/>
              <w:widowControl w:val="0"/>
            </w:pPr>
            <w:r w:rsidRPr="00D85E09">
              <w:t>Patients currently receiving effective oral anticoagulant treatment, e.g. warfarin sodium (INR&gt; 1.3)</w:t>
            </w:r>
          </w:p>
          <w:p w14:paraId="546D24BD" w14:textId="77777777" w:rsidR="000C04B5" w:rsidRPr="00D85E09" w:rsidRDefault="000C04B5" w:rsidP="0043316B">
            <w:pPr>
              <w:pStyle w:val="Tabletext"/>
              <w:keepNext w:val="0"/>
              <w:widowControl w:val="0"/>
              <w:rPr>
                <w:u w:val="single"/>
              </w:rPr>
            </w:pPr>
            <w:r w:rsidRPr="00D85E09">
              <w:rPr>
                <w:u w:val="single"/>
              </w:rPr>
              <w:t>In patients with acute ischaemic stroke:</w:t>
            </w:r>
          </w:p>
          <w:p w14:paraId="7A27491D" w14:textId="0C89C544" w:rsidR="000C04B5" w:rsidRPr="00D85E09" w:rsidRDefault="000C04B5" w:rsidP="0043316B">
            <w:pPr>
              <w:pStyle w:val="Tabletext"/>
              <w:keepNext w:val="0"/>
              <w:widowControl w:val="0"/>
            </w:pPr>
            <w:r w:rsidRPr="00D85E09">
              <w:t>Symptoms of ischaemic attack began more than 4.5 hours prior to infusion start or when time of symptom onset is unknown</w:t>
            </w:r>
          </w:p>
          <w:p w14:paraId="502CD14C" w14:textId="094D3D36" w:rsidR="000C04B5" w:rsidRPr="00D85E09" w:rsidRDefault="000C04B5" w:rsidP="0043316B">
            <w:pPr>
              <w:pStyle w:val="Tabletext"/>
              <w:keepNext w:val="0"/>
              <w:widowControl w:val="0"/>
            </w:pPr>
            <w:r w:rsidRPr="00D85E09">
              <w:t>Minor neurological deficit or symptoms rapidly improving before start of infusion</w:t>
            </w:r>
          </w:p>
          <w:p w14:paraId="626642E0" w14:textId="77777777" w:rsidR="000C04B5" w:rsidRPr="00D85E09" w:rsidRDefault="000C04B5" w:rsidP="0043316B">
            <w:pPr>
              <w:pStyle w:val="Tabletext"/>
              <w:keepNext w:val="0"/>
              <w:widowControl w:val="0"/>
            </w:pPr>
            <w:r w:rsidRPr="00D85E09">
              <w:t>Severe stroke as assessed clinically (e.g. NIHSS &gt; 25) and/or by appropriate imaging techniques</w:t>
            </w:r>
          </w:p>
          <w:p w14:paraId="0820654B" w14:textId="6F350C3D" w:rsidR="000C04B5" w:rsidRPr="00D85E09" w:rsidRDefault="000C04B5" w:rsidP="0043316B">
            <w:pPr>
              <w:pStyle w:val="Tabletext"/>
              <w:keepNext w:val="0"/>
              <w:widowControl w:val="0"/>
            </w:pPr>
            <w:r w:rsidRPr="00D85E09">
              <w:t>Seizure at onset of stroke</w:t>
            </w:r>
          </w:p>
          <w:p w14:paraId="5DDAA086" w14:textId="56CBA89D" w:rsidR="000C04B5" w:rsidRPr="00D85E09" w:rsidRDefault="000C04B5" w:rsidP="0043316B">
            <w:pPr>
              <w:pStyle w:val="Tabletext"/>
              <w:keepNext w:val="0"/>
              <w:widowControl w:val="0"/>
            </w:pPr>
            <w:r w:rsidRPr="00D85E09">
              <w:t>Evidence of intra</w:t>
            </w:r>
            <w:r w:rsidR="00300BB6" w:rsidRPr="00D85E09">
              <w:t>-cranial</w:t>
            </w:r>
            <w:r w:rsidRPr="00D85E09">
              <w:t xml:space="preserve"> haemorrhage (ICH) on the CT</w:t>
            </w:r>
            <w:r w:rsidR="00D32933" w:rsidRPr="00D85E09">
              <w:t xml:space="preserve"> </w:t>
            </w:r>
            <w:r w:rsidRPr="00D85E09">
              <w:t>scan</w:t>
            </w:r>
          </w:p>
          <w:p w14:paraId="274D09F3" w14:textId="6ADB4CAA" w:rsidR="000C04B5" w:rsidRPr="00D85E09" w:rsidRDefault="000C04B5" w:rsidP="0043316B">
            <w:pPr>
              <w:pStyle w:val="Tabletext"/>
              <w:keepNext w:val="0"/>
              <w:widowControl w:val="0"/>
            </w:pPr>
            <w:r w:rsidRPr="00D85E09">
              <w:t>Symptoms suggestive of subarachnoid haemorrhage, even if CT</w:t>
            </w:r>
            <w:r w:rsidR="00D32933" w:rsidRPr="00D85E09">
              <w:t xml:space="preserve"> </w:t>
            </w:r>
            <w:r w:rsidRPr="00D85E09">
              <w:t>scan is normal</w:t>
            </w:r>
          </w:p>
          <w:p w14:paraId="51837DE0" w14:textId="2F1C5949" w:rsidR="000C04B5" w:rsidRPr="00D85E09" w:rsidRDefault="000C04B5" w:rsidP="0043316B">
            <w:pPr>
              <w:pStyle w:val="Tabletext"/>
              <w:keepNext w:val="0"/>
              <w:widowControl w:val="0"/>
            </w:pPr>
            <w:r w:rsidRPr="00D85E09">
              <w:t>Administration of heparin within 48 hours preceding the onset of stroke and with an elevated activated partial thromboplastin time (aPTT) at presentation</w:t>
            </w:r>
          </w:p>
          <w:p w14:paraId="3C80E8F8" w14:textId="77777777" w:rsidR="000C04B5" w:rsidRPr="00D85E09" w:rsidRDefault="000C04B5" w:rsidP="0043316B">
            <w:pPr>
              <w:pStyle w:val="Tabletext"/>
              <w:keepNext w:val="0"/>
              <w:widowControl w:val="0"/>
            </w:pPr>
            <w:r w:rsidRPr="00D85E09">
              <w:t>History of prior stroke and concomitant diabetes</w:t>
            </w:r>
          </w:p>
          <w:p w14:paraId="38764FD4" w14:textId="41A8D8FF" w:rsidR="000C04B5" w:rsidRPr="00D85E09" w:rsidRDefault="000C04B5" w:rsidP="0043316B">
            <w:pPr>
              <w:pStyle w:val="Tabletext"/>
              <w:keepNext w:val="0"/>
              <w:widowControl w:val="0"/>
            </w:pPr>
            <w:r w:rsidRPr="00D85E09">
              <w:t>History of previous stroke or serious head</w:t>
            </w:r>
            <w:r w:rsidR="00D32933" w:rsidRPr="00D85E09">
              <w:t xml:space="preserve"> </w:t>
            </w:r>
            <w:r w:rsidRPr="00D85E09">
              <w:t>trauma within the last 3 months</w:t>
            </w:r>
          </w:p>
          <w:p w14:paraId="2DE15AC6" w14:textId="462F9E1F" w:rsidR="000C04B5" w:rsidRPr="00D85E09" w:rsidRDefault="000C04B5" w:rsidP="0043316B">
            <w:pPr>
              <w:pStyle w:val="Tabletext"/>
              <w:keepNext w:val="0"/>
              <w:widowControl w:val="0"/>
            </w:pPr>
            <w:r w:rsidRPr="00D85E09">
              <w:t>Platelet count of below 100,000/mm3</w:t>
            </w:r>
          </w:p>
          <w:p w14:paraId="396420D7" w14:textId="1B0703F8" w:rsidR="000C04B5" w:rsidRPr="00D85E09" w:rsidRDefault="000C04B5" w:rsidP="0043316B">
            <w:pPr>
              <w:pStyle w:val="Tabletext"/>
              <w:keepNext w:val="0"/>
              <w:widowControl w:val="0"/>
            </w:pPr>
            <w:r w:rsidRPr="00D85E09">
              <w:t>Systolic blood pressure (BP) &gt; 185 mm Hg or diastolic BP &gt; 110 mm Hg, or aggressive management (IV medication) necessary to reduce BP to these limits</w:t>
            </w:r>
          </w:p>
          <w:p w14:paraId="514CB9D0" w14:textId="7725C9F6" w:rsidR="000C04B5" w:rsidRPr="00D85E09" w:rsidRDefault="000C04B5" w:rsidP="0043316B">
            <w:pPr>
              <w:pStyle w:val="Tabletext"/>
              <w:keepNext w:val="0"/>
              <w:widowControl w:val="0"/>
            </w:pPr>
            <w:r w:rsidRPr="00D85E09">
              <w:t>Blood glucose &lt; 50 mg/dL (&lt; 2.8 mmol/L) or &gt; 400 mg/dL (&gt; 22.2 mmol/L)</w:t>
            </w:r>
          </w:p>
          <w:p w14:paraId="07813503" w14:textId="77777777" w:rsidR="000C04B5" w:rsidRPr="00D85E09" w:rsidRDefault="000C04B5" w:rsidP="0043316B">
            <w:pPr>
              <w:pStyle w:val="Tabletext"/>
              <w:keepNext w:val="0"/>
              <w:widowControl w:val="0"/>
            </w:pPr>
            <w:r w:rsidRPr="00D85E09">
              <w:t>Patients &lt; 18 years.</w:t>
            </w:r>
          </w:p>
        </w:tc>
        <w:tc>
          <w:tcPr>
            <w:tcW w:w="1965" w:type="pct"/>
          </w:tcPr>
          <w:p w14:paraId="02DB5C68" w14:textId="77777777" w:rsidR="000C04B5" w:rsidRPr="00D85E09" w:rsidRDefault="000C04B5" w:rsidP="0043316B">
            <w:pPr>
              <w:pStyle w:val="Tabletext"/>
              <w:keepNext w:val="0"/>
              <w:widowControl w:val="0"/>
            </w:pPr>
            <w:r w:rsidRPr="00D85E09">
              <w:lastRenderedPageBreak/>
              <w:t>Patients with known hypersensitivity to nickel-titanium.</w:t>
            </w:r>
          </w:p>
          <w:p w14:paraId="3474AA9E" w14:textId="4ACC0951" w:rsidR="000C04B5" w:rsidRPr="00D85E09" w:rsidRDefault="000C04B5" w:rsidP="0043316B">
            <w:pPr>
              <w:pStyle w:val="Tabletext"/>
              <w:keepNext w:val="0"/>
              <w:widowControl w:val="0"/>
            </w:pPr>
            <w:r w:rsidRPr="00D85E09">
              <w:t>Patients with stenosis and/or pre-existing stent proximal to the thrombus site that may preclude safe recovery of the SOLITAIRE™ 2 Revasculari</w:t>
            </w:r>
            <w:r w:rsidR="00E56287" w:rsidRPr="00D85E09">
              <w:t>s</w:t>
            </w:r>
            <w:r w:rsidRPr="00D85E09">
              <w:t>ation Device.</w:t>
            </w:r>
          </w:p>
          <w:p w14:paraId="7AC24903" w14:textId="35290EE4" w:rsidR="000C04B5" w:rsidRPr="00D85E09" w:rsidRDefault="000C04B5" w:rsidP="00AB4BBF">
            <w:pPr>
              <w:pStyle w:val="Tabletext"/>
              <w:keepNext w:val="0"/>
              <w:widowControl w:val="0"/>
            </w:pPr>
            <w:r w:rsidRPr="00D85E09">
              <w:t>Patients with angiographic evidence of carotid dissection</w:t>
            </w:r>
          </w:p>
        </w:tc>
      </w:tr>
      <w:tr w:rsidR="000C04B5" w:rsidRPr="00D85E09" w14:paraId="166875F5" w14:textId="77777777" w:rsidTr="000C04B5">
        <w:tc>
          <w:tcPr>
            <w:tcW w:w="800" w:type="pct"/>
          </w:tcPr>
          <w:p w14:paraId="3694518B" w14:textId="77777777" w:rsidR="000C04B5" w:rsidRPr="00D85E09" w:rsidRDefault="000C04B5" w:rsidP="0043316B">
            <w:pPr>
              <w:pStyle w:val="Tabletext"/>
              <w:keepNext w:val="0"/>
              <w:widowControl w:val="0"/>
            </w:pPr>
            <w:r w:rsidRPr="00D85E09">
              <w:lastRenderedPageBreak/>
              <w:t>Precautions</w:t>
            </w:r>
          </w:p>
        </w:tc>
        <w:tc>
          <w:tcPr>
            <w:tcW w:w="2235" w:type="pct"/>
          </w:tcPr>
          <w:p w14:paraId="73091D5B" w14:textId="77777777" w:rsidR="000C04B5" w:rsidRPr="00D85E09" w:rsidRDefault="000C04B5" w:rsidP="0043316B">
            <w:pPr>
              <w:pStyle w:val="Tabletext"/>
              <w:keepNext w:val="0"/>
              <w:widowControl w:val="0"/>
            </w:pPr>
            <w:r w:rsidRPr="00D85E09">
              <w:t>Bleeding</w:t>
            </w:r>
          </w:p>
          <w:p w14:paraId="3FB8206C" w14:textId="77777777" w:rsidR="000C04B5" w:rsidRPr="00D85E09" w:rsidRDefault="000C04B5" w:rsidP="0043316B">
            <w:pPr>
              <w:pStyle w:val="Tabletext"/>
              <w:keepNext w:val="0"/>
              <w:widowControl w:val="0"/>
            </w:pPr>
            <w:r w:rsidRPr="00D85E09">
              <w:t>Additional Warnings in Acute Myocardial Infarction / Pulmonary Embolism</w:t>
            </w:r>
          </w:p>
          <w:p w14:paraId="15C0AC86" w14:textId="77777777" w:rsidR="000C04B5" w:rsidRPr="00D85E09" w:rsidRDefault="000C04B5" w:rsidP="0043316B">
            <w:pPr>
              <w:pStyle w:val="Tabletext"/>
              <w:keepNext w:val="0"/>
              <w:widowControl w:val="0"/>
            </w:pPr>
            <w:r w:rsidRPr="00D85E09">
              <w:t>Arrhthmias</w:t>
            </w:r>
          </w:p>
          <w:p w14:paraId="1BA749A1" w14:textId="77777777" w:rsidR="000C04B5" w:rsidRPr="00D85E09" w:rsidRDefault="000C04B5" w:rsidP="0043316B">
            <w:pPr>
              <w:pStyle w:val="Tabletext"/>
              <w:keepNext w:val="0"/>
              <w:widowControl w:val="0"/>
            </w:pPr>
            <w:r w:rsidRPr="00D85E09">
              <w:t>Cholesterol embolisation</w:t>
            </w:r>
          </w:p>
          <w:p w14:paraId="7BC05AC2" w14:textId="77777777" w:rsidR="000C04B5" w:rsidRPr="00D85E09" w:rsidRDefault="000C04B5" w:rsidP="0043316B">
            <w:pPr>
              <w:pStyle w:val="Tabletext"/>
              <w:keepNext w:val="0"/>
              <w:widowControl w:val="0"/>
            </w:pPr>
            <w:r w:rsidRPr="00D85E09">
              <w:t>Use of anticoagulants</w:t>
            </w:r>
          </w:p>
        </w:tc>
        <w:tc>
          <w:tcPr>
            <w:tcW w:w="1965" w:type="pct"/>
          </w:tcPr>
          <w:p w14:paraId="1D66CA4D" w14:textId="77777777" w:rsidR="000C04B5" w:rsidRPr="00D85E09" w:rsidRDefault="000C04B5" w:rsidP="0043316B">
            <w:pPr>
              <w:pStyle w:val="Tabletext"/>
              <w:keepNext w:val="0"/>
              <w:widowControl w:val="0"/>
            </w:pPr>
            <w:r w:rsidRPr="00D85E09">
              <w:t>Possible complications include, but are not limited, to the following:</w:t>
            </w:r>
          </w:p>
          <w:p w14:paraId="0B6BAF56" w14:textId="6BEBF9A1" w:rsidR="000C04B5" w:rsidRPr="00D85E09" w:rsidRDefault="000C04B5" w:rsidP="0043316B">
            <w:pPr>
              <w:pStyle w:val="Tabletext"/>
              <w:keepNext w:val="0"/>
              <w:widowControl w:val="0"/>
            </w:pPr>
            <w:r w:rsidRPr="00D85E09">
              <w:t>Hematoma and h</w:t>
            </w:r>
            <w:r w:rsidR="00582C35" w:rsidRPr="00D85E09">
              <w:t>aemorrhage</w:t>
            </w:r>
            <w:r w:rsidRPr="00D85E09">
              <w:t xml:space="preserve"> at puncture site</w:t>
            </w:r>
          </w:p>
          <w:p w14:paraId="3D323508" w14:textId="77777777" w:rsidR="000C04B5" w:rsidRPr="00D85E09" w:rsidRDefault="000C04B5" w:rsidP="0043316B">
            <w:pPr>
              <w:pStyle w:val="Tabletext"/>
              <w:keepNext w:val="0"/>
              <w:widowControl w:val="0"/>
            </w:pPr>
            <w:r w:rsidRPr="00D85E09">
              <w:t>Vascular occlusion</w:t>
            </w:r>
          </w:p>
          <w:p w14:paraId="4A2955FD" w14:textId="35A28678" w:rsidR="000C04B5" w:rsidRPr="00D85E09" w:rsidRDefault="000C04B5" w:rsidP="0043316B">
            <w:pPr>
              <w:pStyle w:val="Tabletext"/>
              <w:keepNext w:val="0"/>
              <w:widowControl w:val="0"/>
            </w:pPr>
            <w:r w:rsidRPr="00D85E09">
              <w:t>Perforation or dissection of the vessel</w:t>
            </w:r>
          </w:p>
          <w:p w14:paraId="2ED49BD6" w14:textId="77777777" w:rsidR="000C04B5" w:rsidRPr="00D85E09" w:rsidRDefault="000C04B5" w:rsidP="0043316B">
            <w:pPr>
              <w:pStyle w:val="Tabletext"/>
              <w:keepNext w:val="0"/>
              <w:widowControl w:val="0"/>
            </w:pPr>
            <w:r w:rsidRPr="00D85E09">
              <w:t>Pseudo aneurysm formation</w:t>
            </w:r>
          </w:p>
          <w:p w14:paraId="2D6B1AD0" w14:textId="59A1BA3B" w:rsidR="000C04B5" w:rsidRPr="00D85E09" w:rsidRDefault="000C04B5" w:rsidP="0043316B">
            <w:pPr>
              <w:pStyle w:val="Tabletext"/>
              <w:keepNext w:val="0"/>
              <w:widowControl w:val="0"/>
            </w:pPr>
            <w:r w:rsidRPr="00D85E09">
              <w:t>Vascular spasm</w:t>
            </w:r>
          </w:p>
          <w:p w14:paraId="00F06EA4" w14:textId="77777777" w:rsidR="000C04B5" w:rsidRPr="00D85E09" w:rsidRDefault="000C04B5" w:rsidP="0043316B">
            <w:pPr>
              <w:pStyle w:val="Tabletext"/>
              <w:keepNext w:val="0"/>
              <w:widowControl w:val="0"/>
            </w:pPr>
            <w:r w:rsidRPr="00D85E09">
              <w:t>Post procedure bleeding</w:t>
            </w:r>
          </w:p>
          <w:p w14:paraId="22D12B39" w14:textId="78842862" w:rsidR="000C04B5" w:rsidRPr="00D85E09" w:rsidRDefault="000C04B5" w:rsidP="0043316B">
            <w:pPr>
              <w:pStyle w:val="Tabletext"/>
              <w:keepNext w:val="0"/>
              <w:widowControl w:val="0"/>
            </w:pPr>
            <w:r w:rsidRPr="00D85E09">
              <w:t>Change in mental status</w:t>
            </w:r>
          </w:p>
          <w:p w14:paraId="4D73F28A" w14:textId="70FA8909" w:rsidR="000C04B5" w:rsidRPr="00D85E09" w:rsidRDefault="000C04B5" w:rsidP="0043316B">
            <w:pPr>
              <w:pStyle w:val="Tabletext"/>
              <w:keepNext w:val="0"/>
              <w:widowControl w:val="0"/>
            </w:pPr>
            <w:r w:rsidRPr="00D85E09">
              <w:t>Distal emboli</w:t>
            </w:r>
            <w:r w:rsidR="00E56287" w:rsidRPr="00D85E09">
              <w:t>s</w:t>
            </w:r>
            <w:r w:rsidRPr="00D85E09">
              <w:t>ation including to a previously uninvolved territory</w:t>
            </w:r>
          </w:p>
          <w:p w14:paraId="742C6C63" w14:textId="77777777" w:rsidR="000C04B5" w:rsidRPr="00D85E09" w:rsidRDefault="000C04B5" w:rsidP="0043316B">
            <w:pPr>
              <w:pStyle w:val="Tabletext"/>
              <w:keepNext w:val="0"/>
              <w:widowControl w:val="0"/>
            </w:pPr>
            <w:r w:rsidRPr="00D85E09">
              <w:t>Neurologic deterioration including stroke and death</w:t>
            </w:r>
          </w:p>
          <w:p w14:paraId="674708CD" w14:textId="77777777" w:rsidR="000C04B5" w:rsidRPr="00D85E09" w:rsidRDefault="000C04B5" w:rsidP="0043316B">
            <w:pPr>
              <w:pStyle w:val="Tabletext"/>
              <w:keepNext w:val="0"/>
              <w:widowControl w:val="0"/>
            </w:pPr>
            <w:r w:rsidRPr="00D85E09">
              <w:t>Adverse reaction to antiplatelet/ anticoagulation agents or contrast media</w:t>
            </w:r>
          </w:p>
          <w:p w14:paraId="2B297D9C" w14:textId="389CDCF7" w:rsidR="000C04B5" w:rsidRPr="00D85E09" w:rsidRDefault="000C04B5" w:rsidP="0043316B">
            <w:pPr>
              <w:pStyle w:val="Tabletext"/>
              <w:keepNext w:val="0"/>
              <w:widowControl w:val="0"/>
            </w:pPr>
            <w:r w:rsidRPr="00D85E09">
              <w:t>Isch</w:t>
            </w:r>
            <w:r w:rsidR="00E56287" w:rsidRPr="00D85E09">
              <w:t>aemia</w:t>
            </w:r>
          </w:p>
          <w:p w14:paraId="71C49B0B" w14:textId="77777777" w:rsidR="000C04B5" w:rsidRPr="00D85E09" w:rsidRDefault="000C04B5" w:rsidP="0043316B">
            <w:pPr>
              <w:pStyle w:val="Tabletext"/>
              <w:keepNext w:val="0"/>
              <w:widowControl w:val="0"/>
            </w:pPr>
            <w:r w:rsidRPr="00D85E09">
              <w:t xml:space="preserve">Device(s) deformation, collapse, fracture or </w:t>
            </w:r>
            <w:r w:rsidRPr="00D85E09">
              <w:lastRenderedPageBreak/>
              <w:t>malfunction</w:t>
            </w:r>
          </w:p>
          <w:p w14:paraId="1E7CD8E1" w14:textId="0CF2EDA7" w:rsidR="000C04B5" w:rsidRPr="00D85E09" w:rsidRDefault="000C04B5" w:rsidP="0043316B">
            <w:pPr>
              <w:pStyle w:val="Tabletext"/>
              <w:keepNext w:val="0"/>
              <w:widowControl w:val="0"/>
            </w:pPr>
            <w:r w:rsidRPr="00D85E09">
              <w:t>Infection</w:t>
            </w:r>
          </w:p>
          <w:p w14:paraId="3698E829" w14:textId="77777777" w:rsidR="000C04B5" w:rsidRPr="00D85E09" w:rsidRDefault="000C04B5" w:rsidP="0043316B">
            <w:pPr>
              <w:pStyle w:val="Tabletext"/>
              <w:keepNext w:val="0"/>
              <w:widowControl w:val="0"/>
            </w:pPr>
            <w:r w:rsidRPr="00D85E09">
              <w:t>Thrombosis (acute and subacute)</w:t>
            </w:r>
          </w:p>
          <w:p w14:paraId="230F3E1E" w14:textId="0722BF7F" w:rsidR="000C04B5" w:rsidRPr="00D85E09" w:rsidRDefault="000C04B5" w:rsidP="0043316B">
            <w:pPr>
              <w:pStyle w:val="Tabletext"/>
              <w:keepNext w:val="0"/>
              <w:widowControl w:val="0"/>
            </w:pPr>
            <w:r w:rsidRPr="00D85E09">
              <w:t>Air Embolism</w:t>
            </w:r>
          </w:p>
          <w:p w14:paraId="1ACEDAD8" w14:textId="77777777" w:rsidR="000C04B5" w:rsidRPr="00D85E09" w:rsidRDefault="000C04B5" w:rsidP="0043316B">
            <w:pPr>
              <w:pStyle w:val="Tabletext"/>
              <w:keepNext w:val="0"/>
              <w:widowControl w:val="0"/>
            </w:pPr>
            <w:r w:rsidRPr="00D85E09">
              <w:t>Arteriovenous Fistula</w:t>
            </w:r>
          </w:p>
          <w:p w14:paraId="0CAE510F" w14:textId="5D3B6E6B" w:rsidR="000C04B5" w:rsidRPr="00D85E09" w:rsidRDefault="000C04B5" w:rsidP="0043316B">
            <w:pPr>
              <w:pStyle w:val="Tabletext"/>
              <w:keepNext w:val="0"/>
              <w:widowControl w:val="0"/>
            </w:pPr>
            <w:r w:rsidRPr="00D85E09">
              <w:t>Intra</w:t>
            </w:r>
            <w:r w:rsidR="00300BB6" w:rsidRPr="00D85E09">
              <w:t>-cranial</w:t>
            </w:r>
            <w:r w:rsidRPr="00D85E09">
              <w:t xml:space="preserve"> H</w:t>
            </w:r>
            <w:r w:rsidR="00582C35" w:rsidRPr="00D85E09">
              <w:t>aemorrhage</w:t>
            </w:r>
          </w:p>
        </w:tc>
      </w:tr>
    </w:tbl>
    <w:p w14:paraId="4081F2BF" w14:textId="77777777" w:rsidR="000C04B5" w:rsidRPr="00D85E09" w:rsidRDefault="000C04B5" w:rsidP="0043316B">
      <w:pPr>
        <w:widowControl w:val="0"/>
      </w:pPr>
    </w:p>
    <w:p w14:paraId="30E6F283" w14:textId="77777777" w:rsidR="00465778" w:rsidRPr="00D85E09" w:rsidRDefault="00465778" w:rsidP="0043316B">
      <w:pPr>
        <w:widowControl w:val="0"/>
        <w:spacing w:after="0" w:line="240" w:lineRule="auto"/>
        <w:sectPr w:rsidR="00465778" w:rsidRPr="00D85E09" w:rsidSect="00033497">
          <w:headerReference w:type="default" r:id="rId27"/>
          <w:footerReference w:type="default" r:id="rId28"/>
          <w:pgSz w:w="11907" w:h="16834" w:code="9"/>
          <w:pgMar w:top="1304" w:right="1418" w:bottom="1418" w:left="1418" w:header="720" w:footer="720" w:gutter="0"/>
          <w:paperSrc w:first="7" w:other="7"/>
          <w:pgNumType w:start="1"/>
          <w:cols w:space="720"/>
          <w:noEndnote/>
          <w:docGrid w:linePitch="299"/>
        </w:sectPr>
      </w:pPr>
    </w:p>
    <w:p w14:paraId="58C4DFED" w14:textId="51EBA326" w:rsidR="00315893" w:rsidRPr="00D85E09" w:rsidRDefault="00315893" w:rsidP="0043316B">
      <w:pPr>
        <w:pStyle w:val="Heading1"/>
        <w:keepNext w:val="0"/>
        <w:pageBreakBefore w:val="0"/>
        <w:widowControl w:val="0"/>
        <w:ind w:left="993" w:hanging="993"/>
        <w:jc w:val="both"/>
        <w:rPr>
          <w:lang w:val="en-AU"/>
        </w:rPr>
      </w:pPr>
      <w:bookmarkStart w:id="110" w:name="_Toc453065253"/>
      <w:bookmarkEnd w:id="11"/>
      <w:bookmarkEnd w:id="12"/>
      <w:bookmarkEnd w:id="13"/>
      <w:bookmarkEnd w:id="14"/>
      <w:bookmarkEnd w:id="15"/>
      <w:bookmarkEnd w:id="16"/>
      <w:r w:rsidRPr="00D85E09">
        <w:rPr>
          <w:lang w:val="en-AU"/>
        </w:rPr>
        <w:lastRenderedPageBreak/>
        <w:t>Clinical Evaluation for the Main Indication</w:t>
      </w:r>
      <w:bookmarkEnd w:id="110"/>
    </w:p>
    <w:tbl>
      <w:tblPr>
        <w:tblStyle w:val="TableGrid"/>
        <w:tblW w:w="0" w:type="auto"/>
        <w:tblLook w:val="04A0" w:firstRow="1" w:lastRow="0" w:firstColumn="1" w:lastColumn="0" w:noHBand="0" w:noVBand="1"/>
        <w:tblDescription w:val="This table shows the Clinical Evaluation for the main indication"/>
      </w:tblPr>
      <w:tblGrid>
        <w:gridCol w:w="9287"/>
      </w:tblGrid>
      <w:tr w:rsidR="00465778" w:rsidRPr="00D85E09" w14:paraId="5D596EB6" w14:textId="77777777" w:rsidTr="00BE6331">
        <w:trPr>
          <w:tblHeader/>
        </w:trPr>
        <w:tc>
          <w:tcPr>
            <w:tcW w:w="9287" w:type="dxa"/>
            <w:shd w:val="clear" w:color="auto" w:fill="F2F2F2" w:themeFill="background1" w:themeFillShade="F2"/>
          </w:tcPr>
          <w:p w14:paraId="64708DD5" w14:textId="77777777" w:rsidR="00465778" w:rsidRPr="00D85E09" w:rsidRDefault="00465778" w:rsidP="0043316B">
            <w:pPr>
              <w:pStyle w:val="NoSpacing"/>
              <w:widowControl w:val="0"/>
              <w:rPr>
                <w:b/>
                <w:lang w:val="en-AU"/>
              </w:rPr>
            </w:pPr>
            <w:r w:rsidRPr="00D85E09">
              <w:rPr>
                <w:b/>
                <w:lang w:val="en-AU"/>
              </w:rPr>
              <w:t>Summary</w:t>
            </w:r>
          </w:p>
          <w:p w14:paraId="7F01099F" w14:textId="081CA5F3" w:rsidR="001922F3" w:rsidRPr="00D85E09" w:rsidRDefault="001922F3" w:rsidP="0043316B">
            <w:pPr>
              <w:pStyle w:val="NoSpacing"/>
              <w:widowControl w:val="0"/>
              <w:numPr>
                <w:ilvl w:val="0"/>
                <w:numId w:val="31"/>
              </w:numPr>
              <w:rPr>
                <w:lang w:val="en-AU"/>
              </w:rPr>
            </w:pPr>
            <w:r w:rsidRPr="00D85E09">
              <w:rPr>
                <w:lang w:val="en-AU"/>
              </w:rPr>
              <w:t xml:space="preserve">A literature search was conducted to identify all published and unpublished randomised controlled trials (RCTs) that could be used to directly compare the efficacy and safety of the use mechanical thrombectomy (MT) plus usual care versus usual care  alone as a treatment for patients with </w:t>
            </w:r>
            <w:r w:rsidR="00E56287" w:rsidRPr="00D85E09">
              <w:rPr>
                <w:lang w:val="en-AU"/>
              </w:rPr>
              <w:t>AIS</w:t>
            </w:r>
            <w:r w:rsidRPr="00D85E09">
              <w:rPr>
                <w:lang w:val="en-AU"/>
              </w:rPr>
              <w:t xml:space="preserve"> due to a </w:t>
            </w:r>
            <w:r w:rsidR="0070191F" w:rsidRPr="00D85E09">
              <w:rPr>
                <w:lang w:val="en-AU"/>
              </w:rPr>
              <w:t>LVO</w:t>
            </w:r>
            <w:r w:rsidRPr="00D85E09">
              <w:rPr>
                <w:lang w:val="en-AU"/>
              </w:rPr>
              <w:t>.</w:t>
            </w:r>
          </w:p>
          <w:p w14:paraId="2A16EA24" w14:textId="65DB2015" w:rsidR="00465778" w:rsidRPr="00D85E09" w:rsidRDefault="00465778" w:rsidP="0043316B">
            <w:pPr>
              <w:pStyle w:val="NoSpacing"/>
              <w:widowControl w:val="0"/>
              <w:numPr>
                <w:ilvl w:val="0"/>
                <w:numId w:val="31"/>
              </w:numPr>
              <w:rPr>
                <w:lang w:val="en-AU"/>
              </w:rPr>
            </w:pPr>
            <w:r w:rsidRPr="00D85E09">
              <w:rPr>
                <w:lang w:val="en-AU"/>
              </w:rPr>
              <w:t>The search identified five eligible randomised trials of MT plus usual care and usual care alone ESCAPE; EXTEND-IA; MR CLEAN; REVASCAT; SWIFT PRIME which met the PICO-defined inclusion criteria. One of the pivotal studies, EXTEND-IA, was conducted in Australia and New Zealand, led by investigators from the Royal Melbourne Hospital.</w:t>
            </w:r>
          </w:p>
          <w:p w14:paraId="3C60D047" w14:textId="0F5B6D65" w:rsidR="00293662" w:rsidRPr="00D85E09" w:rsidRDefault="00293662" w:rsidP="0043316B">
            <w:pPr>
              <w:pStyle w:val="NoSpacing"/>
              <w:widowControl w:val="0"/>
              <w:numPr>
                <w:ilvl w:val="0"/>
                <w:numId w:val="31"/>
              </w:numPr>
              <w:rPr>
                <w:lang w:val="en-AU"/>
              </w:rPr>
            </w:pPr>
            <w:r w:rsidRPr="00D85E09">
              <w:rPr>
                <w:lang w:val="en-AU"/>
              </w:rPr>
              <w:t>The primary outcome presented in this submission</w:t>
            </w:r>
            <w:r w:rsidR="001922F3" w:rsidRPr="00D85E09">
              <w:rPr>
                <w:lang w:val="en-AU"/>
              </w:rPr>
              <w:t xml:space="preserve"> was the modified Rankin scale (mRS) at 90 days, which is a measure of functional ability. </w:t>
            </w:r>
            <w:r w:rsidRPr="00D85E09">
              <w:rPr>
                <w:lang w:val="en-AU"/>
              </w:rPr>
              <w:t>This</w:t>
            </w:r>
            <w:r w:rsidR="001922F3" w:rsidRPr="00D85E09">
              <w:rPr>
                <w:lang w:val="en-AU"/>
              </w:rPr>
              <w:t xml:space="preserve"> pr</w:t>
            </w:r>
            <w:r w:rsidRPr="00D85E09">
              <w:rPr>
                <w:lang w:val="en-AU"/>
              </w:rPr>
              <w:t xml:space="preserve">imary outcome was assessed as </w:t>
            </w:r>
            <w:r w:rsidR="001922F3" w:rsidRPr="00D85E09">
              <w:rPr>
                <w:lang w:val="en-AU"/>
              </w:rPr>
              <w:t>a “shift analysis” of disability scores</w:t>
            </w:r>
            <w:r w:rsidRPr="00D85E09">
              <w:rPr>
                <w:lang w:val="en-AU"/>
              </w:rPr>
              <w:t xml:space="preserve"> (i.e. the odds of improving by one mRS point)</w:t>
            </w:r>
            <w:r w:rsidR="001922F3" w:rsidRPr="00D85E09">
              <w:rPr>
                <w:lang w:val="en-AU"/>
              </w:rPr>
              <w:t>. Secondary outcomes included functional independence (mRS 0-2 at 90 days) and mortality.</w:t>
            </w:r>
          </w:p>
          <w:p w14:paraId="0B848EF7" w14:textId="6E5EA804" w:rsidR="00293662" w:rsidRPr="00D85E09" w:rsidRDefault="00293662" w:rsidP="0043316B">
            <w:pPr>
              <w:pStyle w:val="NoSpacing"/>
              <w:widowControl w:val="0"/>
              <w:numPr>
                <w:ilvl w:val="0"/>
                <w:numId w:val="31"/>
              </w:numPr>
              <w:rPr>
                <w:lang w:val="en-AU"/>
              </w:rPr>
            </w:pPr>
            <w:r w:rsidRPr="00D85E09">
              <w:rPr>
                <w:lang w:val="en-AU"/>
              </w:rPr>
              <w:t xml:space="preserve">As shown in the table below, for the primary outcome, a meta-analysis based on </w:t>
            </w:r>
            <w:r w:rsidR="0070191F" w:rsidRPr="00D85E09">
              <w:rPr>
                <w:lang w:val="en-AU"/>
              </w:rPr>
              <w:t>IPD</w:t>
            </w:r>
            <w:r w:rsidRPr="00D85E09">
              <w:rPr>
                <w:lang w:val="en-AU"/>
              </w:rPr>
              <w:t xml:space="preserve"> shows a pooled cOR of 2.26 (95% CI: 1.67, 3.06; p&lt;0.0001). The number needed to treat with MT to reduce disability by at least one level on the mRS for one patient was 2·6. The absence of heterogeneity strengthened conclusions about the consistency of effects across major subgroups of age and severity.</w:t>
            </w:r>
          </w:p>
          <w:p w14:paraId="6436D78D" w14:textId="51972A7F" w:rsidR="001922F3" w:rsidRPr="00D85E09" w:rsidRDefault="00293662" w:rsidP="0043316B">
            <w:pPr>
              <w:pStyle w:val="NoSpacing"/>
              <w:widowControl w:val="0"/>
              <w:numPr>
                <w:ilvl w:val="0"/>
                <w:numId w:val="31"/>
              </w:numPr>
              <w:spacing w:after="120"/>
              <w:ind w:left="714" w:hanging="357"/>
              <w:rPr>
                <w:lang w:val="en-AU" w:eastAsia="en-AU"/>
              </w:rPr>
            </w:pPr>
            <w:r w:rsidRPr="00D85E09">
              <w:rPr>
                <w:lang w:val="en-AU"/>
              </w:rPr>
              <w:t>For the secondary outcomes, 46.1% of patients in the intervention treatment arm compared to 26.4% of patients in the control arm achieved functional independence at 90 days. For mortality,</w:t>
            </w:r>
            <w:r w:rsidRPr="00D85E09">
              <w:rPr>
                <w:lang w:val="en-AU" w:eastAsia="en-AU"/>
              </w:rPr>
              <w:t xml:space="preserve"> 15.3% of patients in the intervention treatment arm compared to 18.8% of patients in the control arm had died at 90 days.</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2"/>
              <w:gridCol w:w="1906"/>
              <w:gridCol w:w="1455"/>
              <w:gridCol w:w="2409"/>
            </w:tblGrid>
            <w:tr w:rsidR="001922F3" w:rsidRPr="00D85E09" w14:paraId="5B2C515E" w14:textId="77777777" w:rsidTr="001922F3">
              <w:trPr>
                <w:trHeight w:val="20"/>
                <w:jc w:val="center"/>
              </w:trPr>
              <w:tc>
                <w:tcPr>
                  <w:tcW w:w="1661" w:type="pct"/>
                  <w:shd w:val="clear" w:color="auto" w:fill="auto"/>
                  <w:tcMar>
                    <w:top w:w="0" w:type="dxa"/>
                    <w:left w:w="108" w:type="dxa"/>
                    <w:bottom w:w="0" w:type="dxa"/>
                    <w:right w:w="108" w:type="dxa"/>
                  </w:tcMar>
                  <w:hideMark/>
                </w:tcPr>
                <w:p w14:paraId="4BDCF1F3" w14:textId="77777777" w:rsidR="001922F3" w:rsidRPr="00D85E09" w:rsidRDefault="001922F3" w:rsidP="0043316B">
                  <w:pPr>
                    <w:pStyle w:val="Tabletext"/>
                    <w:keepNext w:val="0"/>
                    <w:widowControl w:val="0"/>
                    <w:rPr>
                      <w:b/>
                    </w:rPr>
                  </w:pPr>
                  <w:r w:rsidRPr="00D85E09">
                    <w:rPr>
                      <w:b/>
                    </w:rPr>
                    <w:t>Outcome</w:t>
                  </w:r>
                </w:p>
              </w:tc>
              <w:tc>
                <w:tcPr>
                  <w:tcW w:w="1103" w:type="pct"/>
                  <w:shd w:val="clear" w:color="auto" w:fill="auto"/>
                  <w:tcMar>
                    <w:top w:w="0" w:type="dxa"/>
                    <w:left w:w="108" w:type="dxa"/>
                    <w:bottom w:w="0" w:type="dxa"/>
                    <w:right w:w="108" w:type="dxa"/>
                  </w:tcMar>
                  <w:vAlign w:val="center"/>
                  <w:hideMark/>
                </w:tcPr>
                <w:p w14:paraId="763ACB45" w14:textId="77777777" w:rsidR="001922F3" w:rsidRPr="00D85E09" w:rsidRDefault="001922F3" w:rsidP="0043316B">
                  <w:pPr>
                    <w:pStyle w:val="Tabletext"/>
                    <w:keepNext w:val="0"/>
                    <w:widowControl w:val="0"/>
                    <w:rPr>
                      <w:b/>
                    </w:rPr>
                  </w:pPr>
                  <w:r w:rsidRPr="00D85E09">
                    <w:rPr>
                      <w:b/>
                    </w:rPr>
                    <w:t>Intervention</w:t>
                  </w:r>
                </w:p>
              </w:tc>
              <w:tc>
                <w:tcPr>
                  <w:tcW w:w="842" w:type="pct"/>
                  <w:shd w:val="clear" w:color="auto" w:fill="auto"/>
                  <w:noWrap/>
                  <w:tcMar>
                    <w:top w:w="0" w:type="dxa"/>
                    <w:left w:w="108" w:type="dxa"/>
                    <w:bottom w:w="0" w:type="dxa"/>
                    <w:right w:w="108" w:type="dxa"/>
                  </w:tcMar>
                  <w:vAlign w:val="center"/>
                  <w:hideMark/>
                </w:tcPr>
                <w:p w14:paraId="489507A8" w14:textId="77777777" w:rsidR="001922F3" w:rsidRPr="00D85E09" w:rsidRDefault="001922F3" w:rsidP="0043316B">
                  <w:pPr>
                    <w:pStyle w:val="Tabletext"/>
                    <w:keepNext w:val="0"/>
                    <w:widowControl w:val="0"/>
                    <w:rPr>
                      <w:b/>
                    </w:rPr>
                  </w:pPr>
                  <w:r w:rsidRPr="00D85E09">
                    <w:rPr>
                      <w:b/>
                      <w:color w:val="000000"/>
                    </w:rPr>
                    <w:t>Control</w:t>
                  </w:r>
                </w:p>
              </w:tc>
              <w:tc>
                <w:tcPr>
                  <w:tcW w:w="1394" w:type="pct"/>
                  <w:vMerge w:val="restart"/>
                  <w:shd w:val="clear" w:color="auto" w:fill="auto"/>
                  <w:tcMar>
                    <w:top w:w="0" w:type="dxa"/>
                    <w:left w:w="108" w:type="dxa"/>
                    <w:bottom w:w="0" w:type="dxa"/>
                    <w:right w:w="108" w:type="dxa"/>
                  </w:tcMar>
                  <w:vAlign w:val="center"/>
                  <w:hideMark/>
                </w:tcPr>
                <w:p w14:paraId="18539FF6" w14:textId="77777777" w:rsidR="001922F3" w:rsidRPr="00D85E09" w:rsidRDefault="001922F3" w:rsidP="0043316B">
                  <w:pPr>
                    <w:pStyle w:val="Tabletext"/>
                    <w:keepNext w:val="0"/>
                    <w:widowControl w:val="0"/>
                    <w:rPr>
                      <w:b/>
                    </w:rPr>
                  </w:pPr>
                  <w:r w:rsidRPr="00D85E09">
                    <w:rPr>
                      <w:b/>
                    </w:rPr>
                    <w:t>OR [95% CI]</w:t>
                  </w:r>
                </w:p>
              </w:tc>
            </w:tr>
            <w:tr w:rsidR="001922F3" w:rsidRPr="00D85E09" w14:paraId="5299940F" w14:textId="77777777" w:rsidTr="001922F3">
              <w:trPr>
                <w:trHeight w:val="20"/>
                <w:jc w:val="center"/>
              </w:trPr>
              <w:tc>
                <w:tcPr>
                  <w:tcW w:w="1661" w:type="pct"/>
                  <w:shd w:val="clear" w:color="auto" w:fill="auto"/>
                  <w:tcMar>
                    <w:top w:w="0" w:type="dxa"/>
                    <w:left w:w="108" w:type="dxa"/>
                    <w:bottom w:w="0" w:type="dxa"/>
                    <w:right w:w="108" w:type="dxa"/>
                  </w:tcMar>
                </w:tcPr>
                <w:p w14:paraId="4E3A7B68" w14:textId="77777777" w:rsidR="001922F3" w:rsidRPr="00D85E09" w:rsidRDefault="001922F3" w:rsidP="0043316B">
                  <w:pPr>
                    <w:pStyle w:val="Tabletext"/>
                    <w:keepNext w:val="0"/>
                    <w:widowControl w:val="0"/>
                    <w:rPr>
                      <w:b/>
                    </w:rPr>
                  </w:pPr>
                </w:p>
              </w:tc>
              <w:tc>
                <w:tcPr>
                  <w:tcW w:w="1103" w:type="pct"/>
                  <w:shd w:val="clear" w:color="auto" w:fill="auto"/>
                  <w:tcMar>
                    <w:top w:w="0" w:type="dxa"/>
                    <w:left w:w="108" w:type="dxa"/>
                    <w:bottom w:w="0" w:type="dxa"/>
                    <w:right w:w="108" w:type="dxa"/>
                  </w:tcMar>
                  <w:vAlign w:val="center"/>
                  <w:hideMark/>
                </w:tcPr>
                <w:p w14:paraId="349D3314" w14:textId="77777777" w:rsidR="001922F3" w:rsidRPr="00D85E09" w:rsidRDefault="001922F3" w:rsidP="0043316B">
                  <w:pPr>
                    <w:pStyle w:val="Tabletext"/>
                    <w:keepNext w:val="0"/>
                    <w:widowControl w:val="0"/>
                    <w:rPr>
                      <w:b/>
                    </w:rPr>
                  </w:pPr>
                  <w:r w:rsidRPr="00D85E09">
                    <w:rPr>
                      <w:b/>
                    </w:rPr>
                    <w:t>n /N (%)</w:t>
                  </w:r>
                </w:p>
              </w:tc>
              <w:tc>
                <w:tcPr>
                  <w:tcW w:w="842" w:type="pct"/>
                  <w:shd w:val="clear" w:color="auto" w:fill="auto"/>
                  <w:noWrap/>
                  <w:tcMar>
                    <w:top w:w="0" w:type="dxa"/>
                    <w:left w:w="108" w:type="dxa"/>
                    <w:bottom w:w="0" w:type="dxa"/>
                    <w:right w:w="108" w:type="dxa"/>
                  </w:tcMar>
                  <w:vAlign w:val="center"/>
                  <w:hideMark/>
                </w:tcPr>
                <w:p w14:paraId="0DBD4822" w14:textId="77777777" w:rsidR="001922F3" w:rsidRPr="00D85E09" w:rsidRDefault="001922F3" w:rsidP="0043316B">
                  <w:pPr>
                    <w:pStyle w:val="Tabletext"/>
                    <w:keepNext w:val="0"/>
                    <w:widowControl w:val="0"/>
                    <w:rPr>
                      <w:b/>
                    </w:rPr>
                  </w:pPr>
                  <w:r w:rsidRPr="00D85E09">
                    <w:rPr>
                      <w:b/>
                    </w:rPr>
                    <w:t>n /N (%)</w:t>
                  </w:r>
                </w:p>
              </w:tc>
              <w:tc>
                <w:tcPr>
                  <w:tcW w:w="1394" w:type="pct"/>
                  <w:vMerge/>
                  <w:shd w:val="clear" w:color="auto" w:fill="auto"/>
                  <w:vAlign w:val="center"/>
                  <w:hideMark/>
                </w:tcPr>
                <w:p w14:paraId="3184E6DE" w14:textId="77777777" w:rsidR="001922F3" w:rsidRPr="00D85E09" w:rsidRDefault="001922F3" w:rsidP="0043316B">
                  <w:pPr>
                    <w:pStyle w:val="Tabletext"/>
                    <w:keepNext w:val="0"/>
                    <w:widowControl w:val="0"/>
                    <w:rPr>
                      <w:rFonts w:eastAsia="Times New Roman"/>
                      <w:lang w:eastAsia="en-AU"/>
                    </w:rPr>
                  </w:pPr>
                </w:p>
              </w:tc>
            </w:tr>
            <w:tr w:rsidR="001922F3" w:rsidRPr="00D85E09" w14:paraId="78093D39" w14:textId="77777777" w:rsidTr="001922F3">
              <w:trPr>
                <w:trHeight w:val="20"/>
                <w:jc w:val="center"/>
              </w:trPr>
              <w:tc>
                <w:tcPr>
                  <w:tcW w:w="1661" w:type="pct"/>
                  <w:tcMar>
                    <w:top w:w="0" w:type="dxa"/>
                    <w:left w:w="108" w:type="dxa"/>
                    <w:bottom w:w="0" w:type="dxa"/>
                    <w:right w:w="108" w:type="dxa"/>
                  </w:tcMar>
                  <w:vAlign w:val="center"/>
                  <w:hideMark/>
                </w:tcPr>
                <w:p w14:paraId="68D1F33D" w14:textId="77777777" w:rsidR="001922F3" w:rsidRPr="00D85E09" w:rsidRDefault="001922F3" w:rsidP="0043316B">
                  <w:pPr>
                    <w:pStyle w:val="Tabletext"/>
                    <w:keepNext w:val="0"/>
                    <w:widowControl w:val="0"/>
                  </w:pPr>
                  <w:r w:rsidRPr="00D85E09">
                    <w:t>mRS score reduction (shift analysis)</w:t>
                  </w:r>
                </w:p>
              </w:tc>
              <w:tc>
                <w:tcPr>
                  <w:tcW w:w="1103" w:type="pct"/>
                  <w:tcMar>
                    <w:top w:w="0" w:type="dxa"/>
                    <w:left w:w="108" w:type="dxa"/>
                    <w:bottom w:w="0" w:type="dxa"/>
                    <w:right w:w="108" w:type="dxa"/>
                  </w:tcMar>
                  <w:vAlign w:val="center"/>
                  <w:hideMark/>
                </w:tcPr>
                <w:p w14:paraId="596D6BA9" w14:textId="77777777" w:rsidR="001922F3" w:rsidRPr="00D85E09" w:rsidRDefault="001922F3" w:rsidP="0043316B">
                  <w:pPr>
                    <w:pStyle w:val="Tabletext"/>
                    <w:keepNext w:val="0"/>
                    <w:widowControl w:val="0"/>
                  </w:pPr>
                  <w:r w:rsidRPr="00D85E09">
                    <w:t>-</w:t>
                  </w:r>
                </w:p>
              </w:tc>
              <w:tc>
                <w:tcPr>
                  <w:tcW w:w="842" w:type="pct"/>
                  <w:tcMar>
                    <w:top w:w="0" w:type="dxa"/>
                    <w:left w:w="108" w:type="dxa"/>
                    <w:bottom w:w="0" w:type="dxa"/>
                    <w:right w:w="108" w:type="dxa"/>
                  </w:tcMar>
                  <w:vAlign w:val="center"/>
                  <w:hideMark/>
                </w:tcPr>
                <w:p w14:paraId="55C81FF0" w14:textId="77777777" w:rsidR="001922F3" w:rsidRPr="00D85E09" w:rsidRDefault="001922F3" w:rsidP="0043316B">
                  <w:pPr>
                    <w:pStyle w:val="Tabletext"/>
                    <w:keepNext w:val="0"/>
                    <w:widowControl w:val="0"/>
                  </w:pPr>
                  <w:r w:rsidRPr="00D85E09">
                    <w:t>-</w:t>
                  </w:r>
                </w:p>
              </w:tc>
              <w:tc>
                <w:tcPr>
                  <w:tcW w:w="1394" w:type="pct"/>
                  <w:tcMar>
                    <w:top w:w="0" w:type="dxa"/>
                    <w:left w:w="108" w:type="dxa"/>
                    <w:bottom w:w="0" w:type="dxa"/>
                    <w:right w:w="108" w:type="dxa"/>
                  </w:tcMar>
                  <w:vAlign w:val="center"/>
                  <w:hideMark/>
                </w:tcPr>
                <w:p w14:paraId="797E2974" w14:textId="77777777" w:rsidR="001922F3" w:rsidRPr="00D85E09" w:rsidRDefault="001922F3" w:rsidP="0043316B">
                  <w:pPr>
                    <w:pStyle w:val="Tabletext"/>
                    <w:keepNext w:val="0"/>
                    <w:widowControl w:val="0"/>
                  </w:pPr>
                  <w:r w:rsidRPr="00D85E09">
                    <w:t>2.26 (1.67, 3.06) p&lt;0·0001</w:t>
                  </w:r>
                  <w:r w:rsidRPr="00D85E09">
                    <w:rPr>
                      <w:vertAlign w:val="superscript"/>
                    </w:rPr>
                    <w:t>a</w:t>
                  </w:r>
                  <w:r w:rsidRPr="00D85E09">
                    <w:t xml:space="preserve"> </w:t>
                  </w:r>
                </w:p>
              </w:tc>
            </w:tr>
            <w:tr w:rsidR="001922F3" w:rsidRPr="00D85E09" w14:paraId="7986A94E" w14:textId="77777777" w:rsidTr="001922F3">
              <w:trPr>
                <w:trHeight w:val="20"/>
                <w:jc w:val="center"/>
              </w:trPr>
              <w:tc>
                <w:tcPr>
                  <w:tcW w:w="1661" w:type="pct"/>
                  <w:tcMar>
                    <w:top w:w="0" w:type="dxa"/>
                    <w:left w:w="108" w:type="dxa"/>
                    <w:bottom w:w="0" w:type="dxa"/>
                    <w:right w:w="108" w:type="dxa"/>
                  </w:tcMar>
                  <w:vAlign w:val="center"/>
                  <w:hideMark/>
                </w:tcPr>
                <w:p w14:paraId="157EBE1A" w14:textId="77777777" w:rsidR="001922F3" w:rsidRPr="00D85E09" w:rsidRDefault="001922F3" w:rsidP="0043316B">
                  <w:pPr>
                    <w:pStyle w:val="Tabletext"/>
                    <w:keepNext w:val="0"/>
                    <w:widowControl w:val="0"/>
                  </w:pPr>
                  <w:r w:rsidRPr="00D85E09">
                    <w:t>mRS score 0-2 at 90 days</w:t>
                  </w:r>
                </w:p>
              </w:tc>
              <w:tc>
                <w:tcPr>
                  <w:tcW w:w="1103" w:type="pct"/>
                  <w:tcMar>
                    <w:top w:w="0" w:type="dxa"/>
                    <w:left w:w="108" w:type="dxa"/>
                    <w:bottom w:w="0" w:type="dxa"/>
                    <w:right w:w="108" w:type="dxa"/>
                  </w:tcMar>
                  <w:vAlign w:val="center"/>
                  <w:hideMark/>
                </w:tcPr>
                <w:p w14:paraId="3A4FB1CE" w14:textId="77777777" w:rsidR="001922F3" w:rsidRPr="00D85E09" w:rsidRDefault="001922F3" w:rsidP="0043316B">
                  <w:pPr>
                    <w:pStyle w:val="Tabletext"/>
                    <w:keepNext w:val="0"/>
                    <w:widowControl w:val="0"/>
                  </w:pPr>
                  <w:r w:rsidRPr="00D85E09">
                    <w:t>292/633 (46.1%)</w:t>
                  </w:r>
                </w:p>
              </w:tc>
              <w:tc>
                <w:tcPr>
                  <w:tcW w:w="842" w:type="pct"/>
                  <w:tcMar>
                    <w:top w:w="0" w:type="dxa"/>
                    <w:left w:w="108" w:type="dxa"/>
                    <w:bottom w:w="0" w:type="dxa"/>
                    <w:right w:w="108" w:type="dxa"/>
                  </w:tcMar>
                  <w:vAlign w:val="center"/>
                  <w:hideMark/>
                </w:tcPr>
                <w:p w14:paraId="1E64F4D2" w14:textId="77777777" w:rsidR="001922F3" w:rsidRPr="00D85E09" w:rsidRDefault="001922F3" w:rsidP="0043316B">
                  <w:pPr>
                    <w:pStyle w:val="Tabletext"/>
                    <w:keepNext w:val="0"/>
                    <w:widowControl w:val="0"/>
                  </w:pPr>
                  <w:r w:rsidRPr="00D85E09">
                    <w:t>170/645 (26.4%)</w:t>
                  </w:r>
                </w:p>
              </w:tc>
              <w:tc>
                <w:tcPr>
                  <w:tcW w:w="1394" w:type="pct"/>
                  <w:tcMar>
                    <w:top w:w="0" w:type="dxa"/>
                    <w:left w:w="108" w:type="dxa"/>
                    <w:bottom w:w="0" w:type="dxa"/>
                    <w:right w:w="108" w:type="dxa"/>
                  </w:tcMar>
                  <w:vAlign w:val="center"/>
                  <w:hideMark/>
                </w:tcPr>
                <w:p w14:paraId="2210CC9F" w14:textId="77777777" w:rsidR="001922F3" w:rsidRPr="00D85E09" w:rsidRDefault="001922F3" w:rsidP="0043316B">
                  <w:pPr>
                    <w:pStyle w:val="Tabletext"/>
                    <w:keepNext w:val="0"/>
                    <w:widowControl w:val="0"/>
                  </w:pPr>
                  <w:r w:rsidRPr="00D85E09">
                    <w:t>2.39 [1.88, 3.04], p&lt;0.00001</w:t>
                  </w:r>
                  <w:r w:rsidRPr="00D85E09">
                    <w:rPr>
                      <w:vertAlign w:val="superscript"/>
                    </w:rPr>
                    <w:t>b</w:t>
                  </w:r>
                </w:p>
              </w:tc>
            </w:tr>
            <w:tr w:rsidR="001922F3" w:rsidRPr="00D85E09" w14:paraId="1AFF5C1B" w14:textId="77777777" w:rsidTr="001922F3">
              <w:trPr>
                <w:trHeight w:val="20"/>
                <w:jc w:val="center"/>
              </w:trPr>
              <w:tc>
                <w:tcPr>
                  <w:tcW w:w="1661" w:type="pct"/>
                  <w:tcMar>
                    <w:top w:w="0" w:type="dxa"/>
                    <w:left w:w="108" w:type="dxa"/>
                    <w:bottom w:w="0" w:type="dxa"/>
                    <w:right w:w="108" w:type="dxa"/>
                  </w:tcMar>
                  <w:vAlign w:val="center"/>
                  <w:hideMark/>
                </w:tcPr>
                <w:p w14:paraId="3E1A025B" w14:textId="77777777" w:rsidR="001922F3" w:rsidRPr="00D85E09" w:rsidRDefault="001922F3" w:rsidP="0043316B">
                  <w:pPr>
                    <w:pStyle w:val="Tabletext"/>
                    <w:keepNext w:val="0"/>
                    <w:widowControl w:val="0"/>
                  </w:pPr>
                  <w:r w:rsidRPr="00D85E09">
                    <w:t>Mortality at 90 days</w:t>
                  </w:r>
                </w:p>
              </w:tc>
              <w:tc>
                <w:tcPr>
                  <w:tcW w:w="1103" w:type="pct"/>
                  <w:tcMar>
                    <w:top w:w="0" w:type="dxa"/>
                    <w:left w:w="108" w:type="dxa"/>
                    <w:bottom w:w="0" w:type="dxa"/>
                    <w:right w:w="108" w:type="dxa"/>
                  </w:tcMar>
                  <w:vAlign w:val="center"/>
                  <w:hideMark/>
                </w:tcPr>
                <w:p w14:paraId="06D941FE" w14:textId="77777777" w:rsidR="001922F3" w:rsidRPr="00D85E09" w:rsidRDefault="001922F3" w:rsidP="0043316B">
                  <w:pPr>
                    <w:pStyle w:val="Tabletext"/>
                    <w:keepNext w:val="0"/>
                    <w:widowControl w:val="0"/>
                  </w:pPr>
                  <w:r w:rsidRPr="00D85E09">
                    <w:t>97/634 (15.3)</w:t>
                  </w:r>
                </w:p>
              </w:tc>
              <w:tc>
                <w:tcPr>
                  <w:tcW w:w="842" w:type="pct"/>
                  <w:tcMar>
                    <w:top w:w="0" w:type="dxa"/>
                    <w:left w:w="108" w:type="dxa"/>
                    <w:bottom w:w="0" w:type="dxa"/>
                    <w:right w:w="108" w:type="dxa"/>
                  </w:tcMar>
                  <w:vAlign w:val="center"/>
                  <w:hideMark/>
                </w:tcPr>
                <w:p w14:paraId="57C55416" w14:textId="77777777" w:rsidR="001922F3" w:rsidRPr="00D85E09" w:rsidRDefault="001922F3" w:rsidP="0043316B">
                  <w:pPr>
                    <w:pStyle w:val="Tabletext"/>
                    <w:keepNext w:val="0"/>
                    <w:widowControl w:val="0"/>
                  </w:pPr>
                  <w:r w:rsidRPr="00D85E09">
                    <w:t>122/649 (18.8)</w:t>
                  </w:r>
                </w:p>
              </w:tc>
              <w:tc>
                <w:tcPr>
                  <w:tcW w:w="1394" w:type="pct"/>
                  <w:tcMar>
                    <w:top w:w="0" w:type="dxa"/>
                    <w:left w:w="108" w:type="dxa"/>
                    <w:bottom w:w="0" w:type="dxa"/>
                    <w:right w:w="108" w:type="dxa"/>
                  </w:tcMar>
                  <w:hideMark/>
                </w:tcPr>
                <w:p w14:paraId="4837AD47" w14:textId="77777777" w:rsidR="001922F3" w:rsidRPr="00D85E09" w:rsidRDefault="001922F3" w:rsidP="0043316B">
                  <w:pPr>
                    <w:pStyle w:val="Tabletext"/>
                    <w:keepNext w:val="0"/>
                    <w:widowControl w:val="0"/>
                  </w:pPr>
                  <w:r w:rsidRPr="00D85E09">
                    <w:t>0.78 [0.54, 1.12], p=0.18</w:t>
                  </w:r>
                  <w:r w:rsidRPr="00D85E09">
                    <w:rPr>
                      <w:vertAlign w:val="superscript"/>
                    </w:rPr>
                    <w:t>b</w:t>
                  </w:r>
                </w:p>
              </w:tc>
            </w:tr>
          </w:tbl>
          <w:p w14:paraId="517D2D15" w14:textId="77777777" w:rsidR="001922F3" w:rsidRPr="00D85E09" w:rsidRDefault="001922F3" w:rsidP="0043316B">
            <w:pPr>
              <w:pStyle w:val="TableNotes1"/>
              <w:keepNext w:val="0"/>
              <w:keepLines w:val="0"/>
              <w:widowControl w:val="0"/>
              <w:rPr>
                <w:rFonts w:eastAsiaTheme="minorHAnsi"/>
                <w:lang w:eastAsia="de-DE"/>
              </w:rPr>
            </w:pPr>
            <w:r w:rsidRPr="00D85E09">
              <w:rPr>
                <w:lang w:eastAsia="de-DE"/>
              </w:rPr>
              <w:t>Abbreviations: CI, confidence interval; mRS, modified Rankin Scale; OR, odds ratio</w:t>
            </w:r>
          </w:p>
          <w:p w14:paraId="4A375E16" w14:textId="77D557CC" w:rsidR="001922F3" w:rsidRPr="00D85E09" w:rsidRDefault="001922F3" w:rsidP="0043316B">
            <w:pPr>
              <w:pStyle w:val="TableNotes1"/>
              <w:keepNext w:val="0"/>
              <w:keepLines w:val="0"/>
              <w:widowControl w:val="0"/>
              <w:numPr>
                <w:ilvl w:val="0"/>
                <w:numId w:val="54"/>
              </w:numPr>
              <w:rPr>
                <w:rFonts w:eastAsia="Times New Roman"/>
                <w:sz w:val="20"/>
                <w:szCs w:val="20"/>
                <w:lang w:eastAsia="de-DE"/>
              </w:rPr>
            </w:pPr>
            <w:r w:rsidRPr="00D85E09">
              <w:rPr>
                <w:lang w:eastAsia="de-DE"/>
              </w:rPr>
              <w:t>Common odds ratio indicating the odds of improvement of one point on the mRS;</w:t>
            </w:r>
          </w:p>
          <w:p w14:paraId="49215B91" w14:textId="77777777" w:rsidR="001922F3" w:rsidRPr="00D85E09" w:rsidRDefault="001922F3" w:rsidP="0043316B">
            <w:pPr>
              <w:pStyle w:val="TableNotes1"/>
              <w:keepNext w:val="0"/>
              <w:keepLines w:val="0"/>
              <w:widowControl w:val="0"/>
              <w:numPr>
                <w:ilvl w:val="0"/>
                <w:numId w:val="54"/>
              </w:numPr>
              <w:rPr>
                <w:lang w:eastAsia="de-DE"/>
              </w:rPr>
            </w:pPr>
            <w:r w:rsidRPr="00D85E09">
              <w:rPr>
                <w:lang w:eastAsia="de-DE"/>
              </w:rPr>
              <w:t>OR [95% CI] calculated using Review Manager 5.3 for this submission.</w:t>
            </w:r>
          </w:p>
          <w:p w14:paraId="6D5FA3D4" w14:textId="5F9D9AA1" w:rsidR="001922F3" w:rsidRPr="00D85E09" w:rsidRDefault="001922F3" w:rsidP="0043316B">
            <w:pPr>
              <w:pStyle w:val="Tablefootnote"/>
              <w:widowControl w:val="0"/>
              <w:spacing w:after="0"/>
              <w:rPr>
                <w:lang w:val="en-AU" w:eastAsia="de-DE"/>
              </w:rPr>
            </w:pPr>
          </w:p>
          <w:p w14:paraId="091CED16" w14:textId="68BE6A47" w:rsidR="001922F3" w:rsidRPr="00D85E09" w:rsidRDefault="001922F3" w:rsidP="0043316B">
            <w:pPr>
              <w:pStyle w:val="NoSpacing"/>
              <w:widowControl w:val="0"/>
              <w:numPr>
                <w:ilvl w:val="0"/>
                <w:numId w:val="31"/>
              </w:numPr>
              <w:spacing w:after="120"/>
              <w:ind w:left="714" w:hanging="357"/>
              <w:rPr>
                <w:lang w:val="en-AU" w:eastAsia="en-AU"/>
              </w:rPr>
            </w:pPr>
            <w:r w:rsidRPr="00D85E09">
              <w:rPr>
                <w:lang w:val="en-AU" w:eastAsia="en-AU"/>
              </w:rPr>
              <w:t>The adverse events within and across trials presented were low and the long-term safety profile of MT is expected to be similar.</w:t>
            </w:r>
          </w:p>
          <w:p w14:paraId="0BDAA0D9" w14:textId="222ACB78" w:rsidR="00465778" w:rsidRPr="00D85E09" w:rsidRDefault="001922F3" w:rsidP="0043316B">
            <w:pPr>
              <w:pStyle w:val="NoSpacing"/>
              <w:widowControl w:val="0"/>
              <w:numPr>
                <w:ilvl w:val="0"/>
                <w:numId w:val="31"/>
              </w:numPr>
              <w:spacing w:after="120"/>
              <w:ind w:left="714" w:hanging="357"/>
              <w:rPr>
                <w:lang w:val="en-AU" w:eastAsia="en-AU"/>
              </w:rPr>
            </w:pPr>
            <w:r w:rsidRPr="00D85E09">
              <w:rPr>
                <w:lang w:val="en-AU" w:eastAsia="en-AU"/>
              </w:rPr>
              <w:t>The evidence presented in Section B clearly demonstrates that treatment with MT in addition to usual care is superior to usual care alone in terms of effectiveness and non-inferior in terms of safety. A modelled cost-utility analysis is presented to support the cost-effectiveness of MT in addition to usual care.</w:t>
            </w:r>
          </w:p>
        </w:tc>
      </w:tr>
    </w:tbl>
    <w:p w14:paraId="66CC55FF" w14:textId="77777777" w:rsidR="00293662" w:rsidRPr="00D85E09" w:rsidRDefault="00293662" w:rsidP="0043316B">
      <w:pPr>
        <w:widowControl w:val="0"/>
      </w:pPr>
      <w:bookmarkStart w:id="111" w:name="_Toc367090344"/>
      <w:bookmarkStart w:id="112" w:name="_Toc205262937"/>
      <w:bookmarkStart w:id="113" w:name="_Toc229813548"/>
      <w:bookmarkStart w:id="114" w:name="_Toc237766785"/>
      <w:bookmarkStart w:id="115" w:name="_Ref283977144"/>
    </w:p>
    <w:p w14:paraId="12772ABB" w14:textId="77777777" w:rsidR="00293662" w:rsidRPr="00D85E09" w:rsidRDefault="00293662" w:rsidP="0043316B">
      <w:pPr>
        <w:widowControl w:val="0"/>
        <w:spacing w:after="0" w:line="240" w:lineRule="auto"/>
        <w:rPr>
          <w:b/>
          <w:bCs/>
          <w:sz w:val="36"/>
          <w:szCs w:val="36"/>
        </w:rPr>
      </w:pPr>
      <w:r w:rsidRPr="00D85E09">
        <w:br w:type="page"/>
      </w:r>
    </w:p>
    <w:p w14:paraId="13CF789E" w14:textId="480C1464" w:rsidR="00315893" w:rsidRPr="00D85E09" w:rsidRDefault="00315893" w:rsidP="0043316B">
      <w:pPr>
        <w:pStyle w:val="Heading2"/>
        <w:widowControl w:val="0"/>
        <w:spacing w:before="240"/>
        <w:ind w:left="851" w:hanging="851"/>
        <w:jc w:val="both"/>
        <w:rPr>
          <w:lang w:val="en-AU"/>
        </w:rPr>
      </w:pPr>
      <w:bookmarkStart w:id="116" w:name="_Toc453065254"/>
      <w:r w:rsidRPr="00D85E09">
        <w:rPr>
          <w:lang w:val="en-AU"/>
        </w:rPr>
        <w:lastRenderedPageBreak/>
        <w:t>Description of search strategies</w:t>
      </w:r>
      <w:bookmarkEnd w:id="111"/>
      <w:bookmarkEnd w:id="116"/>
    </w:p>
    <w:p w14:paraId="1952FFFF" w14:textId="3A035132" w:rsidR="00315893" w:rsidRPr="00D85E09" w:rsidRDefault="00315893" w:rsidP="0043316B">
      <w:pPr>
        <w:widowControl w:val="0"/>
      </w:pPr>
      <w:r w:rsidRPr="00D85E09">
        <w:t xml:space="preserve">The objective of the literature search was to identify all published and unpublished randomised controlled trials (RCTs) that could be used to directly compare the efficacy and safety of the use </w:t>
      </w:r>
      <w:r w:rsidR="0070191F" w:rsidRPr="00D85E09">
        <w:t>MT</w:t>
      </w:r>
      <w:r w:rsidRPr="00D85E09">
        <w:t xml:space="preserve"> plus usual care versus usual care alone as a treatment for patients with </w:t>
      </w:r>
      <w:r w:rsidR="00E56287" w:rsidRPr="00D85E09">
        <w:t>AIS</w:t>
      </w:r>
      <w:r w:rsidRPr="00D85E09">
        <w:t xml:space="preserve"> due to a </w:t>
      </w:r>
      <w:r w:rsidR="0070191F" w:rsidRPr="00D85E09">
        <w:t>LVO</w:t>
      </w:r>
      <w:r w:rsidRPr="00D85E09">
        <w:t xml:space="preserve">. </w:t>
      </w:r>
      <w:r w:rsidR="00293662" w:rsidRPr="00D85E09">
        <w:t>The intervention and its comparator are defined in Section A.3 and A.4. of this submission.</w:t>
      </w:r>
    </w:p>
    <w:p w14:paraId="20338EC3" w14:textId="77777777" w:rsidR="00315893" w:rsidRPr="00D85E09" w:rsidRDefault="00315893" w:rsidP="0043316B">
      <w:pPr>
        <w:widowControl w:val="0"/>
      </w:pPr>
      <w:r w:rsidRPr="00D85E09">
        <w:t>To ensure that all relevant studies were identified, the following approaches were applied:</w:t>
      </w:r>
    </w:p>
    <w:p w14:paraId="74F8A05C" w14:textId="77777777" w:rsidR="00315893" w:rsidRPr="00D85E09" w:rsidRDefault="00315893" w:rsidP="0043316B">
      <w:pPr>
        <w:pStyle w:val="ListParagraph"/>
        <w:widowControl w:val="0"/>
        <w:numPr>
          <w:ilvl w:val="0"/>
          <w:numId w:val="40"/>
        </w:numPr>
        <w:spacing w:before="240"/>
        <w:jc w:val="both"/>
      </w:pPr>
      <w:r w:rsidRPr="00D85E09">
        <w:t>A search of the MEDLINE and EMBASE databases</w:t>
      </w:r>
    </w:p>
    <w:p w14:paraId="012CDB3E" w14:textId="77777777" w:rsidR="00315893" w:rsidRPr="00D85E09" w:rsidRDefault="00315893" w:rsidP="0043316B">
      <w:pPr>
        <w:pStyle w:val="ListParagraph"/>
        <w:widowControl w:val="0"/>
        <w:numPr>
          <w:ilvl w:val="0"/>
          <w:numId w:val="40"/>
        </w:numPr>
        <w:spacing w:before="240"/>
        <w:jc w:val="both"/>
      </w:pPr>
      <w:r w:rsidRPr="00D85E09">
        <w:t>A search of the Cochrane Library</w:t>
      </w:r>
    </w:p>
    <w:p w14:paraId="30E389B4" w14:textId="77777777" w:rsidR="00315893" w:rsidRPr="00D85E09" w:rsidRDefault="00315893" w:rsidP="0043316B">
      <w:pPr>
        <w:pStyle w:val="ListParagraph"/>
        <w:widowControl w:val="0"/>
        <w:numPr>
          <w:ilvl w:val="0"/>
          <w:numId w:val="40"/>
        </w:numPr>
        <w:spacing w:before="240"/>
        <w:jc w:val="both"/>
      </w:pPr>
      <w:r w:rsidRPr="00D85E09">
        <w:t>A search of the National Institute of Health clinical trials registry</w:t>
      </w:r>
    </w:p>
    <w:p w14:paraId="2426905E" w14:textId="77777777" w:rsidR="00315893" w:rsidRPr="00D85E09" w:rsidRDefault="00315893" w:rsidP="0043316B">
      <w:pPr>
        <w:pStyle w:val="ListParagraph"/>
        <w:widowControl w:val="0"/>
        <w:numPr>
          <w:ilvl w:val="0"/>
          <w:numId w:val="40"/>
        </w:numPr>
        <w:spacing w:before="240"/>
        <w:jc w:val="both"/>
      </w:pPr>
      <w:r w:rsidRPr="00D85E09">
        <w:t>Manual search of reference lists of other relevant articles</w:t>
      </w:r>
    </w:p>
    <w:p w14:paraId="767D1A2F" w14:textId="17105F56" w:rsidR="00315893" w:rsidRPr="00D85E09" w:rsidRDefault="00315893" w:rsidP="0043316B">
      <w:pPr>
        <w:widowControl w:val="0"/>
      </w:pPr>
      <w:r w:rsidRPr="00D85E09">
        <w:t xml:space="preserve">The databases and sources used during the search are summarised in </w:t>
      </w:r>
      <w:r w:rsidRPr="00D85E09">
        <w:fldChar w:fldCharType="begin"/>
      </w:r>
      <w:r w:rsidRPr="00D85E09">
        <w:instrText xml:space="preserve"> REF _Ref372710606 \h  \* MERGEFORMAT </w:instrText>
      </w:r>
      <w:r w:rsidRPr="00D85E09">
        <w:fldChar w:fldCharType="separate"/>
      </w:r>
      <w:r w:rsidR="00A456ED" w:rsidRPr="00D85E09">
        <w:t xml:space="preserve">Table </w:t>
      </w:r>
      <w:r w:rsidR="00A456ED">
        <w:t>11</w:t>
      </w:r>
      <w:r w:rsidRPr="00D85E09">
        <w:fldChar w:fldCharType="end"/>
      </w:r>
      <w:r w:rsidRPr="00D85E09">
        <w:t>.</w:t>
      </w:r>
    </w:p>
    <w:p w14:paraId="38626FD4" w14:textId="4A5877E0" w:rsidR="00315893" w:rsidRPr="00D85E09" w:rsidRDefault="00315893" w:rsidP="0043316B">
      <w:pPr>
        <w:pStyle w:val="Caption"/>
        <w:keepNext w:val="0"/>
        <w:widowControl w:val="0"/>
        <w:rPr>
          <w:lang w:val="en-AU"/>
        </w:rPr>
      </w:pPr>
      <w:bookmarkStart w:id="117" w:name="_Ref372710606"/>
      <w:bookmarkStart w:id="118" w:name="_Toc390757497"/>
      <w:bookmarkStart w:id="119" w:name="_Toc397606383"/>
      <w:bookmarkStart w:id="120" w:name="_Toc400475666"/>
      <w:bookmarkStart w:id="121" w:name="_Toc412109160"/>
      <w:bookmarkStart w:id="122" w:name="_Toc412716219"/>
      <w:bookmarkStart w:id="123" w:name="_Toc45306534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11</w:t>
      </w:r>
      <w:r w:rsidRPr="00D85E09">
        <w:rPr>
          <w:noProof/>
          <w:lang w:val="en-AU"/>
        </w:rPr>
        <w:fldChar w:fldCharType="end"/>
      </w:r>
      <w:bookmarkEnd w:id="117"/>
      <w:r w:rsidRPr="00D85E09">
        <w:rPr>
          <w:lang w:val="en-AU"/>
        </w:rPr>
        <w:tab/>
        <w:t>Summary of search strategies</w:t>
      </w:r>
      <w:bookmarkEnd w:id="118"/>
      <w:bookmarkEnd w:id="119"/>
      <w:bookmarkEnd w:id="120"/>
      <w:r w:rsidRPr="00D85E09">
        <w:rPr>
          <w:lang w:val="en-AU"/>
        </w:rPr>
        <w:t xml:space="preserve"> for RCTs</w:t>
      </w:r>
      <w:bookmarkEnd w:id="121"/>
      <w:bookmarkEnd w:id="122"/>
      <w:bookmarkEnd w:id="123"/>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11. Summary of search strategies for RCTs"/>
      </w:tblPr>
      <w:tblGrid>
        <w:gridCol w:w="9047"/>
      </w:tblGrid>
      <w:tr w:rsidR="00315893" w:rsidRPr="00D85E09" w14:paraId="5A41852E" w14:textId="77777777" w:rsidTr="00502149">
        <w:trPr>
          <w:trHeight w:val="20"/>
          <w:tblHeader/>
        </w:trPr>
        <w:tc>
          <w:tcPr>
            <w:tcW w:w="5000" w:type="pct"/>
            <w:tcBorders>
              <w:bottom w:val="nil"/>
              <w:right w:val="single" w:sz="4" w:space="0" w:color="auto"/>
            </w:tcBorders>
            <w:shd w:val="clear" w:color="auto" w:fill="auto"/>
          </w:tcPr>
          <w:p w14:paraId="3368E5B8" w14:textId="77777777" w:rsidR="00315893" w:rsidRPr="00D85E09" w:rsidRDefault="00315893" w:rsidP="0043316B">
            <w:pPr>
              <w:pStyle w:val="Tabletext"/>
              <w:keepNext w:val="0"/>
              <w:widowControl w:val="0"/>
              <w:rPr>
                <w:b/>
              </w:rPr>
            </w:pPr>
            <w:r w:rsidRPr="00D85E09">
              <w:rPr>
                <w:b/>
              </w:rPr>
              <w:t>Database</w:t>
            </w:r>
          </w:p>
        </w:tc>
      </w:tr>
      <w:tr w:rsidR="00315893" w:rsidRPr="00D85E09" w14:paraId="59634C07" w14:textId="77777777" w:rsidTr="00465778">
        <w:trPr>
          <w:trHeight w:val="20"/>
        </w:trPr>
        <w:tc>
          <w:tcPr>
            <w:tcW w:w="5000" w:type="pct"/>
            <w:tcBorders>
              <w:bottom w:val="nil"/>
              <w:right w:val="single" w:sz="4" w:space="0" w:color="auto"/>
            </w:tcBorders>
            <w:shd w:val="clear" w:color="auto" w:fill="auto"/>
          </w:tcPr>
          <w:p w14:paraId="1E9F1E8A" w14:textId="77777777" w:rsidR="00315893" w:rsidRPr="00D85E09" w:rsidRDefault="00315893" w:rsidP="0043316B">
            <w:pPr>
              <w:pStyle w:val="Tabletext"/>
              <w:keepNext w:val="0"/>
              <w:widowControl w:val="0"/>
              <w:rPr>
                <w:i/>
              </w:rPr>
            </w:pPr>
            <w:r w:rsidRPr="00D85E09">
              <w:rPr>
                <w:i/>
              </w:rPr>
              <w:t>Search of the published literature</w:t>
            </w:r>
          </w:p>
        </w:tc>
      </w:tr>
      <w:tr w:rsidR="00315893" w:rsidRPr="00D85E09" w14:paraId="344459E9" w14:textId="77777777" w:rsidTr="00465778">
        <w:trPr>
          <w:trHeight w:val="20"/>
        </w:trPr>
        <w:tc>
          <w:tcPr>
            <w:tcW w:w="5000" w:type="pct"/>
            <w:tcBorders>
              <w:top w:val="nil"/>
              <w:bottom w:val="nil"/>
            </w:tcBorders>
            <w:shd w:val="clear" w:color="auto" w:fill="auto"/>
          </w:tcPr>
          <w:p w14:paraId="516895B6" w14:textId="77777777" w:rsidR="00315893" w:rsidRPr="00D85E09" w:rsidRDefault="00315893" w:rsidP="0043316B">
            <w:pPr>
              <w:pStyle w:val="Tabletext"/>
              <w:keepNext w:val="0"/>
              <w:widowControl w:val="0"/>
            </w:pPr>
            <w:r w:rsidRPr="00D85E09">
              <w:t>MEDLINE + EMBASE</w:t>
            </w:r>
            <w:r w:rsidRPr="00D85E09">
              <w:rPr>
                <w:vertAlign w:val="superscript"/>
              </w:rPr>
              <w:t>1</w:t>
            </w:r>
          </w:p>
        </w:tc>
      </w:tr>
      <w:tr w:rsidR="00315893" w:rsidRPr="00D85E09" w14:paraId="74C32BD3" w14:textId="77777777" w:rsidTr="00465778">
        <w:trPr>
          <w:trHeight w:val="20"/>
        </w:trPr>
        <w:tc>
          <w:tcPr>
            <w:tcW w:w="5000" w:type="pct"/>
            <w:tcBorders>
              <w:top w:val="nil"/>
              <w:bottom w:val="nil"/>
            </w:tcBorders>
            <w:shd w:val="clear" w:color="auto" w:fill="auto"/>
          </w:tcPr>
          <w:p w14:paraId="3D39FD9C" w14:textId="77777777" w:rsidR="00315893" w:rsidRPr="00D85E09" w:rsidRDefault="00315893" w:rsidP="0043316B">
            <w:pPr>
              <w:pStyle w:val="Tabletext"/>
              <w:keepNext w:val="0"/>
              <w:widowControl w:val="0"/>
            </w:pPr>
            <w:r w:rsidRPr="00D85E09">
              <w:t>Cochrane Library</w:t>
            </w:r>
            <w:r w:rsidRPr="00D85E09">
              <w:rPr>
                <w:vertAlign w:val="superscript"/>
              </w:rPr>
              <w:t>2</w:t>
            </w:r>
            <w:r w:rsidRPr="00D85E09">
              <w:t>; comprising of the following databases</w:t>
            </w:r>
          </w:p>
        </w:tc>
      </w:tr>
      <w:tr w:rsidR="00315893" w:rsidRPr="00D85E09" w14:paraId="72880FAA" w14:textId="77777777" w:rsidTr="00465778">
        <w:trPr>
          <w:trHeight w:val="20"/>
        </w:trPr>
        <w:tc>
          <w:tcPr>
            <w:tcW w:w="5000" w:type="pct"/>
            <w:tcBorders>
              <w:top w:val="nil"/>
              <w:bottom w:val="nil"/>
            </w:tcBorders>
            <w:shd w:val="clear" w:color="auto" w:fill="auto"/>
          </w:tcPr>
          <w:p w14:paraId="7E753BE7" w14:textId="77777777" w:rsidR="00315893" w:rsidRPr="00D85E09" w:rsidRDefault="00315893" w:rsidP="0043316B">
            <w:pPr>
              <w:pStyle w:val="Tabletext"/>
              <w:keepNext w:val="0"/>
              <w:widowControl w:val="0"/>
            </w:pPr>
            <w:r w:rsidRPr="00D85E09">
              <w:t>Cochrane Database of Systematic Reviews (CSDR)</w:t>
            </w:r>
          </w:p>
        </w:tc>
      </w:tr>
      <w:tr w:rsidR="00315893" w:rsidRPr="00D85E09" w14:paraId="3ED4AD71" w14:textId="77777777" w:rsidTr="00465778">
        <w:trPr>
          <w:trHeight w:val="20"/>
        </w:trPr>
        <w:tc>
          <w:tcPr>
            <w:tcW w:w="5000" w:type="pct"/>
            <w:tcBorders>
              <w:top w:val="nil"/>
              <w:bottom w:val="nil"/>
            </w:tcBorders>
            <w:shd w:val="clear" w:color="auto" w:fill="auto"/>
          </w:tcPr>
          <w:p w14:paraId="68CDEB9C" w14:textId="77777777" w:rsidR="00315893" w:rsidRPr="00D85E09" w:rsidRDefault="00315893" w:rsidP="0043316B">
            <w:pPr>
              <w:pStyle w:val="Tabletext"/>
              <w:keepNext w:val="0"/>
              <w:widowControl w:val="0"/>
            </w:pPr>
            <w:r w:rsidRPr="00D85E09">
              <w:t>Database of Abstracts of Reviews of Effects (DARE)</w:t>
            </w:r>
          </w:p>
        </w:tc>
      </w:tr>
      <w:tr w:rsidR="00315893" w:rsidRPr="00D85E09" w14:paraId="4CFDD2A5" w14:textId="77777777" w:rsidTr="00465778">
        <w:trPr>
          <w:trHeight w:val="20"/>
        </w:trPr>
        <w:tc>
          <w:tcPr>
            <w:tcW w:w="5000" w:type="pct"/>
            <w:tcBorders>
              <w:top w:val="nil"/>
              <w:bottom w:val="nil"/>
            </w:tcBorders>
            <w:shd w:val="clear" w:color="auto" w:fill="auto"/>
          </w:tcPr>
          <w:p w14:paraId="000EA5DD" w14:textId="77777777" w:rsidR="00315893" w:rsidRPr="00D85E09" w:rsidRDefault="00315893" w:rsidP="0043316B">
            <w:pPr>
              <w:pStyle w:val="Tabletext"/>
              <w:keepNext w:val="0"/>
              <w:widowControl w:val="0"/>
            </w:pPr>
            <w:r w:rsidRPr="00D85E09">
              <w:t>Cochrane Central Register of Controlled Trials (CENTRAL)</w:t>
            </w:r>
          </w:p>
        </w:tc>
      </w:tr>
      <w:tr w:rsidR="00315893" w:rsidRPr="00D85E09" w14:paraId="12A92D71" w14:textId="77777777" w:rsidTr="00465778">
        <w:trPr>
          <w:trHeight w:val="20"/>
        </w:trPr>
        <w:tc>
          <w:tcPr>
            <w:tcW w:w="5000" w:type="pct"/>
            <w:tcBorders>
              <w:top w:val="nil"/>
              <w:bottom w:val="nil"/>
            </w:tcBorders>
            <w:shd w:val="clear" w:color="auto" w:fill="auto"/>
          </w:tcPr>
          <w:p w14:paraId="4086E919" w14:textId="77777777" w:rsidR="00315893" w:rsidRPr="00D85E09" w:rsidRDefault="00315893" w:rsidP="0043316B">
            <w:pPr>
              <w:pStyle w:val="Tabletext"/>
              <w:keepNext w:val="0"/>
              <w:widowControl w:val="0"/>
            </w:pPr>
            <w:r w:rsidRPr="00D85E09">
              <w:t>Cochrane Methodology Register (CMR)</w:t>
            </w:r>
          </w:p>
        </w:tc>
      </w:tr>
      <w:tr w:rsidR="00315893" w:rsidRPr="00D85E09" w14:paraId="79FE6739" w14:textId="77777777" w:rsidTr="00465778">
        <w:trPr>
          <w:trHeight w:val="20"/>
        </w:trPr>
        <w:tc>
          <w:tcPr>
            <w:tcW w:w="5000" w:type="pct"/>
            <w:tcBorders>
              <w:top w:val="nil"/>
              <w:bottom w:val="nil"/>
            </w:tcBorders>
            <w:shd w:val="clear" w:color="auto" w:fill="auto"/>
          </w:tcPr>
          <w:p w14:paraId="7F40F4DB" w14:textId="77777777" w:rsidR="00315893" w:rsidRPr="00D85E09" w:rsidRDefault="00315893" w:rsidP="0043316B">
            <w:pPr>
              <w:pStyle w:val="Tabletext"/>
              <w:keepNext w:val="0"/>
              <w:widowControl w:val="0"/>
            </w:pPr>
            <w:r w:rsidRPr="00D85E09">
              <w:t>Health Technology Assessment Database (HTA)</w:t>
            </w:r>
          </w:p>
        </w:tc>
      </w:tr>
      <w:tr w:rsidR="00315893" w:rsidRPr="00D85E09" w14:paraId="15B39B24" w14:textId="77777777" w:rsidTr="00465778">
        <w:trPr>
          <w:trHeight w:val="20"/>
        </w:trPr>
        <w:tc>
          <w:tcPr>
            <w:tcW w:w="5000" w:type="pct"/>
            <w:tcBorders>
              <w:top w:val="nil"/>
              <w:bottom w:val="nil"/>
            </w:tcBorders>
            <w:shd w:val="clear" w:color="auto" w:fill="auto"/>
          </w:tcPr>
          <w:p w14:paraId="2FCAE4AD" w14:textId="77777777" w:rsidR="00315893" w:rsidRPr="00D85E09" w:rsidRDefault="00315893" w:rsidP="0043316B">
            <w:pPr>
              <w:pStyle w:val="Tabletext"/>
              <w:keepNext w:val="0"/>
              <w:widowControl w:val="0"/>
            </w:pPr>
            <w:r w:rsidRPr="00D85E09">
              <w:t>NHS Economic Evaluation Database (NHSEED)</w:t>
            </w:r>
          </w:p>
        </w:tc>
      </w:tr>
      <w:tr w:rsidR="00315893" w:rsidRPr="00D85E09" w14:paraId="68036C67" w14:textId="77777777" w:rsidTr="00465778">
        <w:trPr>
          <w:trHeight w:val="20"/>
        </w:trPr>
        <w:tc>
          <w:tcPr>
            <w:tcW w:w="5000" w:type="pct"/>
            <w:tcBorders>
              <w:bottom w:val="nil"/>
              <w:right w:val="single" w:sz="4" w:space="0" w:color="auto"/>
            </w:tcBorders>
            <w:shd w:val="clear" w:color="auto" w:fill="auto"/>
          </w:tcPr>
          <w:p w14:paraId="265362D6" w14:textId="77777777" w:rsidR="00315893" w:rsidRPr="00D85E09" w:rsidRDefault="00315893" w:rsidP="0043316B">
            <w:pPr>
              <w:pStyle w:val="Tabletext"/>
              <w:keepNext w:val="0"/>
              <w:widowControl w:val="0"/>
              <w:rPr>
                <w:i/>
              </w:rPr>
            </w:pPr>
            <w:r w:rsidRPr="00D85E09">
              <w:rPr>
                <w:i/>
              </w:rPr>
              <w:t>Search of clinical trial registers</w:t>
            </w:r>
          </w:p>
        </w:tc>
      </w:tr>
      <w:tr w:rsidR="00315893" w:rsidRPr="00D85E09" w14:paraId="70F77499" w14:textId="77777777" w:rsidTr="00465778">
        <w:trPr>
          <w:trHeight w:val="20"/>
        </w:trPr>
        <w:tc>
          <w:tcPr>
            <w:tcW w:w="5000" w:type="pct"/>
            <w:tcBorders>
              <w:top w:val="nil"/>
              <w:bottom w:val="nil"/>
            </w:tcBorders>
            <w:shd w:val="clear" w:color="auto" w:fill="auto"/>
          </w:tcPr>
          <w:p w14:paraId="6662A241" w14:textId="77777777" w:rsidR="00315893" w:rsidRPr="00D85E09" w:rsidRDefault="00315893" w:rsidP="0043316B">
            <w:pPr>
              <w:pStyle w:val="Tabletext"/>
              <w:keepNext w:val="0"/>
              <w:widowControl w:val="0"/>
            </w:pPr>
            <w:r w:rsidRPr="00D85E09">
              <w:t>National Institutes of Health – ClinicalTrials.gov</w:t>
            </w:r>
          </w:p>
        </w:tc>
      </w:tr>
      <w:tr w:rsidR="00315893" w:rsidRPr="00D85E09" w14:paraId="37F8A45C" w14:textId="77777777" w:rsidTr="00465778">
        <w:trPr>
          <w:trHeight w:val="20"/>
        </w:trPr>
        <w:tc>
          <w:tcPr>
            <w:tcW w:w="5000" w:type="pct"/>
            <w:tcBorders>
              <w:top w:val="single" w:sz="4" w:space="0" w:color="auto"/>
            </w:tcBorders>
          </w:tcPr>
          <w:p w14:paraId="6040FB61" w14:textId="77777777" w:rsidR="00315893" w:rsidRPr="00D85E09" w:rsidRDefault="00315893" w:rsidP="0043316B">
            <w:pPr>
              <w:pStyle w:val="Tabletext"/>
              <w:keepNext w:val="0"/>
              <w:widowControl w:val="0"/>
            </w:pPr>
            <w:r w:rsidRPr="00D85E09">
              <w:t xml:space="preserve">Manual search of reference lists of other relevant articles </w:t>
            </w:r>
          </w:p>
        </w:tc>
      </w:tr>
    </w:tbl>
    <w:p w14:paraId="58C63B61" w14:textId="30069F1C" w:rsidR="00315893" w:rsidRPr="00D85E09" w:rsidRDefault="00315893" w:rsidP="0043316B">
      <w:pPr>
        <w:pStyle w:val="TableNotes1"/>
        <w:keepNext w:val="0"/>
        <w:keepLines w:val="0"/>
        <w:widowControl w:val="0"/>
      </w:pPr>
      <w:r w:rsidRPr="00D85E09">
        <w:t xml:space="preserve">Methods: For complete search </w:t>
      </w:r>
      <w:r w:rsidRPr="00164B46">
        <w:t xml:space="preserve">strategies, see </w:t>
      </w:r>
      <w:r w:rsidR="00164B46" w:rsidRPr="00164B46">
        <w:t>Attachment 1</w:t>
      </w:r>
      <w:r w:rsidRPr="00164B46">
        <w:t>. All</w:t>
      </w:r>
      <w:r w:rsidRPr="00D85E09">
        <w:t xml:space="preserve"> searches</w:t>
      </w:r>
      <w:r w:rsidR="00A621E4">
        <w:t xml:space="preserve"> were conducted on 3 March 2016 and 18 April 2016.</w:t>
      </w:r>
    </w:p>
    <w:p w14:paraId="47E0EFE6" w14:textId="77777777" w:rsidR="00315893" w:rsidRPr="00D85E09" w:rsidRDefault="00315893" w:rsidP="0043316B">
      <w:pPr>
        <w:pStyle w:val="TableNotes1"/>
        <w:keepNext w:val="0"/>
        <w:keepLines w:val="0"/>
        <w:widowControl w:val="0"/>
        <w:numPr>
          <w:ilvl w:val="0"/>
          <w:numId w:val="46"/>
        </w:numPr>
      </w:pPr>
      <w:r w:rsidRPr="00D85E09">
        <w:t>The EMBASE.com platform enables simultaneous searching of EMBASE and MEDLINE.</w:t>
      </w:r>
    </w:p>
    <w:p w14:paraId="1B602778" w14:textId="60873EF8" w:rsidR="00315893" w:rsidRPr="00D85E09" w:rsidRDefault="00B76E8C" w:rsidP="0043316B">
      <w:pPr>
        <w:pStyle w:val="TableNotes1"/>
        <w:keepNext w:val="0"/>
        <w:keepLines w:val="0"/>
        <w:widowControl w:val="0"/>
        <w:numPr>
          <w:ilvl w:val="0"/>
          <w:numId w:val="46"/>
        </w:numPr>
      </w:pPr>
      <w:hyperlink r:id="rId29" w:tooltip="cochrane library website" w:history="1">
        <w:r w:rsidR="00315893" w:rsidRPr="00D85E09">
          <w:rPr>
            <w:rStyle w:val="Hyperlink"/>
            <w:shd w:val="clear" w:color="auto" w:fill="auto"/>
          </w:rPr>
          <w:t>http://www.cochranelibrary.com</w:t>
        </w:r>
      </w:hyperlink>
    </w:p>
    <w:p w14:paraId="52D6E30F" w14:textId="17935A22" w:rsidR="00315893" w:rsidRPr="00D85E09" w:rsidRDefault="00315893" w:rsidP="0043316B">
      <w:pPr>
        <w:pStyle w:val="TableNotes1"/>
        <w:keepNext w:val="0"/>
        <w:keepLines w:val="0"/>
        <w:widowControl w:val="0"/>
        <w:numPr>
          <w:ilvl w:val="0"/>
          <w:numId w:val="46"/>
        </w:numPr>
      </w:pPr>
      <w:r w:rsidRPr="00D85E09">
        <w:t>ClinicalTrials.gov is a registry of federally and privately supported clinical trials conducted in the US and around the world (</w:t>
      </w:r>
      <w:hyperlink r:id="rId30" w:tooltip="clinical trials website" w:history="1">
        <w:r w:rsidRPr="00D85E09">
          <w:rPr>
            <w:rStyle w:val="Hyperlink"/>
            <w:shd w:val="clear" w:color="auto" w:fill="auto"/>
          </w:rPr>
          <w:t>https://clinicaltrials.gov/</w:t>
        </w:r>
      </w:hyperlink>
      <w:r w:rsidRPr="00D85E09">
        <w:t>)</w:t>
      </w:r>
    </w:p>
    <w:p w14:paraId="18D1A6B2" w14:textId="77777777" w:rsidR="00315893" w:rsidRPr="00D85E09" w:rsidRDefault="00315893" w:rsidP="0043316B">
      <w:pPr>
        <w:widowControl w:val="0"/>
        <w:rPr>
          <w:lang w:eastAsia="en-AU"/>
        </w:rPr>
      </w:pPr>
    </w:p>
    <w:p w14:paraId="3DF4B1E3" w14:textId="77777777" w:rsidR="00315893" w:rsidRPr="00D85E09" w:rsidRDefault="00315893" w:rsidP="0043316B">
      <w:pPr>
        <w:widowControl w:val="0"/>
      </w:pPr>
      <w:r w:rsidRPr="00D85E09">
        <w:t>Citations were evaluated using predefined inclusion/exclusion criteria.</w:t>
      </w:r>
    </w:p>
    <w:p w14:paraId="6F592648" w14:textId="77777777" w:rsidR="00315893" w:rsidRPr="00D85E09" w:rsidRDefault="00315893" w:rsidP="0043316B">
      <w:pPr>
        <w:pStyle w:val="Heading5"/>
        <w:widowControl w:val="0"/>
        <w:rPr>
          <w:lang w:val="en-AU"/>
        </w:rPr>
      </w:pPr>
      <w:r w:rsidRPr="00D85E09">
        <w:rPr>
          <w:lang w:val="en-AU"/>
        </w:rPr>
        <w:t>Inclusion criteria</w:t>
      </w:r>
    </w:p>
    <w:p w14:paraId="4A1E89AC" w14:textId="77777777" w:rsidR="00315893" w:rsidRPr="00D85E09" w:rsidRDefault="00315893" w:rsidP="0043316B">
      <w:pPr>
        <w:widowControl w:val="0"/>
      </w:pPr>
      <w:r w:rsidRPr="00D85E09">
        <w:t>Randomised controlled trials (RCTs) conducted with the following PICO, were included: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inclusion criteria.  "/>
      </w:tblPr>
      <w:tblGrid>
        <w:gridCol w:w="1739"/>
        <w:gridCol w:w="7548"/>
      </w:tblGrid>
      <w:tr w:rsidR="00315893" w:rsidRPr="00D85E09" w14:paraId="7B7B178B" w14:textId="77777777" w:rsidTr="00BE6331">
        <w:trPr>
          <w:tblHeader/>
        </w:trPr>
        <w:tc>
          <w:tcPr>
            <w:tcW w:w="936" w:type="pct"/>
          </w:tcPr>
          <w:p w14:paraId="10946C85" w14:textId="77777777" w:rsidR="00315893" w:rsidRPr="00D85E09" w:rsidRDefault="00315893" w:rsidP="0043316B">
            <w:pPr>
              <w:widowControl w:val="0"/>
              <w:contextualSpacing/>
              <w:rPr>
                <w:b/>
              </w:rPr>
            </w:pPr>
            <w:r w:rsidRPr="00D85E09">
              <w:rPr>
                <w:b/>
              </w:rPr>
              <w:lastRenderedPageBreak/>
              <w:t>P</w:t>
            </w:r>
            <w:r w:rsidRPr="00D85E09">
              <w:t>opulation:</w:t>
            </w:r>
          </w:p>
        </w:tc>
        <w:tc>
          <w:tcPr>
            <w:tcW w:w="4064" w:type="pct"/>
          </w:tcPr>
          <w:p w14:paraId="2913E669" w14:textId="77777777" w:rsidR="00315893" w:rsidRPr="00D85E09" w:rsidRDefault="00315893" w:rsidP="0043316B">
            <w:pPr>
              <w:widowControl w:val="0"/>
              <w:contextualSpacing/>
            </w:pPr>
            <w:r w:rsidRPr="00D85E09">
              <w:t>Adults (&gt; 18yrs) with a confirmed diagnosis of AIS due to LVO</w:t>
            </w:r>
          </w:p>
        </w:tc>
      </w:tr>
      <w:tr w:rsidR="00315893" w:rsidRPr="00D85E09" w14:paraId="48E9CDDD" w14:textId="77777777" w:rsidTr="00465778">
        <w:tc>
          <w:tcPr>
            <w:tcW w:w="936" w:type="pct"/>
          </w:tcPr>
          <w:p w14:paraId="3C4321B0" w14:textId="77777777" w:rsidR="00315893" w:rsidRPr="00D85E09" w:rsidRDefault="00315893" w:rsidP="0043316B">
            <w:pPr>
              <w:widowControl w:val="0"/>
              <w:contextualSpacing/>
              <w:rPr>
                <w:b/>
              </w:rPr>
            </w:pPr>
            <w:r w:rsidRPr="00D85E09">
              <w:rPr>
                <w:b/>
              </w:rPr>
              <w:t>I</w:t>
            </w:r>
            <w:r w:rsidRPr="00D85E09">
              <w:t>ntervention:</w:t>
            </w:r>
          </w:p>
        </w:tc>
        <w:tc>
          <w:tcPr>
            <w:tcW w:w="4064" w:type="pct"/>
          </w:tcPr>
          <w:p w14:paraId="76702FE1" w14:textId="77777777" w:rsidR="00315893" w:rsidRPr="00D85E09" w:rsidRDefault="00315893" w:rsidP="0043316B">
            <w:pPr>
              <w:widowControl w:val="0"/>
              <w:contextualSpacing/>
            </w:pPr>
            <w:r w:rsidRPr="00D85E09">
              <w:t>MT devices +/- standard/usual care</w:t>
            </w:r>
          </w:p>
        </w:tc>
      </w:tr>
      <w:tr w:rsidR="00315893" w:rsidRPr="00D85E09" w14:paraId="571A85FF" w14:textId="77777777" w:rsidTr="00465778">
        <w:tc>
          <w:tcPr>
            <w:tcW w:w="936" w:type="pct"/>
          </w:tcPr>
          <w:p w14:paraId="4C8B6C54" w14:textId="77777777" w:rsidR="00315893" w:rsidRPr="00D85E09" w:rsidRDefault="00315893" w:rsidP="0043316B">
            <w:pPr>
              <w:widowControl w:val="0"/>
              <w:contextualSpacing/>
              <w:rPr>
                <w:b/>
              </w:rPr>
            </w:pPr>
            <w:r w:rsidRPr="00D85E09">
              <w:rPr>
                <w:b/>
              </w:rPr>
              <w:t>C</w:t>
            </w:r>
            <w:r w:rsidRPr="00D85E09">
              <w:t>omparator:</w:t>
            </w:r>
          </w:p>
        </w:tc>
        <w:tc>
          <w:tcPr>
            <w:tcW w:w="4064" w:type="pct"/>
          </w:tcPr>
          <w:p w14:paraId="1BC7B294" w14:textId="77777777" w:rsidR="00315893" w:rsidRPr="00D85E09" w:rsidRDefault="00315893" w:rsidP="0043316B">
            <w:pPr>
              <w:widowControl w:val="0"/>
              <w:contextualSpacing/>
            </w:pPr>
            <w:r w:rsidRPr="00D85E09">
              <w:t>Standard/usual care</w:t>
            </w:r>
          </w:p>
        </w:tc>
      </w:tr>
      <w:tr w:rsidR="00315893" w:rsidRPr="00D85E09" w14:paraId="62D138AB" w14:textId="77777777" w:rsidTr="00465778">
        <w:tc>
          <w:tcPr>
            <w:tcW w:w="936" w:type="pct"/>
          </w:tcPr>
          <w:p w14:paraId="2F936440" w14:textId="77777777" w:rsidR="00315893" w:rsidRPr="00D85E09" w:rsidRDefault="00315893" w:rsidP="0043316B">
            <w:pPr>
              <w:widowControl w:val="0"/>
              <w:contextualSpacing/>
              <w:rPr>
                <w:b/>
              </w:rPr>
            </w:pPr>
            <w:r w:rsidRPr="00D85E09">
              <w:rPr>
                <w:b/>
              </w:rPr>
              <w:t>O</w:t>
            </w:r>
            <w:r w:rsidRPr="00D85E09">
              <w:t>utcomes:</w:t>
            </w:r>
          </w:p>
        </w:tc>
        <w:tc>
          <w:tcPr>
            <w:tcW w:w="4064" w:type="pct"/>
          </w:tcPr>
          <w:p w14:paraId="4479B235" w14:textId="77777777" w:rsidR="00315893" w:rsidRPr="00D85E09" w:rsidRDefault="00315893" w:rsidP="0043316B">
            <w:pPr>
              <w:widowControl w:val="0"/>
              <w:contextualSpacing/>
            </w:pPr>
            <w:r w:rsidRPr="00D85E09">
              <w:t>Measured at least one or more effectiveness outcome:</w:t>
            </w:r>
          </w:p>
          <w:p w14:paraId="0BB6759F" w14:textId="77777777" w:rsidR="00315893" w:rsidRPr="00D85E09" w:rsidRDefault="00315893" w:rsidP="0043316B">
            <w:pPr>
              <w:pStyle w:val="ListParagraph"/>
              <w:widowControl w:val="0"/>
              <w:numPr>
                <w:ilvl w:val="0"/>
                <w:numId w:val="48"/>
              </w:numPr>
              <w:spacing w:before="240"/>
              <w:jc w:val="both"/>
            </w:pPr>
            <w:r w:rsidRPr="00D85E09">
              <w:t>Revascularisation (e.g. TICI score)</w:t>
            </w:r>
          </w:p>
          <w:p w14:paraId="71CB0A7C" w14:textId="77777777" w:rsidR="00315893" w:rsidRPr="00D85E09" w:rsidRDefault="00315893" w:rsidP="0043316B">
            <w:pPr>
              <w:pStyle w:val="ListParagraph"/>
              <w:widowControl w:val="0"/>
              <w:numPr>
                <w:ilvl w:val="0"/>
                <w:numId w:val="48"/>
              </w:numPr>
              <w:spacing w:before="240"/>
              <w:jc w:val="both"/>
            </w:pPr>
            <w:r w:rsidRPr="00D85E09">
              <w:t>Function (e.g. Barthel Index)</w:t>
            </w:r>
          </w:p>
          <w:p w14:paraId="155E19F5" w14:textId="77777777" w:rsidR="00315893" w:rsidRPr="00D85E09" w:rsidRDefault="00315893" w:rsidP="0043316B">
            <w:pPr>
              <w:pStyle w:val="ListParagraph"/>
              <w:widowControl w:val="0"/>
              <w:numPr>
                <w:ilvl w:val="0"/>
                <w:numId w:val="48"/>
              </w:numPr>
              <w:spacing w:before="240"/>
              <w:jc w:val="both"/>
            </w:pPr>
            <w:r w:rsidRPr="00D85E09">
              <w:t>Disability (e.g. mRS)</w:t>
            </w:r>
          </w:p>
          <w:p w14:paraId="5616767D" w14:textId="77777777" w:rsidR="00315893" w:rsidRPr="00D85E09" w:rsidRDefault="00315893" w:rsidP="0043316B">
            <w:pPr>
              <w:pStyle w:val="ListParagraph"/>
              <w:widowControl w:val="0"/>
              <w:numPr>
                <w:ilvl w:val="0"/>
                <w:numId w:val="48"/>
              </w:numPr>
              <w:spacing w:before="240"/>
              <w:jc w:val="both"/>
            </w:pPr>
            <w:r w:rsidRPr="00D85E09">
              <w:t>Health-Related QoL</w:t>
            </w:r>
          </w:p>
          <w:p w14:paraId="36CC72E0" w14:textId="77777777" w:rsidR="00315893" w:rsidRPr="00D85E09" w:rsidRDefault="00315893" w:rsidP="0043316B">
            <w:pPr>
              <w:pStyle w:val="ListParagraph"/>
              <w:widowControl w:val="0"/>
              <w:numPr>
                <w:ilvl w:val="0"/>
                <w:numId w:val="48"/>
              </w:numPr>
              <w:spacing w:before="240"/>
              <w:jc w:val="both"/>
            </w:pPr>
            <w:r w:rsidRPr="00D85E09">
              <w:t>Neurological deficit (e.g. NIHSS)</w:t>
            </w:r>
          </w:p>
          <w:p w14:paraId="5C5FD091" w14:textId="77777777" w:rsidR="00315893" w:rsidRPr="00D85E09" w:rsidRDefault="00315893" w:rsidP="0043316B">
            <w:pPr>
              <w:pStyle w:val="ListParagraph"/>
              <w:widowControl w:val="0"/>
              <w:numPr>
                <w:ilvl w:val="0"/>
                <w:numId w:val="48"/>
              </w:numPr>
              <w:spacing w:before="240"/>
              <w:jc w:val="both"/>
            </w:pPr>
            <w:r w:rsidRPr="00D85E09">
              <w:t>Mortality (all-cause; ischaemic stroke)</w:t>
            </w:r>
          </w:p>
        </w:tc>
      </w:tr>
    </w:tbl>
    <w:p w14:paraId="0F77EAD7" w14:textId="77777777" w:rsidR="00315893" w:rsidRPr="00D85E09" w:rsidRDefault="00315893" w:rsidP="0043316B">
      <w:pPr>
        <w:widowControl w:val="0"/>
      </w:pPr>
      <w:r w:rsidRPr="00D85E09">
        <w:t>Systematic reviews and meta-analyses of RCTs meeting the inclusion criteria above were included for review.</w:t>
      </w:r>
    </w:p>
    <w:p w14:paraId="0678F11B" w14:textId="77777777" w:rsidR="00315893" w:rsidRPr="00D85E09" w:rsidRDefault="00315893" w:rsidP="0043316B">
      <w:pPr>
        <w:pStyle w:val="Heading5"/>
        <w:widowControl w:val="0"/>
        <w:rPr>
          <w:lang w:val="en-AU"/>
        </w:rPr>
      </w:pPr>
      <w:r w:rsidRPr="00D85E09">
        <w:rPr>
          <w:lang w:val="en-AU"/>
        </w:rPr>
        <w:t>Exclusion criteria</w:t>
      </w:r>
    </w:p>
    <w:p w14:paraId="68C658B8" w14:textId="77777777" w:rsidR="00315893" w:rsidRPr="00D85E09" w:rsidRDefault="00315893" w:rsidP="0043316B">
      <w:pPr>
        <w:widowControl w:val="0"/>
      </w:pPr>
      <w:r w:rsidRPr="00D85E09">
        <w:t>Citations with the following characteristics were excluded from review:</w:t>
      </w:r>
    </w:p>
    <w:p w14:paraId="1C4688BA" w14:textId="38143413" w:rsidR="00315893" w:rsidRPr="00D85E09" w:rsidRDefault="00315893" w:rsidP="0043316B">
      <w:pPr>
        <w:pStyle w:val="ListParagraph"/>
        <w:widowControl w:val="0"/>
        <w:numPr>
          <w:ilvl w:val="0"/>
          <w:numId w:val="47"/>
        </w:numPr>
        <w:spacing w:before="240"/>
        <w:jc w:val="both"/>
      </w:pPr>
      <w:r w:rsidRPr="00D85E09">
        <w:t>Non-randomised clinical trials, including observational studies, case series, single</w:t>
      </w:r>
      <w:r w:rsidR="00300BB6" w:rsidRPr="00D85E09">
        <w:t>-</w:t>
      </w:r>
      <w:r w:rsidRPr="00D85E09">
        <w:t>arm studies, case studies</w:t>
      </w:r>
    </w:p>
    <w:p w14:paraId="58F8010A" w14:textId="77777777" w:rsidR="00315893" w:rsidRPr="00D85E09" w:rsidRDefault="00315893" w:rsidP="0043316B">
      <w:pPr>
        <w:pStyle w:val="ListParagraph"/>
        <w:widowControl w:val="0"/>
        <w:numPr>
          <w:ilvl w:val="0"/>
          <w:numId w:val="47"/>
        </w:numPr>
        <w:spacing w:before="240"/>
        <w:jc w:val="both"/>
      </w:pPr>
      <w:r w:rsidRPr="00D85E09">
        <w:t xml:space="preserve">Studies conducted in patients without a </w:t>
      </w:r>
      <w:r w:rsidRPr="00D85E09">
        <w:rPr>
          <w:rFonts w:cs="Times New Roman"/>
        </w:rPr>
        <w:t>confirmed diagnosis of AIS due to LVO</w:t>
      </w:r>
    </w:p>
    <w:p w14:paraId="3D4CC2B0" w14:textId="77777777" w:rsidR="00315893" w:rsidRPr="00D85E09" w:rsidRDefault="00315893" w:rsidP="0043316B">
      <w:pPr>
        <w:pStyle w:val="ListParagraph"/>
        <w:widowControl w:val="0"/>
        <w:numPr>
          <w:ilvl w:val="0"/>
          <w:numId w:val="47"/>
        </w:numPr>
        <w:spacing w:before="240"/>
        <w:jc w:val="both"/>
      </w:pPr>
      <w:r w:rsidRPr="00D85E09">
        <w:t>Intra-arterial treatment without the use of MT (i.e. intra-arterial thrombolysis)</w:t>
      </w:r>
    </w:p>
    <w:p w14:paraId="44D59C8C" w14:textId="77777777" w:rsidR="00315893" w:rsidRPr="00D85E09" w:rsidRDefault="00315893" w:rsidP="0043316B">
      <w:pPr>
        <w:pStyle w:val="ListParagraph"/>
        <w:widowControl w:val="0"/>
        <w:numPr>
          <w:ilvl w:val="0"/>
          <w:numId w:val="47"/>
        </w:numPr>
        <w:spacing w:before="240"/>
        <w:jc w:val="both"/>
      </w:pPr>
      <w:r w:rsidRPr="00D85E09">
        <w:t>Studies that failed to measure effectiveness of MT treatment</w:t>
      </w:r>
    </w:p>
    <w:p w14:paraId="51E3930E" w14:textId="5F93D193" w:rsidR="00315893" w:rsidRPr="00D85E09" w:rsidRDefault="00315893" w:rsidP="0043316B">
      <w:pPr>
        <w:widowControl w:val="0"/>
      </w:pPr>
      <w:r w:rsidRPr="00D85E09">
        <w:t xml:space="preserve">Full citation details and abstracts were downloaded and scrutinised for all records identified in the search. If a publication could not be included or excluded on the basis of the information in the title or abstract, the full paper or record was retrieved and reviewed. A detailed description of the search strategies and the results of the search are provided in </w:t>
      </w:r>
      <w:r w:rsidR="00164B46" w:rsidRPr="00164B46">
        <w:t>Attachment 1</w:t>
      </w:r>
      <w:r w:rsidRPr="00164B46">
        <w:t>. A full list of the identified citations and inclusion/exclusion status is provided in Attachme</w:t>
      </w:r>
      <w:r w:rsidR="00164B46" w:rsidRPr="00164B46">
        <w:t>nt 1</w:t>
      </w:r>
      <w:r w:rsidRPr="00164B46">
        <w:t>. All searches</w:t>
      </w:r>
      <w:r w:rsidR="00A621E4">
        <w:t xml:space="preserve"> were completed on 3 March 2016 and </w:t>
      </w:r>
      <w:r w:rsidR="00A621E4" w:rsidRPr="00A621E4">
        <w:t>18 April 2016.</w:t>
      </w:r>
      <w:r w:rsidRPr="00D85E09">
        <w:br w:type="page"/>
      </w:r>
    </w:p>
    <w:p w14:paraId="228D6504" w14:textId="77777777" w:rsidR="00315893" w:rsidRPr="00D85E09" w:rsidRDefault="00315893" w:rsidP="0043316B">
      <w:pPr>
        <w:pStyle w:val="Heading2"/>
        <w:widowControl w:val="0"/>
        <w:spacing w:before="240"/>
        <w:ind w:left="851" w:hanging="851"/>
        <w:jc w:val="both"/>
        <w:rPr>
          <w:lang w:val="en-AU"/>
        </w:rPr>
      </w:pPr>
      <w:bookmarkStart w:id="124" w:name="_Ref362339609"/>
      <w:bookmarkStart w:id="125" w:name="_Toc367090345"/>
      <w:bookmarkStart w:id="126" w:name="_Toc453065255"/>
      <w:r w:rsidRPr="00D85E09">
        <w:rPr>
          <w:lang w:val="en-AU"/>
        </w:rPr>
        <w:lastRenderedPageBreak/>
        <w:t>Listing of all direct randomised trials</w:t>
      </w:r>
      <w:bookmarkEnd w:id="124"/>
      <w:bookmarkEnd w:id="125"/>
      <w:bookmarkEnd w:id="126"/>
    </w:p>
    <w:p w14:paraId="256917A2" w14:textId="77777777" w:rsidR="00315893" w:rsidRPr="00D85E09" w:rsidRDefault="00315893" w:rsidP="0043316B">
      <w:pPr>
        <w:pStyle w:val="Heading3"/>
        <w:keepNext w:val="0"/>
        <w:widowControl w:val="0"/>
        <w:spacing w:before="240"/>
        <w:ind w:left="851" w:hanging="851"/>
        <w:jc w:val="both"/>
        <w:rPr>
          <w:lang w:val="en-AU"/>
        </w:rPr>
      </w:pPr>
      <w:bookmarkStart w:id="127" w:name="_Toc367090346"/>
      <w:bookmarkStart w:id="128" w:name="_Toc453065256"/>
      <w:r w:rsidRPr="00D85E09">
        <w:rPr>
          <w:lang w:val="en-AU"/>
        </w:rPr>
        <w:t>Identification of included studies</w:t>
      </w:r>
      <w:bookmarkEnd w:id="127"/>
      <w:bookmarkEnd w:id="128"/>
    </w:p>
    <w:p w14:paraId="4BBC58C6" w14:textId="77777777" w:rsidR="00315893" w:rsidRPr="00D85E09" w:rsidRDefault="00315893" w:rsidP="0043316B">
      <w:pPr>
        <w:pStyle w:val="Heading5"/>
        <w:widowControl w:val="0"/>
        <w:rPr>
          <w:lang w:val="en-AU"/>
        </w:rPr>
      </w:pPr>
      <w:r w:rsidRPr="00D85E09">
        <w:rPr>
          <w:lang w:val="en-AU"/>
        </w:rPr>
        <w:t>Published literature</w:t>
      </w:r>
    </w:p>
    <w:p w14:paraId="13A6833E" w14:textId="76006445" w:rsidR="00315893" w:rsidRPr="00D85E09" w:rsidRDefault="00315893" w:rsidP="0043316B">
      <w:pPr>
        <w:widowControl w:val="0"/>
        <w:rPr>
          <w:lang w:eastAsia="ja-JP"/>
        </w:rPr>
      </w:pPr>
      <w:r w:rsidRPr="00D85E09">
        <w:rPr>
          <w:lang w:eastAsia="ja-JP"/>
        </w:rPr>
        <w:fldChar w:fldCharType="begin"/>
      </w:r>
      <w:r w:rsidRPr="00D85E09">
        <w:rPr>
          <w:lang w:eastAsia="ja-JP"/>
        </w:rPr>
        <w:instrText xml:space="preserve"> REF _Ref344888019 \h  \* MERGEFORMAT </w:instrText>
      </w:r>
      <w:r w:rsidRPr="00D85E09">
        <w:rPr>
          <w:lang w:eastAsia="ja-JP"/>
        </w:rPr>
      </w:r>
      <w:r w:rsidRPr="00D85E09">
        <w:rPr>
          <w:lang w:eastAsia="ja-JP"/>
        </w:rPr>
        <w:fldChar w:fldCharType="separate"/>
      </w:r>
      <w:r w:rsidR="00A456ED" w:rsidRPr="00D85E09">
        <w:t xml:space="preserve">Table </w:t>
      </w:r>
      <w:r w:rsidR="00A456ED">
        <w:rPr>
          <w:noProof/>
        </w:rPr>
        <w:t>12</w:t>
      </w:r>
      <w:r w:rsidRPr="00D85E09">
        <w:rPr>
          <w:lang w:eastAsia="ja-JP"/>
        </w:rPr>
        <w:fldChar w:fldCharType="end"/>
      </w:r>
      <w:r w:rsidRPr="00D85E09">
        <w:rPr>
          <w:lang w:eastAsia="ja-JP"/>
        </w:rPr>
        <w:t xml:space="preserve"> summarises the results of the published literature search for RCTs of </w:t>
      </w:r>
      <w:r w:rsidRPr="00D85E09">
        <w:t xml:space="preserve">MT plus usual care and usual care alone as a treatment for patients with AIS due to an LVO. </w:t>
      </w:r>
      <w:r w:rsidRPr="00D85E09">
        <w:rPr>
          <w:lang w:eastAsia="ja-JP"/>
        </w:rPr>
        <w:t>The search identified a total of 544 unique citations, of which 13 citations, describing eight potentially relevant trial</w:t>
      </w:r>
      <w:r w:rsidR="005B7DCE">
        <w:rPr>
          <w:lang w:eastAsia="ja-JP"/>
        </w:rPr>
        <w:t>s (ESCAPE [Goyal 2015]; EXTEND-I</w:t>
      </w:r>
      <w:r w:rsidRPr="00D85E09">
        <w:rPr>
          <w:lang w:eastAsia="ja-JP"/>
        </w:rPr>
        <w:t>A [Campbell 2015]; MR CLEAN [Berkhemer 2015]; REVASCAT [Jovin 2015, Jovin 2013, Davalos 2014a, Davalos 2014b, Davalos 2013 and Urra 2015]; SWIFT PRIME [Saver 2015]; MR RESCUE [Kidwell 2013]; IMS-III [Broderick 2013]; SYNTHESIS [Ciccone 2013]) met the predefined inclusion criteria.</w:t>
      </w:r>
    </w:p>
    <w:p w14:paraId="760596CB" w14:textId="77777777" w:rsidR="00315893" w:rsidRPr="00D85E09" w:rsidRDefault="00315893" w:rsidP="0043316B">
      <w:pPr>
        <w:widowControl w:val="0"/>
        <w:rPr>
          <w:lang w:eastAsia="ja-JP"/>
        </w:rPr>
      </w:pPr>
      <w:r w:rsidRPr="00D85E09">
        <w:rPr>
          <w:lang w:eastAsia="ja-JP"/>
        </w:rPr>
        <w:t>Three trials, presented in four citations (PISTE [Muir 2015]; THRILL [Bendszus 2015] and THERAPY [Khatri 2014 and von Kummer 2013]), were excluded due to no or incomplete results after further review. The PISTE trials was terminated early, following positive results from other RCTs of MT (there were no safety concerns).</w:t>
      </w:r>
    </w:p>
    <w:p w14:paraId="4F76EF91" w14:textId="01B75C96" w:rsidR="00315893" w:rsidRPr="00D85E09" w:rsidRDefault="00315893" w:rsidP="0043316B">
      <w:pPr>
        <w:pStyle w:val="Caption"/>
        <w:keepNext w:val="0"/>
        <w:widowControl w:val="0"/>
        <w:rPr>
          <w:lang w:val="en-AU"/>
        </w:rPr>
      </w:pPr>
      <w:bookmarkStart w:id="129" w:name="_Ref344888019"/>
      <w:bookmarkStart w:id="130" w:name="_Toc367090369"/>
      <w:bookmarkStart w:id="131" w:name="_Toc453065348"/>
      <w:bookmarkEnd w:id="112"/>
      <w:bookmarkEnd w:id="113"/>
      <w:bookmarkEnd w:id="114"/>
      <w:bookmarkEnd w:id="11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12</w:t>
      </w:r>
      <w:r w:rsidRPr="00D85E09">
        <w:rPr>
          <w:lang w:val="en-AU"/>
        </w:rPr>
        <w:fldChar w:fldCharType="end"/>
      </w:r>
      <w:bookmarkEnd w:id="129"/>
      <w:r w:rsidRPr="00D85E09">
        <w:rPr>
          <w:lang w:val="en-AU"/>
        </w:rPr>
        <w:tab/>
      </w:r>
      <w:bookmarkEnd w:id="130"/>
      <w:r w:rsidRPr="00D85E09">
        <w:rPr>
          <w:lang w:val="en-AU"/>
        </w:rPr>
        <w:t>Summary of identification of RCTs from the published literature search</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2. Summary of identification of RCTs from the published literature search"/>
      </w:tblPr>
      <w:tblGrid>
        <w:gridCol w:w="3651"/>
        <w:gridCol w:w="2818"/>
        <w:gridCol w:w="2818"/>
      </w:tblGrid>
      <w:tr w:rsidR="00315893" w:rsidRPr="00D85E09" w14:paraId="5021CC2A" w14:textId="77777777" w:rsidTr="00502149">
        <w:trPr>
          <w:cantSplit/>
          <w:trHeight w:val="20"/>
        </w:trPr>
        <w:tc>
          <w:tcPr>
            <w:tcW w:w="1966" w:type="pct"/>
            <w:shd w:val="clear" w:color="auto" w:fill="auto"/>
          </w:tcPr>
          <w:p w14:paraId="20D17767" w14:textId="77777777" w:rsidR="00315893" w:rsidRPr="00D85E09" w:rsidRDefault="00315893" w:rsidP="0043316B">
            <w:pPr>
              <w:pStyle w:val="Tabletext"/>
              <w:keepNext w:val="0"/>
              <w:widowControl w:val="0"/>
              <w:rPr>
                <w:b/>
              </w:rPr>
            </w:pPr>
          </w:p>
        </w:tc>
        <w:tc>
          <w:tcPr>
            <w:tcW w:w="1517" w:type="pct"/>
            <w:shd w:val="clear" w:color="auto" w:fill="auto"/>
            <w:vAlign w:val="center"/>
          </w:tcPr>
          <w:p w14:paraId="1EDE6936" w14:textId="77777777" w:rsidR="00315893" w:rsidRPr="00D85E09" w:rsidRDefault="00315893" w:rsidP="0043316B">
            <w:pPr>
              <w:pStyle w:val="Tabletext"/>
              <w:keepNext w:val="0"/>
              <w:widowControl w:val="0"/>
              <w:jc w:val="center"/>
              <w:rPr>
                <w:b/>
              </w:rPr>
            </w:pPr>
            <w:r w:rsidRPr="00D85E09">
              <w:rPr>
                <w:b/>
              </w:rPr>
              <w:t>MEDLINE/EMBASE</w:t>
            </w:r>
          </w:p>
        </w:tc>
        <w:tc>
          <w:tcPr>
            <w:tcW w:w="1517" w:type="pct"/>
            <w:shd w:val="clear" w:color="auto" w:fill="auto"/>
          </w:tcPr>
          <w:p w14:paraId="5576F856" w14:textId="77777777" w:rsidR="00315893" w:rsidRPr="00D85E09" w:rsidRDefault="00315893" w:rsidP="0043316B">
            <w:pPr>
              <w:pStyle w:val="Tabletext"/>
              <w:keepNext w:val="0"/>
              <w:widowControl w:val="0"/>
              <w:jc w:val="center"/>
              <w:rPr>
                <w:b/>
              </w:rPr>
            </w:pPr>
            <w:r w:rsidRPr="00D85E09">
              <w:rPr>
                <w:b/>
              </w:rPr>
              <w:t>Cochrane Library</w:t>
            </w:r>
          </w:p>
        </w:tc>
      </w:tr>
      <w:tr w:rsidR="00315893" w:rsidRPr="00D85E09" w14:paraId="390A9AEF" w14:textId="77777777" w:rsidTr="00465778">
        <w:trPr>
          <w:cantSplit/>
          <w:trHeight w:val="20"/>
        </w:trPr>
        <w:tc>
          <w:tcPr>
            <w:tcW w:w="1966" w:type="pct"/>
          </w:tcPr>
          <w:p w14:paraId="3BA247B1" w14:textId="77777777" w:rsidR="00315893" w:rsidRPr="00D85E09" w:rsidRDefault="00315893" w:rsidP="0043316B">
            <w:pPr>
              <w:pStyle w:val="Tabletext"/>
              <w:keepNext w:val="0"/>
              <w:widowControl w:val="0"/>
            </w:pPr>
            <w:r w:rsidRPr="00D85E09">
              <w:t>Citations retrieved by current search</w:t>
            </w:r>
          </w:p>
        </w:tc>
        <w:tc>
          <w:tcPr>
            <w:tcW w:w="1517" w:type="pct"/>
            <w:vAlign w:val="center"/>
          </w:tcPr>
          <w:p w14:paraId="5BA5225F" w14:textId="77777777" w:rsidR="00315893" w:rsidRPr="00D85E09" w:rsidRDefault="00315893" w:rsidP="0043316B">
            <w:pPr>
              <w:pStyle w:val="Tabletext"/>
              <w:keepNext w:val="0"/>
              <w:widowControl w:val="0"/>
              <w:jc w:val="center"/>
            </w:pPr>
            <w:r w:rsidRPr="00D85E09">
              <w:t>517</w:t>
            </w:r>
          </w:p>
        </w:tc>
        <w:tc>
          <w:tcPr>
            <w:tcW w:w="1517" w:type="pct"/>
          </w:tcPr>
          <w:p w14:paraId="692484E1" w14:textId="77777777" w:rsidR="00315893" w:rsidRPr="00D85E09" w:rsidRDefault="00315893" w:rsidP="0043316B">
            <w:pPr>
              <w:pStyle w:val="Tabletext"/>
              <w:keepNext w:val="0"/>
              <w:widowControl w:val="0"/>
              <w:jc w:val="center"/>
            </w:pPr>
            <w:r w:rsidRPr="00D85E09">
              <w:t>100</w:t>
            </w:r>
          </w:p>
        </w:tc>
      </w:tr>
      <w:tr w:rsidR="00315893" w:rsidRPr="00D85E09" w14:paraId="60AEC147" w14:textId="77777777" w:rsidTr="00465778">
        <w:trPr>
          <w:cantSplit/>
          <w:trHeight w:val="20"/>
        </w:trPr>
        <w:tc>
          <w:tcPr>
            <w:tcW w:w="1966" w:type="pct"/>
          </w:tcPr>
          <w:p w14:paraId="66E68B94" w14:textId="77777777" w:rsidR="00315893" w:rsidRPr="00D85E09" w:rsidRDefault="00315893" w:rsidP="0043316B">
            <w:pPr>
              <w:pStyle w:val="Tabletext"/>
              <w:keepNext w:val="0"/>
              <w:widowControl w:val="0"/>
            </w:pPr>
            <w:r w:rsidRPr="00D85E09">
              <w:t xml:space="preserve">Number of unique citations </w:t>
            </w:r>
          </w:p>
        </w:tc>
        <w:tc>
          <w:tcPr>
            <w:tcW w:w="3034" w:type="pct"/>
            <w:gridSpan w:val="2"/>
            <w:vAlign w:val="center"/>
          </w:tcPr>
          <w:p w14:paraId="358594EB" w14:textId="77777777" w:rsidR="00315893" w:rsidRPr="00D85E09" w:rsidRDefault="00315893" w:rsidP="0043316B">
            <w:pPr>
              <w:pStyle w:val="Tabletext"/>
              <w:keepNext w:val="0"/>
              <w:widowControl w:val="0"/>
              <w:jc w:val="center"/>
            </w:pPr>
            <w:r w:rsidRPr="00D85E09">
              <w:t>544</w:t>
            </w:r>
          </w:p>
        </w:tc>
      </w:tr>
      <w:tr w:rsidR="00315893" w:rsidRPr="00D85E09" w14:paraId="26603FB9" w14:textId="77777777" w:rsidTr="00465778">
        <w:trPr>
          <w:cantSplit/>
          <w:trHeight w:val="20"/>
        </w:trPr>
        <w:tc>
          <w:tcPr>
            <w:tcW w:w="1966" w:type="pct"/>
          </w:tcPr>
          <w:p w14:paraId="2B39ACB1" w14:textId="77777777" w:rsidR="00315893" w:rsidRPr="00D85E09" w:rsidRDefault="00315893" w:rsidP="0043316B">
            <w:pPr>
              <w:pStyle w:val="Tabletext"/>
              <w:keepNext w:val="0"/>
              <w:widowControl w:val="0"/>
            </w:pPr>
            <w:r w:rsidRPr="00D85E09">
              <w:t>Citations excluded after title/abstract review:</w:t>
            </w:r>
          </w:p>
        </w:tc>
        <w:tc>
          <w:tcPr>
            <w:tcW w:w="3034" w:type="pct"/>
            <w:gridSpan w:val="2"/>
            <w:vAlign w:val="center"/>
          </w:tcPr>
          <w:p w14:paraId="5EA2CB5B" w14:textId="77777777" w:rsidR="00315893" w:rsidRPr="00D85E09" w:rsidRDefault="00315893" w:rsidP="0043316B">
            <w:pPr>
              <w:pStyle w:val="Tabletext"/>
              <w:keepNext w:val="0"/>
              <w:widowControl w:val="0"/>
              <w:jc w:val="center"/>
            </w:pPr>
          </w:p>
        </w:tc>
      </w:tr>
      <w:tr w:rsidR="00315893" w:rsidRPr="00D85E09" w14:paraId="13A01170" w14:textId="77777777" w:rsidTr="00465778">
        <w:trPr>
          <w:cantSplit/>
          <w:trHeight w:val="20"/>
        </w:trPr>
        <w:tc>
          <w:tcPr>
            <w:tcW w:w="1966" w:type="pct"/>
          </w:tcPr>
          <w:p w14:paraId="557951A1" w14:textId="77777777" w:rsidR="00315893" w:rsidRPr="00D85E09" w:rsidRDefault="00315893" w:rsidP="0043316B">
            <w:pPr>
              <w:pStyle w:val="Tabletext"/>
              <w:keepNext w:val="0"/>
              <w:widowControl w:val="0"/>
            </w:pPr>
            <w:r w:rsidRPr="00D85E09">
              <w:t>— Wrong study type</w:t>
            </w:r>
          </w:p>
        </w:tc>
        <w:tc>
          <w:tcPr>
            <w:tcW w:w="3034" w:type="pct"/>
            <w:gridSpan w:val="2"/>
            <w:vAlign w:val="center"/>
          </w:tcPr>
          <w:p w14:paraId="2A3D7AE3" w14:textId="77777777" w:rsidR="00315893" w:rsidRPr="00D85E09" w:rsidRDefault="00315893" w:rsidP="0043316B">
            <w:pPr>
              <w:pStyle w:val="Tabletext"/>
              <w:keepNext w:val="0"/>
              <w:widowControl w:val="0"/>
              <w:jc w:val="center"/>
            </w:pPr>
            <w:r w:rsidRPr="00D85E09">
              <w:t>476</w:t>
            </w:r>
          </w:p>
        </w:tc>
      </w:tr>
      <w:tr w:rsidR="00315893" w:rsidRPr="00D85E09" w14:paraId="078409AA" w14:textId="77777777" w:rsidTr="00465778">
        <w:trPr>
          <w:cantSplit/>
          <w:trHeight w:val="20"/>
        </w:trPr>
        <w:tc>
          <w:tcPr>
            <w:tcW w:w="1966" w:type="pct"/>
          </w:tcPr>
          <w:p w14:paraId="7EC9A749" w14:textId="77777777" w:rsidR="00315893" w:rsidRPr="00D85E09" w:rsidRDefault="00315893" w:rsidP="0043316B">
            <w:pPr>
              <w:pStyle w:val="Tabletext"/>
              <w:keepNext w:val="0"/>
              <w:widowControl w:val="0"/>
            </w:pPr>
            <w:r w:rsidRPr="00D85E09">
              <w:t>— Wrong population</w:t>
            </w:r>
          </w:p>
        </w:tc>
        <w:tc>
          <w:tcPr>
            <w:tcW w:w="3034" w:type="pct"/>
            <w:gridSpan w:val="2"/>
            <w:vAlign w:val="center"/>
          </w:tcPr>
          <w:p w14:paraId="1923A52A" w14:textId="77777777" w:rsidR="00315893" w:rsidRPr="00D85E09" w:rsidRDefault="00315893" w:rsidP="0043316B">
            <w:pPr>
              <w:pStyle w:val="Tabletext"/>
              <w:keepNext w:val="0"/>
              <w:widowControl w:val="0"/>
              <w:jc w:val="center"/>
            </w:pPr>
            <w:r w:rsidRPr="00D85E09">
              <w:t>23</w:t>
            </w:r>
          </w:p>
        </w:tc>
      </w:tr>
      <w:tr w:rsidR="00315893" w:rsidRPr="00D85E09" w14:paraId="6C243080" w14:textId="77777777" w:rsidTr="00465778">
        <w:trPr>
          <w:cantSplit/>
          <w:trHeight w:val="20"/>
        </w:trPr>
        <w:tc>
          <w:tcPr>
            <w:tcW w:w="1966" w:type="pct"/>
          </w:tcPr>
          <w:p w14:paraId="6F736438" w14:textId="77777777" w:rsidR="00315893" w:rsidRPr="00D85E09" w:rsidRDefault="00315893" w:rsidP="0043316B">
            <w:pPr>
              <w:pStyle w:val="Tabletext"/>
              <w:keepNext w:val="0"/>
              <w:widowControl w:val="0"/>
            </w:pPr>
            <w:r w:rsidRPr="00D85E09">
              <w:t>— Wrong intervention and/or comparator</w:t>
            </w:r>
          </w:p>
        </w:tc>
        <w:tc>
          <w:tcPr>
            <w:tcW w:w="3034" w:type="pct"/>
            <w:gridSpan w:val="2"/>
            <w:vAlign w:val="center"/>
          </w:tcPr>
          <w:p w14:paraId="38D8B1A7" w14:textId="77777777" w:rsidR="00315893" w:rsidRPr="00D85E09" w:rsidRDefault="00315893" w:rsidP="0043316B">
            <w:pPr>
              <w:pStyle w:val="Tabletext"/>
              <w:keepNext w:val="0"/>
              <w:widowControl w:val="0"/>
              <w:jc w:val="center"/>
            </w:pPr>
            <w:r w:rsidRPr="00D85E09">
              <w:t>19</w:t>
            </w:r>
          </w:p>
        </w:tc>
      </w:tr>
      <w:tr w:rsidR="00315893" w:rsidRPr="00D85E09" w14:paraId="5487F6FE" w14:textId="77777777" w:rsidTr="00465778">
        <w:trPr>
          <w:cantSplit/>
          <w:trHeight w:val="20"/>
        </w:trPr>
        <w:tc>
          <w:tcPr>
            <w:tcW w:w="1966" w:type="pct"/>
          </w:tcPr>
          <w:p w14:paraId="4365A0BA" w14:textId="77777777" w:rsidR="00315893" w:rsidRPr="00D85E09" w:rsidRDefault="00315893" w:rsidP="0043316B">
            <w:pPr>
              <w:pStyle w:val="Tabletext"/>
              <w:keepNext w:val="0"/>
              <w:widowControl w:val="0"/>
            </w:pPr>
            <w:r w:rsidRPr="00D85E09">
              <w:t>TOTAL EXCLUDED</w:t>
            </w:r>
          </w:p>
        </w:tc>
        <w:tc>
          <w:tcPr>
            <w:tcW w:w="3034" w:type="pct"/>
            <w:gridSpan w:val="2"/>
            <w:vAlign w:val="center"/>
          </w:tcPr>
          <w:p w14:paraId="2CD3CDB9" w14:textId="77777777" w:rsidR="00315893" w:rsidRPr="00D85E09" w:rsidRDefault="00315893" w:rsidP="0043316B">
            <w:pPr>
              <w:pStyle w:val="Tabletext"/>
              <w:keepNext w:val="0"/>
              <w:widowControl w:val="0"/>
              <w:jc w:val="center"/>
            </w:pPr>
            <w:r w:rsidRPr="00D85E09">
              <w:t>518</w:t>
            </w:r>
          </w:p>
        </w:tc>
      </w:tr>
      <w:tr w:rsidR="00315893" w:rsidRPr="00D85E09" w14:paraId="255ECEDC" w14:textId="77777777" w:rsidTr="00465778">
        <w:trPr>
          <w:cantSplit/>
          <w:trHeight w:val="20"/>
        </w:trPr>
        <w:tc>
          <w:tcPr>
            <w:tcW w:w="1966" w:type="pct"/>
          </w:tcPr>
          <w:p w14:paraId="7F1B3E5E" w14:textId="77777777" w:rsidR="00315893" w:rsidRPr="00D85E09" w:rsidRDefault="00315893" w:rsidP="0043316B">
            <w:pPr>
              <w:pStyle w:val="Tabletext"/>
              <w:keepNext w:val="0"/>
              <w:widowControl w:val="0"/>
            </w:pPr>
            <w:r w:rsidRPr="00D85E09">
              <w:t>Citations excluded after full text review:</w:t>
            </w:r>
          </w:p>
        </w:tc>
        <w:tc>
          <w:tcPr>
            <w:tcW w:w="3034" w:type="pct"/>
            <w:gridSpan w:val="2"/>
            <w:vAlign w:val="center"/>
          </w:tcPr>
          <w:p w14:paraId="5334A305" w14:textId="77777777" w:rsidR="00315893" w:rsidRPr="00D85E09" w:rsidRDefault="00315893" w:rsidP="0043316B">
            <w:pPr>
              <w:pStyle w:val="Tabletext"/>
              <w:keepNext w:val="0"/>
              <w:widowControl w:val="0"/>
              <w:jc w:val="center"/>
            </w:pPr>
          </w:p>
        </w:tc>
      </w:tr>
      <w:tr w:rsidR="00315893" w:rsidRPr="00D85E09" w14:paraId="2F5B0A04" w14:textId="77777777" w:rsidTr="00465778">
        <w:trPr>
          <w:cantSplit/>
          <w:trHeight w:val="20"/>
        </w:trPr>
        <w:tc>
          <w:tcPr>
            <w:tcW w:w="1966" w:type="pct"/>
          </w:tcPr>
          <w:p w14:paraId="413291CF" w14:textId="77777777" w:rsidR="00315893" w:rsidRPr="00D85E09" w:rsidRDefault="00315893" w:rsidP="0043316B">
            <w:pPr>
              <w:pStyle w:val="Tabletext"/>
              <w:keepNext w:val="0"/>
              <w:widowControl w:val="0"/>
            </w:pPr>
            <w:r w:rsidRPr="00D85E09">
              <w:t>— Wrong study type</w:t>
            </w:r>
          </w:p>
        </w:tc>
        <w:tc>
          <w:tcPr>
            <w:tcW w:w="3034" w:type="pct"/>
            <w:gridSpan w:val="2"/>
            <w:vAlign w:val="center"/>
          </w:tcPr>
          <w:p w14:paraId="4C107B67" w14:textId="77777777" w:rsidR="00315893" w:rsidRPr="00D85E09" w:rsidRDefault="00315893" w:rsidP="0043316B">
            <w:pPr>
              <w:pStyle w:val="Tabletext"/>
              <w:keepNext w:val="0"/>
              <w:widowControl w:val="0"/>
              <w:jc w:val="center"/>
            </w:pPr>
            <w:r w:rsidRPr="00D85E09">
              <w:t>0</w:t>
            </w:r>
          </w:p>
        </w:tc>
      </w:tr>
      <w:tr w:rsidR="00315893" w:rsidRPr="00D85E09" w14:paraId="18F3E4F3" w14:textId="77777777" w:rsidTr="00465778">
        <w:trPr>
          <w:cantSplit/>
          <w:trHeight w:val="20"/>
        </w:trPr>
        <w:tc>
          <w:tcPr>
            <w:tcW w:w="1966" w:type="pct"/>
          </w:tcPr>
          <w:p w14:paraId="529C0EFF" w14:textId="77777777" w:rsidR="00315893" w:rsidRPr="00D85E09" w:rsidRDefault="00315893" w:rsidP="0043316B">
            <w:pPr>
              <w:pStyle w:val="Tabletext"/>
              <w:keepNext w:val="0"/>
              <w:widowControl w:val="0"/>
            </w:pPr>
            <w:r w:rsidRPr="00D85E09">
              <w:t>— Wrong population</w:t>
            </w:r>
          </w:p>
        </w:tc>
        <w:tc>
          <w:tcPr>
            <w:tcW w:w="3034" w:type="pct"/>
            <w:gridSpan w:val="2"/>
            <w:vAlign w:val="center"/>
          </w:tcPr>
          <w:p w14:paraId="47F83AC8" w14:textId="77777777" w:rsidR="00315893" w:rsidRPr="00D85E09" w:rsidRDefault="00315893" w:rsidP="0043316B">
            <w:pPr>
              <w:pStyle w:val="Tabletext"/>
              <w:keepNext w:val="0"/>
              <w:widowControl w:val="0"/>
              <w:jc w:val="center"/>
            </w:pPr>
            <w:r w:rsidRPr="00D85E09">
              <w:t>0</w:t>
            </w:r>
          </w:p>
        </w:tc>
      </w:tr>
      <w:tr w:rsidR="00315893" w:rsidRPr="00D85E09" w14:paraId="39EACB4C" w14:textId="77777777" w:rsidTr="00465778">
        <w:trPr>
          <w:cantSplit/>
          <w:trHeight w:val="20"/>
        </w:trPr>
        <w:tc>
          <w:tcPr>
            <w:tcW w:w="1966" w:type="pct"/>
          </w:tcPr>
          <w:p w14:paraId="5FA2ED08" w14:textId="77777777" w:rsidR="00315893" w:rsidRPr="00D85E09" w:rsidRDefault="00315893" w:rsidP="0043316B">
            <w:pPr>
              <w:pStyle w:val="Tabletext"/>
              <w:keepNext w:val="0"/>
              <w:widowControl w:val="0"/>
            </w:pPr>
            <w:r w:rsidRPr="00D85E09">
              <w:t>— Wrong intervention and/or comparator</w:t>
            </w:r>
          </w:p>
        </w:tc>
        <w:tc>
          <w:tcPr>
            <w:tcW w:w="3034" w:type="pct"/>
            <w:gridSpan w:val="2"/>
            <w:vAlign w:val="center"/>
          </w:tcPr>
          <w:p w14:paraId="086C32F0" w14:textId="77777777" w:rsidR="00315893" w:rsidRPr="00D85E09" w:rsidRDefault="00315893" w:rsidP="0043316B">
            <w:pPr>
              <w:pStyle w:val="Tabletext"/>
              <w:keepNext w:val="0"/>
              <w:widowControl w:val="0"/>
              <w:jc w:val="center"/>
            </w:pPr>
            <w:r w:rsidRPr="00D85E09">
              <w:t>0</w:t>
            </w:r>
          </w:p>
        </w:tc>
      </w:tr>
      <w:tr w:rsidR="00315893" w:rsidRPr="00D85E09" w14:paraId="11C30994" w14:textId="77777777" w:rsidTr="00465778">
        <w:trPr>
          <w:cantSplit/>
          <w:trHeight w:val="20"/>
        </w:trPr>
        <w:tc>
          <w:tcPr>
            <w:tcW w:w="1966" w:type="pct"/>
          </w:tcPr>
          <w:p w14:paraId="7F85FF98" w14:textId="77777777" w:rsidR="00315893" w:rsidRPr="00D85E09" w:rsidRDefault="00315893" w:rsidP="0043316B">
            <w:pPr>
              <w:pStyle w:val="Tabletext"/>
              <w:keepNext w:val="0"/>
              <w:widowControl w:val="0"/>
            </w:pPr>
            <w:r w:rsidRPr="00D85E09">
              <w:t>— No or incomplete data/results</w:t>
            </w:r>
          </w:p>
        </w:tc>
        <w:tc>
          <w:tcPr>
            <w:tcW w:w="3034" w:type="pct"/>
            <w:gridSpan w:val="2"/>
            <w:vAlign w:val="center"/>
          </w:tcPr>
          <w:p w14:paraId="52AB5404" w14:textId="77777777" w:rsidR="00315893" w:rsidRPr="00D85E09" w:rsidRDefault="00315893" w:rsidP="0043316B">
            <w:pPr>
              <w:pStyle w:val="Tabletext"/>
              <w:keepNext w:val="0"/>
              <w:widowControl w:val="0"/>
              <w:jc w:val="center"/>
            </w:pPr>
            <w:r w:rsidRPr="00D85E09">
              <w:t>4</w:t>
            </w:r>
          </w:p>
        </w:tc>
      </w:tr>
      <w:tr w:rsidR="00315893" w:rsidRPr="00D85E09" w14:paraId="7BBC198A" w14:textId="77777777" w:rsidTr="00465778">
        <w:trPr>
          <w:cantSplit/>
          <w:trHeight w:val="20"/>
        </w:trPr>
        <w:tc>
          <w:tcPr>
            <w:tcW w:w="1966" w:type="pct"/>
          </w:tcPr>
          <w:p w14:paraId="02532A5E" w14:textId="77777777" w:rsidR="00315893" w:rsidRPr="00D85E09" w:rsidRDefault="00315893" w:rsidP="0043316B">
            <w:pPr>
              <w:pStyle w:val="Tabletext"/>
              <w:keepNext w:val="0"/>
              <w:widowControl w:val="0"/>
            </w:pPr>
            <w:r w:rsidRPr="00D85E09">
              <w:t>TOTAL EXCLUDED</w:t>
            </w:r>
          </w:p>
        </w:tc>
        <w:tc>
          <w:tcPr>
            <w:tcW w:w="3034" w:type="pct"/>
            <w:gridSpan w:val="2"/>
            <w:vAlign w:val="center"/>
          </w:tcPr>
          <w:p w14:paraId="4B8D0315" w14:textId="77777777" w:rsidR="00315893" w:rsidRPr="00D85E09" w:rsidRDefault="00315893" w:rsidP="0043316B">
            <w:pPr>
              <w:pStyle w:val="Tabletext"/>
              <w:keepNext w:val="0"/>
              <w:widowControl w:val="0"/>
              <w:jc w:val="center"/>
            </w:pPr>
            <w:r w:rsidRPr="00D85E09">
              <w:t>0</w:t>
            </w:r>
          </w:p>
        </w:tc>
      </w:tr>
      <w:tr w:rsidR="00315893" w:rsidRPr="00D85E09" w14:paraId="1CFF0082" w14:textId="77777777" w:rsidTr="00465778">
        <w:trPr>
          <w:cantSplit/>
          <w:trHeight w:val="20"/>
        </w:trPr>
        <w:tc>
          <w:tcPr>
            <w:tcW w:w="1966" w:type="pct"/>
          </w:tcPr>
          <w:p w14:paraId="7A2CBCF7" w14:textId="77777777" w:rsidR="00315893" w:rsidRPr="00D85E09" w:rsidRDefault="00315893" w:rsidP="0043316B">
            <w:pPr>
              <w:pStyle w:val="Tabletext"/>
              <w:keepNext w:val="0"/>
              <w:widowControl w:val="0"/>
            </w:pPr>
            <w:r w:rsidRPr="00D85E09">
              <w:t>INCLUDED</w:t>
            </w:r>
          </w:p>
        </w:tc>
        <w:tc>
          <w:tcPr>
            <w:tcW w:w="3034" w:type="pct"/>
            <w:gridSpan w:val="2"/>
            <w:vAlign w:val="center"/>
          </w:tcPr>
          <w:p w14:paraId="215A370F" w14:textId="77777777" w:rsidR="00315893" w:rsidRPr="00D85E09" w:rsidRDefault="00315893" w:rsidP="0043316B">
            <w:pPr>
              <w:pStyle w:val="Tabletext"/>
              <w:keepNext w:val="0"/>
              <w:widowControl w:val="0"/>
              <w:jc w:val="center"/>
            </w:pPr>
          </w:p>
        </w:tc>
      </w:tr>
      <w:tr w:rsidR="00315893" w:rsidRPr="00D85E09" w14:paraId="794DBB96" w14:textId="77777777" w:rsidTr="00465778">
        <w:trPr>
          <w:cantSplit/>
          <w:trHeight w:val="20"/>
        </w:trPr>
        <w:tc>
          <w:tcPr>
            <w:tcW w:w="1966" w:type="pct"/>
          </w:tcPr>
          <w:p w14:paraId="7DC34EB1" w14:textId="77777777" w:rsidR="00315893" w:rsidRPr="00D85E09" w:rsidRDefault="00315893" w:rsidP="0043316B">
            <w:pPr>
              <w:pStyle w:val="Tabletext"/>
              <w:keepNext w:val="0"/>
              <w:widowControl w:val="0"/>
            </w:pPr>
            <w:r w:rsidRPr="00D85E09">
              <w:t>Meta-analyses and systematic reviews</w:t>
            </w:r>
          </w:p>
        </w:tc>
        <w:tc>
          <w:tcPr>
            <w:tcW w:w="3034" w:type="pct"/>
            <w:gridSpan w:val="2"/>
            <w:vAlign w:val="center"/>
          </w:tcPr>
          <w:p w14:paraId="48AEE9D7" w14:textId="77777777" w:rsidR="00315893" w:rsidRPr="00D85E09" w:rsidRDefault="00315893" w:rsidP="0043316B">
            <w:pPr>
              <w:pStyle w:val="Tabletext"/>
              <w:keepNext w:val="0"/>
              <w:widowControl w:val="0"/>
              <w:jc w:val="center"/>
            </w:pPr>
            <w:r w:rsidRPr="00D85E09">
              <w:t>9</w:t>
            </w:r>
          </w:p>
        </w:tc>
      </w:tr>
      <w:tr w:rsidR="00315893" w:rsidRPr="00D85E09" w14:paraId="59904AE6" w14:textId="77777777" w:rsidTr="00465778">
        <w:trPr>
          <w:cantSplit/>
          <w:trHeight w:val="20"/>
        </w:trPr>
        <w:tc>
          <w:tcPr>
            <w:tcW w:w="1966" w:type="pct"/>
          </w:tcPr>
          <w:p w14:paraId="36226B92" w14:textId="77777777" w:rsidR="00315893" w:rsidRPr="00D85E09" w:rsidRDefault="00315893" w:rsidP="0043316B">
            <w:pPr>
              <w:pStyle w:val="Tabletext"/>
              <w:keepNext w:val="0"/>
              <w:widowControl w:val="0"/>
            </w:pPr>
            <w:r w:rsidRPr="00D85E09">
              <w:t>Number of citations of potentially eligible trials</w:t>
            </w:r>
          </w:p>
        </w:tc>
        <w:tc>
          <w:tcPr>
            <w:tcW w:w="3034" w:type="pct"/>
            <w:gridSpan w:val="2"/>
            <w:vAlign w:val="center"/>
          </w:tcPr>
          <w:p w14:paraId="6185801A" w14:textId="77777777" w:rsidR="00315893" w:rsidRPr="00D85E09" w:rsidRDefault="00315893" w:rsidP="0043316B">
            <w:pPr>
              <w:pStyle w:val="Tabletext"/>
              <w:keepNext w:val="0"/>
              <w:widowControl w:val="0"/>
              <w:jc w:val="center"/>
            </w:pPr>
            <w:r w:rsidRPr="00D85E09">
              <w:t>13</w:t>
            </w:r>
          </w:p>
        </w:tc>
      </w:tr>
      <w:tr w:rsidR="00315893" w:rsidRPr="00D85E09" w14:paraId="5BCF0F74" w14:textId="77777777" w:rsidTr="00465778">
        <w:trPr>
          <w:cantSplit/>
          <w:trHeight w:val="20"/>
        </w:trPr>
        <w:tc>
          <w:tcPr>
            <w:tcW w:w="1966" w:type="pct"/>
          </w:tcPr>
          <w:p w14:paraId="0F963126" w14:textId="77777777" w:rsidR="00315893" w:rsidRPr="00D85E09" w:rsidRDefault="00315893" w:rsidP="0043316B">
            <w:pPr>
              <w:pStyle w:val="Tabletext"/>
              <w:keepNext w:val="0"/>
              <w:widowControl w:val="0"/>
            </w:pPr>
            <w:r w:rsidRPr="00D85E09">
              <w:t>Number of potentially eligible trials</w:t>
            </w:r>
          </w:p>
        </w:tc>
        <w:tc>
          <w:tcPr>
            <w:tcW w:w="3034" w:type="pct"/>
            <w:gridSpan w:val="2"/>
            <w:vAlign w:val="center"/>
          </w:tcPr>
          <w:p w14:paraId="0FE83F3F" w14:textId="77777777" w:rsidR="00315893" w:rsidRPr="00D85E09" w:rsidRDefault="00315893" w:rsidP="0043316B">
            <w:pPr>
              <w:pStyle w:val="Tabletext"/>
              <w:keepNext w:val="0"/>
              <w:widowControl w:val="0"/>
              <w:jc w:val="center"/>
            </w:pPr>
            <w:r w:rsidRPr="00D85E09">
              <w:t>8</w:t>
            </w:r>
          </w:p>
        </w:tc>
      </w:tr>
    </w:tbl>
    <w:p w14:paraId="3190BE7E" w14:textId="77777777" w:rsidR="00315893" w:rsidRPr="00D85E09" w:rsidRDefault="00315893" w:rsidP="0043316B">
      <w:pPr>
        <w:widowControl w:val="0"/>
      </w:pPr>
    </w:p>
    <w:p w14:paraId="18E8AA16" w14:textId="77777777" w:rsidR="00315893" w:rsidRPr="00D85E09" w:rsidRDefault="00315893" w:rsidP="0043316B">
      <w:pPr>
        <w:pStyle w:val="Heading5"/>
        <w:widowControl w:val="0"/>
        <w:rPr>
          <w:lang w:val="en-AU"/>
        </w:rPr>
      </w:pPr>
      <w:r w:rsidRPr="00D85E09">
        <w:rPr>
          <w:lang w:val="en-AU"/>
        </w:rPr>
        <w:lastRenderedPageBreak/>
        <w:t>Published systematic reviews/meta-analyses</w:t>
      </w:r>
    </w:p>
    <w:p w14:paraId="30D1DE51" w14:textId="20B7F812" w:rsidR="00315893" w:rsidRPr="00D85E09" w:rsidRDefault="00315893" w:rsidP="0043316B">
      <w:pPr>
        <w:widowControl w:val="0"/>
      </w:pPr>
      <w:r w:rsidRPr="00D85E09">
        <w:t xml:space="preserve">The search for published literature identified 9 citations representing relevant systematic reviews and/or meta-analyses. Additionally, a further 3 citations were identified via manual searching (Goyal 2016, Campbell 2016 and Sardar 2015). These are listed in </w:t>
      </w:r>
      <w:r w:rsidRPr="00D85E09">
        <w:fldChar w:fldCharType="begin"/>
      </w:r>
      <w:r w:rsidRPr="00D85E09">
        <w:instrText xml:space="preserve"> REF _Ref449086346 \h </w:instrText>
      </w:r>
      <w:r w:rsidRPr="00D85E09">
        <w:fldChar w:fldCharType="separate"/>
      </w:r>
      <w:r w:rsidR="00A456ED" w:rsidRPr="00D85E09">
        <w:t xml:space="preserve">Table </w:t>
      </w:r>
      <w:r w:rsidR="00A456ED">
        <w:rPr>
          <w:noProof/>
        </w:rPr>
        <w:t>13</w:t>
      </w:r>
      <w:r w:rsidRPr="00D85E09">
        <w:fldChar w:fldCharType="end"/>
      </w:r>
      <w:r w:rsidRPr="00D85E09">
        <w:t>.</w:t>
      </w:r>
    </w:p>
    <w:p w14:paraId="7E4A9879" w14:textId="57017145" w:rsidR="00315893" w:rsidRPr="00D85E09" w:rsidRDefault="00315893" w:rsidP="0043316B">
      <w:pPr>
        <w:pStyle w:val="Caption"/>
        <w:keepNext w:val="0"/>
        <w:widowControl w:val="0"/>
        <w:rPr>
          <w:lang w:val="en-AU"/>
        </w:rPr>
      </w:pPr>
      <w:bookmarkStart w:id="132" w:name="_Ref449086346"/>
      <w:bookmarkStart w:id="133" w:name="_Toc45306534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13</w:t>
      </w:r>
      <w:r w:rsidRPr="00D85E09">
        <w:rPr>
          <w:lang w:val="en-AU"/>
        </w:rPr>
        <w:fldChar w:fldCharType="end"/>
      </w:r>
      <w:bookmarkEnd w:id="132"/>
      <w:r w:rsidRPr="00D85E09">
        <w:rPr>
          <w:lang w:val="en-AU"/>
        </w:rPr>
        <w:tab/>
        <w:t>Relevant systematic reviews and/or meta-analyses identified</w:t>
      </w:r>
      <w:bookmarkEnd w:id="133"/>
    </w:p>
    <w:tbl>
      <w:tblPr>
        <w:tblStyle w:val="TableGrid"/>
        <w:tblW w:w="0" w:type="auto"/>
        <w:tblLook w:val="04A0" w:firstRow="1" w:lastRow="0" w:firstColumn="1" w:lastColumn="0" w:noHBand="0" w:noVBand="1"/>
        <w:tblDescription w:val="Table 13. This table shows the relevant systematic reviews and/or meta-analyses identified"/>
      </w:tblPr>
      <w:tblGrid>
        <w:gridCol w:w="1271"/>
        <w:gridCol w:w="5954"/>
        <w:gridCol w:w="1836"/>
      </w:tblGrid>
      <w:tr w:rsidR="00315893" w:rsidRPr="00D85E09" w14:paraId="4F87A3DC" w14:textId="77777777" w:rsidTr="00BE6331">
        <w:trPr>
          <w:tblHeader/>
        </w:trPr>
        <w:tc>
          <w:tcPr>
            <w:tcW w:w="1271" w:type="dxa"/>
            <w:shd w:val="clear" w:color="auto" w:fill="auto"/>
          </w:tcPr>
          <w:p w14:paraId="0EC84C00" w14:textId="77777777" w:rsidR="00315893" w:rsidRPr="00D85E09" w:rsidRDefault="00315893" w:rsidP="0043316B">
            <w:pPr>
              <w:pStyle w:val="Tabletext"/>
              <w:keepNext w:val="0"/>
              <w:widowControl w:val="0"/>
              <w:rPr>
                <w:b/>
              </w:rPr>
            </w:pPr>
            <w:r w:rsidRPr="00D85E09">
              <w:rPr>
                <w:b/>
              </w:rPr>
              <w:t>Authors</w:t>
            </w:r>
          </w:p>
        </w:tc>
        <w:tc>
          <w:tcPr>
            <w:tcW w:w="5954" w:type="dxa"/>
            <w:shd w:val="clear" w:color="auto" w:fill="auto"/>
          </w:tcPr>
          <w:p w14:paraId="35186129" w14:textId="77777777" w:rsidR="00315893" w:rsidRPr="00D85E09" w:rsidRDefault="00315893" w:rsidP="0043316B">
            <w:pPr>
              <w:pStyle w:val="Tabletext"/>
              <w:keepNext w:val="0"/>
              <w:widowControl w:val="0"/>
              <w:rPr>
                <w:b/>
              </w:rPr>
            </w:pPr>
            <w:r w:rsidRPr="00D85E09">
              <w:rPr>
                <w:b/>
              </w:rPr>
              <w:t>Title</w:t>
            </w:r>
          </w:p>
        </w:tc>
        <w:tc>
          <w:tcPr>
            <w:tcW w:w="1836" w:type="dxa"/>
            <w:shd w:val="clear" w:color="auto" w:fill="auto"/>
          </w:tcPr>
          <w:p w14:paraId="03542E7A" w14:textId="77777777" w:rsidR="00315893" w:rsidRPr="00D85E09" w:rsidRDefault="00315893" w:rsidP="0043316B">
            <w:pPr>
              <w:pStyle w:val="Tabletext"/>
              <w:keepNext w:val="0"/>
              <w:widowControl w:val="0"/>
              <w:rPr>
                <w:b/>
                <w:iCs/>
              </w:rPr>
            </w:pPr>
            <w:r w:rsidRPr="00D85E09">
              <w:rPr>
                <w:b/>
                <w:iCs/>
              </w:rPr>
              <w:t xml:space="preserve">Citation </w:t>
            </w:r>
          </w:p>
        </w:tc>
      </w:tr>
      <w:tr w:rsidR="00315893" w:rsidRPr="00D85E09" w14:paraId="53BA0C1E" w14:textId="77777777" w:rsidTr="00465778">
        <w:tc>
          <w:tcPr>
            <w:tcW w:w="1271" w:type="dxa"/>
          </w:tcPr>
          <w:p w14:paraId="21A608D7" w14:textId="77777777" w:rsidR="00315893" w:rsidRPr="00D85E09" w:rsidRDefault="00315893" w:rsidP="0043316B">
            <w:pPr>
              <w:pStyle w:val="Tabletext"/>
              <w:keepNext w:val="0"/>
              <w:widowControl w:val="0"/>
            </w:pPr>
            <w:r w:rsidRPr="00D85E09">
              <w:t>Badhiwala et al.</w:t>
            </w:r>
          </w:p>
        </w:tc>
        <w:tc>
          <w:tcPr>
            <w:tcW w:w="5954" w:type="dxa"/>
          </w:tcPr>
          <w:p w14:paraId="79ADE962" w14:textId="586D306D" w:rsidR="00315893" w:rsidRPr="00D85E09" w:rsidRDefault="00315893" w:rsidP="0043316B">
            <w:pPr>
              <w:pStyle w:val="Tabletext"/>
              <w:keepNext w:val="0"/>
              <w:widowControl w:val="0"/>
            </w:pPr>
            <w:r w:rsidRPr="00D85E09">
              <w:t>Endovascular thrombectomy for acute isch</w:t>
            </w:r>
            <w:r w:rsidR="00E56287" w:rsidRPr="00D85E09">
              <w:t>aemic</w:t>
            </w:r>
            <w:r w:rsidRPr="00D85E09">
              <w:t xml:space="preserve"> stroke: a meta-analysis.</w:t>
            </w:r>
            <w:r w:rsidRPr="00D85E09">
              <w:rPr>
                <w:i/>
                <w:iCs/>
              </w:rPr>
              <w:t xml:space="preserve"> </w:t>
            </w:r>
          </w:p>
        </w:tc>
        <w:tc>
          <w:tcPr>
            <w:tcW w:w="1836" w:type="dxa"/>
          </w:tcPr>
          <w:p w14:paraId="1FDF472B" w14:textId="77777777" w:rsidR="00315893" w:rsidRPr="00D85E09" w:rsidRDefault="00315893" w:rsidP="0043316B">
            <w:pPr>
              <w:pStyle w:val="Tabletext"/>
              <w:keepNext w:val="0"/>
              <w:widowControl w:val="0"/>
            </w:pPr>
            <w:r w:rsidRPr="00D85E09">
              <w:rPr>
                <w:i/>
                <w:iCs/>
              </w:rPr>
              <w:t>JAMA</w:t>
            </w:r>
            <w:r w:rsidRPr="00D85E09">
              <w:t xml:space="preserve"> 314 (17): 1832-1843, 2015.</w:t>
            </w:r>
          </w:p>
        </w:tc>
      </w:tr>
      <w:tr w:rsidR="00315893" w:rsidRPr="00D85E09" w14:paraId="6156061C" w14:textId="77777777" w:rsidTr="00465778">
        <w:tc>
          <w:tcPr>
            <w:tcW w:w="1271" w:type="dxa"/>
          </w:tcPr>
          <w:p w14:paraId="236FD063" w14:textId="77777777" w:rsidR="00315893" w:rsidRPr="00D85E09" w:rsidRDefault="00315893" w:rsidP="0043316B">
            <w:pPr>
              <w:pStyle w:val="Tabletext"/>
              <w:keepNext w:val="0"/>
              <w:widowControl w:val="0"/>
            </w:pPr>
            <w:r w:rsidRPr="00D85E09">
              <w:t>Balami et al.</w:t>
            </w:r>
          </w:p>
        </w:tc>
        <w:tc>
          <w:tcPr>
            <w:tcW w:w="5954" w:type="dxa"/>
          </w:tcPr>
          <w:p w14:paraId="139A389D" w14:textId="097896FA" w:rsidR="00315893" w:rsidRPr="00D85E09" w:rsidRDefault="00315893" w:rsidP="0043316B">
            <w:pPr>
              <w:pStyle w:val="Tabletext"/>
              <w:keepNext w:val="0"/>
              <w:widowControl w:val="0"/>
            </w:pPr>
            <w:r w:rsidRPr="00D85E09">
              <w:t>A systematic review and meta-analysis of randomized controlled trials of endovascular thrombectomy compared with best medical treatment for acute isch</w:t>
            </w:r>
            <w:r w:rsidR="00E56287" w:rsidRPr="00D85E09">
              <w:t>aemic</w:t>
            </w:r>
            <w:r w:rsidRPr="00D85E09">
              <w:t xml:space="preserve"> stroke.</w:t>
            </w:r>
          </w:p>
        </w:tc>
        <w:tc>
          <w:tcPr>
            <w:tcW w:w="1836" w:type="dxa"/>
          </w:tcPr>
          <w:p w14:paraId="1E7A9FED" w14:textId="77777777" w:rsidR="00315893" w:rsidRPr="00D85E09" w:rsidRDefault="00315893" w:rsidP="0043316B">
            <w:pPr>
              <w:pStyle w:val="Tabletext"/>
              <w:keepNext w:val="0"/>
              <w:widowControl w:val="0"/>
            </w:pPr>
            <w:r w:rsidRPr="00D85E09">
              <w:rPr>
                <w:i/>
                <w:iCs/>
              </w:rPr>
              <w:t>Int J Stroke</w:t>
            </w:r>
            <w:r w:rsidRPr="00D85E09">
              <w:t xml:space="preserve"> 10 (8): 1168-1178, 2015</w:t>
            </w:r>
          </w:p>
        </w:tc>
      </w:tr>
      <w:tr w:rsidR="00315893" w:rsidRPr="00D85E09" w14:paraId="0FF8948A" w14:textId="77777777" w:rsidTr="00465778">
        <w:tc>
          <w:tcPr>
            <w:tcW w:w="1271" w:type="dxa"/>
          </w:tcPr>
          <w:p w14:paraId="3C355729" w14:textId="77777777" w:rsidR="00315893" w:rsidRPr="00D85E09" w:rsidRDefault="00315893" w:rsidP="0043316B">
            <w:pPr>
              <w:pStyle w:val="Tabletext"/>
              <w:keepNext w:val="0"/>
              <w:widowControl w:val="0"/>
            </w:pPr>
            <w:r w:rsidRPr="00D85E09">
              <w:t>Birns et al.</w:t>
            </w:r>
          </w:p>
        </w:tc>
        <w:tc>
          <w:tcPr>
            <w:tcW w:w="5954" w:type="dxa"/>
          </w:tcPr>
          <w:p w14:paraId="655D8474" w14:textId="77777777" w:rsidR="00315893" w:rsidRPr="00D85E09" w:rsidRDefault="00315893" w:rsidP="0043316B">
            <w:pPr>
              <w:pStyle w:val="Tabletext"/>
              <w:keepNext w:val="0"/>
              <w:widowControl w:val="0"/>
            </w:pPr>
            <w:r w:rsidRPr="00D85E09">
              <w:t>A meta-analysis of randomised controlled trials of endovascular treatment for acute ischaemic stroke.</w:t>
            </w:r>
            <w:r w:rsidRPr="00D85E09">
              <w:rPr>
                <w:i/>
                <w:iCs/>
              </w:rPr>
              <w:t xml:space="preserve"> </w:t>
            </w:r>
          </w:p>
        </w:tc>
        <w:tc>
          <w:tcPr>
            <w:tcW w:w="1836" w:type="dxa"/>
          </w:tcPr>
          <w:p w14:paraId="4FAF37B2" w14:textId="77777777" w:rsidR="00315893" w:rsidRPr="00D85E09" w:rsidRDefault="00315893" w:rsidP="0043316B">
            <w:pPr>
              <w:pStyle w:val="Tabletext"/>
              <w:keepNext w:val="0"/>
              <w:widowControl w:val="0"/>
            </w:pPr>
            <w:r w:rsidRPr="00D85E09">
              <w:rPr>
                <w:i/>
                <w:iCs/>
              </w:rPr>
              <w:t>Stroke</w:t>
            </w:r>
            <w:r w:rsidRPr="00D85E09">
              <w:t xml:space="preserve"> 45, 2014.</w:t>
            </w:r>
          </w:p>
        </w:tc>
      </w:tr>
      <w:tr w:rsidR="00315893" w:rsidRPr="00D85E09" w14:paraId="42869FBD" w14:textId="77777777" w:rsidTr="00465778">
        <w:tc>
          <w:tcPr>
            <w:tcW w:w="1271" w:type="dxa"/>
          </w:tcPr>
          <w:p w14:paraId="4E6722B0" w14:textId="77777777" w:rsidR="00315893" w:rsidRPr="00D85E09" w:rsidRDefault="00315893" w:rsidP="0043316B">
            <w:pPr>
              <w:pStyle w:val="Tabletext"/>
              <w:keepNext w:val="0"/>
              <w:widowControl w:val="0"/>
            </w:pPr>
            <w:r w:rsidRPr="00D85E09">
              <w:t>Chen et al.</w:t>
            </w:r>
          </w:p>
        </w:tc>
        <w:tc>
          <w:tcPr>
            <w:tcW w:w="5954" w:type="dxa"/>
          </w:tcPr>
          <w:p w14:paraId="65AA8863" w14:textId="1B54D368" w:rsidR="00315893" w:rsidRPr="00D85E09" w:rsidRDefault="00315893" w:rsidP="0043316B">
            <w:pPr>
              <w:pStyle w:val="Tabletext"/>
              <w:keepNext w:val="0"/>
              <w:widowControl w:val="0"/>
            </w:pPr>
            <w:r w:rsidRPr="00D85E09">
              <w:t>Endovascular vs medical management of acute isch</w:t>
            </w:r>
            <w:r w:rsidR="00E56287" w:rsidRPr="00D85E09">
              <w:t>aemic</w:t>
            </w:r>
            <w:r w:rsidRPr="00D85E09">
              <w:t xml:space="preserve"> stroke.</w:t>
            </w:r>
            <w:r w:rsidRPr="00D85E09">
              <w:rPr>
                <w:i/>
                <w:iCs/>
              </w:rPr>
              <w:t xml:space="preserve"> </w:t>
            </w:r>
          </w:p>
        </w:tc>
        <w:tc>
          <w:tcPr>
            <w:tcW w:w="1836" w:type="dxa"/>
          </w:tcPr>
          <w:p w14:paraId="5A3F1E9F" w14:textId="77777777" w:rsidR="00315893" w:rsidRPr="00D85E09" w:rsidRDefault="00315893" w:rsidP="0043316B">
            <w:pPr>
              <w:pStyle w:val="Tabletext"/>
              <w:keepNext w:val="0"/>
              <w:widowControl w:val="0"/>
            </w:pPr>
            <w:r w:rsidRPr="00D85E09">
              <w:rPr>
                <w:i/>
                <w:iCs/>
              </w:rPr>
              <w:t>Neurology</w:t>
            </w:r>
            <w:r w:rsidRPr="00D85E09">
              <w:t xml:space="preserve"> 85 (22): 1980-1990, 2015.</w:t>
            </w:r>
          </w:p>
        </w:tc>
      </w:tr>
      <w:tr w:rsidR="00315893" w:rsidRPr="00D85E09" w14:paraId="779E0F33" w14:textId="77777777" w:rsidTr="00465778">
        <w:tc>
          <w:tcPr>
            <w:tcW w:w="1271" w:type="dxa"/>
          </w:tcPr>
          <w:p w14:paraId="41AAF7AB" w14:textId="7FA08828" w:rsidR="00315893" w:rsidRPr="00D85E09" w:rsidRDefault="00315893" w:rsidP="0043316B">
            <w:pPr>
              <w:pStyle w:val="Tabletext"/>
              <w:keepNext w:val="0"/>
              <w:widowControl w:val="0"/>
            </w:pPr>
            <w:r w:rsidRPr="00D85E09">
              <w:t>Grech et al</w:t>
            </w:r>
            <w:r w:rsidR="00AB4BBF" w:rsidRPr="00D85E09">
              <w:t>.</w:t>
            </w:r>
          </w:p>
        </w:tc>
        <w:tc>
          <w:tcPr>
            <w:tcW w:w="5954" w:type="dxa"/>
          </w:tcPr>
          <w:p w14:paraId="56EC2513" w14:textId="77777777" w:rsidR="00315893" w:rsidRPr="00D85E09" w:rsidRDefault="00315893" w:rsidP="0043316B">
            <w:pPr>
              <w:pStyle w:val="Tabletext"/>
              <w:keepNext w:val="0"/>
              <w:widowControl w:val="0"/>
            </w:pPr>
            <w:r w:rsidRPr="00D85E09">
              <w:t>Stent-based thrombectomy versus intravenous tissue plasminogen activator in acute ischaemic stroke: A systematic review and meta-analysis.</w:t>
            </w:r>
            <w:r w:rsidRPr="00D85E09">
              <w:rPr>
                <w:i/>
                <w:iCs/>
              </w:rPr>
              <w:t xml:space="preserve"> </w:t>
            </w:r>
          </w:p>
        </w:tc>
        <w:tc>
          <w:tcPr>
            <w:tcW w:w="1836" w:type="dxa"/>
          </w:tcPr>
          <w:p w14:paraId="3C572E75" w14:textId="77777777" w:rsidR="00315893" w:rsidRPr="00D85E09" w:rsidRDefault="00315893" w:rsidP="0043316B">
            <w:pPr>
              <w:pStyle w:val="Tabletext"/>
              <w:keepNext w:val="0"/>
              <w:widowControl w:val="0"/>
            </w:pPr>
            <w:r w:rsidRPr="00D85E09">
              <w:rPr>
                <w:i/>
                <w:iCs/>
              </w:rPr>
              <w:t xml:space="preserve">Intervent Neuroradiol </w:t>
            </w:r>
            <w:r w:rsidRPr="00D85E09">
              <w:t>21(6): 684-690, 2015.</w:t>
            </w:r>
          </w:p>
        </w:tc>
      </w:tr>
      <w:tr w:rsidR="00315893" w:rsidRPr="00D85E09" w14:paraId="328AF386" w14:textId="77777777" w:rsidTr="00465778">
        <w:tc>
          <w:tcPr>
            <w:tcW w:w="1271" w:type="dxa"/>
          </w:tcPr>
          <w:p w14:paraId="05BA096C" w14:textId="77777777" w:rsidR="00315893" w:rsidRPr="00D85E09" w:rsidRDefault="00315893" w:rsidP="0043316B">
            <w:pPr>
              <w:pStyle w:val="Tabletext"/>
              <w:keepNext w:val="0"/>
              <w:widowControl w:val="0"/>
            </w:pPr>
            <w:r w:rsidRPr="00D85E09">
              <w:t>Koh et al.</w:t>
            </w:r>
          </w:p>
        </w:tc>
        <w:tc>
          <w:tcPr>
            <w:tcW w:w="5954" w:type="dxa"/>
          </w:tcPr>
          <w:p w14:paraId="4D082B4E" w14:textId="2724C045" w:rsidR="00315893" w:rsidRPr="00D85E09" w:rsidRDefault="00315893" w:rsidP="0043316B">
            <w:pPr>
              <w:pStyle w:val="Tabletext"/>
              <w:keepNext w:val="0"/>
              <w:widowControl w:val="0"/>
            </w:pPr>
            <w:r w:rsidRPr="00D85E09">
              <w:t>Safety and efficacy of mechanical thrombectomy with Solitaire stent retrieval for acute isch</w:t>
            </w:r>
            <w:r w:rsidR="00E56287" w:rsidRPr="00D85E09">
              <w:t>aemic</w:t>
            </w:r>
            <w:r w:rsidRPr="00D85E09">
              <w:t xml:space="preserve"> stroke: a systematic review (Provisional abstract).</w:t>
            </w:r>
            <w:r w:rsidRPr="00D85E09">
              <w:rPr>
                <w:i/>
                <w:iCs/>
              </w:rPr>
              <w:t xml:space="preserve"> </w:t>
            </w:r>
          </w:p>
        </w:tc>
        <w:tc>
          <w:tcPr>
            <w:tcW w:w="1836" w:type="dxa"/>
          </w:tcPr>
          <w:p w14:paraId="4D723C95" w14:textId="77777777" w:rsidR="00315893" w:rsidRPr="00D85E09" w:rsidRDefault="00315893" w:rsidP="0043316B">
            <w:pPr>
              <w:pStyle w:val="Tabletext"/>
              <w:keepNext w:val="0"/>
              <w:widowControl w:val="0"/>
            </w:pPr>
            <w:r w:rsidRPr="00D85E09">
              <w:rPr>
                <w:i/>
                <w:iCs/>
              </w:rPr>
              <w:t>Neurointervention</w:t>
            </w:r>
            <w:r w:rsidRPr="00D85E09">
              <w:t xml:space="preserve"> 7: 1-9, 2012.</w:t>
            </w:r>
          </w:p>
        </w:tc>
      </w:tr>
      <w:tr w:rsidR="00315893" w:rsidRPr="00D85E09" w14:paraId="0F54D096" w14:textId="77777777" w:rsidTr="00465778">
        <w:tc>
          <w:tcPr>
            <w:tcW w:w="1271" w:type="dxa"/>
          </w:tcPr>
          <w:p w14:paraId="17AD3BE4" w14:textId="77777777" w:rsidR="00315893" w:rsidRPr="00D85E09" w:rsidRDefault="00315893" w:rsidP="0043316B">
            <w:pPr>
              <w:pStyle w:val="Tabletext"/>
              <w:keepNext w:val="0"/>
              <w:widowControl w:val="0"/>
            </w:pPr>
            <w:r w:rsidRPr="00D85E09">
              <w:t>Lin et al.</w:t>
            </w:r>
          </w:p>
        </w:tc>
        <w:tc>
          <w:tcPr>
            <w:tcW w:w="5954" w:type="dxa"/>
          </w:tcPr>
          <w:p w14:paraId="6BDF55FE" w14:textId="4C6405C0" w:rsidR="00315893" w:rsidRPr="00D85E09" w:rsidRDefault="00315893" w:rsidP="0043316B">
            <w:pPr>
              <w:pStyle w:val="Tabletext"/>
              <w:keepNext w:val="0"/>
              <w:widowControl w:val="0"/>
            </w:pPr>
            <w:r w:rsidRPr="00D85E09">
              <w:t>Efficacy and Safety of Mechanical Thrombectomy in Treating Acute Isch</w:t>
            </w:r>
            <w:r w:rsidR="00E56287" w:rsidRPr="00D85E09">
              <w:t>aemic</w:t>
            </w:r>
            <w:r w:rsidRPr="00D85E09">
              <w:t xml:space="preserve"> Stroke: A Meta-Analysis.</w:t>
            </w:r>
            <w:r w:rsidRPr="00D85E09">
              <w:rPr>
                <w:i/>
                <w:iCs/>
              </w:rPr>
              <w:t xml:space="preserve"> </w:t>
            </w:r>
          </w:p>
        </w:tc>
        <w:tc>
          <w:tcPr>
            <w:tcW w:w="1836" w:type="dxa"/>
          </w:tcPr>
          <w:p w14:paraId="71F2EC01" w14:textId="77777777" w:rsidR="00315893" w:rsidRPr="00D85E09" w:rsidRDefault="00315893" w:rsidP="0043316B">
            <w:pPr>
              <w:pStyle w:val="Tabletext"/>
              <w:keepNext w:val="0"/>
              <w:widowControl w:val="0"/>
            </w:pPr>
            <w:r w:rsidRPr="00D85E09">
              <w:rPr>
                <w:i/>
                <w:iCs/>
              </w:rPr>
              <w:t>J Invest Surg</w:t>
            </w:r>
            <w:r w:rsidRPr="00D85E09">
              <w:t>, 2015.</w:t>
            </w:r>
          </w:p>
        </w:tc>
      </w:tr>
      <w:tr w:rsidR="00315893" w:rsidRPr="00D85E09" w14:paraId="4AEC05B8" w14:textId="77777777" w:rsidTr="00465778">
        <w:tc>
          <w:tcPr>
            <w:tcW w:w="1271" w:type="dxa"/>
          </w:tcPr>
          <w:p w14:paraId="43D2C576" w14:textId="77777777" w:rsidR="00315893" w:rsidRPr="00D85E09" w:rsidRDefault="00315893" w:rsidP="0043316B">
            <w:pPr>
              <w:pStyle w:val="Tabletext"/>
              <w:keepNext w:val="0"/>
              <w:widowControl w:val="0"/>
            </w:pPr>
            <w:r w:rsidRPr="00D85E09">
              <w:t>Marmagkiolis et al.</w:t>
            </w:r>
          </w:p>
        </w:tc>
        <w:tc>
          <w:tcPr>
            <w:tcW w:w="5954" w:type="dxa"/>
          </w:tcPr>
          <w:p w14:paraId="07EE17D6" w14:textId="7AEA9D4D" w:rsidR="00315893" w:rsidRPr="00D85E09" w:rsidRDefault="00315893" w:rsidP="0043316B">
            <w:pPr>
              <w:pStyle w:val="Tabletext"/>
              <w:keepNext w:val="0"/>
              <w:widowControl w:val="0"/>
            </w:pPr>
            <w:r w:rsidRPr="00D85E09">
              <w:t>Safety and efficacy of stent retrievers for the management of acute isch</w:t>
            </w:r>
            <w:r w:rsidR="00E56287" w:rsidRPr="00D85E09">
              <w:t>aemic</w:t>
            </w:r>
            <w:r w:rsidRPr="00D85E09">
              <w:t xml:space="preserve"> stroke comprehensive review and meta-analysis.</w:t>
            </w:r>
            <w:r w:rsidRPr="00D85E09">
              <w:rPr>
                <w:i/>
                <w:iCs/>
              </w:rPr>
              <w:t xml:space="preserve"> </w:t>
            </w:r>
          </w:p>
        </w:tc>
        <w:tc>
          <w:tcPr>
            <w:tcW w:w="1836" w:type="dxa"/>
          </w:tcPr>
          <w:p w14:paraId="541529A8" w14:textId="77777777" w:rsidR="00315893" w:rsidRPr="00D85E09" w:rsidRDefault="00315893" w:rsidP="0043316B">
            <w:pPr>
              <w:pStyle w:val="Tabletext"/>
              <w:keepNext w:val="0"/>
              <w:widowControl w:val="0"/>
            </w:pPr>
            <w:r w:rsidRPr="00D85E09">
              <w:rPr>
                <w:i/>
                <w:iCs/>
              </w:rPr>
              <w:t>JACC Cardiovasc Interventions</w:t>
            </w:r>
            <w:r w:rsidRPr="00D85E09">
              <w:t xml:space="preserve"> 8 (13): 1758-1765, 2015</w:t>
            </w:r>
          </w:p>
        </w:tc>
      </w:tr>
      <w:tr w:rsidR="00315893" w:rsidRPr="00D85E09" w14:paraId="78F8D70F" w14:textId="77777777" w:rsidTr="00465778">
        <w:tc>
          <w:tcPr>
            <w:tcW w:w="1271" w:type="dxa"/>
          </w:tcPr>
          <w:p w14:paraId="5BA44F11" w14:textId="77777777" w:rsidR="00315893" w:rsidRPr="00D85E09" w:rsidRDefault="00315893" w:rsidP="0043316B">
            <w:pPr>
              <w:pStyle w:val="Tabletext"/>
              <w:keepNext w:val="0"/>
              <w:widowControl w:val="0"/>
            </w:pPr>
            <w:r w:rsidRPr="00D85E09">
              <w:t>Sardar et al.</w:t>
            </w:r>
          </w:p>
        </w:tc>
        <w:tc>
          <w:tcPr>
            <w:tcW w:w="5954" w:type="dxa"/>
          </w:tcPr>
          <w:p w14:paraId="497A163E" w14:textId="04BA3A5A" w:rsidR="00315893" w:rsidRPr="00D85E09" w:rsidRDefault="00315893" w:rsidP="0043316B">
            <w:pPr>
              <w:pStyle w:val="Tabletext"/>
              <w:keepNext w:val="0"/>
              <w:widowControl w:val="0"/>
            </w:pPr>
            <w:r w:rsidRPr="00D85E09">
              <w:t>Effectiveness of endovascular therapy for acute isch</w:t>
            </w:r>
            <w:r w:rsidR="00E56287" w:rsidRPr="00D85E09">
              <w:t>aemic</w:t>
            </w:r>
            <w:r w:rsidRPr="00D85E09">
              <w:t xml:space="preserve"> stroke-evidence from a meta-analysis of randomized trials. </w:t>
            </w:r>
          </w:p>
        </w:tc>
        <w:tc>
          <w:tcPr>
            <w:tcW w:w="1836" w:type="dxa"/>
          </w:tcPr>
          <w:p w14:paraId="6BB424E8" w14:textId="77777777" w:rsidR="00315893" w:rsidRPr="00D85E09" w:rsidRDefault="00315893" w:rsidP="0043316B">
            <w:pPr>
              <w:pStyle w:val="Tabletext"/>
              <w:keepNext w:val="0"/>
              <w:widowControl w:val="0"/>
              <w:rPr>
                <w:i/>
                <w:iCs/>
              </w:rPr>
            </w:pPr>
            <w:r w:rsidRPr="00D85E09">
              <w:t>J Am CollCardiol. 66, B309-B310, 2015</w:t>
            </w:r>
          </w:p>
        </w:tc>
      </w:tr>
      <w:tr w:rsidR="00315893" w:rsidRPr="00D85E09" w14:paraId="60703DAE" w14:textId="77777777" w:rsidTr="00465778">
        <w:tc>
          <w:tcPr>
            <w:tcW w:w="1271" w:type="dxa"/>
          </w:tcPr>
          <w:p w14:paraId="7D5F412C" w14:textId="58014708" w:rsidR="00315893" w:rsidRPr="00D85E09" w:rsidRDefault="00315893" w:rsidP="0043316B">
            <w:pPr>
              <w:pStyle w:val="Tabletext"/>
              <w:keepNext w:val="0"/>
              <w:widowControl w:val="0"/>
            </w:pPr>
            <w:r w:rsidRPr="00D85E09">
              <w:t>Goyal et al</w:t>
            </w:r>
            <w:r w:rsidR="00AB4BBF" w:rsidRPr="00D85E09">
              <w:t>.</w:t>
            </w:r>
          </w:p>
        </w:tc>
        <w:tc>
          <w:tcPr>
            <w:tcW w:w="5954" w:type="dxa"/>
          </w:tcPr>
          <w:p w14:paraId="4A543663" w14:textId="4910B9F2" w:rsidR="00315893" w:rsidRPr="00D85E09" w:rsidRDefault="00315893" w:rsidP="0043316B">
            <w:pPr>
              <w:pStyle w:val="Tabletext"/>
              <w:keepNext w:val="0"/>
              <w:widowControl w:val="0"/>
            </w:pPr>
            <w:r w:rsidRPr="00D85E09">
              <w:t>Goyal, M., Menon, B. K., van Zwam, W. H et al. (2016). Endovascular thrombectomy after large</w:t>
            </w:r>
            <w:r w:rsidR="00D32933" w:rsidRPr="00D85E09">
              <w:t xml:space="preserve"> </w:t>
            </w:r>
            <w:r w:rsidRPr="00D85E09">
              <w:t>vessel ischaemic stroke: a meta-analysis of individual patient data from five randomised trials. </w:t>
            </w:r>
          </w:p>
        </w:tc>
        <w:tc>
          <w:tcPr>
            <w:tcW w:w="1836" w:type="dxa"/>
          </w:tcPr>
          <w:p w14:paraId="1BB7421E" w14:textId="77777777" w:rsidR="00315893" w:rsidRPr="00D85E09" w:rsidRDefault="00315893" w:rsidP="0043316B">
            <w:pPr>
              <w:pStyle w:val="Tabletext"/>
              <w:keepNext w:val="0"/>
              <w:widowControl w:val="0"/>
              <w:rPr>
                <w:i/>
                <w:iCs/>
              </w:rPr>
            </w:pPr>
            <w:r w:rsidRPr="00D85E09">
              <w:rPr>
                <w:i/>
                <w:iCs/>
              </w:rPr>
              <w:t xml:space="preserve">Lancet. </w:t>
            </w:r>
            <w:r w:rsidRPr="00D85E09">
              <w:rPr>
                <w:iCs/>
              </w:rPr>
              <w:t>2016 Apr 23;387</w:t>
            </w:r>
          </w:p>
        </w:tc>
      </w:tr>
      <w:tr w:rsidR="00315893" w:rsidRPr="00D85E09" w14:paraId="34E57F50" w14:textId="77777777" w:rsidTr="00465778">
        <w:tc>
          <w:tcPr>
            <w:tcW w:w="1271" w:type="dxa"/>
          </w:tcPr>
          <w:p w14:paraId="4CFB32AC" w14:textId="13C6E32C" w:rsidR="00315893" w:rsidRPr="00D85E09" w:rsidRDefault="00315893" w:rsidP="0043316B">
            <w:pPr>
              <w:pStyle w:val="Tabletext"/>
              <w:keepNext w:val="0"/>
              <w:widowControl w:val="0"/>
            </w:pPr>
            <w:r w:rsidRPr="00D85E09">
              <w:t>Campbell et al</w:t>
            </w:r>
            <w:r w:rsidR="00AB4BBF" w:rsidRPr="00D85E09">
              <w:t>.</w:t>
            </w:r>
          </w:p>
        </w:tc>
        <w:tc>
          <w:tcPr>
            <w:tcW w:w="5954" w:type="dxa"/>
          </w:tcPr>
          <w:p w14:paraId="5BD3D0FE" w14:textId="30657E36" w:rsidR="00315893" w:rsidRPr="00D85E09" w:rsidRDefault="00315893" w:rsidP="0043316B">
            <w:pPr>
              <w:pStyle w:val="Tabletext"/>
              <w:keepNext w:val="0"/>
              <w:widowControl w:val="0"/>
            </w:pPr>
            <w:r w:rsidRPr="00D85E09">
              <w:t>B. Campbell, MD. Hill, M Rubiera et al, Safety and Efficacy of Solitaire Stent Thrombectomy Individual Patient Data Meta-Analysis of Randomized Trials</w:t>
            </w:r>
            <w:r w:rsidR="00AB4BBF" w:rsidRPr="00D85E09">
              <w:t>.</w:t>
            </w:r>
          </w:p>
        </w:tc>
        <w:tc>
          <w:tcPr>
            <w:tcW w:w="1836" w:type="dxa"/>
          </w:tcPr>
          <w:p w14:paraId="68057850" w14:textId="77777777" w:rsidR="00315893" w:rsidRPr="00D85E09" w:rsidRDefault="00315893" w:rsidP="0043316B">
            <w:pPr>
              <w:pStyle w:val="Tabletext"/>
              <w:keepNext w:val="0"/>
              <w:widowControl w:val="0"/>
              <w:rPr>
                <w:i/>
                <w:iCs/>
              </w:rPr>
            </w:pPr>
            <w:r w:rsidRPr="00D85E09">
              <w:rPr>
                <w:i/>
                <w:iCs/>
              </w:rPr>
              <w:t>Stroke. 2016;</w:t>
            </w:r>
            <w:r w:rsidRPr="00D85E09">
              <w:rPr>
                <w:iCs/>
              </w:rPr>
              <w:t>47:798-806.</w:t>
            </w:r>
          </w:p>
        </w:tc>
      </w:tr>
      <w:tr w:rsidR="00315893" w:rsidRPr="00D85E09" w14:paraId="433B0819" w14:textId="77777777" w:rsidTr="00465778">
        <w:tc>
          <w:tcPr>
            <w:tcW w:w="1271" w:type="dxa"/>
          </w:tcPr>
          <w:p w14:paraId="6351E944" w14:textId="039B1946" w:rsidR="00315893" w:rsidRPr="00D85E09" w:rsidRDefault="00315893" w:rsidP="0043316B">
            <w:pPr>
              <w:pStyle w:val="Tabletext"/>
              <w:keepNext w:val="0"/>
              <w:widowControl w:val="0"/>
            </w:pPr>
            <w:r w:rsidRPr="00D85E09">
              <w:t>Sardar et al</w:t>
            </w:r>
            <w:r w:rsidR="00AB4BBF" w:rsidRPr="00D85E09">
              <w:t>.</w:t>
            </w:r>
          </w:p>
        </w:tc>
        <w:tc>
          <w:tcPr>
            <w:tcW w:w="5954" w:type="dxa"/>
          </w:tcPr>
          <w:p w14:paraId="586EC14D" w14:textId="77777777" w:rsidR="00315893" w:rsidRPr="00D85E09" w:rsidRDefault="00315893" w:rsidP="0043316B">
            <w:pPr>
              <w:pStyle w:val="Tabletext"/>
              <w:keepNext w:val="0"/>
              <w:widowControl w:val="0"/>
            </w:pPr>
            <w:r w:rsidRPr="00D85E09">
              <w:t>Sardar, P., Chatterjee, S., Giri, J.et al. Endovascular therapy for acute ischaemic stroke: a systematic review and meta-analysis of randomized trials. </w:t>
            </w:r>
          </w:p>
        </w:tc>
        <w:tc>
          <w:tcPr>
            <w:tcW w:w="1836" w:type="dxa"/>
          </w:tcPr>
          <w:p w14:paraId="2BFA7A85" w14:textId="77777777" w:rsidR="00315893" w:rsidRPr="00D85E09" w:rsidRDefault="00315893" w:rsidP="0043316B">
            <w:pPr>
              <w:pStyle w:val="Tabletext"/>
              <w:keepNext w:val="0"/>
              <w:widowControl w:val="0"/>
              <w:rPr>
                <w:i/>
                <w:iCs/>
              </w:rPr>
            </w:pPr>
            <w:r w:rsidRPr="00D85E09">
              <w:rPr>
                <w:i/>
              </w:rPr>
              <w:t>European heart journal,</w:t>
            </w:r>
            <w:r w:rsidRPr="00D85E09">
              <w:t> 36(35), 2373-2380, 2015</w:t>
            </w:r>
          </w:p>
        </w:tc>
      </w:tr>
    </w:tbl>
    <w:p w14:paraId="4AB2815F" w14:textId="77777777" w:rsidR="00315893" w:rsidRPr="00D85E09" w:rsidRDefault="00315893" w:rsidP="0043316B">
      <w:pPr>
        <w:pStyle w:val="Heading5"/>
        <w:widowControl w:val="0"/>
        <w:rPr>
          <w:lang w:val="en-AU"/>
        </w:rPr>
      </w:pPr>
      <w:r w:rsidRPr="00D85E09">
        <w:rPr>
          <w:lang w:val="en-AU"/>
        </w:rPr>
        <w:t>Clinical trials registry search</w:t>
      </w:r>
    </w:p>
    <w:p w14:paraId="3D19EEA1" w14:textId="7FA94E00" w:rsidR="00315893" w:rsidRPr="00D85E09" w:rsidRDefault="00315893" w:rsidP="0043316B">
      <w:pPr>
        <w:widowControl w:val="0"/>
        <w:rPr>
          <w:lang w:eastAsia="ja-JP"/>
        </w:rPr>
      </w:pPr>
      <w:r w:rsidRPr="00D85E09">
        <w:rPr>
          <w:lang w:eastAsia="ja-JP"/>
        </w:rPr>
        <w:t>The search of the National Institute of Health (NIH) Clinical Trials Registry (</w:t>
      </w:r>
      <w:hyperlink r:id="rId31" w:tooltip="clinical trials website" w:history="1">
        <w:r w:rsidRPr="00D85E09">
          <w:rPr>
            <w:color w:val="0000FF"/>
            <w:u w:val="single"/>
            <w:lang w:eastAsia="ja-JP"/>
          </w:rPr>
          <w:t>http://clinicaltrials.gov</w:t>
        </w:r>
      </w:hyperlink>
      <w:r w:rsidRPr="00D85E09">
        <w:rPr>
          <w:lang w:eastAsia="ja-JP"/>
        </w:rPr>
        <w:t>) identified a total of 94 records (</w:t>
      </w:r>
      <w:r w:rsidRPr="00164B46">
        <w:rPr>
          <w:lang w:eastAsia="ja-JP"/>
        </w:rPr>
        <w:t xml:space="preserve">see Attachment </w:t>
      </w:r>
      <w:r w:rsidR="00164B46" w:rsidRPr="00164B46">
        <w:rPr>
          <w:lang w:eastAsia="ja-JP"/>
        </w:rPr>
        <w:t>1</w:t>
      </w:r>
      <w:r w:rsidRPr="00164B46">
        <w:rPr>
          <w:lang w:eastAsia="ja-JP"/>
        </w:rPr>
        <w:t>).</w:t>
      </w:r>
      <w:r w:rsidRPr="00D85E09">
        <w:rPr>
          <w:lang w:eastAsia="ja-JP"/>
        </w:rPr>
        <w:t xml:space="preserve"> Of these, 16 records met inclusion criteria (</w:t>
      </w:r>
      <w:r w:rsidRPr="00D85E09">
        <w:rPr>
          <w:lang w:eastAsia="ja-JP"/>
        </w:rPr>
        <w:fldChar w:fldCharType="begin"/>
      </w:r>
      <w:r w:rsidRPr="00D85E09">
        <w:rPr>
          <w:lang w:eastAsia="ja-JP"/>
        </w:rPr>
        <w:instrText xml:space="preserve"> REF _Ref422814840 \h  \* MERGEFORMAT </w:instrText>
      </w:r>
      <w:r w:rsidRPr="00D85E09">
        <w:rPr>
          <w:lang w:eastAsia="ja-JP"/>
        </w:rPr>
      </w:r>
      <w:r w:rsidRPr="00D85E09">
        <w:rPr>
          <w:lang w:eastAsia="ja-JP"/>
        </w:rPr>
        <w:fldChar w:fldCharType="separate"/>
      </w:r>
      <w:r w:rsidR="00A456ED" w:rsidRPr="00D85E09">
        <w:t xml:space="preserve">Table </w:t>
      </w:r>
      <w:r w:rsidR="00A456ED">
        <w:rPr>
          <w:noProof/>
        </w:rPr>
        <w:t>14</w:t>
      </w:r>
      <w:r w:rsidRPr="00D85E09">
        <w:rPr>
          <w:lang w:eastAsia="ja-JP"/>
        </w:rPr>
        <w:fldChar w:fldCharType="end"/>
      </w:r>
      <w:r w:rsidRPr="00D85E09">
        <w:rPr>
          <w:lang w:eastAsia="ja-JP"/>
        </w:rPr>
        <w:t>).</w:t>
      </w:r>
    </w:p>
    <w:p w14:paraId="26E47D84" w14:textId="62E1DB57" w:rsidR="00315893" w:rsidRPr="00D85E09" w:rsidRDefault="00315893" w:rsidP="0043316B">
      <w:pPr>
        <w:widowControl w:val="0"/>
        <w:rPr>
          <w:lang w:eastAsia="ja-JP"/>
        </w:rPr>
      </w:pPr>
      <w:r w:rsidRPr="00D85E09">
        <w:t>Seven of the trials (NCT01492725, NCT01778335, NCT01657461, NCT01692379, NCT00389467, NCT00359424, NCY01745692) were</w:t>
      </w:r>
      <w:r w:rsidRPr="00D85E09">
        <w:rPr>
          <w:lang w:eastAsia="ja-JP"/>
        </w:rPr>
        <w:t xml:space="preserve"> also identified in the search of the NIH Cl</w:t>
      </w:r>
      <w:r w:rsidR="005B7DCE">
        <w:rPr>
          <w:lang w:eastAsia="ja-JP"/>
        </w:rPr>
        <w:t>inical Trials Registry (EXTEND-I</w:t>
      </w:r>
      <w:r w:rsidRPr="00D85E09">
        <w:rPr>
          <w:lang w:eastAsia="ja-JP"/>
        </w:rPr>
        <w:t xml:space="preserve">A as Campbell 2015; ESCAPE as Goyal 2015; SWIFT PRIME 2015 as Saver 2015; REVASCAT as Jovin 2015, MR RESUCE as Kidwell 2013, </w:t>
      </w:r>
      <w:r w:rsidRPr="00D85E09">
        <w:rPr>
          <w:lang w:eastAsia="ja-JP"/>
        </w:rPr>
        <w:lastRenderedPageBreak/>
        <w:t xml:space="preserve">IMS-III as Broderick 2013 and PISTE as Muir 2015, respectively). </w:t>
      </w:r>
      <w:r w:rsidRPr="00D85E09">
        <w:t>The remaining 9 trials did not have data available at the time of the submission.</w:t>
      </w:r>
    </w:p>
    <w:p w14:paraId="26B0016E" w14:textId="738E10FA" w:rsidR="00315893" w:rsidRPr="00D85E09" w:rsidRDefault="00315893" w:rsidP="0043316B">
      <w:pPr>
        <w:pStyle w:val="Caption"/>
        <w:keepNext w:val="0"/>
        <w:widowControl w:val="0"/>
        <w:rPr>
          <w:lang w:val="en-AU" w:eastAsia="ja-JP"/>
        </w:rPr>
      </w:pPr>
      <w:bookmarkStart w:id="134" w:name="_Ref411253939"/>
      <w:bookmarkStart w:id="135" w:name="_Ref422814840"/>
      <w:bookmarkStart w:id="136" w:name="_Toc412109163"/>
      <w:bookmarkStart w:id="137" w:name="_Toc422922424"/>
      <w:bookmarkStart w:id="138" w:name="_Toc45306535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14</w:t>
      </w:r>
      <w:r w:rsidRPr="00D85E09">
        <w:rPr>
          <w:noProof/>
          <w:lang w:val="en-AU"/>
        </w:rPr>
        <w:fldChar w:fldCharType="end"/>
      </w:r>
      <w:bookmarkEnd w:id="134"/>
      <w:bookmarkEnd w:id="135"/>
      <w:r w:rsidRPr="00D85E09">
        <w:rPr>
          <w:lang w:val="en-AU"/>
        </w:rPr>
        <w:tab/>
        <w:t>Randomised trials identified in the NIH Clinical Trial Registries with potential to meet inclusion criteria</w:t>
      </w:r>
      <w:bookmarkEnd w:id="136"/>
      <w:bookmarkEnd w:id="137"/>
      <w:bookmarkEnd w:id="138"/>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Table 14. randomised trials identified in the NIH Clinical Trial Registries with potential to meet inclusion criteria"/>
      </w:tblPr>
      <w:tblGrid>
        <w:gridCol w:w="1359"/>
        <w:gridCol w:w="4740"/>
        <w:gridCol w:w="1597"/>
        <w:gridCol w:w="1632"/>
      </w:tblGrid>
      <w:tr w:rsidR="00315893" w:rsidRPr="00D85E09" w14:paraId="7D4E5BC8" w14:textId="77777777" w:rsidTr="001922F3">
        <w:trPr>
          <w:trHeight w:val="20"/>
          <w:tblHeader/>
        </w:trPr>
        <w:tc>
          <w:tcPr>
            <w:tcW w:w="728" w:type="pct"/>
            <w:shd w:val="clear" w:color="auto" w:fill="auto"/>
            <w:tcMar>
              <w:top w:w="0" w:type="dxa"/>
              <w:left w:w="108" w:type="dxa"/>
              <w:bottom w:w="0" w:type="dxa"/>
              <w:right w:w="108" w:type="dxa"/>
            </w:tcMar>
          </w:tcPr>
          <w:p w14:paraId="49338F95" w14:textId="77777777" w:rsidR="00315893" w:rsidRPr="00D85E09" w:rsidRDefault="00315893" w:rsidP="0043316B">
            <w:pPr>
              <w:pStyle w:val="Tabletext"/>
              <w:keepNext w:val="0"/>
              <w:widowControl w:val="0"/>
              <w:spacing w:line="288" w:lineRule="auto"/>
              <w:contextualSpacing/>
              <w:rPr>
                <w:b/>
              </w:rPr>
            </w:pPr>
            <w:r w:rsidRPr="00D85E09">
              <w:rPr>
                <w:b/>
              </w:rPr>
              <w:t>NCTID</w:t>
            </w:r>
          </w:p>
        </w:tc>
        <w:tc>
          <w:tcPr>
            <w:tcW w:w="2540" w:type="pct"/>
            <w:shd w:val="clear" w:color="auto" w:fill="auto"/>
            <w:tcMar>
              <w:top w:w="0" w:type="dxa"/>
              <w:left w:w="108" w:type="dxa"/>
              <w:bottom w:w="0" w:type="dxa"/>
              <w:right w:w="108" w:type="dxa"/>
            </w:tcMar>
          </w:tcPr>
          <w:p w14:paraId="5A1830ED" w14:textId="77777777" w:rsidR="00315893" w:rsidRPr="00D85E09" w:rsidRDefault="00315893" w:rsidP="0043316B">
            <w:pPr>
              <w:pStyle w:val="Tabletext"/>
              <w:keepNext w:val="0"/>
              <w:widowControl w:val="0"/>
              <w:spacing w:line="288" w:lineRule="auto"/>
              <w:contextualSpacing/>
              <w:rPr>
                <w:b/>
              </w:rPr>
            </w:pPr>
            <w:r w:rsidRPr="00D85E09">
              <w:rPr>
                <w:b/>
              </w:rPr>
              <w:t>Title</w:t>
            </w:r>
          </w:p>
        </w:tc>
        <w:tc>
          <w:tcPr>
            <w:tcW w:w="856" w:type="pct"/>
            <w:shd w:val="clear" w:color="auto" w:fill="auto"/>
            <w:tcMar>
              <w:top w:w="0" w:type="dxa"/>
              <w:left w:w="108" w:type="dxa"/>
              <w:bottom w:w="0" w:type="dxa"/>
              <w:right w:w="108" w:type="dxa"/>
            </w:tcMar>
          </w:tcPr>
          <w:p w14:paraId="6D19E037" w14:textId="77777777" w:rsidR="00315893" w:rsidRPr="00D85E09" w:rsidRDefault="00315893" w:rsidP="0043316B">
            <w:pPr>
              <w:pStyle w:val="Tabletext"/>
              <w:keepNext w:val="0"/>
              <w:widowControl w:val="0"/>
              <w:spacing w:line="288" w:lineRule="auto"/>
              <w:contextualSpacing/>
              <w:rPr>
                <w:b/>
              </w:rPr>
            </w:pPr>
            <w:r w:rsidRPr="00D85E09">
              <w:rPr>
                <w:b/>
              </w:rPr>
              <w:t>Completion date</w:t>
            </w:r>
            <w:r w:rsidRPr="00D85E09">
              <w:rPr>
                <w:b/>
                <w:vertAlign w:val="superscript"/>
              </w:rPr>
              <w:t>1</w:t>
            </w:r>
          </w:p>
        </w:tc>
        <w:tc>
          <w:tcPr>
            <w:tcW w:w="875" w:type="pct"/>
            <w:shd w:val="clear" w:color="auto" w:fill="auto"/>
            <w:tcMar>
              <w:top w:w="0" w:type="dxa"/>
              <w:left w:w="108" w:type="dxa"/>
              <w:bottom w:w="0" w:type="dxa"/>
              <w:right w:w="108" w:type="dxa"/>
            </w:tcMar>
          </w:tcPr>
          <w:p w14:paraId="14BBA24F" w14:textId="77777777" w:rsidR="00315893" w:rsidRPr="00D85E09" w:rsidRDefault="00315893" w:rsidP="0043316B">
            <w:pPr>
              <w:pStyle w:val="Tabletext"/>
              <w:keepNext w:val="0"/>
              <w:widowControl w:val="0"/>
              <w:spacing w:line="288" w:lineRule="auto"/>
              <w:contextualSpacing/>
              <w:rPr>
                <w:b/>
              </w:rPr>
            </w:pPr>
            <w:r w:rsidRPr="00D85E09">
              <w:rPr>
                <w:b/>
              </w:rPr>
              <w:t>Data availability</w:t>
            </w:r>
          </w:p>
        </w:tc>
      </w:tr>
      <w:tr w:rsidR="00315893" w:rsidRPr="00D85E09" w14:paraId="4DF6D94A" w14:textId="77777777" w:rsidTr="00465778">
        <w:trPr>
          <w:trHeight w:val="20"/>
        </w:trPr>
        <w:tc>
          <w:tcPr>
            <w:tcW w:w="728" w:type="pct"/>
            <w:tcMar>
              <w:top w:w="0" w:type="dxa"/>
              <w:left w:w="108" w:type="dxa"/>
              <w:bottom w:w="0" w:type="dxa"/>
              <w:right w:w="108" w:type="dxa"/>
            </w:tcMar>
          </w:tcPr>
          <w:p w14:paraId="4223F281"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NCT01492725</w:t>
            </w:r>
          </w:p>
        </w:tc>
        <w:tc>
          <w:tcPr>
            <w:tcW w:w="2540" w:type="pct"/>
            <w:tcMar>
              <w:top w:w="0" w:type="dxa"/>
              <w:left w:w="108" w:type="dxa"/>
              <w:bottom w:w="0" w:type="dxa"/>
              <w:right w:w="108" w:type="dxa"/>
            </w:tcMar>
          </w:tcPr>
          <w:p w14:paraId="781B1999" w14:textId="3D11C369" w:rsidR="00315893" w:rsidRPr="00D85E09" w:rsidRDefault="00315893" w:rsidP="0043316B">
            <w:pPr>
              <w:pStyle w:val="Tabletext"/>
              <w:keepNext w:val="0"/>
              <w:widowControl w:val="0"/>
              <w:spacing w:line="288" w:lineRule="auto"/>
              <w:contextualSpacing/>
            </w:pPr>
            <w:r w:rsidRPr="00D85E09">
              <w:rPr>
                <w:rStyle w:val="apple-converted-space"/>
              </w:rPr>
              <w:t> </w:t>
            </w:r>
            <w:r w:rsidRPr="00D85E09">
              <w:t xml:space="preserve">Randomized Controlled Trial of Intra-arterial Reperfusion Therapy After Standard Dose Intravenous </w:t>
            </w:r>
            <w:r w:rsidR="005B7DCE">
              <w:t>tPA</w:t>
            </w:r>
            <w:r w:rsidRPr="00D85E09">
              <w:t xml:space="preserve"> Within 4.5 Hours of Stroke Onset Utilizing Dual Target Imaging </w:t>
            </w:r>
            <w:r w:rsidR="005B7DCE">
              <w:t>Selection. (Extend-I</w:t>
            </w:r>
            <w:r w:rsidRPr="00D85E09">
              <w:t>A)</w:t>
            </w:r>
          </w:p>
        </w:tc>
        <w:tc>
          <w:tcPr>
            <w:tcW w:w="856" w:type="pct"/>
            <w:tcMar>
              <w:top w:w="0" w:type="dxa"/>
              <w:left w:w="108" w:type="dxa"/>
              <w:bottom w:w="0" w:type="dxa"/>
              <w:right w:w="108" w:type="dxa"/>
            </w:tcMar>
          </w:tcPr>
          <w:p w14:paraId="42B20183"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December 2014</w:t>
            </w:r>
          </w:p>
        </w:tc>
        <w:tc>
          <w:tcPr>
            <w:tcW w:w="875" w:type="pct"/>
            <w:tcMar>
              <w:top w:w="0" w:type="dxa"/>
              <w:left w:w="108" w:type="dxa"/>
              <w:bottom w:w="0" w:type="dxa"/>
              <w:right w:w="108" w:type="dxa"/>
            </w:tcMar>
          </w:tcPr>
          <w:p w14:paraId="41F0CD0A" w14:textId="6FDFECB9" w:rsidR="00315893" w:rsidRPr="00D85E09" w:rsidRDefault="00315893" w:rsidP="0043316B">
            <w:pPr>
              <w:pStyle w:val="Tabletext"/>
              <w:keepNext w:val="0"/>
              <w:widowControl w:val="0"/>
              <w:spacing w:line="288" w:lineRule="auto"/>
              <w:contextualSpacing/>
            </w:pPr>
            <w:r w:rsidRPr="00D85E09">
              <w:t>Previously ident</w:t>
            </w:r>
            <w:r w:rsidR="005B7DCE">
              <w:t>ified as Campbell 2015 (EXTEND-I</w:t>
            </w:r>
            <w:r w:rsidRPr="00D85E09">
              <w:t>A)</w:t>
            </w:r>
          </w:p>
        </w:tc>
      </w:tr>
      <w:tr w:rsidR="00315893" w:rsidRPr="00D85E09" w14:paraId="51057383" w14:textId="77777777" w:rsidTr="00465778">
        <w:trPr>
          <w:trHeight w:val="20"/>
        </w:trPr>
        <w:tc>
          <w:tcPr>
            <w:tcW w:w="728" w:type="pct"/>
            <w:tcMar>
              <w:top w:w="0" w:type="dxa"/>
              <w:left w:w="108" w:type="dxa"/>
              <w:bottom w:w="0" w:type="dxa"/>
              <w:right w:w="108" w:type="dxa"/>
            </w:tcMar>
          </w:tcPr>
          <w:p w14:paraId="11FAD1DD"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NCT01778335</w:t>
            </w:r>
          </w:p>
        </w:tc>
        <w:tc>
          <w:tcPr>
            <w:tcW w:w="2540" w:type="pct"/>
            <w:tcMar>
              <w:top w:w="0" w:type="dxa"/>
              <w:left w:w="108" w:type="dxa"/>
              <w:bottom w:w="0" w:type="dxa"/>
              <w:right w:w="108" w:type="dxa"/>
            </w:tcMar>
          </w:tcPr>
          <w:p w14:paraId="5E51C6ED" w14:textId="53751761" w:rsidR="00315893" w:rsidRPr="00D85E09" w:rsidRDefault="00315893" w:rsidP="0043316B">
            <w:pPr>
              <w:pStyle w:val="Tabletext"/>
              <w:keepNext w:val="0"/>
              <w:widowControl w:val="0"/>
              <w:spacing w:line="288" w:lineRule="auto"/>
              <w:contextualSpacing/>
            </w:pPr>
            <w:r w:rsidRPr="00D85E09">
              <w:rPr>
                <w:rStyle w:val="apple-converted-space"/>
              </w:rPr>
              <w:t>Endovascular Treatment for Small Core and Proximal Occlusion Isch</w:t>
            </w:r>
            <w:r w:rsidR="00E56287" w:rsidRPr="00D85E09">
              <w:rPr>
                <w:rStyle w:val="apple-converted-space"/>
              </w:rPr>
              <w:t>aemic</w:t>
            </w:r>
            <w:r w:rsidRPr="00D85E09">
              <w:rPr>
                <w:rStyle w:val="apple-converted-space"/>
              </w:rPr>
              <w:t xml:space="preserve"> Stroke (ESCAPE)</w:t>
            </w:r>
          </w:p>
        </w:tc>
        <w:tc>
          <w:tcPr>
            <w:tcW w:w="856" w:type="pct"/>
            <w:tcMar>
              <w:top w:w="0" w:type="dxa"/>
              <w:left w:w="108" w:type="dxa"/>
              <w:bottom w:w="0" w:type="dxa"/>
              <w:right w:w="108" w:type="dxa"/>
            </w:tcMar>
          </w:tcPr>
          <w:p w14:paraId="0249626B"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January 2015</w:t>
            </w:r>
          </w:p>
        </w:tc>
        <w:tc>
          <w:tcPr>
            <w:tcW w:w="875" w:type="pct"/>
            <w:tcMar>
              <w:top w:w="0" w:type="dxa"/>
              <w:left w:w="108" w:type="dxa"/>
              <w:bottom w:w="0" w:type="dxa"/>
              <w:right w:w="108" w:type="dxa"/>
            </w:tcMar>
          </w:tcPr>
          <w:p w14:paraId="54516110" w14:textId="77777777" w:rsidR="00315893" w:rsidRPr="00D85E09" w:rsidRDefault="00315893" w:rsidP="0043316B">
            <w:pPr>
              <w:pStyle w:val="Tabletext"/>
              <w:keepNext w:val="0"/>
              <w:widowControl w:val="0"/>
              <w:spacing w:line="288" w:lineRule="auto"/>
              <w:contextualSpacing/>
            </w:pPr>
            <w:r w:rsidRPr="00D85E09">
              <w:t>Previously identified as Goyal 2015 (ESCAPE)</w:t>
            </w:r>
          </w:p>
        </w:tc>
      </w:tr>
      <w:tr w:rsidR="00315893" w:rsidRPr="00D85E09" w14:paraId="79A3634E" w14:textId="77777777" w:rsidTr="00465778">
        <w:trPr>
          <w:trHeight w:val="20"/>
        </w:trPr>
        <w:tc>
          <w:tcPr>
            <w:tcW w:w="728" w:type="pct"/>
            <w:tcMar>
              <w:top w:w="0" w:type="dxa"/>
              <w:left w:w="108" w:type="dxa"/>
              <w:bottom w:w="0" w:type="dxa"/>
              <w:right w:w="108" w:type="dxa"/>
            </w:tcMar>
          </w:tcPr>
          <w:p w14:paraId="592D4B1F"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NCT01657461</w:t>
            </w:r>
          </w:p>
        </w:tc>
        <w:tc>
          <w:tcPr>
            <w:tcW w:w="2540" w:type="pct"/>
            <w:tcMar>
              <w:top w:w="0" w:type="dxa"/>
              <w:left w:w="108" w:type="dxa"/>
              <w:bottom w:w="0" w:type="dxa"/>
              <w:right w:w="108" w:type="dxa"/>
            </w:tcMar>
          </w:tcPr>
          <w:p w14:paraId="39A7B8A2" w14:textId="3A15205F" w:rsidR="00315893" w:rsidRPr="00D85E09" w:rsidRDefault="00315893" w:rsidP="0043316B">
            <w:pPr>
              <w:pStyle w:val="Tabletext"/>
              <w:keepNext w:val="0"/>
              <w:widowControl w:val="0"/>
              <w:spacing w:line="288" w:lineRule="auto"/>
              <w:contextualSpacing/>
            </w:pPr>
            <w:r w:rsidRPr="00D85E09">
              <w:t>Solitaire™ FR With the Intention For Thrombectomy as Primary Endovascular Treatment for Acute Isch</w:t>
            </w:r>
            <w:r w:rsidR="00E56287" w:rsidRPr="00D85E09">
              <w:t>aemic</w:t>
            </w:r>
            <w:r w:rsidRPr="00D85E09">
              <w:t xml:space="preserve"> Stroke (SWIFT PRIME) Clinical Trial</w:t>
            </w:r>
          </w:p>
        </w:tc>
        <w:tc>
          <w:tcPr>
            <w:tcW w:w="856" w:type="pct"/>
            <w:tcMar>
              <w:top w:w="0" w:type="dxa"/>
              <w:left w:w="108" w:type="dxa"/>
              <w:bottom w:w="0" w:type="dxa"/>
              <w:right w:w="108" w:type="dxa"/>
            </w:tcMar>
          </w:tcPr>
          <w:p w14:paraId="7262E68E"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January 2015</w:t>
            </w:r>
          </w:p>
        </w:tc>
        <w:tc>
          <w:tcPr>
            <w:tcW w:w="875" w:type="pct"/>
            <w:tcMar>
              <w:top w:w="0" w:type="dxa"/>
              <w:left w:w="108" w:type="dxa"/>
              <w:bottom w:w="0" w:type="dxa"/>
              <w:right w:w="108" w:type="dxa"/>
            </w:tcMar>
          </w:tcPr>
          <w:p w14:paraId="5733CF45" w14:textId="77777777" w:rsidR="00315893" w:rsidRPr="00D85E09" w:rsidRDefault="00315893" w:rsidP="0043316B">
            <w:pPr>
              <w:pStyle w:val="Tabletext"/>
              <w:keepNext w:val="0"/>
              <w:widowControl w:val="0"/>
              <w:spacing w:line="288" w:lineRule="auto"/>
              <w:contextualSpacing/>
            </w:pPr>
            <w:r w:rsidRPr="00D85E09">
              <w:t>Previously identified as Saver 2015 (SWIFT PRIME)</w:t>
            </w:r>
          </w:p>
        </w:tc>
      </w:tr>
      <w:tr w:rsidR="00315893" w:rsidRPr="00D85E09" w14:paraId="0A145C05" w14:textId="77777777" w:rsidTr="00465778">
        <w:trPr>
          <w:trHeight w:val="20"/>
        </w:trPr>
        <w:tc>
          <w:tcPr>
            <w:tcW w:w="728" w:type="pct"/>
            <w:tcMar>
              <w:top w:w="0" w:type="dxa"/>
              <w:left w:w="108" w:type="dxa"/>
              <w:bottom w:w="0" w:type="dxa"/>
              <w:right w:w="108" w:type="dxa"/>
            </w:tcMar>
          </w:tcPr>
          <w:p w14:paraId="0C258DFE"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NCT01692379</w:t>
            </w:r>
          </w:p>
        </w:tc>
        <w:tc>
          <w:tcPr>
            <w:tcW w:w="2540" w:type="pct"/>
            <w:tcMar>
              <w:top w:w="0" w:type="dxa"/>
              <w:left w:w="108" w:type="dxa"/>
              <w:bottom w:w="0" w:type="dxa"/>
              <w:right w:w="108" w:type="dxa"/>
            </w:tcMar>
          </w:tcPr>
          <w:p w14:paraId="17C4F70F"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RandomizEd Trial of reVascularizAtion With Solitaire FR® Device Versus Best mediCal Therapy in the Treatment of Acute Stroke Due to anTerior Circulation Large Vessel Occlusion Presenting Within 8 Hours of Symptom Onset</w:t>
            </w:r>
          </w:p>
        </w:tc>
        <w:tc>
          <w:tcPr>
            <w:tcW w:w="856" w:type="pct"/>
            <w:tcMar>
              <w:top w:w="0" w:type="dxa"/>
              <w:left w:w="108" w:type="dxa"/>
              <w:bottom w:w="0" w:type="dxa"/>
              <w:right w:w="108" w:type="dxa"/>
            </w:tcMar>
          </w:tcPr>
          <w:p w14:paraId="7A46AD3F" w14:textId="77777777"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December 2015</w:t>
            </w:r>
          </w:p>
        </w:tc>
        <w:tc>
          <w:tcPr>
            <w:tcW w:w="875" w:type="pct"/>
            <w:tcMar>
              <w:top w:w="0" w:type="dxa"/>
              <w:left w:w="108" w:type="dxa"/>
              <w:bottom w:w="0" w:type="dxa"/>
              <w:right w:w="108" w:type="dxa"/>
            </w:tcMar>
          </w:tcPr>
          <w:p w14:paraId="04714FF0" w14:textId="77777777" w:rsidR="00315893" w:rsidRPr="00D85E09" w:rsidRDefault="00315893" w:rsidP="0043316B">
            <w:pPr>
              <w:pStyle w:val="Tabletext"/>
              <w:keepNext w:val="0"/>
              <w:widowControl w:val="0"/>
              <w:spacing w:line="288" w:lineRule="auto"/>
              <w:contextualSpacing/>
            </w:pPr>
            <w:r w:rsidRPr="00D85E09">
              <w:t>Previously identified as Jovin 2015 (REVASCAT)</w:t>
            </w:r>
          </w:p>
        </w:tc>
      </w:tr>
      <w:tr w:rsidR="00315893" w:rsidRPr="00D85E09" w14:paraId="41C1DA73" w14:textId="77777777" w:rsidTr="00465778">
        <w:trPr>
          <w:trHeight w:val="20"/>
        </w:trPr>
        <w:tc>
          <w:tcPr>
            <w:tcW w:w="728" w:type="pct"/>
            <w:tcMar>
              <w:top w:w="0" w:type="dxa"/>
              <w:left w:w="108" w:type="dxa"/>
              <w:bottom w:w="0" w:type="dxa"/>
              <w:right w:w="108" w:type="dxa"/>
            </w:tcMar>
          </w:tcPr>
          <w:p w14:paraId="4A1AD746"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t>NCT00389467</w:t>
            </w:r>
          </w:p>
        </w:tc>
        <w:tc>
          <w:tcPr>
            <w:tcW w:w="2540" w:type="pct"/>
            <w:tcMar>
              <w:top w:w="0" w:type="dxa"/>
              <w:left w:w="108" w:type="dxa"/>
              <w:bottom w:w="0" w:type="dxa"/>
              <w:right w:w="108" w:type="dxa"/>
            </w:tcMar>
          </w:tcPr>
          <w:p w14:paraId="02C17FC3"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t>Mechanical Retrieval and Recanalization of Stroke Clots Using Embolectomy (MR RESCUE)</w:t>
            </w:r>
          </w:p>
        </w:tc>
        <w:tc>
          <w:tcPr>
            <w:tcW w:w="856" w:type="pct"/>
            <w:tcMar>
              <w:top w:w="0" w:type="dxa"/>
              <w:left w:w="108" w:type="dxa"/>
              <w:bottom w:w="0" w:type="dxa"/>
              <w:right w:w="108" w:type="dxa"/>
            </w:tcMar>
          </w:tcPr>
          <w:p w14:paraId="544EFB75" w14:textId="77777777" w:rsidR="00315893" w:rsidRPr="00D85E09" w:rsidRDefault="00315893" w:rsidP="0043316B">
            <w:pPr>
              <w:widowControl w:val="0"/>
              <w:spacing w:before="60" w:after="40" w:line="288" w:lineRule="auto"/>
              <w:contextualSpacing/>
              <w:rPr>
                <w:rFonts w:ascii="Arial Narrow" w:hAnsi="Arial Narrow"/>
                <w:color w:val="000000"/>
                <w:sz w:val="20"/>
                <w:szCs w:val="20"/>
                <w:shd w:val="clear" w:color="auto" w:fill="FFFFFF"/>
              </w:rPr>
            </w:pPr>
            <w:r w:rsidRPr="00D85E09">
              <w:rPr>
                <w:rFonts w:ascii="Arial Narrow" w:hAnsi="Arial Narrow"/>
                <w:color w:val="000000"/>
                <w:sz w:val="20"/>
                <w:szCs w:val="20"/>
                <w:shd w:val="clear" w:color="auto" w:fill="FFFFFF"/>
              </w:rPr>
              <w:t>April 2012</w:t>
            </w:r>
          </w:p>
        </w:tc>
        <w:tc>
          <w:tcPr>
            <w:tcW w:w="875" w:type="pct"/>
            <w:tcMar>
              <w:top w:w="0" w:type="dxa"/>
              <w:left w:w="108" w:type="dxa"/>
              <w:bottom w:w="0" w:type="dxa"/>
              <w:right w:w="108" w:type="dxa"/>
            </w:tcMar>
          </w:tcPr>
          <w:p w14:paraId="7511AA5E" w14:textId="77777777" w:rsidR="00315893" w:rsidRPr="00D85E09" w:rsidRDefault="00315893" w:rsidP="0043316B">
            <w:pPr>
              <w:pStyle w:val="Tabletext"/>
              <w:keepNext w:val="0"/>
              <w:widowControl w:val="0"/>
              <w:spacing w:line="288" w:lineRule="auto"/>
              <w:contextualSpacing/>
            </w:pPr>
            <w:r w:rsidRPr="00D85E09">
              <w:t>Previously identified as Kidwell 2013 (MR RESCUE)</w:t>
            </w:r>
          </w:p>
        </w:tc>
      </w:tr>
      <w:tr w:rsidR="00315893" w:rsidRPr="00D85E09" w14:paraId="71AF8112" w14:textId="77777777" w:rsidTr="00465778">
        <w:trPr>
          <w:trHeight w:val="20"/>
        </w:trPr>
        <w:tc>
          <w:tcPr>
            <w:tcW w:w="728" w:type="pct"/>
            <w:tcMar>
              <w:top w:w="0" w:type="dxa"/>
              <w:left w:w="108" w:type="dxa"/>
              <w:bottom w:w="0" w:type="dxa"/>
              <w:right w:w="108" w:type="dxa"/>
            </w:tcMar>
          </w:tcPr>
          <w:p w14:paraId="44E642D2"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NCT00359424</w:t>
            </w:r>
          </w:p>
        </w:tc>
        <w:tc>
          <w:tcPr>
            <w:tcW w:w="2540" w:type="pct"/>
            <w:tcMar>
              <w:top w:w="0" w:type="dxa"/>
              <w:left w:w="108" w:type="dxa"/>
              <w:bottom w:w="0" w:type="dxa"/>
              <w:right w:w="108" w:type="dxa"/>
            </w:tcMar>
          </w:tcPr>
          <w:p w14:paraId="509E5259"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Interventional Management of Stroke Trial (IMS-III): A Phase III Clinical Trial Examining Whether a Combined Intravenous (IV) and Intra-Arterial (IA) Approach to Recanalization is Superior to Standard IV r-TPA (Activase®) Alone</w:t>
            </w:r>
          </w:p>
        </w:tc>
        <w:tc>
          <w:tcPr>
            <w:tcW w:w="856" w:type="pct"/>
            <w:tcMar>
              <w:top w:w="0" w:type="dxa"/>
              <w:left w:w="108" w:type="dxa"/>
              <w:bottom w:w="0" w:type="dxa"/>
              <w:right w:w="108" w:type="dxa"/>
            </w:tcMar>
          </w:tcPr>
          <w:p w14:paraId="64C9F4ED" w14:textId="77777777" w:rsidR="00315893" w:rsidRPr="00D85E09" w:rsidRDefault="00315893" w:rsidP="0043316B">
            <w:pPr>
              <w:widowControl w:val="0"/>
              <w:spacing w:before="60" w:after="40" w:line="288" w:lineRule="auto"/>
              <w:contextualSpacing/>
              <w:rPr>
                <w:rFonts w:ascii="Arial Narrow" w:hAnsi="Arial Narrow"/>
                <w:color w:val="000000"/>
                <w:sz w:val="20"/>
                <w:szCs w:val="20"/>
                <w:shd w:val="clear" w:color="auto" w:fill="FFFFFF"/>
              </w:rPr>
            </w:pPr>
            <w:r w:rsidRPr="00D85E09">
              <w:rPr>
                <w:rFonts w:ascii="Arial Narrow" w:hAnsi="Arial Narrow"/>
                <w:color w:val="000000"/>
                <w:sz w:val="20"/>
                <w:szCs w:val="20"/>
                <w:shd w:val="clear" w:color="auto" w:fill="FFFFFF"/>
              </w:rPr>
              <w:t>April 2013</w:t>
            </w:r>
          </w:p>
        </w:tc>
        <w:tc>
          <w:tcPr>
            <w:tcW w:w="875" w:type="pct"/>
            <w:tcMar>
              <w:top w:w="0" w:type="dxa"/>
              <w:left w:w="108" w:type="dxa"/>
              <w:bottom w:w="0" w:type="dxa"/>
              <w:right w:w="108" w:type="dxa"/>
            </w:tcMar>
          </w:tcPr>
          <w:p w14:paraId="32C604B6" w14:textId="77777777" w:rsidR="00315893" w:rsidRPr="00D85E09" w:rsidRDefault="00315893" w:rsidP="0043316B">
            <w:pPr>
              <w:pStyle w:val="Tabletext"/>
              <w:keepNext w:val="0"/>
              <w:widowControl w:val="0"/>
              <w:spacing w:line="288" w:lineRule="auto"/>
              <w:contextualSpacing/>
            </w:pPr>
            <w:r w:rsidRPr="00D85E09">
              <w:t>Previously identified as Broderick 2013 (IMS-III)</w:t>
            </w:r>
          </w:p>
        </w:tc>
      </w:tr>
      <w:tr w:rsidR="00315893" w:rsidRPr="00D85E09" w14:paraId="70996330" w14:textId="77777777" w:rsidTr="00465778">
        <w:trPr>
          <w:trHeight w:val="20"/>
        </w:trPr>
        <w:tc>
          <w:tcPr>
            <w:tcW w:w="728" w:type="pct"/>
            <w:tcMar>
              <w:top w:w="0" w:type="dxa"/>
              <w:left w:w="108" w:type="dxa"/>
              <w:bottom w:w="0" w:type="dxa"/>
              <w:right w:w="108" w:type="dxa"/>
            </w:tcMar>
          </w:tcPr>
          <w:p w14:paraId="74F79043"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NCT01745692</w:t>
            </w:r>
          </w:p>
        </w:tc>
        <w:tc>
          <w:tcPr>
            <w:tcW w:w="2540" w:type="pct"/>
            <w:tcMar>
              <w:top w:w="0" w:type="dxa"/>
              <w:left w:w="108" w:type="dxa"/>
              <w:bottom w:w="0" w:type="dxa"/>
              <w:right w:w="108" w:type="dxa"/>
            </w:tcMar>
          </w:tcPr>
          <w:p w14:paraId="58665CF0"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A Randomised Controlled Clinical Trial of Adjunctive Mechanical Thrombectomy Compared With Intravenous Thrombolysis in Patients With Acute Ischaemic Stroke Due to an Occluded Major Intra-cranial Vessel. (PISTE)</w:t>
            </w:r>
          </w:p>
        </w:tc>
        <w:tc>
          <w:tcPr>
            <w:tcW w:w="856" w:type="pct"/>
            <w:tcMar>
              <w:top w:w="0" w:type="dxa"/>
              <w:left w:w="108" w:type="dxa"/>
              <w:bottom w:w="0" w:type="dxa"/>
              <w:right w:w="108" w:type="dxa"/>
            </w:tcMar>
          </w:tcPr>
          <w:p w14:paraId="6A08541A" w14:textId="77777777" w:rsidR="00315893" w:rsidRPr="00D85E09" w:rsidRDefault="00315893" w:rsidP="0043316B">
            <w:pPr>
              <w:widowControl w:val="0"/>
              <w:spacing w:before="60" w:after="40" w:line="288" w:lineRule="auto"/>
              <w:contextualSpacing/>
              <w:rPr>
                <w:rFonts w:ascii="Arial Narrow" w:hAnsi="Arial Narrow"/>
                <w:color w:val="000000"/>
                <w:sz w:val="20"/>
                <w:szCs w:val="20"/>
                <w:shd w:val="clear" w:color="auto" w:fill="FFFFFF"/>
              </w:rPr>
            </w:pPr>
            <w:r w:rsidRPr="00D85E09">
              <w:rPr>
                <w:rFonts w:ascii="Arial Narrow" w:hAnsi="Arial Narrow"/>
                <w:color w:val="000000"/>
                <w:sz w:val="20"/>
                <w:szCs w:val="20"/>
                <w:shd w:val="clear" w:color="auto" w:fill="FFFFFF"/>
              </w:rPr>
              <w:t>July 2015</w:t>
            </w:r>
          </w:p>
        </w:tc>
        <w:tc>
          <w:tcPr>
            <w:tcW w:w="875" w:type="pct"/>
            <w:tcMar>
              <w:top w:w="0" w:type="dxa"/>
              <w:left w:w="108" w:type="dxa"/>
              <w:bottom w:w="0" w:type="dxa"/>
              <w:right w:w="108" w:type="dxa"/>
            </w:tcMar>
          </w:tcPr>
          <w:p w14:paraId="5C8F5F62" w14:textId="77777777" w:rsidR="00315893" w:rsidRPr="00D85E09" w:rsidRDefault="00315893" w:rsidP="0043316B">
            <w:pPr>
              <w:pStyle w:val="Tabletext"/>
              <w:keepNext w:val="0"/>
              <w:widowControl w:val="0"/>
              <w:spacing w:line="288" w:lineRule="auto"/>
              <w:contextualSpacing/>
            </w:pPr>
            <w:r w:rsidRPr="00D85E09">
              <w:t>Previously identified as Muir 2015 (PISTE)</w:t>
            </w:r>
          </w:p>
          <w:p w14:paraId="034B08B3" w14:textId="77777777" w:rsidR="00315893" w:rsidRPr="00D85E09" w:rsidRDefault="00315893" w:rsidP="0043316B">
            <w:pPr>
              <w:pStyle w:val="Tabletext"/>
              <w:keepNext w:val="0"/>
              <w:widowControl w:val="0"/>
              <w:spacing w:line="288" w:lineRule="auto"/>
              <w:contextualSpacing/>
            </w:pPr>
            <w:r w:rsidRPr="00D85E09">
              <w:t>Study terminated</w:t>
            </w:r>
          </w:p>
        </w:tc>
      </w:tr>
      <w:tr w:rsidR="00315893" w:rsidRPr="00D85E09" w14:paraId="656EB5CE" w14:textId="77777777" w:rsidTr="00465778">
        <w:trPr>
          <w:trHeight w:val="20"/>
        </w:trPr>
        <w:tc>
          <w:tcPr>
            <w:tcW w:w="728" w:type="pct"/>
            <w:tcMar>
              <w:top w:w="0" w:type="dxa"/>
              <w:left w:w="108" w:type="dxa"/>
              <w:bottom w:w="0" w:type="dxa"/>
              <w:right w:w="108" w:type="dxa"/>
            </w:tcMar>
          </w:tcPr>
          <w:p w14:paraId="477F1011"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NCT01869478</w:t>
            </w:r>
          </w:p>
        </w:tc>
        <w:tc>
          <w:tcPr>
            <w:tcW w:w="2540" w:type="pct"/>
            <w:tcMar>
              <w:top w:w="0" w:type="dxa"/>
              <w:left w:w="108" w:type="dxa"/>
              <w:bottom w:w="0" w:type="dxa"/>
              <w:right w:w="108" w:type="dxa"/>
            </w:tcMar>
          </w:tcPr>
          <w:p w14:paraId="70982EAB" w14:textId="311AA088" w:rsidR="00315893" w:rsidRPr="00D85E09" w:rsidRDefault="00315893" w:rsidP="0043316B">
            <w:pPr>
              <w:pStyle w:val="Tabletext"/>
              <w:keepNext w:val="0"/>
              <w:widowControl w:val="0"/>
              <w:spacing w:line="288" w:lineRule="auto"/>
              <w:contextualSpacing/>
            </w:pPr>
            <w:r w:rsidRPr="00D85E09">
              <w:rPr>
                <w:rFonts w:cs="Arial"/>
                <w:color w:val="000000"/>
                <w:shd w:val="clear" w:color="auto" w:fill="FFFFFF"/>
              </w:rPr>
              <w:t>Endovascular Arterial Reperfusion vs. Intravenous ThromboLYsis for Acute Isch</w:t>
            </w:r>
            <w:r w:rsidR="00E56287" w:rsidRPr="00D85E09">
              <w:rPr>
                <w:rFonts w:cs="Arial"/>
                <w:color w:val="000000"/>
                <w:shd w:val="clear" w:color="auto" w:fill="FFFFFF"/>
              </w:rPr>
              <w:t>aemic</w:t>
            </w:r>
            <w:r w:rsidRPr="00D85E09">
              <w:rPr>
                <w:rFonts w:cs="Arial"/>
                <w:color w:val="000000"/>
                <w:shd w:val="clear" w:color="auto" w:fill="FFFFFF"/>
              </w:rPr>
              <w:t xml:space="preserve"> Stroke (EARLY): A Randomized Pilot Study of Ultra-early (&amp;lt;2 Hours) and Early (2-4.5 Hours) Reperfusion Therapy</w:t>
            </w:r>
          </w:p>
        </w:tc>
        <w:tc>
          <w:tcPr>
            <w:tcW w:w="856" w:type="pct"/>
            <w:tcMar>
              <w:top w:w="0" w:type="dxa"/>
              <w:left w:w="108" w:type="dxa"/>
              <w:bottom w:w="0" w:type="dxa"/>
              <w:right w:w="108" w:type="dxa"/>
            </w:tcMar>
          </w:tcPr>
          <w:p w14:paraId="194355CD" w14:textId="77777777" w:rsidR="00315893" w:rsidRPr="00D85E09" w:rsidRDefault="00315893" w:rsidP="0043316B">
            <w:pPr>
              <w:widowControl w:val="0"/>
              <w:spacing w:before="60" w:after="40" w:line="288" w:lineRule="auto"/>
              <w:contextualSpacing/>
              <w:rPr>
                <w:rFonts w:ascii="Arial Narrow" w:hAnsi="Arial Narrow"/>
                <w:color w:val="000000"/>
                <w:sz w:val="20"/>
                <w:szCs w:val="20"/>
                <w:shd w:val="clear" w:color="auto" w:fill="FFFFFF"/>
              </w:rPr>
            </w:pPr>
            <w:r w:rsidRPr="00D85E09">
              <w:rPr>
                <w:rFonts w:ascii="Arial Narrow" w:hAnsi="Arial Narrow"/>
                <w:color w:val="000000"/>
                <w:sz w:val="20"/>
                <w:szCs w:val="20"/>
                <w:shd w:val="clear" w:color="auto" w:fill="FFFFFF"/>
              </w:rPr>
              <w:t>September 2015</w:t>
            </w:r>
          </w:p>
        </w:tc>
        <w:tc>
          <w:tcPr>
            <w:tcW w:w="875" w:type="pct"/>
            <w:tcMar>
              <w:top w:w="0" w:type="dxa"/>
              <w:left w:w="108" w:type="dxa"/>
              <w:bottom w:w="0" w:type="dxa"/>
              <w:right w:w="108" w:type="dxa"/>
            </w:tcMar>
          </w:tcPr>
          <w:p w14:paraId="473F60BB" w14:textId="77777777" w:rsidR="00315893" w:rsidRPr="00D85E09" w:rsidRDefault="00315893" w:rsidP="0043316B">
            <w:pPr>
              <w:pStyle w:val="Tabletext"/>
              <w:keepNext w:val="0"/>
              <w:widowControl w:val="0"/>
              <w:spacing w:line="288" w:lineRule="auto"/>
              <w:contextualSpacing/>
            </w:pPr>
            <w:r w:rsidRPr="00D85E09">
              <w:t>No data available</w:t>
            </w:r>
          </w:p>
        </w:tc>
      </w:tr>
      <w:tr w:rsidR="00315893" w:rsidRPr="00D85E09" w14:paraId="1B2C24E8" w14:textId="77777777" w:rsidTr="00465778">
        <w:trPr>
          <w:trHeight w:val="20"/>
        </w:trPr>
        <w:tc>
          <w:tcPr>
            <w:tcW w:w="728" w:type="pct"/>
            <w:tcMar>
              <w:top w:w="0" w:type="dxa"/>
              <w:left w:w="108" w:type="dxa"/>
              <w:bottom w:w="0" w:type="dxa"/>
              <w:right w:w="108" w:type="dxa"/>
            </w:tcMar>
          </w:tcPr>
          <w:p w14:paraId="634191CD"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NCT01062698</w:t>
            </w:r>
          </w:p>
        </w:tc>
        <w:tc>
          <w:tcPr>
            <w:tcW w:w="2540" w:type="pct"/>
            <w:tcMar>
              <w:top w:w="0" w:type="dxa"/>
              <w:left w:w="108" w:type="dxa"/>
              <w:bottom w:w="0" w:type="dxa"/>
              <w:right w:w="108" w:type="dxa"/>
            </w:tcMar>
          </w:tcPr>
          <w:p w14:paraId="658349E0" w14:textId="110E8DA1" w:rsidR="00315893" w:rsidRPr="00D85E09" w:rsidRDefault="00315893" w:rsidP="0043316B">
            <w:pPr>
              <w:pStyle w:val="Tabletext"/>
              <w:keepNext w:val="0"/>
              <w:widowControl w:val="0"/>
              <w:spacing w:line="288" w:lineRule="auto"/>
              <w:contextualSpacing/>
            </w:pPr>
            <w:r w:rsidRPr="00D85E09">
              <w:t>The Contribution of Intra-arterial Thrombectomy in Acute Isch</w:t>
            </w:r>
            <w:r w:rsidR="00E56287" w:rsidRPr="00D85E09">
              <w:t>aemic</w:t>
            </w:r>
            <w:r w:rsidRPr="00D85E09">
              <w:t xml:space="preserve"> Stroke in Patients Treated With Intravenous Thrombolysis (THRACE)</w:t>
            </w:r>
          </w:p>
        </w:tc>
        <w:tc>
          <w:tcPr>
            <w:tcW w:w="856" w:type="pct"/>
            <w:tcMar>
              <w:top w:w="0" w:type="dxa"/>
              <w:left w:w="108" w:type="dxa"/>
              <w:bottom w:w="0" w:type="dxa"/>
              <w:right w:w="108" w:type="dxa"/>
            </w:tcMar>
          </w:tcPr>
          <w:p w14:paraId="78B5FF7F" w14:textId="77777777" w:rsidR="00315893" w:rsidRPr="00D85E09" w:rsidRDefault="00315893" w:rsidP="0043316B">
            <w:pPr>
              <w:widowControl w:val="0"/>
              <w:spacing w:before="60" w:after="40" w:line="288" w:lineRule="auto"/>
              <w:contextualSpacing/>
              <w:rPr>
                <w:rFonts w:ascii="Arial Narrow" w:hAnsi="Arial Narrow"/>
                <w:color w:val="000000"/>
                <w:sz w:val="20"/>
                <w:szCs w:val="20"/>
              </w:rPr>
            </w:pPr>
            <w:r w:rsidRPr="00D85E09">
              <w:rPr>
                <w:rFonts w:ascii="Arial Narrow" w:hAnsi="Arial Narrow"/>
                <w:color w:val="000000"/>
                <w:sz w:val="20"/>
                <w:szCs w:val="20"/>
                <w:shd w:val="clear" w:color="auto" w:fill="FFFFFF"/>
              </w:rPr>
              <w:t>March 2016</w:t>
            </w:r>
          </w:p>
        </w:tc>
        <w:tc>
          <w:tcPr>
            <w:tcW w:w="875" w:type="pct"/>
            <w:tcMar>
              <w:top w:w="0" w:type="dxa"/>
              <w:left w:w="108" w:type="dxa"/>
              <w:bottom w:w="0" w:type="dxa"/>
              <w:right w:w="108" w:type="dxa"/>
            </w:tcMar>
          </w:tcPr>
          <w:p w14:paraId="7917A544" w14:textId="77777777" w:rsidR="00315893" w:rsidRPr="00D85E09" w:rsidRDefault="00315893" w:rsidP="0043316B">
            <w:pPr>
              <w:pStyle w:val="Tabletext"/>
              <w:keepNext w:val="0"/>
              <w:widowControl w:val="0"/>
              <w:spacing w:line="288" w:lineRule="auto"/>
              <w:contextualSpacing/>
            </w:pPr>
            <w:r w:rsidRPr="00D85E09">
              <w:t>Study terminated</w:t>
            </w:r>
          </w:p>
        </w:tc>
      </w:tr>
      <w:tr w:rsidR="00315893" w:rsidRPr="00D85E09" w14:paraId="3869046A" w14:textId="77777777" w:rsidTr="00465778">
        <w:trPr>
          <w:trHeight w:val="20"/>
        </w:trPr>
        <w:tc>
          <w:tcPr>
            <w:tcW w:w="728" w:type="pct"/>
            <w:tcMar>
              <w:top w:w="0" w:type="dxa"/>
              <w:left w:w="108" w:type="dxa"/>
              <w:bottom w:w="0" w:type="dxa"/>
              <w:right w:w="108" w:type="dxa"/>
            </w:tcMar>
          </w:tcPr>
          <w:p w14:paraId="07908DDC"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NCT01852201</w:t>
            </w:r>
          </w:p>
        </w:tc>
        <w:tc>
          <w:tcPr>
            <w:tcW w:w="2540" w:type="pct"/>
            <w:tcMar>
              <w:top w:w="0" w:type="dxa"/>
              <w:left w:w="108" w:type="dxa"/>
              <w:bottom w:w="0" w:type="dxa"/>
              <w:right w:w="108" w:type="dxa"/>
            </w:tcMar>
          </w:tcPr>
          <w:p w14:paraId="4F9EDF87" w14:textId="59ECFE90" w:rsidR="00315893" w:rsidRPr="00D85E09" w:rsidRDefault="00315893" w:rsidP="0043316B">
            <w:pPr>
              <w:pStyle w:val="Tabletext"/>
              <w:keepNext w:val="0"/>
              <w:widowControl w:val="0"/>
              <w:spacing w:line="288" w:lineRule="auto"/>
              <w:contextualSpacing/>
              <w:rPr>
                <w:rStyle w:val="apple-converted-space"/>
              </w:rPr>
            </w:pPr>
            <w:r w:rsidRPr="00D85E09">
              <w:t>POSITIVE: PerfusiOn Imaging Selection of Isch</w:t>
            </w:r>
            <w:r w:rsidR="00E56287" w:rsidRPr="00D85E09">
              <w:t>aemic</w:t>
            </w:r>
            <w:r w:rsidRPr="00D85E09">
              <w:t xml:space="preserve"> STroke Patents for EndoVascular ThErapy</w:t>
            </w:r>
          </w:p>
        </w:tc>
        <w:tc>
          <w:tcPr>
            <w:tcW w:w="856" w:type="pct"/>
            <w:tcMar>
              <w:top w:w="0" w:type="dxa"/>
              <w:left w:w="108" w:type="dxa"/>
              <w:bottom w:w="0" w:type="dxa"/>
              <w:right w:w="108" w:type="dxa"/>
            </w:tcMar>
          </w:tcPr>
          <w:p w14:paraId="1CF21723" w14:textId="77777777" w:rsidR="00315893" w:rsidRPr="00D85E09" w:rsidRDefault="00315893" w:rsidP="0043316B">
            <w:pPr>
              <w:widowControl w:val="0"/>
              <w:spacing w:before="60" w:after="40" w:line="288" w:lineRule="auto"/>
              <w:contextualSpacing/>
              <w:rPr>
                <w:rFonts w:ascii="Arial Narrow" w:hAnsi="Arial Narrow"/>
                <w:color w:val="000000"/>
                <w:sz w:val="20"/>
                <w:szCs w:val="20"/>
                <w:lang w:eastAsia="en-AU"/>
              </w:rPr>
            </w:pPr>
            <w:r w:rsidRPr="00D85E09">
              <w:rPr>
                <w:rFonts w:ascii="Arial Narrow" w:hAnsi="Arial Narrow"/>
                <w:color w:val="000000"/>
                <w:sz w:val="20"/>
                <w:szCs w:val="20"/>
              </w:rPr>
              <w:t>May 2016</w:t>
            </w:r>
          </w:p>
        </w:tc>
        <w:tc>
          <w:tcPr>
            <w:tcW w:w="875" w:type="pct"/>
            <w:tcMar>
              <w:top w:w="0" w:type="dxa"/>
              <w:left w:w="108" w:type="dxa"/>
              <w:bottom w:w="0" w:type="dxa"/>
              <w:right w:w="108" w:type="dxa"/>
            </w:tcMar>
          </w:tcPr>
          <w:p w14:paraId="0E6E4C12" w14:textId="77777777" w:rsidR="00315893" w:rsidRPr="00D85E09" w:rsidRDefault="00315893" w:rsidP="0043316B">
            <w:pPr>
              <w:pStyle w:val="Tabletext"/>
              <w:keepNext w:val="0"/>
              <w:widowControl w:val="0"/>
              <w:spacing w:line="288" w:lineRule="auto"/>
              <w:contextualSpacing/>
            </w:pPr>
            <w:r w:rsidRPr="00D85E09">
              <w:t>No data available</w:t>
            </w:r>
          </w:p>
        </w:tc>
      </w:tr>
      <w:tr w:rsidR="00315893" w:rsidRPr="00D85E09" w14:paraId="238E1FB7" w14:textId="77777777" w:rsidTr="00465778">
        <w:trPr>
          <w:trHeight w:val="20"/>
        </w:trPr>
        <w:tc>
          <w:tcPr>
            <w:tcW w:w="728" w:type="pct"/>
            <w:tcMar>
              <w:top w:w="0" w:type="dxa"/>
              <w:left w:w="108" w:type="dxa"/>
              <w:bottom w:w="0" w:type="dxa"/>
              <w:right w:w="108" w:type="dxa"/>
            </w:tcMar>
          </w:tcPr>
          <w:p w14:paraId="2FDB20FD"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NCT01429350</w:t>
            </w:r>
          </w:p>
        </w:tc>
        <w:tc>
          <w:tcPr>
            <w:tcW w:w="2540" w:type="pct"/>
            <w:tcMar>
              <w:top w:w="0" w:type="dxa"/>
              <w:left w:w="108" w:type="dxa"/>
              <w:bottom w:w="0" w:type="dxa"/>
              <w:right w:w="108" w:type="dxa"/>
            </w:tcMar>
          </w:tcPr>
          <w:p w14:paraId="048D5285" w14:textId="77777777" w:rsidR="00315893" w:rsidRPr="00D85E09" w:rsidRDefault="00315893" w:rsidP="0043316B">
            <w:pPr>
              <w:pStyle w:val="Tabletext"/>
              <w:keepNext w:val="0"/>
              <w:widowControl w:val="0"/>
              <w:spacing w:line="288" w:lineRule="auto"/>
              <w:contextualSpacing/>
              <w:rPr>
                <w:rStyle w:val="apple-converted-space"/>
              </w:rPr>
            </w:pPr>
            <w:r w:rsidRPr="00D85E09">
              <w:t>The THERAPY Trial: The Randomized, Concurrent Controlled Trial to Assess the Penumbra System's Safety and Effectiveness in the Treatment of Acute Stroke</w:t>
            </w:r>
          </w:p>
        </w:tc>
        <w:tc>
          <w:tcPr>
            <w:tcW w:w="856" w:type="pct"/>
            <w:tcMar>
              <w:top w:w="0" w:type="dxa"/>
              <w:left w:w="108" w:type="dxa"/>
              <w:bottom w:w="0" w:type="dxa"/>
              <w:right w:w="108" w:type="dxa"/>
            </w:tcMar>
          </w:tcPr>
          <w:p w14:paraId="3CA36C2B"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December 2016</w:t>
            </w:r>
          </w:p>
        </w:tc>
        <w:tc>
          <w:tcPr>
            <w:tcW w:w="875" w:type="pct"/>
            <w:tcMar>
              <w:top w:w="0" w:type="dxa"/>
              <w:left w:w="108" w:type="dxa"/>
              <w:bottom w:w="0" w:type="dxa"/>
              <w:right w:w="108" w:type="dxa"/>
            </w:tcMar>
          </w:tcPr>
          <w:p w14:paraId="64797BC5" w14:textId="77777777" w:rsidR="00315893" w:rsidRPr="00D85E09" w:rsidRDefault="00315893" w:rsidP="0043316B">
            <w:pPr>
              <w:pStyle w:val="Tabletext"/>
              <w:keepNext w:val="0"/>
              <w:widowControl w:val="0"/>
              <w:spacing w:line="288" w:lineRule="auto"/>
              <w:contextualSpacing/>
            </w:pPr>
            <w:r w:rsidRPr="00D85E09">
              <w:t>No data available</w:t>
            </w:r>
          </w:p>
        </w:tc>
      </w:tr>
      <w:tr w:rsidR="00315893" w:rsidRPr="00D85E09" w14:paraId="216A0AAD" w14:textId="77777777" w:rsidTr="00465778">
        <w:trPr>
          <w:trHeight w:val="20"/>
        </w:trPr>
        <w:tc>
          <w:tcPr>
            <w:tcW w:w="728" w:type="pct"/>
            <w:tcMar>
              <w:top w:w="0" w:type="dxa"/>
              <w:left w:w="108" w:type="dxa"/>
              <w:bottom w:w="0" w:type="dxa"/>
              <w:right w:w="108" w:type="dxa"/>
            </w:tcMar>
          </w:tcPr>
          <w:p w14:paraId="1E637F95"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lastRenderedPageBreak/>
              <w:t>NCT02142283</w:t>
            </w:r>
          </w:p>
        </w:tc>
        <w:tc>
          <w:tcPr>
            <w:tcW w:w="2540" w:type="pct"/>
            <w:tcMar>
              <w:top w:w="0" w:type="dxa"/>
              <w:left w:w="108" w:type="dxa"/>
              <w:bottom w:w="0" w:type="dxa"/>
              <w:right w:w="108" w:type="dxa"/>
            </w:tcMar>
          </w:tcPr>
          <w:p w14:paraId="6A223145" w14:textId="77777777" w:rsidR="00315893" w:rsidRPr="00D85E09" w:rsidRDefault="00315893" w:rsidP="0043316B">
            <w:pPr>
              <w:pStyle w:val="Tabletext"/>
              <w:keepNext w:val="0"/>
              <w:widowControl w:val="0"/>
              <w:spacing w:line="288" w:lineRule="auto"/>
              <w:contextualSpacing/>
              <w:rPr>
                <w:rStyle w:val="apple-converted-space"/>
              </w:rPr>
            </w:pPr>
            <w:r w:rsidRPr="00D85E09">
              <w:rPr>
                <w:rStyle w:val="apple-converted-space"/>
              </w:rPr>
              <w:t>Trevo and Medical Management Versus Medical Management Alone in Wake Up and Late Presenting Strokes (DAWN)</w:t>
            </w:r>
          </w:p>
        </w:tc>
        <w:tc>
          <w:tcPr>
            <w:tcW w:w="856" w:type="pct"/>
            <w:tcMar>
              <w:top w:w="0" w:type="dxa"/>
              <w:left w:w="108" w:type="dxa"/>
              <w:bottom w:w="0" w:type="dxa"/>
              <w:right w:w="108" w:type="dxa"/>
            </w:tcMar>
          </w:tcPr>
          <w:p w14:paraId="3CC92279"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July 2017</w:t>
            </w:r>
          </w:p>
        </w:tc>
        <w:tc>
          <w:tcPr>
            <w:tcW w:w="875" w:type="pct"/>
            <w:tcMar>
              <w:top w:w="0" w:type="dxa"/>
              <w:left w:w="108" w:type="dxa"/>
              <w:bottom w:w="0" w:type="dxa"/>
              <w:right w:w="108" w:type="dxa"/>
            </w:tcMar>
          </w:tcPr>
          <w:p w14:paraId="0B3C3FD8" w14:textId="77777777" w:rsidR="00315893" w:rsidRPr="00D85E09" w:rsidRDefault="00315893" w:rsidP="0043316B">
            <w:pPr>
              <w:pStyle w:val="Tabletext"/>
              <w:keepNext w:val="0"/>
              <w:widowControl w:val="0"/>
              <w:spacing w:line="288" w:lineRule="auto"/>
              <w:contextualSpacing/>
            </w:pPr>
            <w:r w:rsidRPr="00D85E09">
              <w:t>No data available</w:t>
            </w:r>
          </w:p>
        </w:tc>
      </w:tr>
      <w:tr w:rsidR="00315893" w:rsidRPr="00D85E09" w14:paraId="7CEFA5CC" w14:textId="77777777" w:rsidTr="00465778">
        <w:trPr>
          <w:trHeight w:val="20"/>
        </w:trPr>
        <w:tc>
          <w:tcPr>
            <w:tcW w:w="728" w:type="pct"/>
            <w:tcMar>
              <w:top w:w="0" w:type="dxa"/>
              <w:left w:w="108" w:type="dxa"/>
              <w:bottom w:w="0" w:type="dxa"/>
              <w:right w:w="108" w:type="dxa"/>
            </w:tcMar>
          </w:tcPr>
          <w:p w14:paraId="7C285414"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NCT02135926</w:t>
            </w:r>
          </w:p>
        </w:tc>
        <w:tc>
          <w:tcPr>
            <w:tcW w:w="2540" w:type="pct"/>
            <w:tcMar>
              <w:top w:w="0" w:type="dxa"/>
              <w:left w:w="108" w:type="dxa"/>
              <w:bottom w:w="0" w:type="dxa"/>
              <w:right w:w="108" w:type="dxa"/>
            </w:tcMar>
          </w:tcPr>
          <w:p w14:paraId="322E7D2D" w14:textId="0BCCF4BD" w:rsidR="00315893" w:rsidRPr="00D85E09" w:rsidRDefault="00315893" w:rsidP="0043316B">
            <w:pPr>
              <w:pStyle w:val="Tabletext"/>
              <w:keepNext w:val="0"/>
              <w:widowControl w:val="0"/>
              <w:spacing w:line="288" w:lineRule="auto"/>
              <w:contextualSpacing/>
              <w:rPr>
                <w:rStyle w:val="apple-converted-space"/>
              </w:rPr>
            </w:pPr>
            <w:r w:rsidRPr="00D85E09">
              <w:rPr>
                <w:rStyle w:val="apple-converted-space"/>
              </w:rPr>
              <w:t>Comparison of Thrombectomy and Standard Care for Isch</w:t>
            </w:r>
            <w:r w:rsidR="00E56287" w:rsidRPr="00D85E09">
              <w:rPr>
                <w:rStyle w:val="apple-converted-space"/>
              </w:rPr>
              <w:t>aemic</w:t>
            </w:r>
            <w:r w:rsidRPr="00D85E09">
              <w:rPr>
                <w:rStyle w:val="apple-converted-space"/>
              </w:rPr>
              <w:t xml:space="preserve"> Stroke in Patients Ineligibility for Tissue Plasminogen Activator Treatment (THRILL)</w:t>
            </w:r>
          </w:p>
        </w:tc>
        <w:tc>
          <w:tcPr>
            <w:tcW w:w="856" w:type="pct"/>
            <w:tcMar>
              <w:top w:w="0" w:type="dxa"/>
              <w:left w:w="108" w:type="dxa"/>
              <w:bottom w:w="0" w:type="dxa"/>
              <w:right w:w="108" w:type="dxa"/>
            </w:tcMar>
          </w:tcPr>
          <w:p w14:paraId="3C84EF34"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March 2018</w:t>
            </w:r>
          </w:p>
        </w:tc>
        <w:tc>
          <w:tcPr>
            <w:tcW w:w="875" w:type="pct"/>
            <w:tcMar>
              <w:top w:w="0" w:type="dxa"/>
              <w:left w:w="108" w:type="dxa"/>
              <w:bottom w:w="0" w:type="dxa"/>
              <w:right w:w="108" w:type="dxa"/>
            </w:tcMar>
          </w:tcPr>
          <w:p w14:paraId="52D97F26" w14:textId="77777777" w:rsidR="00315893" w:rsidRPr="00D85E09" w:rsidRDefault="00315893" w:rsidP="0043316B">
            <w:pPr>
              <w:pStyle w:val="Tabletext"/>
              <w:keepNext w:val="0"/>
              <w:widowControl w:val="0"/>
              <w:spacing w:line="288" w:lineRule="auto"/>
              <w:contextualSpacing/>
            </w:pPr>
            <w:r w:rsidRPr="00D85E09">
              <w:t>No data av ailable</w:t>
            </w:r>
          </w:p>
        </w:tc>
      </w:tr>
      <w:tr w:rsidR="00315893" w:rsidRPr="00D85E09" w14:paraId="4584F8CC" w14:textId="77777777" w:rsidTr="00465778">
        <w:trPr>
          <w:trHeight w:val="20"/>
        </w:trPr>
        <w:tc>
          <w:tcPr>
            <w:tcW w:w="728" w:type="pct"/>
            <w:tcMar>
              <w:top w:w="0" w:type="dxa"/>
              <w:left w:w="108" w:type="dxa"/>
              <w:bottom w:w="0" w:type="dxa"/>
              <w:right w:w="108" w:type="dxa"/>
            </w:tcMar>
          </w:tcPr>
          <w:p w14:paraId="10B890E0"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NCT02216643</w:t>
            </w:r>
          </w:p>
        </w:tc>
        <w:tc>
          <w:tcPr>
            <w:tcW w:w="2540" w:type="pct"/>
            <w:tcMar>
              <w:top w:w="0" w:type="dxa"/>
              <w:left w:w="108" w:type="dxa"/>
              <w:bottom w:w="0" w:type="dxa"/>
              <w:right w:w="108" w:type="dxa"/>
            </w:tcMar>
          </w:tcPr>
          <w:p w14:paraId="139AAE54" w14:textId="01F6EC76" w:rsidR="00315893" w:rsidRPr="00D85E09" w:rsidRDefault="00315893" w:rsidP="0043316B">
            <w:pPr>
              <w:pStyle w:val="Tabletext"/>
              <w:keepNext w:val="0"/>
              <w:widowControl w:val="0"/>
              <w:spacing w:line="288" w:lineRule="auto"/>
              <w:contextualSpacing/>
              <w:rPr>
                <w:rStyle w:val="apple-converted-space"/>
              </w:rPr>
            </w:pPr>
            <w:r w:rsidRPr="00D85E09">
              <w:rPr>
                <w:rStyle w:val="apple-converted-space"/>
              </w:rPr>
              <w:t>EndoVascular Treatment With Solitaire FR® vs. Best Medical Therapy in Acute Isch</w:t>
            </w:r>
            <w:r w:rsidR="00E56287" w:rsidRPr="00D85E09">
              <w:rPr>
                <w:rStyle w:val="apple-converted-space"/>
              </w:rPr>
              <w:t>aemic</w:t>
            </w:r>
            <w:r w:rsidRPr="00D85E09">
              <w:rPr>
                <w:rStyle w:val="apple-converted-space"/>
              </w:rPr>
              <w:t xml:space="preserve"> Stroke (RESILIENT)</w:t>
            </w:r>
          </w:p>
        </w:tc>
        <w:tc>
          <w:tcPr>
            <w:tcW w:w="856" w:type="pct"/>
            <w:tcMar>
              <w:top w:w="0" w:type="dxa"/>
              <w:left w:w="108" w:type="dxa"/>
              <w:bottom w:w="0" w:type="dxa"/>
              <w:right w:w="108" w:type="dxa"/>
            </w:tcMar>
          </w:tcPr>
          <w:p w14:paraId="301E94E6"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March 2018</w:t>
            </w:r>
          </w:p>
        </w:tc>
        <w:tc>
          <w:tcPr>
            <w:tcW w:w="875" w:type="pct"/>
            <w:tcMar>
              <w:top w:w="0" w:type="dxa"/>
              <w:left w:w="108" w:type="dxa"/>
              <w:bottom w:w="0" w:type="dxa"/>
              <w:right w:w="108" w:type="dxa"/>
            </w:tcMar>
          </w:tcPr>
          <w:p w14:paraId="204300DE" w14:textId="77777777" w:rsidR="00315893" w:rsidRPr="00D85E09" w:rsidRDefault="00315893" w:rsidP="0043316B">
            <w:pPr>
              <w:pStyle w:val="Tabletext"/>
              <w:keepNext w:val="0"/>
              <w:widowControl w:val="0"/>
              <w:spacing w:line="288" w:lineRule="auto"/>
              <w:contextualSpacing/>
            </w:pPr>
            <w:r w:rsidRPr="00D85E09">
              <w:t>No data available</w:t>
            </w:r>
          </w:p>
        </w:tc>
      </w:tr>
      <w:tr w:rsidR="00315893" w:rsidRPr="00D85E09" w14:paraId="310584CA" w14:textId="77777777" w:rsidTr="00465778">
        <w:trPr>
          <w:trHeight w:val="20"/>
        </w:trPr>
        <w:tc>
          <w:tcPr>
            <w:tcW w:w="728" w:type="pct"/>
            <w:tcMar>
              <w:top w:w="0" w:type="dxa"/>
              <w:left w:w="108" w:type="dxa"/>
              <w:bottom w:w="0" w:type="dxa"/>
              <w:right w:w="108" w:type="dxa"/>
            </w:tcMar>
          </w:tcPr>
          <w:p w14:paraId="19499423"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NCT02157532</w:t>
            </w:r>
          </w:p>
        </w:tc>
        <w:tc>
          <w:tcPr>
            <w:tcW w:w="2540" w:type="pct"/>
            <w:tcMar>
              <w:top w:w="0" w:type="dxa"/>
              <w:left w:w="108" w:type="dxa"/>
              <w:bottom w:w="0" w:type="dxa"/>
              <w:right w:w="108" w:type="dxa"/>
            </w:tcMar>
          </w:tcPr>
          <w:p w14:paraId="36C4B704" w14:textId="77777777" w:rsidR="00315893" w:rsidRPr="00D85E09" w:rsidRDefault="00315893" w:rsidP="0043316B">
            <w:pPr>
              <w:pStyle w:val="Tabletext"/>
              <w:keepNext w:val="0"/>
              <w:widowControl w:val="0"/>
              <w:spacing w:line="288" w:lineRule="auto"/>
              <w:contextualSpacing/>
              <w:rPr>
                <w:rStyle w:val="apple-converted-space"/>
              </w:rPr>
            </w:pPr>
            <w:r w:rsidRPr="00D85E09">
              <w:t>Intra-arterial Thrombectomy as an Acute Treatment Intervention for Stoke: the Endovascular Acute Stoke Intervention (EASI) Trial</w:t>
            </w:r>
          </w:p>
        </w:tc>
        <w:tc>
          <w:tcPr>
            <w:tcW w:w="856" w:type="pct"/>
            <w:tcMar>
              <w:top w:w="0" w:type="dxa"/>
              <w:left w:w="108" w:type="dxa"/>
              <w:bottom w:w="0" w:type="dxa"/>
              <w:right w:w="108" w:type="dxa"/>
            </w:tcMar>
          </w:tcPr>
          <w:p w14:paraId="33ADE60D"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January 2020</w:t>
            </w:r>
          </w:p>
        </w:tc>
        <w:tc>
          <w:tcPr>
            <w:tcW w:w="875" w:type="pct"/>
            <w:tcMar>
              <w:top w:w="0" w:type="dxa"/>
              <w:left w:w="108" w:type="dxa"/>
              <w:bottom w:w="0" w:type="dxa"/>
              <w:right w:w="108" w:type="dxa"/>
            </w:tcMar>
          </w:tcPr>
          <w:p w14:paraId="315F5325" w14:textId="77777777" w:rsidR="00315893" w:rsidRPr="00D85E09" w:rsidRDefault="00315893" w:rsidP="0043316B">
            <w:pPr>
              <w:pStyle w:val="Tabletext"/>
              <w:keepNext w:val="0"/>
              <w:widowControl w:val="0"/>
              <w:spacing w:line="288" w:lineRule="auto"/>
              <w:contextualSpacing/>
            </w:pPr>
            <w:r w:rsidRPr="00D85E09">
              <w:t>No data available</w:t>
            </w:r>
          </w:p>
        </w:tc>
      </w:tr>
      <w:tr w:rsidR="00315893" w:rsidRPr="00D85E09" w14:paraId="2B819105" w14:textId="77777777" w:rsidTr="00465778">
        <w:trPr>
          <w:trHeight w:val="20"/>
        </w:trPr>
        <w:tc>
          <w:tcPr>
            <w:tcW w:w="728" w:type="pct"/>
            <w:tcMar>
              <w:top w:w="0" w:type="dxa"/>
              <w:left w:w="108" w:type="dxa"/>
              <w:bottom w:w="0" w:type="dxa"/>
              <w:right w:w="108" w:type="dxa"/>
            </w:tcMar>
          </w:tcPr>
          <w:p w14:paraId="3BC404C3"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NCT02586415</w:t>
            </w:r>
          </w:p>
        </w:tc>
        <w:tc>
          <w:tcPr>
            <w:tcW w:w="2540" w:type="pct"/>
            <w:tcMar>
              <w:top w:w="0" w:type="dxa"/>
              <w:left w:w="108" w:type="dxa"/>
              <w:bottom w:w="0" w:type="dxa"/>
              <w:right w:w="108" w:type="dxa"/>
            </w:tcMar>
          </w:tcPr>
          <w:p w14:paraId="69F77C56" w14:textId="765B9587" w:rsidR="00315893" w:rsidRPr="00D85E09" w:rsidRDefault="00315893" w:rsidP="0043316B">
            <w:pPr>
              <w:pStyle w:val="Tabletext"/>
              <w:keepNext w:val="0"/>
              <w:widowControl w:val="0"/>
              <w:spacing w:line="288" w:lineRule="auto"/>
              <w:contextualSpacing/>
              <w:rPr>
                <w:rStyle w:val="apple-converted-space"/>
              </w:rPr>
            </w:pPr>
            <w:r w:rsidRPr="00D85E09">
              <w:rPr>
                <w:rStyle w:val="apple-converted-space"/>
              </w:rPr>
              <w:t>Endovascular Therapy Following Imaging Evaluation for Isch</w:t>
            </w:r>
            <w:r w:rsidR="00E56287" w:rsidRPr="00D85E09">
              <w:rPr>
                <w:rStyle w:val="apple-converted-space"/>
              </w:rPr>
              <w:t>aemic</w:t>
            </w:r>
            <w:r w:rsidRPr="00D85E09">
              <w:rPr>
                <w:rStyle w:val="apple-converted-space"/>
              </w:rPr>
              <w:t xml:space="preserve"> Stroke 3 (DEFUSE 3)</w:t>
            </w:r>
          </w:p>
        </w:tc>
        <w:tc>
          <w:tcPr>
            <w:tcW w:w="856" w:type="pct"/>
            <w:tcMar>
              <w:top w:w="0" w:type="dxa"/>
              <w:left w:w="108" w:type="dxa"/>
              <w:bottom w:w="0" w:type="dxa"/>
              <w:right w:w="108" w:type="dxa"/>
            </w:tcMar>
          </w:tcPr>
          <w:p w14:paraId="5669E4BB" w14:textId="77777777" w:rsidR="00315893" w:rsidRPr="00D85E09" w:rsidRDefault="00315893" w:rsidP="0043316B">
            <w:pPr>
              <w:pStyle w:val="Tabletext"/>
              <w:keepNext w:val="0"/>
              <w:widowControl w:val="0"/>
              <w:spacing w:line="288" w:lineRule="auto"/>
              <w:contextualSpacing/>
              <w:rPr>
                <w:rFonts w:cs="Arial"/>
                <w:color w:val="000000"/>
                <w:shd w:val="clear" w:color="auto" w:fill="FFFFFF"/>
              </w:rPr>
            </w:pPr>
            <w:r w:rsidRPr="00D85E09">
              <w:rPr>
                <w:rFonts w:cs="Arial"/>
                <w:color w:val="000000"/>
                <w:shd w:val="clear" w:color="auto" w:fill="FFFFFF"/>
              </w:rPr>
              <w:t>June 2020</w:t>
            </w:r>
          </w:p>
        </w:tc>
        <w:tc>
          <w:tcPr>
            <w:tcW w:w="875" w:type="pct"/>
            <w:tcMar>
              <w:top w:w="0" w:type="dxa"/>
              <w:left w:w="108" w:type="dxa"/>
              <w:bottom w:w="0" w:type="dxa"/>
              <w:right w:w="108" w:type="dxa"/>
            </w:tcMar>
          </w:tcPr>
          <w:p w14:paraId="3778AC95" w14:textId="77777777" w:rsidR="00315893" w:rsidRPr="00D85E09" w:rsidRDefault="00315893" w:rsidP="0043316B">
            <w:pPr>
              <w:pStyle w:val="Tabletext"/>
              <w:keepNext w:val="0"/>
              <w:widowControl w:val="0"/>
              <w:spacing w:line="288" w:lineRule="auto"/>
              <w:contextualSpacing/>
            </w:pPr>
            <w:r w:rsidRPr="00D85E09">
              <w:t>No data available</w:t>
            </w:r>
          </w:p>
        </w:tc>
      </w:tr>
    </w:tbl>
    <w:p w14:paraId="24A52BD5" w14:textId="77777777" w:rsidR="00315893" w:rsidRPr="00D85E09" w:rsidRDefault="00315893" w:rsidP="0043316B">
      <w:pPr>
        <w:pStyle w:val="TableNotes1"/>
        <w:keepNext w:val="0"/>
        <w:keepLines w:val="0"/>
        <w:widowControl w:val="0"/>
        <w:numPr>
          <w:ilvl w:val="0"/>
          <w:numId w:val="41"/>
        </w:numPr>
      </w:pPr>
      <w:r w:rsidRPr="00D85E09">
        <w:t>Completion dates from Clinicaltrials.gov</w:t>
      </w:r>
    </w:p>
    <w:p w14:paraId="6F8F5B00" w14:textId="77777777" w:rsidR="00315893" w:rsidRPr="00D85E09" w:rsidRDefault="00315893" w:rsidP="0043316B">
      <w:pPr>
        <w:pStyle w:val="Heading5"/>
        <w:widowControl w:val="0"/>
        <w:rPr>
          <w:lang w:val="en-AU"/>
        </w:rPr>
      </w:pPr>
      <w:r w:rsidRPr="00D85E09">
        <w:rPr>
          <w:lang w:val="en-AU"/>
        </w:rPr>
        <w:t>Conclusion</w:t>
      </w:r>
    </w:p>
    <w:p w14:paraId="69A2F9EC" w14:textId="33E4C874" w:rsidR="00315893" w:rsidRPr="00D85E09" w:rsidRDefault="00315893" w:rsidP="0043316B">
      <w:pPr>
        <w:widowControl w:val="0"/>
      </w:pPr>
      <w:r w:rsidRPr="00D85E09">
        <w:t>The search of published and unpublished literature identified eight potentially eligible randomised trials of MT plus usual care and usual care alo</w:t>
      </w:r>
      <w:r w:rsidR="005B7DCE">
        <w:t>ne ESCAPE [Goyal 2015]; EXTEND-I</w:t>
      </w:r>
      <w:r w:rsidRPr="00D85E09">
        <w:t>A [Campbell 2015]; MR CLEAN [Berkhemer 2015]; REVASCAT [Jovin 2015, Jovin 2013, Davalos 2014a, Davalos 2014b, Davalos 2013 and Urra 2015]; SWIFT PRIME [Saver 2015]; MR RESCUE [Kidwell 2013]; IMS-III [Broderick 2013]; SYNTHESIS [Ciccone 2013]) which met inclusion criteria. The search for published literature identified 9 citations representing relevant systematic reviews and/or meta-analyses. Additionally, a further 3 citations were identified via manual searching (Goyal 2016, Campbell 2016 and Sardar 2015).</w:t>
      </w:r>
    </w:p>
    <w:p w14:paraId="2C5AB45E" w14:textId="77777777" w:rsidR="00315893" w:rsidRPr="00D85E09" w:rsidRDefault="00315893" w:rsidP="0043316B">
      <w:pPr>
        <w:pStyle w:val="Heading3"/>
        <w:keepNext w:val="0"/>
        <w:widowControl w:val="0"/>
        <w:spacing w:before="240"/>
        <w:ind w:left="851" w:hanging="851"/>
        <w:jc w:val="both"/>
        <w:rPr>
          <w:lang w:val="en-AU"/>
        </w:rPr>
      </w:pPr>
      <w:bookmarkStart w:id="139" w:name="_Toc397608504"/>
      <w:bookmarkStart w:id="140" w:name="_Toc398719560"/>
      <w:bookmarkStart w:id="141" w:name="_Toc398720959"/>
      <w:bookmarkStart w:id="142" w:name="_Toc400475538"/>
      <w:bookmarkStart w:id="143" w:name="_Toc412109554"/>
      <w:bookmarkStart w:id="144" w:name="_Toc422922395"/>
      <w:bookmarkStart w:id="145" w:name="_Toc453065257"/>
      <w:r w:rsidRPr="00D85E09">
        <w:rPr>
          <w:lang w:val="en-AU"/>
        </w:rPr>
        <w:t>Master list of trials</w:t>
      </w:r>
      <w:bookmarkEnd w:id="139"/>
      <w:bookmarkEnd w:id="140"/>
      <w:bookmarkEnd w:id="141"/>
      <w:bookmarkEnd w:id="142"/>
      <w:bookmarkEnd w:id="143"/>
      <w:bookmarkEnd w:id="144"/>
      <w:bookmarkEnd w:id="145"/>
    </w:p>
    <w:p w14:paraId="2EC647A0" w14:textId="194BAA53" w:rsidR="00315893" w:rsidRPr="00D85E09" w:rsidRDefault="00315893" w:rsidP="0043316B">
      <w:pPr>
        <w:widowControl w:val="0"/>
      </w:pPr>
      <w:r w:rsidRPr="00D85E09">
        <w:t xml:space="preserve">A master list of the eight potentially eligible RCTs meeting initial inclusion criteria, complete with any identified associated reports is presented in </w:t>
      </w:r>
      <w:r w:rsidRPr="00D85E09">
        <w:fldChar w:fldCharType="begin"/>
      </w:r>
      <w:r w:rsidRPr="00D85E09">
        <w:instrText xml:space="preserve"> REF _Ref365985391 \h </w:instrText>
      </w:r>
      <w:r w:rsidRPr="00D85E09">
        <w:fldChar w:fldCharType="separate"/>
      </w:r>
      <w:r w:rsidR="00A456ED" w:rsidRPr="00D85E09">
        <w:t xml:space="preserve">Table </w:t>
      </w:r>
      <w:r w:rsidR="00A456ED">
        <w:rPr>
          <w:noProof/>
        </w:rPr>
        <w:t>15</w:t>
      </w:r>
      <w:r w:rsidRPr="00D85E09">
        <w:fldChar w:fldCharType="end"/>
      </w:r>
      <w:r w:rsidRPr="00D85E09">
        <w:t>. The reports used as key sources of data in this submission are highlighted in bold text. In most cases, these are the primary publications for the trial plus their supplementary appendices and protocols (included in</w:t>
      </w:r>
      <w:r w:rsidR="00164B46">
        <w:t xml:space="preserve"> Appendix B</w:t>
      </w:r>
      <w:r w:rsidRPr="00D85E09">
        <w:t>).</w:t>
      </w:r>
    </w:p>
    <w:p w14:paraId="07B697ED" w14:textId="1BD2674D" w:rsidR="00315893" w:rsidRPr="00D85E09" w:rsidRDefault="00315893" w:rsidP="0043316B">
      <w:pPr>
        <w:widowControl w:val="0"/>
      </w:pPr>
      <w:r w:rsidRPr="00D85E09">
        <w:t xml:space="preserve">Details of these trials are summarised in </w:t>
      </w:r>
      <w:r w:rsidRPr="00D85E09">
        <w:fldChar w:fldCharType="begin"/>
      </w:r>
      <w:r w:rsidRPr="00D85E09">
        <w:instrText xml:space="preserve"> REF _Ref365980829 \h </w:instrText>
      </w:r>
      <w:r w:rsidRPr="00D85E09">
        <w:fldChar w:fldCharType="separate"/>
      </w:r>
      <w:r w:rsidR="00A456ED" w:rsidRPr="00D85E09">
        <w:t xml:space="preserve">Table </w:t>
      </w:r>
      <w:r w:rsidR="00A456ED">
        <w:rPr>
          <w:noProof/>
        </w:rPr>
        <w:t>16</w:t>
      </w:r>
      <w:r w:rsidRPr="00D85E09">
        <w:fldChar w:fldCharType="end"/>
      </w:r>
      <w:r w:rsidRPr="00D85E09">
        <w:t xml:space="preserve">. Upon full review of the eight potentially relevant RCTs, three trials were excluded (MR RESCUE, IMS-III and SYNTHESIS), primarily because the intervention was not considered applicable to the current MSAC submission. The precise reasons for excluding these trials are discussed in Section B.2.3, whilst a summary of the characteristics of the excluded trials is presented in </w:t>
      </w:r>
      <w:r w:rsidRPr="00D85E09">
        <w:fldChar w:fldCharType="begin"/>
      </w:r>
      <w:r w:rsidRPr="00D85E09">
        <w:instrText xml:space="preserve"> REF _Ref365980829 \h </w:instrText>
      </w:r>
      <w:r w:rsidRPr="00D85E09">
        <w:fldChar w:fldCharType="separate"/>
      </w:r>
      <w:r w:rsidR="00A456ED" w:rsidRPr="00D85E09">
        <w:t xml:space="preserve">Table </w:t>
      </w:r>
      <w:r w:rsidR="00A456ED">
        <w:rPr>
          <w:noProof/>
        </w:rPr>
        <w:t>16</w:t>
      </w:r>
      <w:r w:rsidRPr="00D85E09">
        <w:fldChar w:fldCharType="end"/>
      </w:r>
      <w:r w:rsidRPr="00D85E09">
        <w:t>.</w:t>
      </w:r>
      <w:r w:rsidRPr="00D85E09">
        <w:br w:type="page"/>
      </w:r>
    </w:p>
    <w:p w14:paraId="02EF0790" w14:textId="0553810D" w:rsidR="00315893" w:rsidRPr="00D85E09" w:rsidRDefault="00315893" w:rsidP="0043316B">
      <w:pPr>
        <w:pStyle w:val="Caption"/>
        <w:keepNext w:val="0"/>
        <w:widowControl w:val="0"/>
        <w:rPr>
          <w:lang w:val="en-AU"/>
        </w:rPr>
      </w:pPr>
      <w:bookmarkStart w:id="146" w:name="_Ref365985391"/>
      <w:bookmarkStart w:id="147" w:name="_Toc367090370"/>
      <w:bookmarkStart w:id="148" w:name="_Toc453065351"/>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15</w:t>
      </w:r>
      <w:r w:rsidRPr="00D85E09">
        <w:rPr>
          <w:lang w:val="en-AU"/>
        </w:rPr>
        <w:fldChar w:fldCharType="end"/>
      </w:r>
      <w:bookmarkEnd w:id="146"/>
      <w:r w:rsidRPr="00D85E09">
        <w:rPr>
          <w:lang w:val="en-AU"/>
        </w:rPr>
        <w:tab/>
      </w:r>
      <w:bookmarkEnd w:id="147"/>
      <w:r w:rsidRPr="00D85E09">
        <w:rPr>
          <w:lang w:val="en-AU"/>
        </w:rPr>
        <w:t>Master list of RCTs potentially eligible studies identified in the literature</w:t>
      </w:r>
      <w:bookmarkEnd w:id="1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Table 15. Master list of RCTs potentially eligible studies identified in the literature"/>
      </w:tblPr>
      <w:tblGrid>
        <w:gridCol w:w="1174"/>
        <w:gridCol w:w="6521"/>
        <w:gridCol w:w="1592"/>
      </w:tblGrid>
      <w:tr w:rsidR="00315893" w:rsidRPr="00D85E09" w14:paraId="4EF26AC3" w14:textId="77777777" w:rsidTr="00181227">
        <w:trPr>
          <w:tblHeader/>
        </w:trPr>
        <w:tc>
          <w:tcPr>
            <w:tcW w:w="632" w:type="pct"/>
            <w:shd w:val="clear" w:color="auto" w:fill="auto"/>
          </w:tcPr>
          <w:p w14:paraId="2701D616" w14:textId="77777777" w:rsidR="00315893" w:rsidRPr="00D85E09" w:rsidRDefault="00315893" w:rsidP="0043316B">
            <w:pPr>
              <w:pStyle w:val="Tabletext"/>
              <w:keepNext w:val="0"/>
              <w:widowControl w:val="0"/>
              <w:rPr>
                <w:b/>
              </w:rPr>
            </w:pPr>
            <w:r w:rsidRPr="00D85E09">
              <w:rPr>
                <w:b/>
              </w:rPr>
              <w:t>Trial ID</w:t>
            </w:r>
          </w:p>
        </w:tc>
        <w:tc>
          <w:tcPr>
            <w:tcW w:w="3511" w:type="pct"/>
            <w:shd w:val="clear" w:color="auto" w:fill="auto"/>
          </w:tcPr>
          <w:p w14:paraId="0C7EDB5F" w14:textId="77777777" w:rsidR="00315893" w:rsidRPr="00D85E09" w:rsidRDefault="00315893" w:rsidP="0043316B">
            <w:pPr>
              <w:pStyle w:val="Tabletext"/>
              <w:keepNext w:val="0"/>
              <w:widowControl w:val="0"/>
              <w:rPr>
                <w:b/>
              </w:rPr>
            </w:pPr>
            <w:r w:rsidRPr="00D85E09">
              <w:rPr>
                <w:b/>
              </w:rPr>
              <w:t>Citations</w:t>
            </w:r>
          </w:p>
        </w:tc>
        <w:tc>
          <w:tcPr>
            <w:tcW w:w="857" w:type="pct"/>
            <w:shd w:val="clear" w:color="auto" w:fill="auto"/>
          </w:tcPr>
          <w:p w14:paraId="79B279AA" w14:textId="77777777" w:rsidR="00315893" w:rsidRPr="00D85E09" w:rsidRDefault="00315893" w:rsidP="0043316B">
            <w:pPr>
              <w:pStyle w:val="Tabletext"/>
              <w:keepNext w:val="0"/>
              <w:widowControl w:val="0"/>
              <w:rPr>
                <w:b/>
              </w:rPr>
            </w:pPr>
            <w:r w:rsidRPr="00D85E09">
              <w:rPr>
                <w:b/>
              </w:rPr>
              <w:t xml:space="preserve">Pivotal source of data </w:t>
            </w:r>
          </w:p>
        </w:tc>
      </w:tr>
      <w:tr w:rsidR="00315893" w:rsidRPr="00D85E09" w14:paraId="463F0004" w14:textId="77777777" w:rsidTr="00465778">
        <w:tc>
          <w:tcPr>
            <w:tcW w:w="5000" w:type="pct"/>
            <w:gridSpan w:val="3"/>
            <w:shd w:val="clear" w:color="auto" w:fill="FFFFFF" w:themeFill="background1"/>
          </w:tcPr>
          <w:p w14:paraId="44F6AC5B" w14:textId="77777777" w:rsidR="00315893" w:rsidRPr="00D85E09" w:rsidRDefault="00315893" w:rsidP="0043316B">
            <w:pPr>
              <w:pStyle w:val="Tabletext"/>
              <w:keepNext w:val="0"/>
              <w:widowControl w:val="0"/>
              <w:rPr>
                <w:b/>
              </w:rPr>
            </w:pPr>
            <w:r w:rsidRPr="00D85E09">
              <w:rPr>
                <w:b/>
              </w:rPr>
              <w:t>Included</w:t>
            </w:r>
          </w:p>
        </w:tc>
      </w:tr>
      <w:tr w:rsidR="00315893" w:rsidRPr="00D85E09" w14:paraId="6551F886" w14:textId="77777777" w:rsidTr="00181227">
        <w:tc>
          <w:tcPr>
            <w:tcW w:w="632" w:type="pct"/>
          </w:tcPr>
          <w:p w14:paraId="79F074F0" w14:textId="77777777" w:rsidR="00315893" w:rsidRPr="00D85E09" w:rsidRDefault="00315893" w:rsidP="0043316B">
            <w:pPr>
              <w:pStyle w:val="Tabletext"/>
              <w:keepNext w:val="0"/>
              <w:widowControl w:val="0"/>
            </w:pPr>
            <w:r w:rsidRPr="00D85E09">
              <w:t>ESCAPE</w:t>
            </w:r>
          </w:p>
        </w:tc>
        <w:tc>
          <w:tcPr>
            <w:tcW w:w="3511" w:type="pct"/>
          </w:tcPr>
          <w:p w14:paraId="18C31313" w14:textId="16488A2F" w:rsidR="00315893" w:rsidRPr="00D85E09" w:rsidRDefault="00315893" w:rsidP="0043316B">
            <w:pPr>
              <w:pStyle w:val="Tabletext"/>
              <w:keepNext w:val="0"/>
              <w:widowControl w:val="0"/>
              <w:rPr>
                <w:b/>
              </w:rPr>
            </w:pPr>
            <w:r w:rsidRPr="00D85E09">
              <w:rPr>
                <w:b/>
              </w:rPr>
              <w:t>M. Goyal, A.M. Demchuk, B.K. Menon, et al. Randomized assessment of rapid endovascular treatment of isch</w:t>
            </w:r>
            <w:r w:rsidR="00E56287" w:rsidRPr="00D85E09">
              <w:rPr>
                <w:b/>
              </w:rPr>
              <w:t>aemic</w:t>
            </w:r>
            <w:r w:rsidRPr="00D85E09">
              <w:rPr>
                <w:b/>
              </w:rPr>
              <w:t xml:space="preserve"> stroke. </w:t>
            </w:r>
            <w:r w:rsidRPr="00D85E09">
              <w:rPr>
                <w:b/>
                <w:i/>
              </w:rPr>
              <w:t>New Engl J Med</w:t>
            </w:r>
            <w:r w:rsidRPr="00D85E09">
              <w:rPr>
                <w:b/>
              </w:rPr>
              <w:t>. 372 (11):1019-1030, 2015.</w:t>
            </w:r>
          </w:p>
        </w:tc>
        <w:tc>
          <w:tcPr>
            <w:tcW w:w="857" w:type="pct"/>
          </w:tcPr>
          <w:p w14:paraId="0EBF8B5C" w14:textId="77777777" w:rsidR="00315893" w:rsidRPr="00D85E09" w:rsidRDefault="00315893" w:rsidP="0043316B">
            <w:pPr>
              <w:pStyle w:val="Tabletext"/>
              <w:keepNext w:val="0"/>
              <w:widowControl w:val="0"/>
              <w:rPr>
                <w:b/>
              </w:rPr>
            </w:pPr>
            <w:r w:rsidRPr="00D85E09">
              <w:rPr>
                <w:b/>
              </w:rPr>
              <w:t xml:space="preserve">Full publication, Protocol, Supplementary Appendix </w:t>
            </w:r>
          </w:p>
        </w:tc>
      </w:tr>
      <w:tr w:rsidR="00315893" w:rsidRPr="00D85E09" w14:paraId="2A16A3F1" w14:textId="77777777" w:rsidTr="00181227">
        <w:tc>
          <w:tcPr>
            <w:tcW w:w="632" w:type="pct"/>
          </w:tcPr>
          <w:p w14:paraId="14B81E0D" w14:textId="073FDEDF" w:rsidR="00315893" w:rsidRPr="00D85E09" w:rsidRDefault="005B7DCE" w:rsidP="0043316B">
            <w:pPr>
              <w:pStyle w:val="Tabletext"/>
              <w:keepNext w:val="0"/>
              <w:widowControl w:val="0"/>
            </w:pPr>
            <w:r>
              <w:t>EXTEND-I</w:t>
            </w:r>
            <w:r w:rsidR="00315893" w:rsidRPr="00D85E09">
              <w:t>A</w:t>
            </w:r>
          </w:p>
        </w:tc>
        <w:tc>
          <w:tcPr>
            <w:tcW w:w="3511" w:type="pct"/>
          </w:tcPr>
          <w:p w14:paraId="76658560" w14:textId="7EF9815D" w:rsidR="00315893" w:rsidRPr="00D85E09" w:rsidRDefault="00315893" w:rsidP="0043316B">
            <w:pPr>
              <w:pStyle w:val="Tabletext"/>
              <w:keepNext w:val="0"/>
              <w:widowControl w:val="0"/>
              <w:rPr>
                <w:b/>
              </w:rPr>
            </w:pPr>
            <w:r w:rsidRPr="00D85E09">
              <w:rPr>
                <w:b/>
              </w:rPr>
              <w:t>B.C. Campbell, P.J. Mitchell, T.J. Kleinig, et al. Endovascular therapy for isch</w:t>
            </w:r>
            <w:r w:rsidR="00E56287" w:rsidRPr="00D85E09">
              <w:rPr>
                <w:b/>
              </w:rPr>
              <w:t>aemic</w:t>
            </w:r>
            <w:r w:rsidRPr="00D85E09">
              <w:rPr>
                <w:b/>
              </w:rPr>
              <w:t xml:space="preserve"> stroke with perfusion imaging selection. </w:t>
            </w:r>
            <w:r w:rsidRPr="00D85E09">
              <w:rPr>
                <w:b/>
                <w:i/>
              </w:rPr>
              <w:t>New Engl J Med</w:t>
            </w:r>
            <w:r w:rsidRPr="00D85E09">
              <w:rPr>
                <w:b/>
              </w:rPr>
              <w:t>. 372:1009-1018, 2015.</w:t>
            </w:r>
          </w:p>
        </w:tc>
        <w:tc>
          <w:tcPr>
            <w:tcW w:w="857" w:type="pct"/>
          </w:tcPr>
          <w:p w14:paraId="2FBABDF8" w14:textId="77777777" w:rsidR="00315893" w:rsidRPr="00D85E09" w:rsidRDefault="00315893" w:rsidP="0043316B">
            <w:pPr>
              <w:pStyle w:val="Tabletext"/>
              <w:keepNext w:val="0"/>
              <w:widowControl w:val="0"/>
              <w:rPr>
                <w:b/>
              </w:rPr>
            </w:pPr>
            <w:r w:rsidRPr="00D85E09">
              <w:rPr>
                <w:b/>
              </w:rPr>
              <w:t xml:space="preserve">Full publication, Protocol, Supplementary Appendix </w:t>
            </w:r>
          </w:p>
        </w:tc>
      </w:tr>
      <w:tr w:rsidR="00315893" w:rsidRPr="00D85E09" w14:paraId="7E66B289" w14:textId="77777777" w:rsidTr="00181227">
        <w:tc>
          <w:tcPr>
            <w:tcW w:w="632" w:type="pct"/>
          </w:tcPr>
          <w:p w14:paraId="419C2E04" w14:textId="77777777" w:rsidR="00315893" w:rsidRPr="00D85E09" w:rsidRDefault="00315893" w:rsidP="0043316B">
            <w:pPr>
              <w:pStyle w:val="Tabletext"/>
              <w:keepNext w:val="0"/>
              <w:widowControl w:val="0"/>
            </w:pPr>
            <w:r w:rsidRPr="00D85E09">
              <w:t>MR CLEAN</w:t>
            </w:r>
          </w:p>
        </w:tc>
        <w:tc>
          <w:tcPr>
            <w:tcW w:w="3511" w:type="pct"/>
          </w:tcPr>
          <w:p w14:paraId="1F9E24A6" w14:textId="3139AEB0" w:rsidR="00315893" w:rsidRPr="00D85E09" w:rsidRDefault="00315893" w:rsidP="0043316B">
            <w:pPr>
              <w:pStyle w:val="Tabletext"/>
              <w:keepNext w:val="0"/>
              <w:widowControl w:val="0"/>
              <w:rPr>
                <w:b/>
              </w:rPr>
            </w:pPr>
            <w:r w:rsidRPr="00D85E09">
              <w:rPr>
                <w:rFonts w:cs="Arial"/>
                <w:b/>
              </w:rPr>
              <w:t>O.A. Berkhemer, P.S.S. Fransen, D. Beumer, et al. A randomized trial of intra-arterial treatment for acute isch</w:t>
            </w:r>
            <w:r w:rsidR="00E56287" w:rsidRPr="00D85E09">
              <w:rPr>
                <w:rFonts w:cs="Arial"/>
                <w:b/>
              </w:rPr>
              <w:t>aemic</w:t>
            </w:r>
            <w:r w:rsidRPr="00D85E09">
              <w:rPr>
                <w:rFonts w:cs="Arial"/>
                <w:b/>
              </w:rPr>
              <w:t xml:space="preserve"> stroke.</w:t>
            </w:r>
            <w:r w:rsidRPr="00D85E09">
              <w:rPr>
                <w:rFonts w:cs="Arial"/>
                <w:b/>
                <w:i/>
                <w:iCs/>
              </w:rPr>
              <w:t xml:space="preserve"> New Engl J Med.</w:t>
            </w:r>
            <w:r w:rsidRPr="00D85E09">
              <w:rPr>
                <w:rFonts w:cs="Arial"/>
                <w:b/>
              </w:rPr>
              <w:t xml:space="preserve"> 372 (1):11-20, 2015.</w:t>
            </w:r>
          </w:p>
        </w:tc>
        <w:tc>
          <w:tcPr>
            <w:tcW w:w="857" w:type="pct"/>
          </w:tcPr>
          <w:p w14:paraId="10F0BBF0" w14:textId="77777777" w:rsidR="00315893" w:rsidRPr="00D85E09" w:rsidRDefault="00315893" w:rsidP="0043316B">
            <w:pPr>
              <w:pStyle w:val="Tabletext"/>
              <w:keepNext w:val="0"/>
              <w:widowControl w:val="0"/>
              <w:rPr>
                <w:b/>
              </w:rPr>
            </w:pPr>
            <w:r w:rsidRPr="00D85E09">
              <w:rPr>
                <w:b/>
              </w:rPr>
              <w:t xml:space="preserve">Full publication, Protocol, Supplementary Appendix </w:t>
            </w:r>
          </w:p>
        </w:tc>
      </w:tr>
      <w:tr w:rsidR="00315893" w:rsidRPr="00D85E09" w14:paraId="094F4AC7" w14:textId="77777777" w:rsidTr="00181227">
        <w:tc>
          <w:tcPr>
            <w:tcW w:w="632" w:type="pct"/>
            <w:vMerge w:val="restart"/>
          </w:tcPr>
          <w:p w14:paraId="44DC357E" w14:textId="77777777" w:rsidR="00315893" w:rsidRPr="00D85E09" w:rsidRDefault="00315893" w:rsidP="0043316B">
            <w:pPr>
              <w:pStyle w:val="Tabletext"/>
              <w:keepNext w:val="0"/>
              <w:widowControl w:val="0"/>
            </w:pPr>
            <w:r w:rsidRPr="00D85E09">
              <w:t>REVASCAT</w:t>
            </w:r>
          </w:p>
        </w:tc>
        <w:tc>
          <w:tcPr>
            <w:tcW w:w="3511" w:type="pct"/>
          </w:tcPr>
          <w:p w14:paraId="4EFD0933" w14:textId="0824F97A"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b/>
                <w:sz w:val="20"/>
                <w:szCs w:val="20"/>
              </w:rPr>
            </w:pPr>
            <w:r w:rsidRPr="00D85E09">
              <w:rPr>
                <w:rFonts w:ascii="Arial Narrow" w:hAnsi="Arial Narrow"/>
                <w:b/>
                <w:sz w:val="20"/>
                <w:szCs w:val="20"/>
              </w:rPr>
              <w:t>T.G. Jovin, A. Chamorro, E. Cobo, et al. Thrombectomy within 8 hours after symptom onset in isch</w:t>
            </w:r>
            <w:r w:rsidR="00E56287" w:rsidRPr="00D85E09">
              <w:rPr>
                <w:rFonts w:ascii="Arial Narrow" w:hAnsi="Arial Narrow"/>
                <w:b/>
                <w:sz w:val="20"/>
                <w:szCs w:val="20"/>
              </w:rPr>
              <w:t>aemic</w:t>
            </w:r>
            <w:r w:rsidRPr="00D85E09">
              <w:rPr>
                <w:rFonts w:ascii="Arial Narrow" w:hAnsi="Arial Narrow"/>
                <w:b/>
                <w:sz w:val="20"/>
                <w:szCs w:val="20"/>
              </w:rPr>
              <w:t xml:space="preserve"> stroke.</w:t>
            </w:r>
            <w:r w:rsidRPr="00D85E09">
              <w:rPr>
                <w:rFonts w:ascii="Arial Narrow" w:hAnsi="Arial Narrow"/>
                <w:b/>
                <w:i/>
                <w:iCs/>
                <w:sz w:val="20"/>
                <w:szCs w:val="20"/>
              </w:rPr>
              <w:t xml:space="preserve"> New Engl J Med.</w:t>
            </w:r>
            <w:r w:rsidRPr="00D85E09">
              <w:rPr>
                <w:rFonts w:ascii="Arial Narrow" w:hAnsi="Arial Narrow"/>
                <w:b/>
                <w:sz w:val="20"/>
                <w:szCs w:val="20"/>
              </w:rPr>
              <w:t xml:space="preserve"> 372 (24):2296-2306, 2015.</w:t>
            </w:r>
          </w:p>
        </w:tc>
        <w:tc>
          <w:tcPr>
            <w:tcW w:w="857" w:type="pct"/>
          </w:tcPr>
          <w:p w14:paraId="5C56CEFB" w14:textId="77777777" w:rsidR="00315893" w:rsidRPr="00D85E09" w:rsidRDefault="00315893" w:rsidP="0043316B">
            <w:pPr>
              <w:pStyle w:val="Tabletext"/>
              <w:keepNext w:val="0"/>
              <w:widowControl w:val="0"/>
              <w:rPr>
                <w:b/>
              </w:rPr>
            </w:pPr>
            <w:r w:rsidRPr="00D85E09">
              <w:rPr>
                <w:b/>
              </w:rPr>
              <w:t xml:space="preserve">Full publication, Protocol, Supplementary Appendix </w:t>
            </w:r>
          </w:p>
        </w:tc>
      </w:tr>
      <w:tr w:rsidR="00315893" w:rsidRPr="00D85E09" w14:paraId="0EF65D88" w14:textId="77777777" w:rsidTr="00181227">
        <w:tc>
          <w:tcPr>
            <w:tcW w:w="632" w:type="pct"/>
            <w:vMerge/>
          </w:tcPr>
          <w:p w14:paraId="41F474BB" w14:textId="77777777" w:rsidR="00315893" w:rsidRPr="00D85E09" w:rsidRDefault="00315893" w:rsidP="0043316B">
            <w:pPr>
              <w:pStyle w:val="Tabletext"/>
              <w:keepNext w:val="0"/>
              <w:widowControl w:val="0"/>
            </w:pPr>
          </w:p>
        </w:tc>
        <w:tc>
          <w:tcPr>
            <w:tcW w:w="3511" w:type="pct"/>
          </w:tcPr>
          <w:p w14:paraId="5A2F0BDD" w14:textId="77777777"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 xml:space="preserve">A. Davuls, A. Chamorro, C. Molina, et al. REVASCAT: Randomized trial of revascularization with SolitaireÂ® device versus best medical therapy in the treatment of acute stroke due to anterior circulation large vessel occlusion. </w:t>
            </w:r>
            <w:r w:rsidRPr="00D85E09">
              <w:rPr>
                <w:rFonts w:ascii="Arial Narrow" w:hAnsi="Arial Narrow"/>
                <w:i/>
                <w:sz w:val="20"/>
                <w:szCs w:val="20"/>
              </w:rPr>
              <w:t>Int J Stroke.</w:t>
            </w:r>
            <w:r w:rsidRPr="00D85E09">
              <w:rPr>
                <w:rFonts w:ascii="Arial Narrow" w:hAnsi="Arial Narrow"/>
                <w:sz w:val="20"/>
                <w:szCs w:val="20"/>
              </w:rPr>
              <w:t xml:space="preserve"> 10:4, 2015.</w:t>
            </w:r>
            <w:r w:rsidRPr="00D85E09">
              <w:rPr>
                <w:rFonts w:ascii="Arial Narrow" w:hAnsi="Arial Narrow"/>
                <w:sz w:val="20"/>
                <w:szCs w:val="20"/>
              </w:rPr>
              <w:tab/>
            </w:r>
          </w:p>
        </w:tc>
        <w:tc>
          <w:tcPr>
            <w:tcW w:w="857" w:type="pct"/>
          </w:tcPr>
          <w:p w14:paraId="59E706A2" w14:textId="77777777" w:rsidR="00315893" w:rsidRPr="00D85E09" w:rsidRDefault="00315893" w:rsidP="0043316B">
            <w:pPr>
              <w:pStyle w:val="Tabletext"/>
              <w:keepNext w:val="0"/>
              <w:widowControl w:val="0"/>
            </w:pPr>
            <w:r w:rsidRPr="00D85E09">
              <w:t>Abstract only – No results</w:t>
            </w:r>
          </w:p>
        </w:tc>
      </w:tr>
      <w:tr w:rsidR="00315893" w:rsidRPr="00D85E09" w14:paraId="581A5743" w14:textId="77777777" w:rsidTr="00181227">
        <w:tc>
          <w:tcPr>
            <w:tcW w:w="632" w:type="pct"/>
            <w:vMerge/>
          </w:tcPr>
          <w:p w14:paraId="1C6ED45E" w14:textId="77777777" w:rsidR="00315893" w:rsidRPr="00D85E09" w:rsidRDefault="00315893" w:rsidP="0043316B">
            <w:pPr>
              <w:pStyle w:val="Tabletext"/>
              <w:keepNext w:val="0"/>
              <w:widowControl w:val="0"/>
            </w:pPr>
          </w:p>
        </w:tc>
        <w:tc>
          <w:tcPr>
            <w:tcW w:w="3511" w:type="pct"/>
          </w:tcPr>
          <w:p w14:paraId="62D5E932" w14:textId="77777777"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T. G. Jovin, E. Cobo, A. Chamorro, et al. Randomized trial of revascularization with Solitaire FR device versus best medical therapy in the treatment of acute stroke due to an anterior circulation large vessel occlusion presenting within 8 hours of symptom onset.</w:t>
            </w:r>
            <w:r w:rsidRPr="00D85E09">
              <w:rPr>
                <w:rFonts w:ascii="Arial Narrow" w:hAnsi="Arial Narrow"/>
                <w:i/>
                <w:iCs/>
                <w:sz w:val="20"/>
                <w:szCs w:val="20"/>
              </w:rPr>
              <w:t xml:space="preserve"> International Stroke Conference 2013.</w:t>
            </w:r>
            <w:r w:rsidRPr="00D85E09">
              <w:rPr>
                <w:rFonts w:ascii="Arial Narrow" w:hAnsi="Arial Narrow"/>
                <w:sz w:val="20"/>
                <w:szCs w:val="20"/>
              </w:rPr>
              <w:t xml:space="preserve"> 2013.</w:t>
            </w:r>
          </w:p>
        </w:tc>
        <w:tc>
          <w:tcPr>
            <w:tcW w:w="857" w:type="pct"/>
          </w:tcPr>
          <w:p w14:paraId="43601534" w14:textId="77777777" w:rsidR="00315893" w:rsidRPr="00D85E09" w:rsidRDefault="00315893" w:rsidP="0043316B">
            <w:pPr>
              <w:pStyle w:val="Tabletext"/>
              <w:keepNext w:val="0"/>
              <w:widowControl w:val="0"/>
            </w:pPr>
            <w:r w:rsidRPr="00D85E09">
              <w:t>Conference presentation</w:t>
            </w:r>
          </w:p>
        </w:tc>
      </w:tr>
      <w:tr w:rsidR="00315893" w:rsidRPr="00D85E09" w14:paraId="4BBA55B6" w14:textId="77777777" w:rsidTr="00181227">
        <w:tc>
          <w:tcPr>
            <w:tcW w:w="632" w:type="pct"/>
            <w:vMerge/>
          </w:tcPr>
          <w:p w14:paraId="05928A59" w14:textId="77777777" w:rsidR="00315893" w:rsidRPr="00D85E09" w:rsidRDefault="00315893" w:rsidP="0043316B">
            <w:pPr>
              <w:pStyle w:val="Tabletext"/>
              <w:keepNext w:val="0"/>
              <w:widowControl w:val="0"/>
            </w:pPr>
          </w:p>
        </w:tc>
        <w:tc>
          <w:tcPr>
            <w:tcW w:w="3511" w:type="pct"/>
          </w:tcPr>
          <w:p w14:paraId="61D2261D" w14:textId="77777777"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ab/>
              <w:t>A. Davalos, A. Chamorrow, E. Cobo. REVASCAT. RandomizEd trial of reVascularizAtion with Solitaire FR device versus best mediCal therapy i the treatment of Acute stroke due to anTerior circulation large vessel occlusion presenting within 8 hours of symptom onset.</w:t>
            </w:r>
            <w:r w:rsidRPr="00D85E09">
              <w:rPr>
                <w:rFonts w:ascii="Arial Narrow" w:hAnsi="Arial Narrow"/>
                <w:i/>
                <w:iCs/>
                <w:sz w:val="20"/>
                <w:szCs w:val="20"/>
              </w:rPr>
              <w:t xml:space="preserve"> European Stroke Conference 2014.</w:t>
            </w:r>
            <w:r w:rsidRPr="00D85E09">
              <w:rPr>
                <w:rFonts w:ascii="Arial Narrow" w:hAnsi="Arial Narrow"/>
                <w:sz w:val="20"/>
                <w:szCs w:val="20"/>
              </w:rPr>
              <w:t xml:space="preserve"> 2014.</w:t>
            </w:r>
          </w:p>
        </w:tc>
        <w:tc>
          <w:tcPr>
            <w:tcW w:w="857" w:type="pct"/>
          </w:tcPr>
          <w:p w14:paraId="560CFFB3" w14:textId="77777777" w:rsidR="00315893" w:rsidRPr="00D85E09" w:rsidRDefault="00315893" w:rsidP="0043316B">
            <w:pPr>
              <w:pStyle w:val="Tabletext"/>
              <w:keepNext w:val="0"/>
              <w:widowControl w:val="0"/>
            </w:pPr>
            <w:r w:rsidRPr="00D85E09">
              <w:t xml:space="preserve">Abstract only </w:t>
            </w:r>
          </w:p>
        </w:tc>
      </w:tr>
      <w:tr w:rsidR="00315893" w:rsidRPr="00D85E09" w14:paraId="295373B9" w14:textId="77777777" w:rsidTr="00181227">
        <w:tc>
          <w:tcPr>
            <w:tcW w:w="632" w:type="pct"/>
            <w:vMerge/>
          </w:tcPr>
          <w:p w14:paraId="4676FF3C" w14:textId="77777777" w:rsidR="00315893" w:rsidRPr="00D85E09" w:rsidRDefault="00315893" w:rsidP="0043316B">
            <w:pPr>
              <w:pStyle w:val="Tabletext"/>
              <w:keepNext w:val="0"/>
              <w:widowControl w:val="0"/>
            </w:pPr>
          </w:p>
        </w:tc>
        <w:tc>
          <w:tcPr>
            <w:tcW w:w="3511" w:type="pct"/>
          </w:tcPr>
          <w:p w14:paraId="5E2A6BA6" w14:textId="77777777"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A. Davalos, A. Chamorro, E. Cobo. Randomized trial of revascularization with Solitaire FR device versus best medical practice therapy in the treatment of acute stroke due to anterior circulation large vessel occlusion presenting within 8 hours of symptom onset (REVASCAT).</w:t>
            </w:r>
            <w:r w:rsidRPr="00D85E09">
              <w:rPr>
                <w:rFonts w:ascii="Arial Narrow" w:hAnsi="Arial Narrow"/>
                <w:i/>
                <w:iCs/>
                <w:sz w:val="20"/>
                <w:szCs w:val="20"/>
              </w:rPr>
              <w:t xml:space="preserve"> International Stroke Conference 2014.</w:t>
            </w:r>
            <w:r w:rsidRPr="00D85E09">
              <w:rPr>
                <w:rFonts w:ascii="Arial Narrow" w:hAnsi="Arial Narrow"/>
                <w:sz w:val="20"/>
                <w:szCs w:val="20"/>
              </w:rPr>
              <w:t xml:space="preserve"> 2014.</w:t>
            </w:r>
          </w:p>
        </w:tc>
        <w:tc>
          <w:tcPr>
            <w:tcW w:w="857" w:type="pct"/>
          </w:tcPr>
          <w:p w14:paraId="1C70AAC1" w14:textId="77777777" w:rsidR="00315893" w:rsidRPr="00D85E09" w:rsidRDefault="00315893" w:rsidP="0043316B">
            <w:pPr>
              <w:pStyle w:val="Tabletext"/>
              <w:keepNext w:val="0"/>
              <w:widowControl w:val="0"/>
            </w:pPr>
            <w:r w:rsidRPr="00D85E09">
              <w:t>Abstract only</w:t>
            </w:r>
          </w:p>
        </w:tc>
      </w:tr>
      <w:tr w:rsidR="00315893" w:rsidRPr="00D85E09" w14:paraId="54165EBC" w14:textId="77777777" w:rsidTr="00181227">
        <w:tc>
          <w:tcPr>
            <w:tcW w:w="632" w:type="pct"/>
            <w:vMerge/>
          </w:tcPr>
          <w:p w14:paraId="018B503C" w14:textId="77777777" w:rsidR="00315893" w:rsidRPr="00D85E09" w:rsidRDefault="00315893" w:rsidP="0043316B">
            <w:pPr>
              <w:pStyle w:val="Tabletext"/>
              <w:keepNext w:val="0"/>
              <w:widowControl w:val="0"/>
            </w:pPr>
          </w:p>
        </w:tc>
        <w:tc>
          <w:tcPr>
            <w:tcW w:w="3511" w:type="pct"/>
          </w:tcPr>
          <w:p w14:paraId="5891C0F9" w14:textId="77777777"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 xml:space="preserve"> </w:t>
            </w:r>
            <w:r w:rsidRPr="00D85E09">
              <w:rPr>
                <w:rFonts w:ascii="Arial Narrow" w:hAnsi="Arial Narrow"/>
                <w:sz w:val="20"/>
                <w:szCs w:val="20"/>
              </w:rPr>
              <w:tab/>
              <w:t>X. Urra, A. Chamorro, E. Cobo. Randomized trial of revascularization with Solitaire device versus best medical therapy in the treatment of acute stroke due to anterior circulation large vessel occlusion presenting within 8 hours of symptom onset.</w:t>
            </w:r>
            <w:r w:rsidRPr="00D85E09">
              <w:rPr>
                <w:rFonts w:ascii="Arial Narrow" w:hAnsi="Arial Narrow"/>
                <w:i/>
                <w:iCs/>
                <w:sz w:val="20"/>
                <w:szCs w:val="20"/>
              </w:rPr>
              <w:t xml:space="preserve"> International Stroke Conference 2015.</w:t>
            </w:r>
            <w:r w:rsidRPr="00D85E09">
              <w:rPr>
                <w:rFonts w:ascii="Arial Narrow" w:hAnsi="Arial Narrow"/>
                <w:sz w:val="20"/>
                <w:szCs w:val="20"/>
              </w:rPr>
              <w:t xml:space="preserve"> 2015.</w:t>
            </w:r>
          </w:p>
        </w:tc>
        <w:tc>
          <w:tcPr>
            <w:tcW w:w="857" w:type="pct"/>
          </w:tcPr>
          <w:p w14:paraId="6AA4EC9E" w14:textId="77777777" w:rsidR="00315893" w:rsidRPr="00D85E09" w:rsidRDefault="00315893" w:rsidP="0043316B">
            <w:pPr>
              <w:pStyle w:val="Tabletext"/>
              <w:keepNext w:val="0"/>
              <w:widowControl w:val="0"/>
            </w:pPr>
            <w:r w:rsidRPr="00D85E09">
              <w:t>Abstract only</w:t>
            </w:r>
          </w:p>
        </w:tc>
      </w:tr>
      <w:tr w:rsidR="00315893" w:rsidRPr="00D85E09" w14:paraId="7A437EEB" w14:textId="77777777" w:rsidTr="00181227">
        <w:tc>
          <w:tcPr>
            <w:tcW w:w="632" w:type="pct"/>
          </w:tcPr>
          <w:p w14:paraId="793D3D5E" w14:textId="77777777" w:rsidR="00315893" w:rsidRPr="00D85E09" w:rsidRDefault="00315893" w:rsidP="0043316B">
            <w:pPr>
              <w:pStyle w:val="Tabletext"/>
              <w:keepNext w:val="0"/>
              <w:widowControl w:val="0"/>
            </w:pPr>
            <w:r w:rsidRPr="00D85E09">
              <w:t>SWIFT PRIME</w:t>
            </w:r>
          </w:p>
        </w:tc>
        <w:tc>
          <w:tcPr>
            <w:tcW w:w="3511" w:type="pct"/>
          </w:tcPr>
          <w:p w14:paraId="3D682EA4" w14:textId="27CF52F6"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b/>
                <w:sz w:val="20"/>
                <w:szCs w:val="20"/>
              </w:rPr>
            </w:pPr>
            <w:r w:rsidRPr="00D85E09">
              <w:rPr>
                <w:rFonts w:ascii="Arial Narrow" w:hAnsi="Arial Narrow"/>
                <w:b/>
                <w:sz w:val="20"/>
                <w:szCs w:val="20"/>
              </w:rPr>
              <w:t xml:space="preserve">J.L. Saver, M. Goyal, A. Bonafe, et al. Stent retriever thrombectomy after intravenous </w:t>
            </w:r>
            <w:r w:rsidR="005B7DCE">
              <w:rPr>
                <w:rFonts w:ascii="Arial Narrow" w:hAnsi="Arial Narrow"/>
                <w:b/>
                <w:sz w:val="20"/>
                <w:szCs w:val="20"/>
              </w:rPr>
              <w:t>tPA</w:t>
            </w:r>
            <w:r w:rsidRPr="00D85E09">
              <w:rPr>
                <w:rFonts w:ascii="Arial Narrow" w:hAnsi="Arial Narrow"/>
                <w:b/>
                <w:sz w:val="20"/>
                <w:szCs w:val="20"/>
              </w:rPr>
              <w:t xml:space="preserve"> vs. </w:t>
            </w:r>
            <w:r w:rsidR="005B7DCE">
              <w:rPr>
                <w:rFonts w:ascii="Arial Narrow" w:hAnsi="Arial Narrow"/>
                <w:b/>
                <w:sz w:val="20"/>
                <w:szCs w:val="20"/>
              </w:rPr>
              <w:t>tPA</w:t>
            </w:r>
            <w:r w:rsidRPr="00D85E09">
              <w:rPr>
                <w:rFonts w:ascii="Arial Narrow" w:hAnsi="Arial Narrow"/>
                <w:b/>
                <w:sz w:val="20"/>
                <w:szCs w:val="20"/>
              </w:rPr>
              <w:t xml:space="preserve"> alone in stroke.</w:t>
            </w:r>
            <w:r w:rsidRPr="00D85E09">
              <w:rPr>
                <w:rFonts w:ascii="Arial Narrow" w:hAnsi="Arial Narrow"/>
                <w:b/>
                <w:i/>
                <w:iCs/>
                <w:sz w:val="20"/>
                <w:szCs w:val="20"/>
              </w:rPr>
              <w:t xml:space="preserve"> New Engl J Med</w:t>
            </w:r>
            <w:r w:rsidRPr="00D85E09">
              <w:rPr>
                <w:rFonts w:ascii="Arial Narrow" w:hAnsi="Arial Narrow"/>
                <w:b/>
                <w:sz w:val="20"/>
                <w:szCs w:val="20"/>
              </w:rPr>
              <w:t>. 372:2285-2295, 2015.</w:t>
            </w:r>
          </w:p>
        </w:tc>
        <w:tc>
          <w:tcPr>
            <w:tcW w:w="857" w:type="pct"/>
          </w:tcPr>
          <w:p w14:paraId="60D22E35" w14:textId="77777777" w:rsidR="00315893" w:rsidRPr="00D85E09" w:rsidRDefault="00315893" w:rsidP="0043316B">
            <w:pPr>
              <w:pStyle w:val="Tabletext"/>
              <w:keepNext w:val="0"/>
              <w:widowControl w:val="0"/>
              <w:rPr>
                <w:b/>
              </w:rPr>
            </w:pPr>
            <w:r w:rsidRPr="00D85E09">
              <w:rPr>
                <w:b/>
              </w:rPr>
              <w:t>Full publication, Protocol, Supplementary Appendix</w:t>
            </w:r>
          </w:p>
        </w:tc>
      </w:tr>
      <w:tr w:rsidR="00315893" w:rsidRPr="00D85E09" w14:paraId="7611A1F6" w14:textId="77777777" w:rsidTr="00465778">
        <w:tc>
          <w:tcPr>
            <w:tcW w:w="5000" w:type="pct"/>
            <w:gridSpan w:val="3"/>
            <w:shd w:val="clear" w:color="auto" w:fill="FFFFFF" w:themeFill="background1"/>
          </w:tcPr>
          <w:p w14:paraId="0A68EB25" w14:textId="77777777" w:rsidR="00315893" w:rsidRPr="00D85E09" w:rsidRDefault="00315893" w:rsidP="0043316B">
            <w:pPr>
              <w:pStyle w:val="Tabletext"/>
              <w:keepNext w:val="0"/>
              <w:widowControl w:val="0"/>
              <w:rPr>
                <w:b/>
              </w:rPr>
            </w:pPr>
            <w:r w:rsidRPr="00D85E09">
              <w:rPr>
                <w:b/>
              </w:rPr>
              <w:t>Excluded</w:t>
            </w:r>
          </w:p>
        </w:tc>
      </w:tr>
      <w:tr w:rsidR="00315893" w:rsidRPr="00D85E09" w14:paraId="3C0D367B" w14:textId="77777777" w:rsidTr="00181227">
        <w:tc>
          <w:tcPr>
            <w:tcW w:w="632" w:type="pct"/>
          </w:tcPr>
          <w:p w14:paraId="1D7F4B10" w14:textId="77777777" w:rsidR="00315893" w:rsidRPr="00D85E09" w:rsidRDefault="00315893" w:rsidP="0043316B">
            <w:pPr>
              <w:pStyle w:val="Tabletext"/>
              <w:keepNext w:val="0"/>
              <w:widowControl w:val="0"/>
            </w:pPr>
            <w:r w:rsidRPr="00D85E09">
              <w:t>SYNTHESIS</w:t>
            </w:r>
          </w:p>
        </w:tc>
        <w:tc>
          <w:tcPr>
            <w:tcW w:w="3511" w:type="pct"/>
          </w:tcPr>
          <w:p w14:paraId="376F5F7B" w14:textId="365A5F8A"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A. Ciccone, L. Valvassori, M. Nichelatti, A. Sgoifo, M. Ponzio, R. Sterzi, and E. Boccardi. Endovascular treatment for acute isch</w:t>
            </w:r>
            <w:r w:rsidR="00E56287" w:rsidRPr="00D85E09">
              <w:rPr>
                <w:rFonts w:ascii="Arial Narrow" w:hAnsi="Arial Narrow"/>
                <w:sz w:val="20"/>
                <w:szCs w:val="20"/>
              </w:rPr>
              <w:t>aemic</w:t>
            </w:r>
            <w:r w:rsidRPr="00D85E09">
              <w:rPr>
                <w:rFonts w:ascii="Arial Narrow" w:hAnsi="Arial Narrow"/>
                <w:sz w:val="20"/>
                <w:szCs w:val="20"/>
              </w:rPr>
              <w:t xml:space="preserve"> stroke.</w:t>
            </w:r>
            <w:r w:rsidRPr="00D85E09">
              <w:rPr>
                <w:rFonts w:ascii="Arial Narrow" w:hAnsi="Arial Narrow"/>
                <w:i/>
                <w:iCs/>
                <w:sz w:val="20"/>
                <w:szCs w:val="20"/>
              </w:rPr>
              <w:t xml:space="preserve"> New Engl.J.Med.</w:t>
            </w:r>
            <w:r w:rsidRPr="00D85E09">
              <w:rPr>
                <w:rFonts w:ascii="Arial Narrow" w:hAnsi="Arial Narrow"/>
                <w:sz w:val="20"/>
                <w:szCs w:val="20"/>
              </w:rPr>
              <w:t xml:space="preserve"> 368:904-913, 2013.</w:t>
            </w:r>
          </w:p>
        </w:tc>
        <w:tc>
          <w:tcPr>
            <w:tcW w:w="857" w:type="pct"/>
          </w:tcPr>
          <w:p w14:paraId="46AED424" w14:textId="77777777" w:rsidR="00315893" w:rsidRPr="00D85E09" w:rsidRDefault="00315893" w:rsidP="0043316B">
            <w:pPr>
              <w:pStyle w:val="Tabletext"/>
              <w:keepNext w:val="0"/>
              <w:widowControl w:val="0"/>
            </w:pPr>
            <w:r w:rsidRPr="00D85E09">
              <w:t>Full publication</w:t>
            </w:r>
          </w:p>
        </w:tc>
      </w:tr>
      <w:tr w:rsidR="00315893" w:rsidRPr="00D85E09" w14:paraId="0BA8D64E" w14:textId="77777777" w:rsidTr="00181227">
        <w:tc>
          <w:tcPr>
            <w:tcW w:w="632" w:type="pct"/>
          </w:tcPr>
          <w:p w14:paraId="61EFD882" w14:textId="77777777" w:rsidR="00315893" w:rsidRPr="00D85E09" w:rsidRDefault="00315893" w:rsidP="0043316B">
            <w:pPr>
              <w:pStyle w:val="Tabletext"/>
              <w:keepNext w:val="0"/>
              <w:widowControl w:val="0"/>
            </w:pPr>
            <w:r w:rsidRPr="00D85E09">
              <w:t xml:space="preserve"> MR RESCUE </w:t>
            </w:r>
          </w:p>
        </w:tc>
        <w:tc>
          <w:tcPr>
            <w:tcW w:w="3511" w:type="pct"/>
          </w:tcPr>
          <w:p w14:paraId="4951EC89" w14:textId="0688585F"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C.S. Kidwell, R. Jahan, J. Gornbein, et al. A trial of imaging selection and endovascular treatment for isch</w:t>
            </w:r>
            <w:r w:rsidR="00E56287" w:rsidRPr="00D85E09">
              <w:rPr>
                <w:rFonts w:ascii="Arial Narrow" w:hAnsi="Arial Narrow"/>
                <w:sz w:val="20"/>
                <w:szCs w:val="20"/>
              </w:rPr>
              <w:t>aemic</w:t>
            </w:r>
            <w:r w:rsidRPr="00D85E09">
              <w:rPr>
                <w:rFonts w:ascii="Arial Narrow" w:hAnsi="Arial Narrow"/>
                <w:sz w:val="20"/>
                <w:szCs w:val="20"/>
              </w:rPr>
              <w:t xml:space="preserve"> stroke.</w:t>
            </w:r>
            <w:r w:rsidRPr="00D85E09">
              <w:rPr>
                <w:rFonts w:ascii="Arial Narrow" w:hAnsi="Arial Narrow"/>
                <w:i/>
                <w:iCs/>
                <w:sz w:val="20"/>
                <w:szCs w:val="20"/>
              </w:rPr>
              <w:t xml:space="preserve"> </w:t>
            </w:r>
            <w:r w:rsidRPr="00D85E09">
              <w:rPr>
                <w:rFonts w:ascii="Arial Narrow" w:hAnsi="Arial Narrow"/>
                <w:i/>
                <w:sz w:val="20"/>
                <w:szCs w:val="20"/>
              </w:rPr>
              <w:t>New Engl J Med</w:t>
            </w:r>
            <w:r w:rsidRPr="00D85E09">
              <w:rPr>
                <w:rFonts w:ascii="Arial Narrow" w:hAnsi="Arial Narrow"/>
                <w:sz w:val="20"/>
                <w:szCs w:val="20"/>
              </w:rPr>
              <w:t>. 368:914-923, 2013.</w:t>
            </w:r>
          </w:p>
        </w:tc>
        <w:tc>
          <w:tcPr>
            <w:tcW w:w="857" w:type="pct"/>
          </w:tcPr>
          <w:p w14:paraId="66EC2087" w14:textId="77777777" w:rsidR="00315893" w:rsidRPr="00D85E09" w:rsidRDefault="00315893" w:rsidP="0043316B">
            <w:pPr>
              <w:pStyle w:val="Tabletext"/>
              <w:keepNext w:val="0"/>
              <w:widowControl w:val="0"/>
            </w:pPr>
            <w:r w:rsidRPr="00D85E09">
              <w:t>Full publication</w:t>
            </w:r>
          </w:p>
        </w:tc>
      </w:tr>
      <w:tr w:rsidR="00315893" w:rsidRPr="00D85E09" w14:paraId="4F4E1FC7" w14:textId="77777777" w:rsidTr="00181227">
        <w:tc>
          <w:tcPr>
            <w:tcW w:w="632" w:type="pct"/>
          </w:tcPr>
          <w:p w14:paraId="67321A18" w14:textId="77777777" w:rsidR="00315893" w:rsidRPr="00D85E09" w:rsidRDefault="00315893" w:rsidP="0043316B">
            <w:pPr>
              <w:pStyle w:val="Tabletext"/>
              <w:keepNext w:val="0"/>
              <w:widowControl w:val="0"/>
            </w:pPr>
            <w:r w:rsidRPr="00D85E09">
              <w:lastRenderedPageBreak/>
              <w:t>IMS-III</w:t>
            </w:r>
          </w:p>
        </w:tc>
        <w:tc>
          <w:tcPr>
            <w:tcW w:w="3511" w:type="pct"/>
          </w:tcPr>
          <w:p w14:paraId="081FE78F" w14:textId="782F8C66" w:rsidR="00315893" w:rsidRPr="00D85E09" w:rsidRDefault="00315893" w:rsidP="0043316B">
            <w:pPr>
              <w:widowControl w:val="0"/>
              <w:tabs>
                <w:tab w:val="right" w:pos="360"/>
                <w:tab w:val="left" w:pos="540"/>
              </w:tabs>
              <w:autoSpaceDE w:val="0"/>
              <w:autoSpaceDN w:val="0"/>
              <w:adjustRightInd w:val="0"/>
              <w:spacing w:before="60" w:after="40" w:line="240" w:lineRule="auto"/>
              <w:rPr>
                <w:rFonts w:ascii="Arial Narrow" w:hAnsi="Arial Narrow"/>
                <w:sz w:val="20"/>
                <w:szCs w:val="20"/>
              </w:rPr>
            </w:pPr>
            <w:r w:rsidRPr="00D85E09">
              <w:rPr>
                <w:rFonts w:ascii="Arial Narrow" w:hAnsi="Arial Narrow"/>
                <w:sz w:val="20"/>
                <w:szCs w:val="20"/>
              </w:rPr>
              <w:t xml:space="preserve">J.P. Broderick, Y.Y. Palesch, A.M. Demchuk, et al. Endovascular therapy after intravenous </w:t>
            </w:r>
            <w:r w:rsidR="005B7DCE">
              <w:rPr>
                <w:rFonts w:ascii="Arial Narrow" w:hAnsi="Arial Narrow"/>
                <w:sz w:val="20"/>
                <w:szCs w:val="20"/>
              </w:rPr>
              <w:t>tPA</w:t>
            </w:r>
            <w:r w:rsidRPr="00D85E09">
              <w:rPr>
                <w:rFonts w:ascii="Arial Narrow" w:hAnsi="Arial Narrow"/>
                <w:sz w:val="20"/>
                <w:szCs w:val="20"/>
              </w:rPr>
              <w:t xml:space="preserve"> versus </w:t>
            </w:r>
            <w:r w:rsidR="005B7DCE">
              <w:rPr>
                <w:rFonts w:ascii="Arial Narrow" w:hAnsi="Arial Narrow"/>
                <w:sz w:val="20"/>
                <w:szCs w:val="20"/>
              </w:rPr>
              <w:t>tPA</w:t>
            </w:r>
            <w:r w:rsidRPr="00D85E09">
              <w:rPr>
                <w:rFonts w:ascii="Arial Narrow" w:hAnsi="Arial Narrow"/>
                <w:sz w:val="20"/>
                <w:szCs w:val="20"/>
              </w:rPr>
              <w:t xml:space="preserve"> alone for stroke.</w:t>
            </w:r>
            <w:r w:rsidRPr="00D85E09">
              <w:rPr>
                <w:rFonts w:ascii="Arial Narrow" w:hAnsi="Arial Narrow"/>
                <w:i/>
                <w:iCs/>
                <w:sz w:val="20"/>
                <w:szCs w:val="20"/>
              </w:rPr>
              <w:t xml:space="preserve"> New Engl J Med.</w:t>
            </w:r>
            <w:r w:rsidRPr="00D85E09">
              <w:rPr>
                <w:rFonts w:ascii="Arial Narrow" w:hAnsi="Arial Narrow"/>
                <w:sz w:val="20"/>
                <w:szCs w:val="20"/>
              </w:rPr>
              <w:t xml:space="preserve"> 368 (10):893-903, 2013.</w:t>
            </w:r>
          </w:p>
        </w:tc>
        <w:tc>
          <w:tcPr>
            <w:tcW w:w="857" w:type="pct"/>
          </w:tcPr>
          <w:p w14:paraId="4B030E73" w14:textId="77777777" w:rsidR="00315893" w:rsidRPr="00D85E09" w:rsidRDefault="00315893" w:rsidP="0043316B">
            <w:pPr>
              <w:pStyle w:val="Tabletext"/>
              <w:keepNext w:val="0"/>
              <w:widowControl w:val="0"/>
            </w:pPr>
            <w:r w:rsidRPr="00D85E09">
              <w:t>Full publication</w:t>
            </w:r>
          </w:p>
        </w:tc>
      </w:tr>
    </w:tbl>
    <w:p w14:paraId="0325F282" w14:textId="15BE4BAE" w:rsidR="00315893" w:rsidRPr="00D85E09" w:rsidRDefault="00315893" w:rsidP="0043316B">
      <w:pPr>
        <w:pStyle w:val="Tablefooter"/>
        <w:widowControl w:val="0"/>
      </w:pPr>
      <w:r w:rsidRPr="00D85E09">
        <w:t xml:space="preserve">Key sources of data are in bold text; these are included in </w:t>
      </w:r>
      <w:r w:rsidR="00164B46">
        <w:t>Appendix B</w:t>
      </w:r>
      <w:r w:rsidRPr="00D85E09">
        <w:t>, whilst other citations are included in the reference folder</w:t>
      </w:r>
    </w:p>
    <w:p w14:paraId="61D51734" w14:textId="77777777" w:rsidR="00315893" w:rsidRPr="00D85E09" w:rsidRDefault="00315893" w:rsidP="0043316B">
      <w:pPr>
        <w:pStyle w:val="Heading3"/>
        <w:keepNext w:val="0"/>
        <w:widowControl w:val="0"/>
        <w:spacing w:before="240"/>
        <w:ind w:left="851" w:hanging="851"/>
        <w:jc w:val="both"/>
        <w:rPr>
          <w:lang w:val="en-AU"/>
        </w:rPr>
      </w:pPr>
      <w:bookmarkStart w:id="149" w:name="_Toc367090347"/>
      <w:bookmarkStart w:id="150" w:name="_Toc453065258"/>
      <w:r w:rsidRPr="00D85E09">
        <w:rPr>
          <w:lang w:val="en-AU"/>
        </w:rPr>
        <w:t>Summary of included studies</w:t>
      </w:r>
      <w:bookmarkEnd w:id="149"/>
      <w:bookmarkEnd w:id="150"/>
    </w:p>
    <w:p w14:paraId="46E805A7" w14:textId="77777777" w:rsidR="00315893" w:rsidRPr="00D85E09" w:rsidRDefault="00315893" w:rsidP="0043316B">
      <w:pPr>
        <w:widowControl w:val="0"/>
      </w:pPr>
      <w:r w:rsidRPr="00D85E09">
        <w:t>Four of the five trials were terminated early due to external evidence and/or efficacy. In three trials (ESCAPE, EXTEND-IA and SWIFT PRIME), unplanned interim analyses were conducted following the release of results from MR CLEAN. In these three trials, the pre-specified stopping boundaries were met, and the trials were terminated early due to efficacy. The stopping boundaries were based on measures of disability (score on the modified Rankin scale), reperfusion or neurological function (i.e. not mortality outcomes). REVASCAT was terminated due to a stated loss of clinical equipoise (i.e. loss of uncertainty on the relative treatment benefits of MT and comparators – in practice the emerging results from other trials raised ethical concerns about further assignment of patients to the control group), despite the trial’s interim results not meeting the pre-specified stopping boundaries.</w:t>
      </w:r>
    </w:p>
    <w:p w14:paraId="4E2DA764" w14:textId="77777777" w:rsidR="00315893" w:rsidRPr="00D85E09" w:rsidRDefault="00315893" w:rsidP="0043316B">
      <w:pPr>
        <w:pStyle w:val="Heading5"/>
        <w:widowControl w:val="0"/>
        <w:rPr>
          <w:lang w:val="en-AU"/>
        </w:rPr>
      </w:pPr>
      <w:r w:rsidRPr="00D85E09">
        <w:rPr>
          <w:lang w:val="en-AU"/>
        </w:rPr>
        <w:t>ESCAPE</w:t>
      </w:r>
    </w:p>
    <w:p w14:paraId="487B8B5B" w14:textId="77777777" w:rsidR="00315893" w:rsidRPr="00D85E09" w:rsidRDefault="00315893" w:rsidP="0043316B">
      <w:pPr>
        <w:widowControl w:val="0"/>
        <w:rPr>
          <w:rFonts w:eastAsia="MS Mincho" w:cstheme="minorHAnsi"/>
          <w:lang w:eastAsia="en-AU"/>
        </w:rPr>
      </w:pPr>
      <w:r w:rsidRPr="00D85E09">
        <w:rPr>
          <w:rFonts w:eastAsia="MS Mincho" w:cstheme="minorHAnsi"/>
          <w:lang w:eastAsia="en-AU"/>
        </w:rPr>
        <w:t>The ESCAPE trial was a multicentre, prospective, randomised, open-label, controlled trial with blinded outcome evaluation (PROBE design). ESCAPE was designed to show that rapid endovascular revascularisation amongst radiologically selected patients with ischaemic stroke results in improved outcome compared to patients treated in clinical routine. The study was performed at 22 centres in Canada (11 centres), the United States (6), South Korea (3), Ireland (1), and the United Kingdom (1).</w:t>
      </w:r>
    </w:p>
    <w:p w14:paraId="469E0EB4" w14:textId="77777777" w:rsidR="00315893" w:rsidRPr="00D85E09" w:rsidRDefault="00315893" w:rsidP="0043316B">
      <w:pPr>
        <w:widowControl w:val="0"/>
        <w:rPr>
          <w:rFonts w:eastAsia="MS Mincho" w:cstheme="minorHAnsi"/>
          <w:lang w:eastAsia="en-AU"/>
        </w:rPr>
      </w:pPr>
      <w:r w:rsidRPr="00D85E09">
        <w:rPr>
          <w:rFonts w:eastAsia="MS Mincho" w:cstheme="minorHAnsi"/>
          <w:lang w:eastAsia="en-AU"/>
        </w:rPr>
        <w:t>Eligible participants consisted of those with a disabling ischaemic stroke who had been functioning independently in the community (score on the Barthel Index ≥90) before the stroke. Enrolment could occur up to 12 hours after the onset of stroke symptoms. Non-contrast CT and CTA were performed to identify participants.</w:t>
      </w:r>
      <w:r w:rsidRPr="00D85E09">
        <w:t xml:space="preserve"> </w:t>
      </w:r>
      <w:r w:rsidRPr="00D85E09">
        <w:rPr>
          <w:rFonts w:eastAsia="MS Mincho" w:cstheme="minorHAnsi"/>
          <w:lang w:eastAsia="en-AU"/>
        </w:rPr>
        <w:t>Before and during screening, participants were treated with IV alteplase when clinically appropriate as part of standard care. Participants in the intervention treatment arm underwent rapid endovascular treatment (with any approved endovascular intervention), the majority of which were stent retrievers.</w:t>
      </w:r>
    </w:p>
    <w:p w14:paraId="38A6F7C4" w14:textId="77777777" w:rsidR="00315893" w:rsidRPr="00D85E09" w:rsidRDefault="00315893" w:rsidP="0043316B">
      <w:pPr>
        <w:widowControl w:val="0"/>
      </w:pPr>
      <w:r w:rsidRPr="00D85E09">
        <w:t>The primary outcome was score on the modified Rankin scale at 90 days after randomisation. Secondary and safety outcomes included early recanalisation and reperfusion, intra-cranial haemorrhage, angiographic complications, neurologic disability at 90 days, and death.</w:t>
      </w:r>
    </w:p>
    <w:p w14:paraId="787BF503" w14:textId="77777777" w:rsidR="00315893" w:rsidRPr="00D85E09" w:rsidRDefault="00315893" w:rsidP="0043316B">
      <w:pPr>
        <w:widowControl w:val="0"/>
        <w:rPr>
          <w:rFonts w:eastAsia="OTNEJMQuadraat"/>
          <w:lang w:eastAsia="en-AU"/>
        </w:rPr>
      </w:pPr>
      <w:r w:rsidRPr="00D85E09">
        <w:rPr>
          <w:rFonts w:eastAsia="OTNEJMQuadraat"/>
          <w:lang w:eastAsia="en-AU"/>
        </w:rPr>
        <w:lastRenderedPageBreak/>
        <w:t>An unplanned interim analysis was conducted after the release of the MR CLEAN results, which showed efficacy of endovascular therapy. The ESCAPE trial was stopped early on the advice of the data and safety monitoring board because the pre-specified boundary for efficacy had been crossed.</w:t>
      </w:r>
    </w:p>
    <w:p w14:paraId="467379FD" w14:textId="55044F89" w:rsidR="00315893" w:rsidRPr="00D85E09" w:rsidRDefault="005B7DCE" w:rsidP="0043316B">
      <w:pPr>
        <w:pStyle w:val="Heading5"/>
        <w:widowControl w:val="0"/>
        <w:rPr>
          <w:lang w:val="en-AU"/>
        </w:rPr>
      </w:pPr>
      <w:r>
        <w:rPr>
          <w:lang w:val="en-AU"/>
        </w:rPr>
        <w:t>EXTEND-I</w:t>
      </w:r>
      <w:r w:rsidR="00315893" w:rsidRPr="00D85E09">
        <w:rPr>
          <w:lang w:val="en-AU"/>
        </w:rPr>
        <w:t>A</w:t>
      </w:r>
    </w:p>
    <w:p w14:paraId="571BA92A" w14:textId="77777777" w:rsidR="00315893" w:rsidRPr="00D85E09" w:rsidRDefault="00315893" w:rsidP="0043316B">
      <w:pPr>
        <w:widowControl w:val="0"/>
      </w:pPr>
      <w:r w:rsidRPr="00D85E09">
        <w:t>The EXTEND-IA trial was an investigator-initiated, multicentre, prospective, randomised, open-label, controlled trial with blinded outcome evaluation (PROBE design). EXTEND-IA study was designed to test the hypothesis that patients with anterior circulation ischaemic stroke will have improved reperfusion and early neurologic improvement when treated with early endovascular thrombectomy after IV administration of alteplase, as compared with the use of alteplase alone. The study was performed in 14 centres in Australia and New Zealand.</w:t>
      </w:r>
    </w:p>
    <w:p w14:paraId="5B358A52" w14:textId="77777777" w:rsidR="00315893" w:rsidRPr="00D85E09" w:rsidRDefault="00315893" w:rsidP="0043316B">
      <w:pPr>
        <w:widowControl w:val="0"/>
      </w:pPr>
      <w:r w:rsidRPr="00D85E09">
        <w:t>Patients were eligible if they could receive IV alteplase within 4.5 hours after the onset of anterior circulation ischaemic stroke. All patients received alteplase at a dose of 0.9 mg per kilogram as standard care. Patients were randomly assigned in a 1:1 ratio to receive either alteplase plus endovascular therapy with the use of the Solitaire stent retriever (endovascular therapy group) or no further therapy (alteplase-only group). Endovascular therapy had to be initiated (groin puncture) within 6 hours after stroke onset and completed within 8 hours after onset.</w:t>
      </w:r>
    </w:p>
    <w:p w14:paraId="3008525E" w14:textId="77777777" w:rsidR="00315893" w:rsidRPr="00D85E09" w:rsidRDefault="00315893" w:rsidP="0043316B">
      <w:pPr>
        <w:widowControl w:val="0"/>
      </w:pPr>
      <w:r w:rsidRPr="00D85E09">
        <w:t>The co-primary outcomes were a) reperfusion (which was defined as the percentage reduction in the perfusion-lesion volume between initial imaging and imaging at 24 hours), and b) early neurologic improvement (which was defined as a reduction of 8 points or more on the NIHSS or a score of 0 or 1 at 3 days). Secondary outcomes were the score on the modified Rankin scale at 90 days, death due to any cause, and symptomatic intra-cranial haemorrhage, including any subarachnoid haemorrhage associated with clinical symptoms and symptomatic intracerebral haemorrhage.</w:t>
      </w:r>
    </w:p>
    <w:p w14:paraId="4A4CAD2D" w14:textId="16D852B1" w:rsidR="00181227" w:rsidRDefault="00315893" w:rsidP="0043316B">
      <w:pPr>
        <w:widowControl w:val="0"/>
      </w:pPr>
      <w:r w:rsidRPr="00D85E09">
        <w:t>After the release of the results of the MR CLEAN study, recruitment into the trial was suspended on October 31, 2014, and the data and safety monitoring board reviewed data for the 70 enrolled patients. A pre-specified Haybittle–Peto stopping boundary was applied to the co-primary outcome in the ITT population with the use of Holm’s step-down procedure, so that one co-primary outcome was tested at a z value of more than 3.29 and the other at a z value of more than 3. Because the pre-specified boundary for efficacy had been crossed, the data and safety monitoring board stopped the trial for efficacy after this analysis.</w:t>
      </w:r>
      <w:r w:rsidR="00181227">
        <w:br w:type="page"/>
      </w:r>
    </w:p>
    <w:p w14:paraId="7A9C66B2" w14:textId="77777777" w:rsidR="00315893" w:rsidRPr="00D85E09" w:rsidRDefault="00315893" w:rsidP="0043316B">
      <w:pPr>
        <w:pStyle w:val="Heading5"/>
        <w:widowControl w:val="0"/>
        <w:rPr>
          <w:lang w:val="en-AU"/>
        </w:rPr>
      </w:pPr>
      <w:r w:rsidRPr="00D85E09">
        <w:rPr>
          <w:lang w:val="en-AU"/>
        </w:rPr>
        <w:lastRenderedPageBreak/>
        <w:t>MR CLEAN</w:t>
      </w:r>
    </w:p>
    <w:p w14:paraId="5D1CA237" w14:textId="77777777" w:rsidR="00315893" w:rsidRPr="00D85E09" w:rsidRDefault="00315893" w:rsidP="0043316B">
      <w:pPr>
        <w:widowControl w:val="0"/>
      </w:pPr>
      <w:r w:rsidRPr="00D85E09">
        <w:t xml:space="preserve">MR CLEAN was a </w:t>
      </w:r>
      <w:r w:rsidRPr="00D85E09">
        <w:rPr>
          <w:lang w:eastAsia="en-AU"/>
        </w:rPr>
        <w:t>multicentre clinical trial with randomised treatment allocation, open-label treatment and blinded endpoint evaluation (PROBE design).</w:t>
      </w:r>
      <w:r w:rsidRPr="00D85E09">
        <w:t>The study was conducted at 16 centres in the Netherlands. The primary objective of MR CLEAN was to estimate the effect of endovascular treatment on overall functional outcome after AIS.</w:t>
      </w:r>
    </w:p>
    <w:p w14:paraId="2E87F305" w14:textId="77777777" w:rsidR="00315893" w:rsidRPr="00D85E09" w:rsidRDefault="00315893" w:rsidP="0043316B">
      <w:pPr>
        <w:widowControl w:val="0"/>
      </w:pPr>
      <w:r w:rsidRPr="00D85E09">
        <w:t>The trial compared intra-arterial treatment (intra-arterial thrombolysis, mechanical treatment, or both) plus usual care (which could include IV administration of alteplase) with usual care alone (control group). This was considered to be a pragmatic RCT which aimed to consider ‘real world’ practice; that is, the method of intra-arterial therapy type of mechanical thrombectomy, and to the choice for general anaesthesia was left to the discretion of the local interventionist, Patients were 18 years of age or older (no upper age limit) with AIS caused by an intra-cranial occlusion in the anterior circulation artery.</w:t>
      </w:r>
    </w:p>
    <w:p w14:paraId="3082D4E5" w14:textId="5722068E" w:rsidR="00315893" w:rsidRPr="00D85E09" w:rsidRDefault="00315893" w:rsidP="0043316B">
      <w:pPr>
        <w:widowControl w:val="0"/>
      </w:pPr>
      <w:r w:rsidRPr="00D85E09">
        <w:t>The primary outcome was the score on the modified Rankin scale at 90 days. Secondary outcomes included the NIHSS score at 24 hours and at 5 to 7 days or discharge if earlier, activities of daily living measured with the Barthel Index, and the health-related quality of life measured with the EuroQo</w:t>
      </w:r>
      <w:r w:rsidR="00A8075A" w:rsidRPr="00D85E09">
        <w:t>L</w:t>
      </w:r>
      <w:r w:rsidRPr="00D85E09">
        <w:t xml:space="preserve"> Group 5-Dimension Self-Report Questionnaire at 90 days. Pre-specified dichotomisations of the modified Rankin score were also examined: 0 or 1 versus 2 to 6, 0 to 2 versus 3 to 6, and 0 to 3 versus 4 to 6.</w:t>
      </w:r>
    </w:p>
    <w:p w14:paraId="262E1302" w14:textId="77777777" w:rsidR="00315893" w:rsidRPr="00D85E09" w:rsidRDefault="00315893" w:rsidP="0043316B">
      <w:pPr>
        <w:pStyle w:val="Heading5"/>
        <w:widowControl w:val="0"/>
        <w:rPr>
          <w:lang w:val="en-AU"/>
        </w:rPr>
      </w:pPr>
      <w:r w:rsidRPr="00D85E09">
        <w:rPr>
          <w:lang w:val="en-AU"/>
        </w:rPr>
        <w:t>REVASCAT</w:t>
      </w:r>
    </w:p>
    <w:p w14:paraId="509C07F2" w14:textId="77777777" w:rsidR="00315893" w:rsidRPr="00D85E09" w:rsidRDefault="00315893" w:rsidP="0043316B">
      <w:pPr>
        <w:widowControl w:val="0"/>
        <w:rPr>
          <w:rFonts w:eastAsia="MS Mincho"/>
          <w:lang w:eastAsia="en-AU"/>
        </w:rPr>
      </w:pPr>
      <w:r w:rsidRPr="00D85E09">
        <w:rPr>
          <w:rFonts w:eastAsia="MS Mincho" w:cstheme="minorHAnsi"/>
          <w:lang w:eastAsia="en-AU"/>
        </w:rPr>
        <w:t xml:space="preserve">REVASCAT was a multicentre, prospective, randomised, and sequential, open-label phase 3 study with blinded evaluation. The study objective was to evaluate the hypothesis that mechanical embolectomy with the Solitaire FR device is superior to medical management alone. </w:t>
      </w:r>
      <w:r w:rsidRPr="00D85E09">
        <w:rPr>
          <w:rFonts w:eastAsia="MS Mincho"/>
          <w:lang w:eastAsia="en-AU"/>
        </w:rPr>
        <w:t>Participating sites were four large, designated, comprehensive stroke centres in Catalonia, Spain.</w:t>
      </w:r>
    </w:p>
    <w:p w14:paraId="0CE9AF0D" w14:textId="77777777" w:rsidR="00315893" w:rsidRPr="00D85E09" w:rsidRDefault="00315893" w:rsidP="0043316B">
      <w:pPr>
        <w:widowControl w:val="0"/>
        <w:rPr>
          <w:rFonts w:eastAsia="MS Mincho"/>
          <w:lang w:eastAsia="en-AU"/>
        </w:rPr>
      </w:pPr>
      <w:r w:rsidRPr="00D85E09">
        <w:rPr>
          <w:rFonts w:eastAsia="MS Mincho"/>
          <w:lang w:eastAsia="en-AU"/>
        </w:rPr>
        <w:t>Eligible patients were between the ages of 18 and 80 years, presenting with AIS within 8 hours from symptom onset and whose strokes are attributable to an occlusion of the internal carotid or proximal MCA (M1) arteries. Subjects are either ineligible for IV alteplase or have received IV alteplase therapy without recanalisation.</w:t>
      </w:r>
    </w:p>
    <w:p w14:paraId="7BED3AEB" w14:textId="77777777" w:rsidR="00315893" w:rsidRPr="00D85E09" w:rsidRDefault="00315893" w:rsidP="0043316B">
      <w:pPr>
        <w:widowControl w:val="0"/>
      </w:pPr>
      <w:r w:rsidRPr="00D85E09">
        <w:t>The primary outcome was the severity of disability at 90 days, according to the distribution of scores on the modified Rankin scale. Secondary outcomes included centrally adjudicated infarct volumes on CT or MRI at 24 hours, the NIHSS score and Barthel Index at 90 days, and health status, as measured on the EQ-5D.</w:t>
      </w:r>
    </w:p>
    <w:p w14:paraId="56FA4839" w14:textId="77777777" w:rsidR="00315893" w:rsidRPr="00D85E09" w:rsidRDefault="00315893" w:rsidP="0043316B">
      <w:pPr>
        <w:widowControl w:val="0"/>
        <w:rPr>
          <w:rFonts w:eastAsia="OTNEJMQuadraat"/>
          <w:lang w:eastAsia="en-AU"/>
        </w:rPr>
      </w:pPr>
      <w:r w:rsidRPr="00D85E09">
        <w:rPr>
          <w:rFonts w:eastAsia="OTNEJMQuadraat"/>
          <w:lang w:eastAsia="en-AU"/>
        </w:rPr>
        <w:t xml:space="preserve">The first interim analysis was performed as planned after 25% patients (174 of the maximum </w:t>
      </w:r>
      <w:r w:rsidRPr="00D85E09">
        <w:rPr>
          <w:rFonts w:eastAsia="OTNEJMQuadraat"/>
          <w:lang w:eastAsia="en-AU"/>
        </w:rPr>
        <w:lastRenderedPageBreak/>
        <w:t xml:space="preserve">sample size) had completed 90 days of follow-up. Although the interim results did not reach the pre-specified stopping boundaries, study recruitment was terminated because of emerging </w:t>
      </w:r>
      <w:r w:rsidRPr="00D85E09">
        <w:rPr>
          <w:lang w:eastAsia="en-AU"/>
        </w:rPr>
        <w:t xml:space="preserve">results from </w:t>
      </w:r>
      <w:r w:rsidRPr="00D85E09">
        <w:t>MR CLEAN, EXTEND-IA and ESCAPE</w:t>
      </w:r>
      <w:r w:rsidRPr="00D85E09">
        <w:rPr>
          <w:rFonts w:eastAsia="OTNEJMQuadraat"/>
        </w:rPr>
        <w:t xml:space="preserve"> </w:t>
      </w:r>
      <w:r w:rsidRPr="00D85E09">
        <w:rPr>
          <w:lang w:eastAsia="en-AU"/>
        </w:rPr>
        <w:t>that</w:t>
      </w:r>
      <w:r w:rsidRPr="00D85E09">
        <w:rPr>
          <w:rFonts w:eastAsia="OTNEJMQuadraat"/>
          <w:lang w:eastAsia="en-AU"/>
        </w:rPr>
        <w:t xml:space="preserve"> showed the efficacy of thrombectomy, which raised ethical concerns about further assignment of patients to the control group.</w:t>
      </w:r>
    </w:p>
    <w:p w14:paraId="5AB1A07A" w14:textId="77777777" w:rsidR="00315893" w:rsidRPr="00D85E09" w:rsidRDefault="00315893" w:rsidP="0043316B">
      <w:pPr>
        <w:pStyle w:val="Heading5"/>
        <w:widowControl w:val="0"/>
        <w:rPr>
          <w:lang w:val="en-AU"/>
        </w:rPr>
      </w:pPr>
      <w:r w:rsidRPr="00D85E09">
        <w:rPr>
          <w:lang w:val="en-AU"/>
        </w:rPr>
        <w:t>SWIFT PRIME</w:t>
      </w:r>
    </w:p>
    <w:p w14:paraId="6B664621" w14:textId="5E688CDE" w:rsidR="00315893" w:rsidRPr="00D85E09" w:rsidRDefault="00315893" w:rsidP="0043316B">
      <w:pPr>
        <w:widowControl w:val="0"/>
      </w:pPr>
      <w:r w:rsidRPr="00D85E09">
        <w:t xml:space="preserve">SWIFT PRIME is an international, multicentre, prospective, randomised, open clinical trial, performed at 39 centres in the U.S. and Europe. The study was designed to test the hypothesis that combined treatment with IV </w:t>
      </w:r>
      <w:r w:rsidR="005B7DCE">
        <w:t>tPA</w:t>
      </w:r>
      <w:r w:rsidRPr="00D85E09">
        <w:t xml:space="preserve"> and Solitaire FR will result in lower mRS scores than with treatment with IV </w:t>
      </w:r>
      <w:r w:rsidR="005B7DCE">
        <w:t>tPA</w:t>
      </w:r>
      <w:r w:rsidRPr="00D85E09">
        <w:t xml:space="preserve"> alone.</w:t>
      </w:r>
    </w:p>
    <w:p w14:paraId="4D9D49B6" w14:textId="19C75139" w:rsidR="00315893" w:rsidRPr="00D85E09" w:rsidRDefault="00315893" w:rsidP="0043316B">
      <w:pPr>
        <w:widowControl w:val="0"/>
      </w:pPr>
      <w:r w:rsidRPr="00D85E09">
        <w:t xml:space="preserve">The trial compared IV </w:t>
      </w:r>
      <w:r w:rsidR="005B7DCE">
        <w:t>tPA</w:t>
      </w:r>
      <w:r w:rsidRPr="00D85E09">
        <w:t xml:space="preserve"> followed by neurovascular thrombectomy within 6 hours of symptom onset with IV </w:t>
      </w:r>
      <w:r w:rsidR="005B7DCE">
        <w:t>tPA</w:t>
      </w:r>
      <w:r w:rsidRPr="00D85E09">
        <w:t xml:space="preserve"> alone in patients with AIS. All patients had confirmed occlusion of the intra-cranial internal carotid artery, the first segment of the middle cerebral artery, or both on vessel imaging and an absence of large ischaemic core lesions.</w:t>
      </w:r>
    </w:p>
    <w:p w14:paraId="2621B059" w14:textId="77777777" w:rsidR="00315893" w:rsidRPr="00D85E09" w:rsidRDefault="00315893" w:rsidP="0043316B">
      <w:pPr>
        <w:widowControl w:val="0"/>
      </w:pPr>
      <w:r w:rsidRPr="00D85E09">
        <w:t>The primary outcome was the severity of global disability at 90 days. Secondary clinical efficacy outcomes were the rate of death at 90 days, the rate of functional independence (modified Rankin scale score, ≤2) at 90 days, and the change in the NIHSS score at 27 hours after randomisation.</w:t>
      </w:r>
    </w:p>
    <w:p w14:paraId="75770904" w14:textId="77777777" w:rsidR="00315893" w:rsidRPr="00D85E09" w:rsidRDefault="00315893" w:rsidP="0043316B">
      <w:pPr>
        <w:pStyle w:val="BodyText1"/>
        <w:widowControl w:val="0"/>
        <w:rPr>
          <w:rFonts w:cs="Arial"/>
          <w:sz w:val="22"/>
          <w:szCs w:val="22"/>
        </w:rPr>
      </w:pPr>
      <w:r w:rsidRPr="00D85E09">
        <w:rPr>
          <w:rFonts w:cs="Arial"/>
          <w:sz w:val="22"/>
          <w:szCs w:val="22"/>
        </w:rPr>
        <w:t>In February 2015, the study was halted when the interim efficacy analysis showed that the pre-specified stopping-criteria boundary (12-percentage- point boundary) for efficacy had been crossed.</w:t>
      </w:r>
    </w:p>
    <w:p w14:paraId="72A1D19D" w14:textId="77777777" w:rsidR="00315893" w:rsidRPr="00D85E09" w:rsidRDefault="00315893" w:rsidP="0043316B">
      <w:pPr>
        <w:pStyle w:val="Heading5"/>
        <w:widowControl w:val="0"/>
        <w:rPr>
          <w:lang w:val="en-AU"/>
        </w:rPr>
      </w:pPr>
      <w:r w:rsidRPr="00D85E09">
        <w:rPr>
          <w:lang w:val="en-AU"/>
        </w:rPr>
        <w:t>EXCLUDED STUDIES</w:t>
      </w:r>
    </w:p>
    <w:p w14:paraId="44F37B48" w14:textId="6EBE9844" w:rsidR="00315893" w:rsidRPr="00D85E09" w:rsidRDefault="00315893" w:rsidP="0043316B">
      <w:pPr>
        <w:widowControl w:val="0"/>
      </w:pPr>
      <w:r w:rsidRPr="00D85E09">
        <w:t>The key exclusion reason for three excluded studies was the absence of use of appropriate imaging to select patients who could benefit from treatment. However, the Applicant is of the view that there are important explanations for differences between the results of early studies and the overwhelmingly positive outcomes observed in recent studies of MT. A brief description and detailed reason for exclusion of each study is discussed below.</w:t>
      </w:r>
    </w:p>
    <w:p w14:paraId="4BCD4DC0" w14:textId="35D3C31D" w:rsidR="00315893" w:rsidRPr="00D85E09" w:rsidRDefault="00315893" w:rsidP="0043316B">
      <w:pPr>
        <w:widowControl w:val="0"/>
      </w:pPr>
      <w:r w:rsidRPr="00D85E09">
        <w:t xml:space="preserve">SYNTHESIS Expansion (Ciccone et al, 2013) was an open-label RCT that enrolled 362 patients with ischaemic stroke eligible for IV-tPA within 4.5 hours of onset and for whom endovascular treatment was possible within 6 hours. Among the patients who received endovascular treatment, 66% received intra-arterial thrombolysis alone, while in 34% a device was also deployed. Stent retrievers were used in 14% of patients in the intervention </w:t>
      </w:r>
      <w:r w:rsidRPr="00D85E09">
        <w:lastRenderedPageBreak/>
        <w:t>study arm. Thus the study included only a small number of patients that received an intervention considered in this Application. Furthermore, it should be noted that patients in the intervention arm of this study were allowed treatment with IV-tPA after having received MT. This method of administering MT is inconsistent with use in clinical practice guidelines and the prosed intervention in this Application. On this basis, the results of SYNTHESIS are not considered relevant to this submission and the study is not discussed further.</w:t>
      </w:r>
    </w:p>
    <w:p w14:paraId="1E2C9B5D" w14:textId="6F7B5704" w:rsidR="00315893" w:rsidRPr="00D85E09" w:rsidRDefault="00315893" w:rsidP="0043316B">
      <w:pPr>
        <w:widowControl w:val="0"/>
      </w:pPr>
      <w:r w:rsidRPr="00D85E09">
        <w:t xml:space="preserve">The Interventional Management of Stroke Trial III (IMS-III) (Broderick 2013). was an RCT that enrolled patients with a major ischaemic stroke defined by NIHSS score ≥10 who received IV-tPA within 3 hours and were likely to or known to have occlusion of a major cerebral artery (Broderick et al, 2013). Endovascular therapy was administered in 77% of patients randomised to this treatment group. Intra-arterial thrombolysis alone was used in 41% and a device with or without intra-arterial </w:t>
      </w:r>
      <w:r w:rsidR="005B7DCE">
        <w:t>tPA</w:t>
      </w:r>
      <w:r w:rsidRPr="00D85E09">
        <w:t xml:space="preserve"> in 59%; in only 1.5% were stent retrievers used. Once again, the intervention delivered in this study does not reflect the service requested in this submission, which is MT alone or concurrent with IV-tPA treatment.</w:t>
      </w:r>
    </w:p>
    <w:p w14:paraId="305105BE" w14:textId="77777777" w:rsidR="00315893" w:rsidRPr="00D85E09" w:rsidRDefault="00315893" w:rsidP="0043316B">
      <w:pPr>
        <w:widowControl w:val="0"/>
      </w:pPr>
      <w:r w:rsidRPr="00D85E09">
        <w:t>Mechanical Retrieval and Recanalisation of Stroke Clots Using Embolectomy (MR RESCUE) (Kidwell 2013) was a 2-arm, superiority trial that enrolled 118 patients with large artery occlusion and anterior circulation ischaemic stroke within 8 hours who were ineligible for IV-tPA or had persistent vessel occlusion after IV-tPA (Kidwell et al, 2013). This study enrolled patients up to 8 hours from symptom onset, with a mean time from stroke onset to groin puncture of 6.35 ± 1.2 hours; this is substantially longer than the permissible time in other studies and the recommended use of the IV-tPA (which should be used within 4.5 hours).</w:t>
      </w:r>
    </w:p>
    <w:p w14:paraId="2F562463" w14:textId="5068027F" w:rsidR="00315893" w:rsidRPr="00D85E09" w:rsidRDefault="00315893" w:rsidP="0043316B">
      <w:pPr>
        <w:widowControl w:val="0"/>
      </w:pPr>
      <w:r w:rsidRPr="00D85E09">
        <w:t>In addition to the trial-specific exclusion criteria described above, it should be noted that these early studies of endovascular therapy included older thrombectomy devices with poorer efficacy, often had insufficiently robust imaging selection criteria and had long delays from hospital presentation to reperfusion – this is inconsistent with the proposed service in the current Application In addition most of the recent trials excluded patients with large regions of irreversibly injured brain tissue On this basis, a recently</w:t>
      </w:r>
      <w:r w:rsidR="00300BB6" w:rsidRPr="00D85E09">
        <w:t xml:space="preserve"> </w:t>
      </w:r>
      <w:r w:rsidRPr="00D85E09">
        <w:t>published systematic review of endovascular thrombectomy only included five recent studies that included “modern neurothrombectomy devices” (MR CLEAN, ESCAPE, REVASCAT, SWIFT PRIME and EXTEND-IA). This approach has been used by other decision-makers (EUnetHTA, 2015) and in the Victorian state</w:t>
      </w:r>
      <w:r w:rsidR="00300BB6" w:rsidRPr="00D85E09">
        <w:t>wide</w:t>
      </w:r>
      <w:r w:rsidRPr="00D85E09">
        <w:t xml:space="preserve"> service protocol for endovascular clot retrieval. The EUnetHTA guideline states “concern has been raised about combining results from the earliest three trials (MR RESCUE, IMS-III, SYNTHESIS Expansion) with the five later trials in meta-analysis, as it is widely acknowledged that there were major methodological differences between these trials, not least of which is that different types of devices were employed”. As </w:t>
      </w:r>
      <w:r w:rsidRPr="00D85E09">
        <w:lastRenderedPageBreak/>
        <w:t>a consequence of methodological differences described above - none of the three excluded studies of showed a clinical or safety benefit of endovascular therapy in comparison to IV-tPA.</w:t>
      </w:r>
    </w:p>
    <w:p w14:paraId="16BEC60E" w14:textId="77777777" w:rsidR="00315893" w:rsidRPr="00D85E09" w:rsidRDefault="00315893" w:rsidP="0043316B">
      <w:pPr>
        <w:widowControl w:val="0"/>
      </w:pPr>
      <w:r w:rsidRPr="00D85E09">
        <w:t>On the basis of methodological differences, it was considered appropriate to exclude the three early studies of endovascular therapy (SYNTHESIS, IMS-III and MR RESCUE) from the current MSAC submission.</w:t>
      </w:r>
    </w:p>
    <w:p w14:paraId="2FC0C3A1" w14:textId="77777777" w:rsidR="00315893" w:rsidRPr="00D85E09" w:rsidRDefault="00315893" w:rsidP="0043316B">
      <w:pPr>
        <w:widowControl w:val="0"/>
        <w:sectPr w:rsidR="00315893" w:rsidRPr="00D85E09" w:rsidSect="00465778">
          <w:headerReference w:type="default" r:id="rId32"/>
          <w:pgSz w:w="11907" w:h="16834" w:code="9"/>
          <w:pgMar w:top="1304" w:right="1418" w:bottom="1418" w:left="1418" w:header="720" w:footer="720" w:gutter="0"/>
          <w:paperSrc w:first="7" w:other="7"/>
          <w:cols w:space="720"/>
          <w:noEndnote/>
          <w:docGrid w:linePitch="299"/>
        </w:sectPr>
      </w:pPr>
    </w:p>
    <w:p w14:paraId="111DC857" w14:textId="1287049D" w:rsidR="00315893" w:rsidRPr="00D85E09" w:rsidRDefault="00315893" w:rsidP="0043316B">
      <w:pPr>
        <w:pStyle w:val="Caption"/>
        <w:keepNext w:val="0"/>
        <w:widowControl w:val="0"/>
        <w:rPr>
          <w:lang w:val="en-AU"/>
        </w:rPr>
      </w:pPr>
      <w:bookmarkStart w:id="151" w:name="_Ref365980829"/>
      <w:bookmarkStart w:id="152" w:name="_Toc367090371"/>
      <w:bookmarkStart w:id="153" w:name="_Ref450725225"/>
      <w:bookmarkStart w:id="154" w:name="_Toc453065352"/>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16</w:t>
      </w:r>
      <w:r w:rsidRPr="00D85E09">
        <w:rPr>
          <w:lang w:val="en-AU"/>
        </w:rPr>
        <w:fldChar w:fldCharType="end"/>
      </w:r>
      <w:bookmarkEnd w:id="151"/>
      <w:r w:rsidRPr="00D85E09">
        <w:rPr>
          <w:lang w:val="en-AU"/>
        </w:rPr>
        <w:tab/>
        <w:t>Summary of included studies and characteristics</w:t>
      </w:r>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16. Sumary of included studies and characteristics"/>
      </w:tblPr>
      <w:tblGrid>
        <w:gridCol w:w="1166"/>
        <w:gridCol w:w="1396"/>
        <w:gridCol w:w="1611"/>
        <w:gridCol w:w="2308"/>
        <w:gridCol w:w="1440"/>
        <w:gridCol w:w="1876"/>
        <w:gridCol w:w="1324"/>
        <w:gridCol w:w="2697"/>
      </w:tblGrid>
      <w:tr w:rsidR="00315893" w:rsidRPr="00D85E09" w14:paraId="208B91A5" w14:textId="77777777" w:rsidTr="00181227">
        <w:trPr>
          <w:tblHeader/>
        </w:trPr>
        <w:tc>
          <w:tcPr>
            <w:tcW w:w="422" w:type="pct"/>
            <w:vMerge w:val="restart"/>
            <w:shd w:val="clear" w:color="auto" w:fill="auto"/>
          </w:tcPr>
          <w:p w14:paraId="3E9B64B5" w14:textId="77777777" w:rsidR="00315893" w:rsidRPr="00D85E09" w:rsidRDefault="00315893" w:rsidP="0043316B">
            <w:pPr>
              <w:pStyle w:val="Tabletext"/>
              <w:keepNext w:val="0"/>
              <w:widowControl w:val="0"/>
              <w:rPr>
                <w:b/>
              </w:rPr>
            </w:pPr>
            <w:r w:rsidRPr="00D85E09">
              <w:rPr>
                <w:b/>
              </w:rPr>
              <w:t>Trial ID</w:t>
            </w:r>
          </w:p>
        </w:tc>
        <w:tc>
          <w:tcPr>
            <w:tcW w:w="505" w:type="pct"/>
            <w:vMerge w:val="restart"/>
            <w:shd w:val="clear" w:color="auto" w:fill="auto"/>
          </w:tcPr>
          <w:p w14:paraId="6A7348F2" w14:textId="77777777" w:rsidR="00315893" w:rsidRPr="00D85E09" w:rsidRDefault="00315893" w:rsidP="0043316B">
            <w:pPr>
              <w:pStyle w:val="Tabletext"/>
              <w:keepNext w:val="0"/>
              <w:widowControl w:val="0"/>
              <w:rPr>
                <w:b/>
              </w:rPr>
            </w:pPr>
            <w:r w:rsidRPr="00D85E09">
              <w:rPr>
                <w:b/>
              </w:rPr>
              <w:t>Design characteristics</w:t>
            </w:r>
          </w:p>
        </w:tc>
        <w:tc>
          <w:tcPr>
            <w:tcW w:w="583" w:type="pct"/>
            <w:vMerge w:val="restart"/>
            <w:shd w:val="clear" w:color="auto" w:fill="auto"/>
          </w:tcPr>
          <w:p w14:paraId="63C259E8" w14:textId="77777777" w:rsidR="00315893" w:rsidRPr="00D85E09" w:rsidRDefault="00315893" w:rsidP="0043316B">
            <w:pPr>
              <w:pStyle w:val="Tabletext"/>
              <w:keepNext w:val="0"/>
              <w:widowControl w:val="0"/>
              <w:rPr>
                <w:b/>
              </w:rPr>
            </w:pPr>
            <w:r w:rsidRPr="00D85E09">
              <w:rPr>
                <w:b/>
              </w:rPr>
              <w:t>Early termination</w:t>
            </w:r>
          </w:p>
        </w:tc>
        <w:tc>
          <w:tcPr>
            <w:tcW w:w="835" w:type="pct"/>
            <w:vMerge w:val="restart"/>
            <w:shd w:val="clear" w:color="auto" w:fill="auto"/>
          </w:tcPr>
          <w:p w14:paraId="32000BFF" w14:textId="77777777" w:rsidR="00315893" w:rsidRPr="00D85E09" w:rsidRDefault="00315893" w:rsidP="0043316B">
            <w:pPr>
              <w:pStyle w:val="Tabletext"/>
              <w:keepNext w:val="0"/>
              <w:widowControl w:val="0"/>
              <w:rPr>
                <w:b/>
              </w:rPr>
            </w:pPr>
            <w:r w:rsidRPr="00D85E09">
              <w:rPr>
                <w:b/>
              </w:rPr>
              <w:t>Primary objective</w:t>
            </w:r>
          </w:p>
        </w:tc>
        <w:tc>
          <w:tcPr>
            <w:tcW w:w="521" w:type="pct"/>
            <w:vMerge w:val="restart"/>
            <w:shd w:val="clear" w:color="auto" w:fill="auto"/>
          </w:tcPr>
          <w:p w14:paraId="46D912FF" w14:textId="77777777" w:rsidR="00315893" w:rsidRPr="00D85E09" w:rsidRDefault="00315893" w:rsidP="0043316B">
            <w:pPr>
              <w:pStyle w:val="Tabletext"/>
              <w:keepNext w:val="0"/>
              <w:widowControl w:val="0"/>
              <w:rPr>
                <w:b/>
              </w:rPr>
            </w:pPr>
            <w:r w:rsidRPr="00D85E09">
              <w:rPr>
                <w:b/>
              </w:rPr>
              <w:t>Compared interventions</w:t>
            </w:r>
          </w:p>
          <w:p w14:paraId="10BAA6EB" w14:textId="77777777" w:rsidR="00315893" w:rsidRPr="00D85E09" w:rsidRDefault="00315893" w:rsidP="0043316B">
            <w:pPr>
              <w:pStyle w:val="Tabletext"/>
              <w:keepNext w:val="0"/>
              <w:widowControl w:val="0"/>
              <w:rPr>
                <w:b/>
              </w:rPr>
            </w:pPr>
          </w:p>
        </w:tc>
        <w:tc>
          <w:tcPr>
            <w:tcW w:w="679" w:type="pct"/>
            <w:vMerge w:val="restart"/>
            <w:shd w:val="clear" w:color="auto" w:fill="auto"/>
          </w:tcPr>
          <w:p w14:paraId="63A23686" w14:textId="77777777" w:rsidR="00315893" w:rsidRPr="00D85E09" w:rsidRDefault="00315893" w:rsidP="0043316B">
            <w:pPr>
              <w:pStyle w:val="Tabletext"/>
              <w:keepNext w:val="0"/>
              <w:widowControl w:val="0"/>
              <w:rPr>
                <w:b/>
              </w:rPr>
            </w:pPr>
            <w:r w:rsidRPr="00D85E09">
              <w:rPr>
                <w:b/>
              </w:rPr>
              <w:t>Main population characteristics</w:t>
            </w:r>
          </w:p>
        </w:tc>
        <w:tc>
          <w:tcPr>
            <w:tcW w:w="1455" w:type="pct"/>
            <w:gridSpan w:val="2"/>
            <w:shd w:val="clear" w:color="auto" w:fill="auto"/>
          </w:tcPr>
          <w:p w14:paraId="61129283" w14:textId="77777777" w:rsidR="00315893" w:rsidRPr="00D85E09" w:rsidRDefault="00315893" w:rsidP="0043316B">
            <w:pPr>
              <w:pStyle w:val="Tabletext"/>
              <w:keepNext w:val="0"/>
              <w:widowControl w:val="0"/>
              <w:rPr>
                <w:b/>
              </w:rPr>
            </w:pPr>
            <w:r w:rsidRPr="00D85E09">
              <w:rPr>
                <w:b/>
              </w:rPr>
              <w:t>Main outcomes</w:t>
            </w:r>
          </w:p>
        </w:tc>
      </w:tr>
      <w:tr w:rsidR="00315893" w:rsidRPr="00D85E09" w14:paraId="0AA4FCE2" w14:textId="77777777" w:rsidTr="00181227">
        <w:trPr>
          <w:tblHeader/>
        </w:trPr>
        <w:tc>
          <w:tcPr>
            <w:tcW w:w="422" w:type="pct"/>
            <w:vMerge/>
            <w:shd w:val="clear" w:color="auto" w:fill="F2F2F2" w:themeFill="background1" w:themeFillShade="F2"/>
          </w:tcPr>
          <w:p w14:paraId="255F298E" w14:textId="77777777" w:rsidR="00315893" w:rsidRPr="00D85E09" w:rsidRDefault="00315893" w:rsidP="0043316B">
            <w:pPr>
              <w:pStyle w:val="Tabletext"/>
              <w:keepNext w:val="0"/>
              <w:widowControl w:val="0"/>
              <w:rPr>
                <w:b/>
              </w:rPr>
            </w:pPr>
          </w:p>
        </w:tc>
        <w:tc>
          <w:tcPr>
            <w:tcW w:w="505" w:type="pct"/>
            <w:vMerge/>
            <w:shd w:val="clear" w:color="auto" w:fill="F2F2F2" w:themeFill="background1" w:themeFillShade="F2"/>
          </w:tcPr>
          <w:p w14:paraId="4EC9F26B" w14:textId="77777777" w:rsidR="00315893" w:rsidRPr="00D85E09" w:rsidRDefault="00315893" w:rsidP="0043316B">
            <w:pPr>
              <w:pStyle w:val="Tabletext"/>
              <w:keepNext w:val="0"/>
              <w:widowControl w:val="0"/>
              <w:rPr>
                <w:b/>
              </w:rPr>
            </w:pPr>
          </w:p>
        </w:tc>
        <w:tc>
          <w:tcPr>
            <w:tcW w:w="583" w:type="pct"/>
            <w:vMerge/>
            <w:shd w:val="clear" w:color="auto" w:fill="F2F2F2" w:themeFill="background1" w:themeFillShade="F2"/>
          </w:tcPr>
          <w:p w14:paraId="3465D7CD" w14:textId="77777777" w:rsidR="00315893" w:rsidRPr="00D85E09" w:rsidRDefault="00315893" w:rsidP="0043316B">
            <w:pPr>
              <w:pStyle w:val="Tabletext"/>
              <w:keepNext w:val="0"/>
              <w:widowControl w:val="0"/>
              <w:rPr>
                <w:b/>
              </w:rPr>
            </w:pPr>
          </w:p>
        </w:tc>
        <w:tc>
          <w:tcPr>
            <w:tcW w:w="835" w:type="pct"/>
            <w:vMerge/>
            <w:shd w:val="clear" w:color="auto" w:fill="F2F2F2" w:themeFill="background1" w:themeFillShade="F2"/>
          </w:tcPr>
          <w:p w14:paraId="4214A0A6" w14:textId="77777777" w:rsidR="00315893" w:rsidRPr="00D85E09" w:rsidRDefault="00315893" w:rsidP="0043316B">
            <w:pPr>
              <w:pStyle w:val="Tabletext"/>
              <w:keepNext w:val="0"/>
              <w:widowControl w:val="0"/>
              <w:rPr>
                <w:b/>
              </w:rPr>
            </w:pPr>
          </w:p>
        </w:tc>
        <w:tc>
          <w:tcPr>
            <w:tcW w:w="521" w:type="pct"/>
            <w:vMerge/>
            <w:shd w:val="clear" w:color="auto" w:fill="F2F2F2" w:themeFill="background1" w:themeFillShade="F2"/>
          </w:tcPr>
          <w:p w14:paraId="2C63DD98" w14:textId="77777777" w:rsidR="00315893" w:rsidRPr="00D85E09" w:rsidRDefault="00315893" w:rsidP="0043316B">
            <w:pPr>
              <w:pStyle w:val="Tabletext"/>
              <w:keepNext w:val="0"/>
              <w:widowControl w:val="0"/>
              <w:rPr>
                <w:b/>
              </w:rPr>
            </w:pPr>
          </w:p>
        </w:tc>
        <w:tc>
          <w:tcPr>
            <w:tcW w:w="679" w:type="pct"/>
            <w:vMerge/>
            <w:shd w:val="clear" w:color="auto" w:fill="F2F2F2" w:themeFill="background1" w:themeFillShade="F2"/>
          </w:tcPr>
          <w:p w14:paraId="0E38C92B" w14:textId="77777777" w:rsidR="00315893" w:rsidRPr="00D85E09" w:rsidRDefault="00315893" w:rsidP="0043316B">
            <w:pPr>
              <w:pStyle w:val="Tabletext"/>
              <w:keepNext w:val="0"/>
              <w:widowControl w:val="0"/>
              <w:rPr>
                <w:b/>
              </w:rPr>
            </w:pPr>
          </w:p>
        </w:tc>
        <w:tc>
          <w:tcPr>
            <w:tcW w:w="479" w:type="pct"/>
            <w:shd w:val="clear" w:color="auto" w:fill="auto"/>
          </w:tcPr>
          <w:p w14:paraId="338A2BE5" w14:textId="77777777" w:rsidR="00315893" w:rsidRPr="00D85E09" w:rsidRDefault="00315893" w:rsidP="0043316B">
            <w:pPr>
              <w:pStyle w:val="Tabletext"/>
              <w:keepNext w:val="0"/>
              <w:widowControl w:val="0"/>
              <w:rPr>
                <w:b/>
              </w:rPr>
            </w:pPr>
            <w:r w:rsidRPr="00D85E09">
              <w:rPr>
                <w:b/>
              </w:rPr>
              <w:t>Primary</w:t>
            </w:r>
          </w:p>
        </w:tc>
        <w:tc>
          <w:tcPr>
            <w:tcW w:w="976" w:type="pct"/>
            <w:shd w:val="clear" w:color="auto" w:fill="auto"/>
          </w:tcPr>
          <w:p w14:paraId="56C2CFA6" w14:textId="77777777" w:rsidR="00315893" w:rsidRPr="00D85E09" w:rsidRDefault="00315893" w:rsidP="0043316B">
            <w:pPr>
              <w:pStyle w:val="Tabletext"/>
              <w:keepNext w:val="0"/>
              <w:widowControl w:val="0"/>
              <w:rPr>
                <w:b/>
              </w:rPr>
            </w:pPr>
            <w:r w:rsidRPr="00D85E09">
              <w:rPr>
                <w:b/>
              </w:rPr>
              <w:t>Key secondary</w:t>
            </w:r>
          </w:p>
        </w:tc>
      </w:tr>
      <w:tr w:rsidR="00315893" w:rsidRPr="00D85E09" w14:paraId="11C4ECF8" w14:textId="77777777" w:rsidTr="00465778">
        <w:tc>
          <w:tcPr>
            <w:tcW w:w="5000" w:type="pct"/>
            <w:gridSpan w:val="8"/>
            <w:shd w:val="clear" w:color="auto" w:fill="FFFFFF" w:themeFill="background1"/>
          </w:tcPr>
          <w:p w14:paraId="76861AF4" w14:textId="77777777" w:rsidR="00315893" w:rsidRPr="00D85E09" w:rsidRDefault="00315893" w:rsidP="0043316B">
            <w:pPr>
              <w:pStyle w:val="Tabletext"/>
              <w:keepNext w:val="0"/>
              <w:widowControl w:val="0"/>
            </w:pPr>
            <w:r w:rsidRPr="00D85E09">
              <w:t>Included studies</w:t>
            </w:r>
          </w:p>
        </w:tc>
      </w:tr>
      <w:tr w:rsidR="00315893" w:rsidRPr="00D85E09" w14:paraId="0F9118D0" w14:textId="77777777" w:rsidTr="00181227">
        <w:tc>
          <w:tcPr>
            <w:tcW w:w="422" w:type="pct"/>
          </w:tcPr>
          <w:p w14:paraId="4AC38FFA" w14:textId="77777777" w:rsidR="00315893" w:rsidRPr="00D85E09" w:rsidRDefault="00315893" w:rsidP="0043316B">
            <w:pPr>
              <w:pStyle w:val="Tabletext"/>
              <w:keepNext w:val="0"/>
              <w:widowControl w:val="0"/>
            </w:pPr>
            <w:r w:rsidRPr="00D85E09">
              <w:t>ESCAPE</w:t>
            </w:r>
          </w:p>
        </w:tc>
        <w:tc>
          <w:tcPr>
            <w:tcW w:w="505" w:type="pct"/>
          </w:tcPr>
          <w:p w14:paraId="4B775844" w14:textId="77777777" w:rsidR="00315893" w:rsidRPr="00D85E09" w:rsidRDefault="00315893" w:rsidP="0043316B">
            <w:pPr>
              <w:pStyle w:val="Tabletext"/>
              <w:keepNext w:val="0"/>
              <w:widowControl w:val="0"/>
            </w:pPr>
            <w:r w:rsidRPr="00D85E09">
              <w:t xml:space="preserve">MC, Phase III, PROBE </w:t>
            </w:r>
          </w:p>
        </w:tc>
        <w:tc>
          <w:tcPr>
            <w:tcW w:w="583" w:type="pct"/>
          </w:tcPr>
          <w:p w14:paraId="3C81F881" w14:textId="77777777" w:rsidR="00315893" w:rsidRPr="00D85E09" w:rsidRDefault="00315893" w:rsidP="0043316B">
            <w:pPr>
              <w:pStyle w:val="Tabletext"/>
              <w:keepNext w:val="0"/>
              <w:widowControl w:val="0"/>
            </w:pPr>
            <w:r w:rsidRPr="00D85E09">
              <w:t>Release of data from MR CLEAN led to interim analyses being performed. The pre-specified boundary was crossed and the trial was stopped for efficacy</w:t>
            </w:r>
          </w:p>
        </w:tc>
        <w:tc>
          <w:tcPr>
            <w:tcW w:w="835" w:type="pct"/>
          </w:tcPr>
          <w:p w14:paraId="6127317F" w14:textId="77777777" w:rsidR="00315893" w:rsidRPr="00D85E09" w:rsidRDefault="00315893" w:rsidP="0043316B">
            <w:pPr>
              <w:pStyle w:val="Tabletext"/>
              <w:keepNext w:val="0"/>
              <w:widowControl w:val="0"/>
            </w:pPr>
            <w:r w:rsidRPr="00D85E09">
              <w:t>To show that rapid endovascular revascularisation amongst radiologically selected patients with ischaemic stroke results in improved outcome compared to patients treated in clinical routine</w:t>
            </w:r>
          </w:p>
        </w:tc>
        <w:tc>
          <w:tcPr>
            <w:tcW w:w="521" w:type="pct"/>
          </w:tcPr>
          <w:p w14:paraId="37A2BDAA" w14:textId="77777777" w:rsidR="00315893" w:rsidRPr="00D85E09" w:rsidRDefault="00315893" w:rsidP="0043316B">
            <w:pPr>
              <w:pStyle w:val="Tabletext"/>
              <w:keepNext w:val="0"/>
              <w:widowControl w:val="0"/>
            </w:pPr>
            <w:r w:rsidRPr="00D85E09">
              <w:t>N=165</w:t>
            </w:r>
          </w:p>
          <w:p w14:paraId="7952E524" w14:textId="77777777" w:rsidR="00315893" w:rsidRPr="00D85E09" w:rsidRDefault="00315893" w:rsidP="0043316B">
            <w:pPr>
              <w:pStyle w:val="Tabletext"/>
              <w:keepNext w:val="0"/>
              <w:widowControl w:val="0"/>
            </w:pPr>
            <w:r w:rsidRPr="00D85E09">
              <w:t>MT (undertaken with any currently available and approved device)</w:t>
            </w:r>
          </w:p>
          <w:p w14:paraId="7C2D93BB" w14:textId="77777777" w:rsidR="00315893" w:rsidRPr="00D85E09" w:rsidRDefault="00315893" w:rsidP="0043316B">
            <w:pPr>
              <w:pStyle w:val="Tabletext"/>
              <w:keepNext w:val="0"/>
              <w:widowControl w:val="0"/>
            </w:pPr>
            <w:r w:rsidRPr="00D85E09">
              <w:t>N=150</w:t>
            </w:r>
          </w:p>
          <w:p w14:paraId="7B895E4C" w14:textId="77777777" w:rsidR="00315893" w:rsidRPr="00D85E09" w:rsidRDefault="00315893" w:rsidP="0043316B">
            <w:pPr>
              <w:pStyle w:val="Tabletext"/>
              <w:keepNext w:val="0"/>
              <w:widowControl w:val="0"/>
            </w:pPr>
            <w:r w:rsidRPr="00D85E09">
              <w:t>Routine stroke care governed by current guidelines</w:t>
            </w:r>
          </w:p>
          <w:p w14:paraId="5FF38311" w14:textId="77777777" w:rsidR="00315893" w:rsidRPr="00D85E09" w:rsidRDefault="00315893" w:rsidP="0043316B">
            <w:pPr>
              <w:pStyle w:val="Tabletext"/>
              <w:keepNext w:val="0"/>
              <w:widowControl w:val="0"/>
            </w:pPr>
          </w:p>
        </w:tc>
        <w:tc>
          <w:tcPr>
            <w:tcW w:w="679" w:type="pct"/>
          </w:tcPr>
          <w:p w14:paraId="1BF80DF3" w14:textId="77777777" w:rsidR="00315893" w:rsidRPr="00D85E09" w:rsidRDefault="00315893" w:rsidP="0043316B">
            <w:pPr>
              <w:pStyle w:val="Tabletext"/>
              <w:keepNext w:val="0"/>
              <w:widowControl w:val="0"/>
            </w:pPr>
            <w:r w:rsidRPr="00D85E09">
              <w:t>Adults with a disabling ischaemic stroke who had been functioning independently in the community (score on the Barthel Index ≥90) before the stroke. Enrolment could occur up to 12 hours after the onset of stroke symptoms.</w:t>
            </w:r>
          </w:p>
          <w:p w14:paraId="163BF6E6" w14:textId="77777777" w:rsidR="00315893" w:rsidRPr="00D85E09" w:rsidRDefault="00315893" w:rsidP="0043316B">
            <w:pPr>
              <w:pStyle w:val="Tabletext"/>
              <w:keepNext w:val="0"/>
              <w:widowControl w:val="0"/>
            </w:pPr>
            <w:r w:rsidRPr="00D85E09">
              <w:t>Participants were treated with IV alteplase when clinically appropriate as part of standard care</w:t>
            </w:r>
          </w:p>
        </w:tc>
        <w:tc>
          <w:tcPr>
            <w:tcW w:w="479" w:type="pct"/>
          </w:tcPr>
          <w:p w14:paraId="157BA44F" w14:textId="77777777" w:rsidR="00315893" w:rsidRPr="00D85E09" w:rsidRDefault="00315893" w:rsidP="0043316B">
            <w:pPr>
              <w:pStyle w:val="Tabletext"/>
              <w:keepNext w:val="0"/>
              <w:widowControl w:val="0"/>
            </w:pPr>
            <w:r w:rsidRPr="00D85E09">
              <w:t>A shift or one or more categories (proportional odds analysis) on the mRS at 90 days</w:t>
            </w:r>
          </w:p>
        </w:tc>
        <w:tc>
          <w:tcPr>
            <w:tcW w:w="976" w:type="pct"/>
          </w:tcPr>
          <w:p w14:paraId="435B1A81" w14:textId="77777777" w:rsidR="00315893" w:rsidRPr="00D85E09" w:rsidRDefault="00315893" w:rsidP="0043316B">
            <w:pPr>
              <w:pStyle w:val="Tabletext"/>
              <w:keepNext w:val="0"/>
              <w:widowControl w:val="0"/>
            </w:pPr>
            <w:r w:rsidRPr="00D85E09">
              <w:t>NIHSS score of 0</w:t>
            </w:r>
            <w:r w:rsidRPr="00D85E09">
              <w:rPr>
                <w:rFonts w:ascii="Cambria Math" w:hAnsi="Cambria Math" w:cs="Cambria Math"/>
              </w:rPr>
              <w:t>‐</w:t>
            </w:r>
            <w:r w:rsidRPr="00D85E09">
              <w:t>2 at 30 days and 90 days</w:t>
            </w:r>
          </w:p>
          <w:p w14:paraId="19149C5C" w14:textId="77777777" w:rsidR="00315893" w:rsidRPr="00D85E09" w:rsidRDefault="00315893" w:rsidP="0043316B">
            <w:pPr>
              <w:pStyle w:val="Tabletext"/>
              <w:keepNext w:val="0"/>
              <w:widowControl w:val="0"/>
            </w:pPr>
            <w:r w:rsidRPr="00D85E09">
              <w:t>mRS score of 0</w:t>
            </w:r>
            <w:r w:rsidRPr="00D85E09">
              <w:rPr>
                <w:rFonts w:ascii="Cambria Math" w:hAnsi="Cambria Math" w:cs="Cambria Math"/>
              </w:rPr>
              <w:t>‐</w:t>
            </w:r>
            <w:r w:rsidRPr="00D85E09">
              <w:t>2 at 30 days and 90 days</w:t>
            </w:r>
          </w:p>
          <w:p w14:paraId="46BF3290" w14:textId="77777777" w:rsidR="00315893" w:rsidRPr="00D85E09" w:rsidRDefault="00315893" w:rsidP="0043316B">
            <w:pPr>
              <w:pStyle w:val="Tabletext"/>
              <w:keepNext w:val="0"/>
              <w:widowControl w:val="0"/>
            </w:pPr>
            <w:r w:rsidRPr="00D85E09">
              <w:t>NIHSS score at 90 days</w:t>
            </w:r>
          </w:p>
          <w:p w14:paraId="3003A08B" w14:textId="77777777" w:rsidR="00315893" w:rsidRPr="00D85E09" w:rsidRDefault="00315893" w:rsidP="0043316B">
            <w:pPr>
              <w:pStyle w:val="Tabletext"/>
              <w:keepNext w:val="0"/>
              <w:widowControl w:val="0"/>
            </w:pPr>
            <w:r w:rsidRPr="00D85E09">
              <w:t>mRS score at 90 days</w:t>
            </w:r>
          </w:p>
          <w:p w14:paraId="1632D35C" w14:textId="77777777" w:rsidR="00315893" w:rsidRPr="00D85E09" w:rsidRDefault="00315893" w:rsidP="0043316B">
            <w:pPr>
              <w:pStyle w:val="Tabletext"/>
              <w:keepNext w:val="0"/>
              <w:widowControl w:val="0"/>
            </w:pPr>
            <w:r w:rsidRPr="00D85E09">
              <w:t>BI score at 90 days</w:t>
            </w:r>
          </w:p>
          <w:p w14:paraId="36E32240" w14:textId="77777777" w:rsidR="00315893" w:rsidRPr="00D85E09" w:rsidRDefault="00315893" w:rsidP="0043316B">
            <w:pPr>
              <w:pStyle w:val="Tabletext"/>
              <w:keepNext w:val="0"/>
              <w:widowControl w:val="0"/>
            </w:pPr>
            <w:r w:rsidRPr="00D85E09">
              <w:t>BI shift at 90 days</w:t>
            </w:r>
          </w:p>
          <w:p w14:paraId="42A5C312" w14:textId="77777777" w:rsidR="00315893" w:rsidRPr="00D85E09" w:rsidRDefault="00315893" w:rsidP="0043316B">
            <w:pPr>
              <w:pStyle w:val="Tabletext"/>
              <w:keepNext w:val="0"/>
              <w:widowControl w:val="0"/>
            </w:pPr>
            <w:r w:rsidRPr="00D85E09">
              <w:t>Health Utilities index at 90 days</w:t>
            </w:r>
          </w:p>
          <w:p w14:paraId="6C3970DD" w14:textId="0C375211" w:rsidR="00315893" w:rsidRPr="00D85E09" w:rsidRDefault="00315893" w:rsidP="0043316B">
            <w:pPr>
              <w:pStyle w:val="Tabletext"/>
              <w:keepNext w:val="0"/>
              <w:widowControl w:val="0"/>
            </w:pPr>
            <w:r w:rsidRPr="00D85E09">
              <w:t>EQ</w:t>
            </w:r>
            <w:r w:rsidRPr="00D85E09">
              <w:rPr>
                <w:rFonts w:ascii="Cambria Math" w:hAnsi="Cambria Math" w:cs="Cambria Math"/>
              </w:rPr>
              <w:t>‐</w:t>
            </w:r>
            <w:r w:rsidRPr="00D85E09">
              <w:t>5D (EuroQo</w:t>
            </w:r>
            <w:r w:rsidR="00A8075A" w:rsidRPr="00D85E09">
              <w:t>L</w:t>
            </w:r>
            <w:r w:rsidRPr="00D85E09">
              <w:t>) at 90 days</w:t>
            </w:r>
          </w:p>
          <w:p w14:paraId="72ABBAA1" w14:textId="77777777" w:rsidR="00315893" w:rsidRPr="00D85E09" w:rsidRDefault="00315893" w:rsidP="0043316B">
            <w:pPr>
              <w:pStyle w:val="Tabletext"/>
              <w:keepNext w:val="0"/>
              <w:widowControl w:val="0"/>
            </w:pPr>
            <w:r w:rsidRPr="00D85E09">
              <w:t>Recanalisation of the target arterial occlusive lesion (TICI 3 flow) at the end of the procedure</w:t>
            </w:r>
          </w:p>
          <w:p w14:paraId="4123A581" w14:textId="77777777" w:rsidR="00315893" w:rsidRPr="00D85E09" w:rsidRDefault="00315893" w:rsidP="0043316B">
            <w:pPr>
              <w:pStyle w:val="Tabletext"/>
              <w:keepNext w:val="0"/>
              <w:widowControl w:val="0"/>
            </w:pPr>
            <w:r w:rsidRPr="00D85E09">
              <w:t>TICI 3 score at the end of the procedure</w:t>
            </w:r>
          </w:p>
        </w:tc>
      </w:tr>
      <w:tr w:rsidR="00315893" w:rsidRPr="00D85E09" w14:paraId="69F13571" w14:textId="77777777" w:rsidTr="00181227">
        <w:tc>
          <w:tcPr>
            <w:tcW w:w="422" w:type="pct"/>
          </w:tcPr>
          <w:p w14:paraId="4C7199F6" w14:textId="4A29AD57" w:rsidR="00315893" w:rsidRPr="00D85E09" w:rsidRDefault="005B7DCE" w:rsidP="0043316B">
            <w:pPr>
              <w:pStyle w:val="Tabletext"/>
              <w:keepNext w:val="0"/>
              <w:widowControl w:val="0"/>
            </w:pPr>
            <w:r>
              <w:t>EXTEND-I</w:t>
            </w:r>
            <w:r w:rsidR="00315893" w:rsidRPr="00D85E09">
              <w:t>A</w:t>
            </w:r>
          </w:p>
        </w:tc>
        <w:tc>
          <w:tcPr>
            <w:tcW w:w="505" w:type="pct"/>
          </w:tcPr>
          <w:p w14:paraId="3D2C4743" w14:textId="77777777" w:rsidR="00315893" w:rsidRPr="00D85E09" w:rsidRDefault="00315893" w:rsidP="0043316B">
            <w:pPr>
              <w:pStyle w:val="Tabletext"/>
              <w:keepNext w:val="0"/>
              <w:widowControl w:val="0"/>
            </w:pPr>
            <w:r w:rsidRPr="00D85E09">
              <w:t>MC, Phase III, PROBE</w:t>
            </w:r>
          </w:p>
        </w:tc>
        <w:tc>
          <w:tcPr>
            <w:tcW w:w="583" w:type="pct"/>
          </w:tcPr>
          <w:p w14:paraId="66B6A776" w14:textId="77777777" w:rsidR="00315893" w:rsidRPr="00D85E09" w:rsidRDefault="00315893" w:rsidP="0043316B">
            <w:pPr>
              <w:pStyle w:val="Tabletext"/>
              <w:keepNext w:val="0"/>
              <w:widowControl w:val="0"/>
            </w:pPr>
            <w:r w:rsidRPr="00D85E09">
              <w:t>Release of data from MR CLEAN led to interim analyses being performed. A pre-specified stopping boundary was applied to the co-primary outcome, and the trial was stopped for efficacy</w:t>
            </w:r>
          </w:p>
        </w:tc>
        <w:tc>
          <w:tcPr>
            <w:tcW w:w="835" w:type="pct"/>
          </w:tcPr>
          <w:p w14:paraId="084336B5" w14:textId="77777777" w:rsidR="00315893" w:rsidRPr="00D85E09" w:rsidRDefault="00315893" w:rsidP="0043316B">
            <w:pPr>
              <w:pStyle w:val="Tabletext"/>
              <w:keepNext w:val="0"/>
              <w:widowControl w:val="0"/>
            </w:pPr>
            <w:r w:rsidRPr="00D85E09">
              <w:t>To test the hypothesis that patients with anterior circulation ischaemic stroke will have improved reperfusion and early neurologic improvement when treated with early endovascular thrombectomy after IV administration of alteplase, as compared with the use of alteplase alone</w:t>
            </w:r>
          </w:p>
        </w:tc>
        <w:tc>
          <w:tcPr>
            <w:tcW w:w="521" w:type="pct"/>
          </w:tcPr>
          <w:p w14:paraId="15967341" w14:textId="77777777" w:rsidR="00315893" w:rsidRPr="00D85E09" w:rsidRDefault="00315893" w:rsidP="0043316B">
            <w:pPr>
              <w:pStyle w:val="Tabletext"/>
              <w:keepNext w:val="0"/>
              <w:widowControl w:val="0"/>
            </w:pPr>
            <w:r w:rsidRPr="00D85E09">
              <w:t>N=35</w:t>
            </w:r>
          </w:p>
          <w:p w14:paraId="47D0529D" w14:textId="77777777" w:rsidR="00315893" w:rsidRPr="00D85E09" w:rsidRDefault="00315893" w:rsidP="0043316B">
            <w:pPr>
              <w:pStyle w:val="Tabletext"/>
              <w:keepNext w:val="0"/>
              <w:widowControl w:val="0"/>
            </w:pPr>
            <w:r w:rsidRPr="00D85E09">
              <w:t>Alteplase plus MT with the Solitaire FR stent retriever</w:t>
            </w:r>
          </w:p>
          <w:p w14:paraId="1DFE2E40" w14:textId="77777777" w:rsidR="00315893" w:rsidRPr="00D85E09" w:rsidRDefault="00315893" w:rsidP="0043316B">
            <w:pPr>
              <w:pStyle w:val="Tabletext"/>
              <w:keepNext w:val="0"/>
              <w:widowControl w:val="0"/>
            </w:pPr>
            <w:r w:rsidRPr="00D85E09">
              <w:t>N=No further therapy (alteplase-only)</w:t>
            </w:r>
          </w:p>
          <w:p w14:paraId="3B40FF3A" w14:textId="77777777" w:rsidR="00315893" w:rsidRPr="00D85E09" w:rsidRDefault="00315893" w:rsidP="0043316B">
            <w:pPr>
              <w:pStyle w:val="Tabletext"/>
              <w:keepNext w:val="0"/>
              <w:widowControl w:val="0"/>
            </w:pPr>
          </w:p>
        </w:tc>
        <w:tc>
          <w:tcPr>
            <w:tcW w:w="679" w:type="pct"/>
          </w:tcPr>
          <w:p w14:paraId="478C33D4" w14:textId="77777777" w:rsidR="00315893" w:rsidRPr="00D85E09" w:rsidRDefault="00315893" w:rsidP="0043316B">
            <w:pPr>
              <w:pStyle w:val="Tabletext"/>
              <w:keepNext w:val="0"/>
              <w:widowControl w:val="0"/>
            </w:pPr>
            <w:r w:rsidRPr="00D85E09">
              <w:t>Patients were eligible if they could receive IV alteplase within 4.5 hours after the onset of anterior circulation ischaemic stroke</w:t>
            </w:r>
          </w:p>
          <w:p w14:paraId="68AD2B19" w14:textId="77777777" w:rsidR="00315893" w:rsidRPr="00D85E09" w:rsidRDefault="00315893" w:rsidP="0043316B">
            <w:pPr>
              <w:pStyle w:val="Tabletext"/>
              <w:keepNext w:val="0"/>
              <w:widowControl w:val="0"/>
            </w:pPr>
          </w:p>
        </w:tc>
        <w:tc>
          <w:tcPr>
            <w:tcW w:w="479" w:type="pct"/>
          </w:tcPr>
          <w:p w14:paraId="565B4B2D" w14:textId="77777777" w:rsidR="00315893" w:rsidRPr="00D85E09" w:rsidRDefault="00315893" w:rsidP="0043316B">
            <w:pPr>
              <w:pStyle w:val="Tabletext"/>
              <w:keepNext w:val="0"/>
              <w:widowControl w:val="0"/>
            </w:pPr>
            <w:r w:rsidRPr="00D85E09">
              <w:t xml:space="preserve">The co-primary outcomes were reperfusion and early neurologic improvement </w:t>
            </w:r>
          </w:p>
        </w:tc>
        <w:tc>
          <w:tcPr>
            <w:tcW w:w="976" w:type="pct"/>
          </w:tcPr>
          <w:p w14:paraId="075FE92C" w14:textId="77777777" w:rsidR="00315893" w:rsidRPr="00D85E09" w:rsidRDefault="00315893" w:rsidP="0043316B">
            <w:pPr>
              <w:pStyle w:val="Tabletext"/>
              <w:keepNext w:val="0"/>
              <w:widowControl w:val="0"/>
            </w:pPr>
            <w:r w:rsidRPr="00D85E09">
              <w:t>Score on the modified Rankin scale at 90 days</w:t>
            </w:r>
          </w:p>
          <w:p w14:paraId="0580FF13" w14:textId="77777777" w:rsidR="00315893" w:rsidRPr="00D85E09" w:rsidRDefault="00315893" w:rsidP="0043316B">
            <w:pPr>
              <w:pStyle w:val="Tabletext"/>
              <w:keepNext w:val="0"/>
              <w:widowControl w:val="0"/>
            </w:pPr>
            <w:r w:rsidRPr="00D85E09">
              <w:t>Death due to any cause,</w:t>
            </w:r>
          </w:p>
          <w:p w14:paraId="40C63752" w14:textId="77777777" w:rsidR="00315893" w:rsidRPr="00D85E09" w:rsidRDefault="00315893" w:rsidP="0043316B">
            <w:pPr>
              <w:pStyle w:val="Tabletext"/>
              <w:keepNext w:val="0"/>
              <w:widowControl w:val="0"/>
            </w:pPr>
            <w:r w:rsidRPr="00D85E09">
              <w:t>Symptomatic intra-cranial haemorrhage</w:t>
            </w:r>
          </w:p>
          <w:p w14:paraId="0F452034" w14:textId="77777777" w:rsidR="00315893" w:rsidRPr="00D85E09" w:rsidRDefault="00315893" w:rsidP="0043316B">
            <w:pPr>
              <w:pStyle w:val="Tabletext"/>
              <w:keepNext w:val="0"/>
              <w:widowControl w:val="0"/>
            </w:pPr>
          </w:p>
        </w:tc>
      </w:tr>
      <w:tr w:rsidR="00315893" w:rsidRPr="00D85E09" w14:paraId="366A4228" w14:textId="77777777" w:rsidTr="00181227">
        <w:tc>
          <w:tcPr>
            <w:tcW w:w="422" w:type="pct"/>
          </w:tcPr>
          <w:p w14:paraId="659C25FC" w14:textId="77777777" w:rsidR="00315893" w:rsidRPr="00D85E09" w:rsidRDefault="00315893" w:rsidP="0043316B">
            <w:pPr>
              <w:pStyle w:val="Tabletext"/>
              <w:keepNext w:val="0"/>
              <w:widowControl w:val="0"/>
            </w:pPr>
            <w:r w:rsidRPr="00D85E09">
              <w:lastRenderedPageBreak/>
              <w:t>MR CLEAN</w:t>
            </w:r>
          </w:p>
        </w:tc>
        <w:tc>
          <w:tcPr>
            <w:tcW w:w="505" w:type="pct"/>
          </w:tcPr>
          <w:p w14:paraId="326A3101" w14:textId="77777777" w:rsidR="00315893" w:rsidRPr="00D85E09" w:rsidRDefault="00315893" w:rsidP="0043316B">
            <w:pPr>
              <w:pStyle w:val="Tabletext"/>
              <w:keepNext w:val="0"/>
              <w:widowControl w:val="0"/>
            </w:pPr>
            <w:r w:rsidRPr="00D85E09">
              <w:t>MC, Phase III, PROBE</w:t>
            </w:r>
          </w:p>
        </w:tc>
        <w:tc>
          <w:tcPr>
            <w:tcW w:w="583" w:type="pct"/>
          </w:tcPr>
          <w:p w14:paraId="2EE6C1E4" w14:textId="77777777" w:rsidR="00315893" w:rsidRPr="00D85E09" w:rsidRDefault="00315893" w:rsidP="0043316B">
            <w:pPr>
              <w:pStyle w:val="Tabletext"/>
              <w:keepNext w:val="0"/>
              <w:widowControl w:val="0"/>
            </w:pPr>
            <w:r w:rsidRPr="00D85E09">
              <w:t>No</w:t>
            </w:r>
          </w:p>
        </w:tc>
        <w:tc>
          <w:tcPr>
            <w:tcW w:w="835" w:type="pct"/>
          </w:tcPr>
          <w:p w14:paraId="65A90917" w14:textId="77777777" w:rsidR="00315893" w:rsidRPr="00D85E09" w:rsidRDefault="00315893" w:rsidP="0043316B">
            <w:pPr>
              <w:pStyle w:val="Tabletext"/>
              <w:keepNext w:val="0"/>
              <w:widowControl w:val="0"/>
            </w:pPr>
            <w:r w:rsidRPr="00D85E09">
              <w:t>To estimate the effect of endovascular treatment on overall functional outcome after AIS</w:t>
            </w:r>
          </w:p>
        </w:tc>
        <w:tc>
          <w:tcPr>
            <w:tcW w:w="521" w:type="pct"/>
          </w:tcPr>
          <w:p w14:paraId="20CE9937" w14:textId="77777777" w:rsidR="00315893" w:rsidRPr="00D85E09" w:rsidRDefault="00315893" w:rsidP="0043316B">
            <w:pPr>
              <w:pStyle w:val="Tabletext"/>
              <w:keepNext w:val="0"/>
              <w:widowControl w:val="0"/>
            </w:pPr>
            <w:r w:rsidRPr="00D85E09">
              <w:t>N=233</w:t>
            </w:r>
          </w:p>
          <w:p w14:paraId="30D88F00" w14:textId="77777777" w:rsidR="00315893" w:rsidRPr="00D85E09" w:rsidRDefault="00315893" w:rsidP="0043316B">
            <w:pPr>
              <w:pStyle w:val="Tabletext"/>
              <w:keepNext w:val="0"/>
              <w:widowControl w:val="0"/>
            </w:pPr>
            <w:r w:rsidRPr="00D85E09">
              <w:t>Intra-arterial thrombolysis, mechanical treatment, [undertaken with any currently available and approved device] or both, plus usual care [which could include IV alteplase]</w:t>
            </w:r>
          </w:p>
          <w:p w14:paraId="7EF2B96E" w14:textId="77777777" w:rsidR="00315893" w:rsidRPr="00D85E09" w:rsidRDefault="00315893" w:rsidP="0043316B">
            <w:pPr>
              <w:pStyle w:val="Tabletext"/>
              <w:keepNext w:val="0"/>
              <w:widowControl w:val="0"/>
            </w:pPr>
            <w:r w:rsidRPr="00D85E09">
              <w:t>N=267</w:t>
            </w:r>
          </w:p>
          <w:p w14:paraId="40C0A746" w14:textId="77777777" w:rsidR="00315893" w:rsidRPr="00D85E09" w:rsidRDefault="00315893" w:rsidP="0043316B">
            <w:pPr>
              <w:pStyle w:val="Tabletext"/>
              <w:keepNext w:val="0"/>
              <w:widowControl w:val="0"/>
            </w:pPr>
            <w:r w:rsidRPr="00D85E09">
              <w:t xml:space="preserve">Usual care alone </w:t>
            </w:r>
          </w:p>
        </w:tc>
        <w:tc>
          <w:tcPr>
            <w:tcW w:w="679" w:type="pct"/>
          </w:tcPr>
          <w:p w14:paraId="39DDFB14" w14:textId="77777777" w:rsidR="00315893" w:rsidRPr="00D85E09" w:rsidRDefault="00315893" w:rsidP="0043316B">
            <w:pPr>
              <w:pStyle w:val="Tabletext"/>
              <w:keepNext w:val="0"/>
              <w:widowControl w:val="0"/>
            </w:pPr>
            <w:r w:rsidRPr="00D85E09">
              <w:t>Patients were 18 years of age or older with AIS caused by an intra-cranial occlusion in the anterior circulation artery. Initiation of intra-arterial treatment had to be possible within 6 hours after stroke onset</w:t>
            </w:r>
          </w:p>
        </w:tc>
        <w:tc>
          <w:tcPr>
            <w:tcW w:w="479" w:type="pct"/>
          </w:tcPr>
          <w:p w14:paraId="13F5EF28" w14:textId="77777777" w:rsidR="00315893" w:rsidRPr="00D85E09" w:rsidRDefault="00315893" w:rsidP="0043316B">
            <w:pPr>
              <w:pStyle w:val="Tabletext"/>
              <w:keepNext w:val="0"/>
              <w:widowControl w:val="0"/>
            </w:pPr>
            <w:r w:rsidRPr="00D85E09">
              <w:t>Modified Rankin scale score at 90 days</w:t>
            </w:r>
          </w:p>
        </w:tc>
        <w:tc>
          <w:tcPr>
            <w:tcW w:w="976" w:type="pct"/>
          </w:tcPr>
          <w:p w14:paraId="5CE4908B" w14:textId="77777777" w:rsidR="00315893" w:rsidRPr="00D85E09" w:rsidRDefault="00315893" w:rsidP="0043316B">
            <w:pPr>
              <w:pStyle w:val="Tabletext"/>
              <w:keepNext w:val="0"/>
              <w:widowControl w:val="0"/>
            </w:pPr>
            <w:r w:rsidRPr="00D85E09">
              <w:t>NIHSS score at 24 hours</w:t>
            </w:r>
          </w:p>
          <w:p w14:paraId="478A1B7B" w14:textId="77777777" w:rsidR="00315893" w:rsidRPr="00D85E09" w:rsidRDefault="00315893" w:rsidP="0043316B">
            <w:pPr>
              <w:pStyle w:val="Tabletext"/>
              <w:keepNext w:val="0"/>
              <w:widowControl w:val="0"/>
            </w:pPr>
            <w:r w:rsidRPr="00D85E09">
              <w:t>Activities of daily living measured with the Barthel Index,</w:t>
            </w:r>
          </w:p>
          <w:p w14:paraId="184D289C" w14:textId="77777777" w:rsidR="00315893" w:rsidRPr="00D85E09" w:rsidRDefault="00315893" w:rsidP="0043316B">
            <w:pPr>
              <w:pStyle w:val="Tabletext"/>
              <w:keepNext w:val="0"/>
              <w:widowControl w:val="0"/>
            </w:pPr>
            <w:r w:rsidRPr="00D85E09">
              <w:t>HRQoL measured by EQ-5D at 90 days</w:t>
            </w:r>
          </w:p>
          <w:p w14:paraId="631BA3DD" w14:textId="77777777" w:rsidR="00315893" w:rsidRPr="00D85E09" w:rsidRDefault="00315893" w:rsidP="0043316B">
            <w:pPr>
              <w:pStyle w:val="Tabletext"/>
              <w:keepNext w:val="0"/>
              <w:widowControl w:val="0"/>
            </w:pPr>
            <w:r w:rsidRPr="00D85E09">
              <w:t>Pre-specified dichotomisations of the modified Rankin score examined: 0 or 1 versus 2 to 6, 0 to 2 versus 3 to 6, and 0 to 3 versus 4 to 6.</w:t>
            </w:r>
          </w:p>
        </w:tc>
      </w:tr>
      <w:tr w:rsidR="00315893" w:rsidRPr="00D85E09" w14:paraId="31EC7295" w14:textId="77777777" w:rsidTr="00181227">
        <w:tc>
          <w:tcPr>
            <w:tcW w:w="422" w:type="pct"/>
          </w:tcPr>
          <w:p w14:paraId="2578CF73" w14:textId="77777777" w:rsidR="00315893" w:rsidRPr="00D85E09" w:rsidRDefault="00315893" w:rsidP="0043316B">
            <w:pPr>
              <w:pStyle w:val="Tabletext"/>
              <w:keepNext w:val="0"/>
              <w:widowControl w:val="0"/>
            </w:pPr>
            <w:r w:rsidRPr="00D85E09">
              <w:t>REVASCAT</w:t>
            </w:r>
          </w:p>
        </w:tc>
        <w:tc>
          <w:tcPr>
            <w:tcW w:w="505" w:type="pct"/>
          </w:tcPr>
          <w:p w14:paraId="26BB3D3B" w14:textId="77777777" w:rsidR="00315893" w:rsidRPr="00D85E09" w:rsidRDefault="00315893" w:rsidP="0043316B">
            <w:pPr>
              <w:pStyle w:val="Tabletext"/>
              <w:keepNext w:val="0"/>
              <w:widowControl w:val="0"/>
            </w:pPr>
            <w:r w:rsidRPr="00D85E09">
              <w:t>MC, Phase III, PROBE</w:t>
            </w:r>
          </w:p>
        </w:tc>
        <w:tc>
          <w:tcPr>
            <w:tcW w:w="583" w:type="pct"/>
          </w:tcPr>
          <w:p w14:paraId="7828BABA" w14:textId="77777777" w:rsidR="00315893" w:rsidRPr="00D85E09" w:rsidRDefault="00315893" w:rsidP="0043316B">
            <w:pPr>
              <w:pStyle w:val="Tabletext"/>
              <w:keepNext w:val="0"/>
              <w:widowControl w:val="0"/>
            </w:pPr>
            <w:r w:rsidRPr="00D85E09">
              <w:t xml:space="preserve">Study recruitment was terminated because of emerging results MR CLEAN, EXTEND-IA and ESCAPE that showed the efficacy of thrombectomy, which raised ethical concerns about further assignment of patients to the </w:t>
            </w:r>
            <w:r w:rsidRPr="00D85E09">
              <w:lastRenderedPageBreak/>
              <w:t>control group</w:t>
            </w:r>
          </w:p>
        </w:tc>
        <w:tc>
          <w:tcPr>
            <w:tcW w:w="835" w:type="pct"/>
          </w:tcPr>
          <w:p w14:paraId="4D90578C" w14:textId="77777777" w:rsidR="00315893" w:rsidRPr="00D85E09" w:rsidRDefault="00315893" w:rsidP="0043316B">
            <w:pPr>
              <w:pStyle w:val="Tabletext"/>
              <w:keepNext w:val="0"/>
              <w:widowControl w:val="0"/>
            </w:pPr>
            <w:r w:rsidRPr="00D85E09">
              <w:lastRenderedPageBreak/>
              <w:t>To evaluate the hypothesis that mechanical embolectomy with the Solitaire FR device is superior to medical management alone</w:t>
            </w:r>
          </w:p>
        </w:tc>
        <w:tc>
          <w:tcPr>
            <w:tcW w:w="521" w:type="pct"/>
          </w:tcPr>
          <w:p w14:paraId="357B77F1" w14:textId="77777777" w:rsidR="00315893" w:rsidRPr="00D85E09" w:rsidRDefault="00315893" w:rsidP="0043316B">
            <w:pPr>
              <w:pStyle w:val="Tabletext"/>
              <w:keepNext w:val="0"/>
              <w:widowControl w:val="0"/>
            </w:pPr>
            <w:r w:rsidRPr="00D85E09">
              <w:t>N=103</w:t>
            </w:r>
          </w:p>
          <w:p w14:paraId="5CB52979" w14:textId="77777777" w:rsidR="00315893" w:rsidRPr="00D85E09" w:rsidRDefault="00315893" w:rsidP="0043316B">
            <w:pPr>
              <w:pStyle w:val="Tabletext"/>
              <w:keepNext w:val="0"/>
              <w:widowControl w:val="0"/>
            </w:pPr>
            <w:r w:rsidRPr="00D85E09">
              <w:t>Solitaire stent retriever (thrombectomy group)</w:t>
            </w:r>
          </w:p>
          <w:p w14:paraId="2D04E764" w14:textId="77777777" w:rsidR="00315893" w:rsidRPr="00D85E09" w:rsidRDefault="00315893" w:rsidP="0043316B">
            <w:pPr>
              <w:pStyle w:val="Tabletext"/>
              <w:keepNext w:val="0"/>
              <w:widowControl w:val="0"/>
            </w:pPr>
            <w:r w:rsidRPr="00D85E09">
              <w:t>N=103</w:t>
            </w:r>
          </w:p>
          <w:p w14:paraId="302DB867" w14:textId="77777777" w:rsidR="00315893" w:rsidRPr="00D85E09" w:rsidRDefault="00315893" w:rsidP="0043316B">
            <w:pPr>
              <w:pStyle w:val="Tabletext"/>
              <w:keepNext w:val="0"/>
              <w:widowControl w:val="0"/>
            </w:pPr>
            <w:r w:rsidRPr="00D85E09">
              <w:t>Medical therapy alone (control group).</w:t>
            </w:r>
          </w:p>
        </w:tc>
        <w:tc>
          <w:tcPr>
            <w:tcW w:w="679" w:type="pct"/>
          </w:tcPr>
          <w:p w14:paraId="65080F6C" w14:textId="77777777" w:rsidR="00315893" w:rsidRPr="00D85E09" w:rsidRDefault="00315893" w:rsidP="0043316B">
            <w:pPr>
              <w:pStyle w:val="Tabletext"/>
              <w:keepNext w:val="0"/>
              <w:widowControl w:val="0"/>
            </w:pPr>
            <w:r w:rsidRPr="00D85E09">
              <w:t>Patients between 18 and 80 years of age, presenting with AIS within 8 hours from symptom onset</w:t>
            </w:r>
          </w:p>
          <w:p w14:paraId="0144916F" w14:textId="77777777" w:rsidR="00315893" w:rsidRPr="00D85E09" w:rsidRDefault="00315893" w:rsidP="0043316B">
            <w:pPr>
              <w:pStyle w:val="Tabletext"/>
              <w:keepNext w:val="0"/>
              <w:widowControl w:val="0"/>
            </w:pPr>
            <w:r w:rsidRPr="00D85E09">
              <w:t>Subjects are either ineligible for IV alteplase or have received IV alteplase therapy without recanalisation</w:t>
            </w:r>
          </w:p>
        </w:tc>
        <w:tc>
          <w:tcPr>
            <w:tcW w:w="479" w:type="pct"/>
          </w:tcPr>
          <w:p w14:paraId="3E8BF1B7" w14:textId="77777777" w:rsidR="00315893" w:rsidRPr="00D85E09" w:rsidRDefault="00315893" w:rsidP="0043316B">
            <w:pPr>
              <w:pStyle w:val="Tabletext"/>
              <w:keepNext w:val="0"/>
              <w:widowControl w:val="0"/>
            </w:pPr>
            <w:r w:rsidRPr="00D85E09">
              <w:t>Modified Rankin scale score at 90 days</w:t>
            </w:r>
          </w:p>
        </w:tc>
        <w:tc>
          <w:tcPr>
            <w:tcW w:w="976" w:type="pct"/>
          </w:tcPr>
          <w:p w14:paraId="19C4E1A2" w14:textId="77777777" w:rsidR="00315893" w:rsidRPr="00D85E09" w:rsidRDefault="00315893" w:rsidP="0043316B">
            <w:pPr>
              <w:pStyle w:val="Tabletext"/>
              <w:keepNext w:val="0"/>
              <w:widowControl w:val="0"/>
            </w:pPr>
            <w:r w:rsidRPr="00D85E09">
              <w:t>Early dramatic response to treatment (defined as a decrease in the NIHSS score of ≥8 from baseline or an NIHSS score of 0 to 2 at 24 hours),</w:t>
            </w:r>
          </w:p>
          <w:p w14:paraId="3110D53A" w14:textId="77777777" w:rsidR="00315893" w:rsidRPr="00D85E09" w:rsidRDefault="00315893" w:rsidP="0043316B">
            <w:pPr>
              <w:pStyle w:val="Tabletext"/>
              <w:keepNext w:val="0"/>
              <w:widowControl w:val="0"/>
            </w:pPr>
            <w:r w:rsidRPr="00D85E09">
              <w:t>NIHSS score and Barthel Index at 90 days,</w:t>
            </w:r>
          </w:p>
          <w:p w14:paraId="6DD0CF95" w14:textId="77777777" w:rsidR="00315893" w:rsidRPr="00D85E09" w:rsidRDefault="00315893" w:rsidP="0043316B">
            <w:pPr>
              <w:pStyle w:val="Tabletext"/>
              <w:keepNext w:val="0"/>
              <w:widowControl w:val="0"/>
            </w:pPr>
            <w:r w:rsidRPr="00D85E09">
              <w:t>HRQoL measured by EQ-5D at 90 days</w:t>
            </w:r>
          </w:p>
          <w:p w14:paraId="7EB88C33" w14:textId="77777777" w:rsidR="00315893" w:rsidRPr="00D85E09" w:rsidRDefault="00315893" w:rsidP="0043316B">
            <w:pPr>
              <w:pStyle w:val="Tabletext"/>
              <w:keepNext w:val="0"/>
              <w:widowControl w:val="0"/>
            </w:pPr>
            <w:r w:rsidRPr="00D85E09">
              <w:t>Successful vessel revascularisation, which was defined as a grade of 2b or 3 (mTICI) scale</w:t>
            </w:r>
          </w:p>
          <w:p w14:paraId="08E77126" w14:textId="77777777" w:rsidR="00315893" w:rsidRPr="00D85E09" w:rsidRDefault="00315893" w:rsidP="0043316B">
            <w:pPr>
              <w:pStyle w:val="Tabletext"/>
              <w:keepNext w:val="0"/>
              <w:widowControl w:val="0"/>
            </w:pPr>
          </w:p>
        </w:tc>
      </w:tr>
      <w:tr w:rsidR="00315893" w:rsidRPr="00D85E09" w14:paraId="6BF4ACE6" w14:textId="77777777" w:rsidTr="00181227">
        <w:tc>
          <w:tcPr>
            <w:tcW w:w="422" w:type="pct"/>
          </w:tcPr>
          <w:p w14:paraId="56F4854F" w14:textId="77777777" w:rsidR="00315893" w:rsidRPr="00D85E09" w:rsidRDefault="00315893" w:rsidP="0043316B">
            <w:pPr>
              <w:pStyle w:val="Tabletext"/>
              <w:keepNext w:val="0"/>
              <w:widowControl w:val="0"/>
            </w:pPr>
            <w:r w:rsidRPr="00D85E09">
              <w:lastRenderedPageBreak/>
              <w:t>SWIFT PRIME</w:t>
            </w:r>
          </w:p>
        </w:tc>
        <w:tc>
          <w:tcPr>
            <w:tcW w:w="505" w:type="pct"/>
          </w:tcPr>
          <w:p w14:paraId="7DAB16F7" w14:textId="77777777" w:rsidR="00315893" w:rsidRPr="00D85E09" w:rsidRDefault="00315893" w:rsidP="0043316B">
            <w:pPr>
              <w:pStyle w:val="Tabletext"/>
              <w:keepNext w:val="0"/>
              <w:widowControl w:val="0"/>
            </w:pPr>
            <w:r w:rsidRPr="00D85E09">
              <w:t>MC, P, R, OL</w:t>
            </w:r>
          </w:p>
        </w:tc>
        <w:tc>
          <w:tcPr>
            <w:tcW w:w="583" w:type="pct"/>
          </w:tcPr>
          <w:p w14:paraId="279CF7D2" w14:textId="77777777" w:rsidR="00315893" w:rsidRPr="00D85E09" w:rsidRDefault="00315893" w:rsidP="0043316B">
            <w:pPr>
              <w:pStyle w:val="Tabletext"/>
              <w:keepNext w:val="0"/>
              <w:widowControl w:val="0"/>
            </w:pPr>
            <w:r w:rsidRPr="00D85E09">
              <w:t>Release of data from MR CLEAN &amp; ESCAPE led to interim analyses being performed. A pre-specified stopping-criteria (based on modified Rankin scale) was met</w:t>
            </w:r>
          </w:p>
        </w:tc>
        <w:tc>
          <w:tcPr>
            <w:tcW w:w="835" w:type="pct"/>
          </w:tcPr>
          <w:p w14:paraId="4BDBF0F4" w14:textId="07A296D7" w:rsidR="00315893" w:rsidRPr="00D85E09" w:rsidRDefault="00315893" w:rsidP="0043316B">
            <w:pPr>
              <w:pStyle w:val="Tabletext"/>
              <w:keepNext w:val="0"/>
              <w:widowControl w:val="0"/>
            </w:pPr>
            <w:r w:rsidRPr="00D85E09">
              <w:t xml:space="preserve">To test the hypothesis that combined treatment with IV </w:t>
            </w:r>
            <w:r w:rsidR="005B7DCE">
              <w:t>tPA</w:t>
            </w:r>
            <w:r w:rsidRPr="00D85E09">
              <w:t xml:space="preserve"> and Solitaire FR will result in lower mRS scores than with treatment with IV </w:t>
            </w:r>
            <w:r w:rsidR="005B7DCE">
              <w:t>tPA</w:t>
            </w:r>
            <w:r w:rsidRPr="00D85E09">
              <w:t xml:space="preserve"> alone</w:t>
            </w:r>
          </w:p>
        </w:tc>
        <w:tc>
          <w:tcPr>
            <w:tcW w:w="521" w:type="pct"/>
          </w:tcPr>
          <w:p w14:paraId="4FB7AD49" w14:textId="77777777" w:rsidR="00315893" w:rsidRPr="00D85E09" w:rsidRDefault="00315893" w:rsidP="0043316B">
            <w:pPr>
              <w:pStyle w:val="Tabletext"/>
              <w:keepNext w:val="0"/>
              <w:widowControl w:val="0"/>
            </w:pPr>
            <w:r w:rsidRPr="00D85E09">
              <w:t>N=98</w:t>
            </w:r>
          </w:p>
          <w:p w14:paraId="547FB1E5" w14:textId="171566CB" w:rsidR="00315893" w:rsidRPr="00D85E09" w:rsidRDefault="00315893" w:rsidP="0043316B">
            <w:pPr>
              <w:pStyle w:val="Tabletext"/>
              <w:keepNext w:val="0"/>
              <w:widowControl w:val="0"/>
            </w:pPr>
            <w:r w:rsidRPr="00D85E09">
              <w:t xml:space="preserve">IV </w:t>
            </w:r>
            <w:r w:rsidR="005B7DCE">
              <w:t>tPA</w:t>
            </w:r>
            <w:r w:rsidRPr="00D85E09">
              <w:t xml:space="preserve"> plus </w:t>
            </w:r>
            <w:r w:rsidRPr="00D85E09">
              <w:rPr>
                <w:rFonts w:eastAsia="OTNEJMQuadraat" w:cs="OTNEJMQuadraat"/>
                <w:lang w:eastAsia="en-AU"/>
              </w:rPr>
              <w:t>mechanical thrombectomy performed with the use of the Solitaire FR or Solitaire 2 device</w:t>
            </w:r>
            <w:r w:rsidRPr="00D85E09">
              <w:t xml:space="preserve"> stent retriever (intervention group)</w:t>
            </w:r>
          </w:p>
          <w:p w14:paraId="41D87901" w14:textId="77777777" w:rsidR="00315893" w:rsidRPr="00D85E09" w:rsidRDefault="00315893" w:rsidP="0043316B">
            <w:pPr>
              <w:pStyle w:val="Tabletext"/>
              <w:keepNext w:val="0"/>
              <w:widowControl w:val="0"/>
            </w:pPr>
            <w:r w:rsidRPr="00D85E09">
              <w:t>N=98</w:t>
            </w:r>
          </w:p>
          <w:p w14:paraId="28A6FAE6" w14:textId="6A3D69CB" w:rsidR="00315893" w:rsidRPr="00D85E09" w:rsidRDefault="00315893" w:rsidP="0043316B">
            <w:pPr>
              <w:pStyle w:val="Tabletext"/>
              <w:keepNext w:val="0"/>
              <w:widowControl w:val="0"/>
            </w:pPr>
            <w:r w:rsidRPr="00D85E09">
              <w:t xml:space="preserve">IV </w:t>
            </w:r>
            <w:r w:rsidR="005B7DCE">
              <w:t>tPA</w:t>
            </w:r>
            <w:r w:rsidRPr="00D85E09">
              <w:t xml:space="preserve"> alone (control group).</w:t>
            </w:r>
          </w:p>
        </w:tc>
        <w:tc>
          <w:tcPr>
            <w:tcW w:w="679" w:type="pct"/>
          </w:tcPr>
          <w:p w14:paraId="28F413BC" w14:textId="77777777" w:rsidR="00315893" w:rsidRPr="00D85E09" w:rsidRDefault="00315893" w:rsidP="0043316B">
            <w:pPr>
              <w:pStyle w:val="Tabletext"/>
              <w:keepNext w:val="0"/>
              <w:widowControl w:val="0"/>
            </w:pPr>
            <w:r w:rsidRPr="00D85E09">
              <w:t>All the patients had confirmed occlusion of the intra-cranial internal carotid artery, the first segment of the middle cerebral artery, or both on vessel imaging and an absence of large ischaemic core lesions.</w:t>
            </w:r>
          </w:p>
          <w:p w14:paraId="36A5E665" w14:textId="025C3A0D" w:rsidR="00315893" w:rsidRPr="00D85E09" w:rsidRDefault="00315893" w:rsidP="0043316B">
            <w:pPr>
              <w:pStyle w:val="Tabletext"/>
              <w:keepNext w:val="0"/>
              <w:widowControl w:val="0"/>
            </w:pPr>
            <w:r w:rsidRPr="00D85E09">
              <w:t xml:space="preserve">Patients were receiving or had received intravenous </w:t>
            </w:r>
            <w:r w:rsidR="005B7DCE">
              <w:t>tPA</w:t>
            </w:r>
            <w:r w:rsidRPr="00D85E09">
              <w:t>; and were able to undergo initiation of endovascular treatment within 6 hours after the time that they were last known to be well before the onset of acute stroke symptoms</w:t>
            </w:r>
          </w:p>
        </w:tc>
        <w:tc>
          <w:tcPr>
            <w:tcW w:w="479" w:type="pct"/>
          </w:tcPr>
          <w:p w14:paraId="15847507" w14:textId="77777777" w:rsidR="00315893" w:rsidRPr="00D85E09" w:rsidRDefault="00315893" w:rsidP="0043316B">
            <w:pPr>
              <w:pStyle w:val="Tabletext"/>
              <w:keepNext w:val="0"/>
              <w:widowControl w:val="0"/>
            </w:pPr>
            <w:r w:rsidRPr="00D85E09">
              <w:t>Measure of disability at 90 days, as assessed by means of the mRS</w:t>
            </w:r>
          </w:p>
        </w:tc>
        <w:tc>
          <w:tcPr>
            <w:tcW w:w="976" w:type="pct"/>
          </w:tcPr>
          <w:p w14:paraId="158A5A33" w14:textId="77777777" w:rsidR="00315893" w:rsidRPr="00D85E09" w:rsidRDefault="00315893" w:rsidP="0043316B">
            <w:pPr>
              <w:pStyle w:val="Tabletext"/>
              <w:keepNext w:val="0"/>
              <w:widowControl w:val="0"/>
            </w:pPr>
            <w:r w:rsidRPr="00D85E09">
              <w:t>Rate of death at 90 days</w:t>
            </w:r>
          </w:p>
          <w:p w14:paraId="77B30308" w14:textId="77777777" w:rsidR="00315893" w:rsidRPr="00D85E09" w:rsidRDefault="00315893" w:rsidP="0043316B">
            <w:pPr>
              <w:pStyle w:val="Tabletext"/>
              <w:keepNext w:val="0"/>
              <w:widowControl w:val="0"/>
            </w:pPr>
            <w:r w:rsidRPr="00D85E09">
              <w:t>Rate of functional independence (mRS ≤2) at 90 days</w:t>
            </w:r>
          </w:p>
          <w:p w14:paraId="29884610" w14:textId="77777777" w:rsidR="00315893" w:rsidRPr="00D85E09" w:rsidRDefault="00315893" w:rsidP="0043316B">
            <w:pPr>
              <w:pStyle w:val="Tabletext"/>
              <w:keepNext w:val="0"/>
              <w:widowControl w:val="0"/>
            </w:pPr>
            <w:r w:rsidRPr="00D85E09">
              <w:t>Change in the NIHSS score at 27 hours after randomisation.</w:t>
            </w:r>
          </w:p>
        </w:tc>
      </w:tr>
      <w:tr w:rsidR="00315893" w:rsidRPr="00D85E09" w14:paraId="40FE0D17" w14:textId="77777777" w:rsidTr="00465778">
        <w:tc>
          <w:tcPr>
            <w:tcW w:w="5000" w:type="pct"/>
            <w:gridSpan w:val="8"/>
            <w:shd w:val="clear" w:color="auto" w:fill="FFFFFF" w:themeFill="background1"/>
          </w:tcPr>
          <w:p w14:paraId="2499F2A3" w14:textId="77777777" w:rsidR="00315893" w:rsidRPr="00D85E09" w:rsidRDefault="00315893" w:rsidP="0043316B">
            <w:pPr>
              <w:pStyle w:val="Tabletext"/>
              <w:keepNext w:val="0"/>
              <w:widowControl w:val="0"/>
            </w:pPr>
            <w:r w:rsidRPr="00D85E09">
              <w:t>Excluded</w:t>
            </w:r>
          </w:p>
        </w:tc>
      </w:tr>
      <w:tr w:rsidR="00315893" w:rsidRPr="00D85E09" w14:paraId="0C683698" w14:textId="77777777" w:rsidTr="00181227">
        <w:trPr>
          <w:trHeight w:val="647"/>
        </w:trPr>
        <w:tc>
          <w:tcPr>
            <w:tcW w:w="422" w:type="pct"/>
          </w:tcPr>
          <w:p w14:paraId="6D48F5D5" w14:textId="77777777" w:rsidR="00315893" w:rsidRPr="00D85E09" w:rsidRDefault="00315893" w:rsidP="0043316B">
            <w:pPr>
              <w:pStyle w:val="Tabletext"/>
              <w:keepNext w:val="0"/>
              <w:widowControl w:val="0"/>
            </w:pPr>
            <w:r w:rsidRPr="00D85E09">
              <w:t>SYNTHESIS</w:t>
            </w:r>
          </w:p>
        </w:tc>
        <w:tc>
          <w:tcPr>
            <w:tcW w:w="505" w:type="pct"/>
          </w:tcPr>
          <w:p w14:paraId="230BDB5A" w14:textId="77777777" w:rsidR="00315893" w:rsidRPr="00D85E09" w:rsidRDefault="00315893" w:rsidP="0043316B">
            <w:pPr>
              <w:pStyle w:val="Tabletext"/>
              <w:keepNext w:val="0"/>
              <w:widowControl w:val="0"/>
            </w:pPr>
            <w:r w:rsidRPr="00D85E09">
              <w:rPr>
                <w:rFonts w:cs="AdvOTb7819099"/>
              </w:rPr>
              <w:t>PROBE design</w:t>
            </w:r>
          </w:p>
        </w:tc>
        <w:tc>
          <w:tcPr>
            <w:tcW w:w="583" w:type="pct"/>
          </w:tcPr>
          <w:p w14:paraId="18EABFA0" w14:textId="77777777" w:rsidR="00315893" w:rsidRPr="00D85E09" w:rsidRDefault="00315893" w:rsidP="0043316B">
            <w:pPr>
              <w:pStyle w:val="Tabletext"/>
              <w:keepNext w:val="0"/>
              <w:widowControl w:val="0"/>
            </w:pPr>
            <w:r w:rsidRPr="00D85E09">
              <w:t>No</w:t>
            </w:r>
          </w:p>
        </w:tc>
        <w:tc>
          <w:tcPr>
            <w:tcW w:w="835" w:type="pct"/>
          </w:tcPr>
          <w:p w14:paraId="00C60BE2" w14:textId="7C369576" w:rsidR="00315893" w:rsidRPr="00D85E09" w:rsidRDefault="00315893" w:rsidP="0043316B">
            <w:pPr>
              <w:pStyle w:val="Tabletext"/>
              <w:keepNext w:val="0"/>
              <w:widowControl w:val="0"/>
            </w:pPr>
            <w:r w:rsidRPr="00D85E09">
              <w:t xml:space="preserve">To investigate whether endovascular treatment, including the options of a mechanical device and intra-arterial </w:t>
            </w:r>
            <w:r w:rsidR="005B7DCE">
              <w:t>tPA</w:t>
            </w:r>
            <w:r w:rsidRPr="00D85E09">
              <w:t xml:space="preserve">, is more effective than the currently </w:t>
            </w:r>
            <w:r w:rsidRPr="00D85E09">
              <w:lastRenderedPageBreak/>
              <w:t xml:space="preserve">available treatment with intravenous </w:t>
            </w:r>
            <w:r w:rsidR="005B7DCE">
              <w:t>tPA</w:t>
            </w:r>
          </w:p>
        </w:tc>
        <w:tc>
          <w:tcPr>
            <w:tcW w:w="521" w:type="pct"/>
          </w:tcPr>
          <w:p w14:paraId="48C29DC4" w14:textId="77777777" w:rsidR="00315893" w:rsidRPr="00D85E09" w:rsidRDefault="00315893" w:rsidP="0043316B">
            <w:pPr>
              <w:pStyle w:val="Tabletext"/>
              <w:keepNext w:val="0"/>
              <w:widowControl w:val="0"/>
            </w:pPr>
            <w:r w:rsidRPr="00D85E09">
              <w:lastRenderedPageBreak/>
              <w:t>N=181</w:t>
            </w:r>
          </w:p>
          <w:p w14:paraId="6D2B38AD" w14:textId="77777777" w:rsidR="00315893" w:rsidRPr="00D85E09" w:rsidRDefault="00315893" w:rsidP="0043316B">
            <w:pPr>
              <w:pStyle w:val="Tabletext"/>
              <w:keepNext w:val="0"/>
              <w:widowControl w:val="0"/>
            </w:pPr>
            <w:r w:rsidRPr="00D85E09">
              <w:t>Endovascular therapy</w:t>
            </w:r>
          </w:p>
          <w:p w14:paraId="2E2A2D4D" w14:textId="77777777" w:rsidR="00315893" w:rsidRPr="00D85E09" w:rsidRDefault="00315893" w:rsidP="0043316B">
            <w:pPr>
              <w:pStyle w:val="Tabletext"/>
              <w:keepNext w:val="0"/>
              <w:widowControl w:val="0"/>
            </w:pPr>
            <w:r w:rsidRPr="00D85E09">
              <w:t>N=181</w:t>
            </w:r>
          </w:p>
          <w:p w14:paraId="23189E8B" w14:textId="005E9C0D" w:rsidR="00315893" w:rsidRPr="00D85E09" w:rsidRDefault="00315893" w:rsidP="0043316B">
            <w:pPr>
              <w:pStyle w:val="Tabletext"/>
              <w:keepNext w:val="0"/>
              <w:widowControl w:val="0"/>
            </w:pPr>
            <w:r w:rsidRPr="00D85E09">
              <w:t xml:space="preserve">IV </w:t>
            </w:r>
            <w:r w:rsidR="005B7DCE">
              <w:t>tPA</w:t>
            </w:r>
            <w:r w:rsidRPr="00D85E09">
              <w:t xml:space="preserve"> alone </w:t>
            </w:r>
            <w:r w:rsidRPr="00D85E09">
              <w:lastRenderedPageBreak/>
              <w:t>(control group).</w:t>
            </w:r>
          </w:p>
        </w:tc>
        <w:tc>
          <w:tcPr>
            <w:tcW w:w="679" w:type="pct"/>
          </w:tcPr>
          <w:p w14:paraId="0286FD7C" w14:textId="77777777" w:rsidR="00315893" w:rsidRPr="00D85E09" w:rsidRDefault="00315893" w:rsidP="0043316B">
            <w:pPr>
              <w:pStyle w:val="Tabletext"/>
              <w:keepNext w:val="0"/>
              <w:widowControl w:val="0"/>
            </w:pPr>
            <w:r w:rsidRPr="00D85E09">
              <w:lastRenderedPageBreak/>
              <w:t>Patients with acute stroke and an age of 18 to 80 years</w:t>
            </w:r>
          </w:p>
          <w:p w14:paraId="0FB7405D" w14:textId="2148F9AE" w:rsidR="00315893" w:rsidRPr="00D85E09" w:rsidRDefault="00315893" w:rsidP="0043316B">
            <w:pPr>
              <w:pStyle w:val="Tabletext"/>
              <w:keepNext w:val="0"/>
              <w:widowControl w:val="0"/>
            </w:pPr>
            <w:r w:rsidRPr="00D85E09">
              <w:t xml:space="preserve">Clearly defined time of stroke onset that </w:t>
            </w:r>
            <w:r w:rsidRPr="00D85E09">
              <w:lastRenderedPageBreak/>
              <w:t xml:space="preserve">allowed for immediate initiation of intravenous </w:t>
            </w:r>
            <w:r w:rsidR="005B7DCE">
              <w:t>tPA</w:t>
            </w:r>
            <w:r w:rsidRPr="00D85E09">
              <w:t xml:space="preserve"> therapy (defined as within 4.5 hours after symptom onset) or for the administration of endovascular treatment as soon as possible (within 6 hours after symptom onset)</w:t>
            </w:r>
          </w:p>
        </w:tc>
        <w:tc>
          <w:tcPr>
            <w:tcW w:w="479" w:type="pct"/>
          </w:tcPr>
          <w:p w14:paraId="042CD9C0" w14:textId="77777777" w:rsidR="00315893" w:rsidRPr="00D85E09" w:rsidRDefault="00315893" w:rsidP="0043316B">
            <w:pPr>
              <w:pStyle w:val="Tabletext"/>
              <w:keepNext w:val="0"/>
              <w:widowControl w:val="0"/>
            </w:pPr>
            <w:r w:rsidRPr="00D85E09">
              <w:lastRenderedPageBreak/>
              <w:t xml:space="preserve">Measure of disability at 90 days, as assessed by means of the </w:t>
            </w:r>
            <w:r w:rsidRPr="00D85E09">
              <w:lastRenderedPageBreak/>
              <w:t>mRS</w:t>
            </w:r>
          </w:p>
        </w:tc>
        <w:tc>
          <w:tcPr>
            <w:tcW w:w="976" w:type="pct"/>
          </w:tcPr>
          <w:p w14:paraId="47AA5A70" w14:textId="77777777" w:rsidR="00315893" w:rsidRPr="00D85E09" w:rsidRDefault="00315893" w:rsidP="0043316B">
            <w:pPr>
              <w:pStyle w:val="Tabletext"/>
              <w:keepNext w:val="0"/>
              <w:widowControl w:val="0"/>
            </w:pPr>
            <w:r w:rsidRPr="00D85E09">
              <w:lastRenderedPageBreak/>
              <w:t>Proportion of patients with a mild neurologic deficit or none (NIHSS score, ≤6)</w:t>
            </w:r>
          </w:p>
          <w:p w14:paraId="6D5C63A9" w14:textId="77777777" w:rsidR="00315893" w:rsidRPr="00D85E09" w:rsidRDefault="00315893" w:rsidP="0043316B">
            <w:pPr>
              <w:pStyle w:val="Tabletext"/>
              <w:keepNext w:val="0"/>
              <w:widowControl w:val="0"/>
            </w:pPr>
          </w:p>
        </w:tc>
      </w:tr>
      <w:tr w:rsidR="00315893" w:rsidRPr="00D85E09" w14:paraId="0DDBF128" w14:textId="77777777" w:rsidTr="00181227">
        <w:trPr>
          <w:trHeight w:val="1417"/>
        </w:trPr>
        <w:tc>
          <w:tcPr>
            <w:tcW w:w="422" w:type="pct"/>
          </w:tcPr>
          <w:p w14:paraId="150323C9" w14:textId="77777777" w:rsidR="00315893" w:rsidRPr="00D85E09" w:rsidRDefault="00315893" w:rsidP="0043316B">
            <w:pPr>
              <w:pStyle w:val="Tabletext"/>
              <w:keepNext w:val="0"/>
              <w:widowControl w:val="0"/>
            </w:pPr>
            <w:r w:rsidRPr="00D85E09">
              <w:lastRenderedPageBreak/>
              <w:t>IMS-III</w:t>
            </w:r>
          </w:p>
        </w:tc>
        <w:tc>
          <w:tcPr>
            <w:tcW w:w="505" w:type="pct"/>
          </w:tcPr>
          <w:p w14:paraId="3480A332" w14:textId="77777777" w:rsidR="00315893" w:rsidRPr="00D85E09" w:rsidRDefault="00315893" w:rsidP="0043316B">
            <w:pPr>
              <w:pStyle w:val="Tabletext"/>
              <w:keepNext w:val="0"/>
              <w:widowControl w:val="0"/>
            </w:pPr>
            <w:r w:rsidRPr="00D85E09">
              <w:rPr>
                <w:rFonts w:cs="AdvOTb7819099"/>
              </w:rPr>
              <w:t>PROBE design</w:t>
            </w:r>
          </w:p>
        </w:tc>
        <w:tc>
          <w:tcPr>
            <w:tcW w:w="583" w:type="pct"/>
          </w:tcPr>
          <w:p w14:paraId="46019273" w14:textId="77777777" w:rsidR="00315893" w:rsidRPr="00D85E09" w:rsidRDefault="00315893" w:rsidP="0043316B">
            <w:pPr>
              <w:pStyle w:val="Tabletext"/>
              <w:keepNext w:val="0"/>
              <w:widowControl w:val="0"/>
            </w:pPr>
            <w:r w:rsidRPr="00D85E09">
              <w:rPr>
                <w:rFonts w:cs="AdvOTb7819099"/>
                <w:lang w:eastAsia="en-AU"/>
              </w:rPr>
              <w:t xml:space="preserve">The </w:t>
            </w:r>
            <w:r w:rsidRPr="00D85E09">
              <w:t>study was stopped early because of futility after 656 participants had undergone randomisation</w:t>
            </w:r>
          </w:p>
        </w:tc>
        <w:tc>
          <w:tcPr>
            <w:tcW w:w="835" w:type="pct"/>
          </w:tcPr>
          <w:p w14:paraId="455C2516" w14:textId="4C2B2C95" w:rsidR="00315893" w:rsidRPr="00D85E09" w:rsidRDefault="00315893" w:rsidP="0043316B">
            <w:pPr>
              <w:pStyle w:val="Tabletext"/>
              <w:keepNext w:val="0"/>
              <w:widowControl w:val="0"/>
            </w:pPr>
            <w:r w:rsidRPr="00D85E09">
              <w:t xml:space="preserve">To test the approach of intravenous </w:t>
            </w:r>
            <w:r w:rsidR="005B7DCE">
              <w:t>tPA</w:t>
            </w:r>
            <w:r w:rsidRPr="00D85E09">
              <w:t xml:space="preserve"> followed by protocol-approved endovascular treatment, as compared with standard intravenous </w:t>
            </w:r>
            <w:r w:rsidR="005B7DCE">
              <w:t>tPA</w:t>
            </w:r>
          </w:p>
        </w:tc>
        <w:tc>
          <w:tcPr>
            <w:tcW w:w="521" w:type="pct"/>
          </w:tcPr>
          <w:p w14:paraId="7B0798A0" w14:textId="77777777" w:rsidR="00315893" w:rsidRPr="00D85E09" w:rsidRDefault="00315893" w:rsidP="0043316B">
            <w:pPr>
              <w:pStyle w:val="Tabletext"/>
              <w:keepNext w:val="0"/>
              <w:widowControl w:val="0"/>
            </w:pPr>
            <w:r w:rsidRPr="00D85E09">
              <w:t>N=434</w:t>
            </w:r>
          </w:p>
          <w:p w14:paraId="6D7737F2" w14:textId="77777777" w:rsidR="00315893" w:rsidRPr="00D85E09" w:rsidRDefault="00315893" w:rsidP="0043316B">
            <w:pPr>
              <w:pStyle w:val="Tabletext"/>
              <w:keepNext w:val="0"/>
              <w:widowControl w:val="0"/>
            </w:pPr>
            <w:r w:rsidRPr="00D85E09">
              <w:t>Endovascular therapy</w:t>
            </w:r>
          </w:p>
          <w:p w14:paraId="11AA28A4" w14:textId="77777777" w:rsidR="00315893" w:rsidRPr="00D85E09" w:rsidRDefault="00315893" w:rsidP="0043316B">
            <w:pPr>
              <w:pStyle w:val="Tabletext"/>
              <w:keepNext w:val="0"/>
              <w:widowControl w:val="0"/>
            </w:pPr>
            <w:r w:rsidRPr="00D85E09">
              <w:t>N=222</w:t>
            </w:r>
          </w:p>
          <w:p w14:paraId="47E5DA71" w14:textId="30AFC4C7" w:rsidR="00315893" w:rsidRPr="00D85E09" w:rsidRDefault="00315893" w:rsidP="0043316B">
            <w:pPr>
              <w:pStyle w:val="Tabletext"/>
              <w:keepNext w:val="0"/>
              <w:widowControl w:val="0"/>
            </w:pPr>
            <w:r w:rsidRPr="00D85E09">
              <w:t xml:space="preserve">IV </w:t>
            </w:r>
            <w:r w:rsidR="005B7DCE">
              <w:t>tPA</w:t>
            </w:r>
            <w:r w:rsidRPr="00D85E09">
              <w:t xml:space="preserve"> alone </w:t>
            </w:r>
          </w:p>
        </w:tc>
        <w:tc>
          <w:tcPr>
            <w:tcW w:w="679" w:type="pct"/>
          </w:tcPr>
          <w:p w14:paraId="57FA0A19" w14:textId="77777777" w:rsidR="00315893" w:rsidRPr="00D85E09" w:rsidRDefault="00315893" w:rsidP="0043316B">
            <w:pPr>
              <w:pStyle w:val="Tabletext"/>
              <w:keepNext w:val="0"/>
              <w:widowControl w:val="0"/>
            </w:pPr>
            <w:r w:rsidRPr="00D85E09">
              <w:t>Patients aged 18 to 82 years of age</w:t>
            </w:r>
          </w:p>
          <w:p w14:paraId="2E625440" w14:textId="04E41729" w:rsidR="00315893" w:rsidRPr="00D85E09" w:rsidRDefault="00315893" w:rsidP="0043316B">
            <w:pPr>
              <w:pStyle w:val="Tabletext"/>
              <w:keepNext w:val="0"/>
              <w:widowControl w:val="0"/>
            </w:pPr>
            <w:r w:rsidRPr="00D85E09">
              <w:t xml:space="preserve">Intravenous </w:t>
            </w:r>
            <w:r w:rsidR="005B7DCE">
              <w:t>tPA</w:t>
            </w:r>
            <w:r w:rsidRPr="00D85E09">
              <w:t xml:space="preserve"> was started within 3 hours after symptom onset in both groups</w:t>
            </w:r>
          </w:p>
          <w:p w14:paraId="0D46D5B3" w14:textId="77777777" w:rsidR="00315893" w:rsidRPr="00D85E09" w:rsidRDefault="00315893" w:rsidP="0043316B">
            <w:pPr>
              <w:pStyle w:val="Tabletext"/>
              <w:keepNext w:val="0"/>
              <w:widowControl w:val="0"/>
            </w:pPr>
            <w:r w:rsidRPr="00D85E09">
              <w:t xml:space="preserve">Moderate-to-severe neurologic deficit (defined as an NIHSS score ≥10 </w:t>
            </w:r>
          </w:p>
        </w:tc>
        <w:tc>
          <w:tcPr>
            <w:tcW w:w="479" w:type="pct"/>
          </w:tcPr>
          <w:p w14:paraId="7180DB36" w14:textId="77777777" w:rsidR="00315893" w:rsidRPr="00D85E09" w:rsidRDefault="00315893" w:rsidP="0043316B">
            <w:pPr>
              <w:pStyle w:val="Tabletext"/>
              <w:keepNext w:val="0"/>
              <w:widowControl w:val="0"/>
            </w:pPr>
            <w:r w:rsidRPr="00D85E09">
              <w:t>mRS score of 2 or less (indicating functional independence) at 90 days</w:t>
            </w:r>
          </w:p>
        </w:tc>
        <w:tc>
          <w:tcPr>
            <w:tcW w:w="976" w:type="pct"/>
          </w:tcPr>
          <w:p w14:paraId="7766A6BE" w14:textId="77777777" w:rsidR="00315893" w:rsidRPr="00D85E09" w:rsidRDefault="00315893" w:rsidP="0043316B">
            <w:pPr>
              <w:pStyle w:val="Tabletext"/>
              <w:keepNext w:val="0"/>
              <w:widowControl w:val="0"/>
            </w:pPr>
            <w:r w:rsidRPr="00D85E09">
              <w:t>Distribution of the mRS.</w:t>
            </w:r>
          </w:p>
          <w:p w14:paraId="3817B83E" w14:textId="77777777" w:rsidR="00315893" w:rsidRPr="00D85E09" w:rsidRDefault="00315893" w:rsidP="0043316B">
            <w:pPr>
              <w:pStyle w:val="Tabletext"/>
              <w:keepNext w:val="0"/>
              <w:widowControl w:val="0"/>
            </w:pPr>
            <w:r w:rsidRPr="00D85E09">
              <w:t>NIHSS score of 8 to 19 indicating moderately severe stroke</w:t>
            </w:r>
          </w:p>
          <w:p w14:paraId="0103E7B0" w14:textId="77777777" w:rsidR="00315893" w:rsidRPr="00D85E09" w:rsidRDefault="00315893" w:rsidP="0043316B">
            <w:pPr>
              <w:pStyle w:val="Tabletext"/>
              <w:keepNext w:val="0"/>
              <w:widowControl w:val="0"/>
            </w:pPr>
            <w:r w:rsidRPr="00D85E09">
              <w:t>NIHSS score of 20 or more indicating severe stroke</w:t>
            </w:r>
          </w:p>
        </w:tc>
      </w:tr>
      <w:tr w:rsidR="00315893" w:rsidRPr="00D85E09" w14:paraId="66998585" w14:textId="77777777" w:rsidTr="00181227">
        <w:tc>
          <w:tcPr>
            <w:tcW w:w="422" w:type="pct"/>
          </w:tcPr>
          <w:p w14:paraId="49BF3112" w14:textId="77777777" w:rsidR="00315893" w:rsidRPr="00D85E09" w:rsidRDefault="00315893" w:rsidP="0043316B">
            <w:pPr>
              <w:pStyle w:val="Tabletext"/>
              <w:keepNext w:val="0"/>
              <w:widowControl w:val="0"/>
            </w:pPr>
            <w:r w:rsidRPr="00D85E09">
              <w:t>MR RESCUE</w:t>
            </w:r>
          </w:p>
        </w:tc>
        <w:tc>
          <w:tcPr>
            <w:tcW w:w="505" w:type="pct"/>
          </w:tcPr>
          <w:p w14:paraId="46CA64F4" w14:textId="77777777" w:rsidR="00315893" w:rsidRPr="00D85E09" w:rsidRDefault="00315893" w:rsidP="0043316B">
            <w:pPr>
              <w:pStyle w:val="Tabletext"/>
              <w:keepNext w:val="0"/>
              <w:widowControl w:val="0"/>
            </w:pPr>
            <w:r w:rsidRPr="00D85E09">
              <w:rPr>
                <w:rFonts w:cs="AdvOTb7819099"/>
              </w:rPr>
              <w:t>PROBE design</w:t>
            </w:r>
          </w:p>
        </w:tc>
        <w:tc>
          <w:tcPr>
            <w:tcW w:w="583" w:type="pct"/>
          </w:tcPr>
          <w:p w14:paraId="5D8FCBE4" w14:textId="77777777" w:rsidR="00315893" w:rsidRPr="00D85E09" w:rsidRDefault="00315893" w:rsidP="0043316B">
            <w:pPr>
              <w:pStyle w:val="Tabletext"/>
              <w:keepNext w:val="0"/>
              <w:widowControl w:val="0"/>
            </w:pPr>
            <w:r w:rsidRPr="00D85E09">
              <w:t>No</w:t>
            </w:r>
          </w:p>
        </w:tc>
        <w:tc>
          <w:tcPr>
            <w:tcW w:w="835" w:type="pct"/>
          </w:tcPr>
          <w:p w14:paraId="708DCF34" w14:textId="77777777" w:rsidR="00315893" w:rsidRPr="00D85E09" w:rsidRDefault="00315893" w:rsidP="0043316B">
            <w:pPr>
              <w:pStyle w:val="Tabletext"/>
              <w:keepNext w:val="0"/>
              <w:widowControl w:val="0"/>
            </w:pPr>
            <w:r w:rsidRPr="00D85E09">
              <w:t>The presence of substantial ischaemic penumbral tissue and a small volume of predicted core infarct, would identify patients who were most likely to benefit from mechanical embolectomy for the treatment of AIS caused by a LVO up to 8 hours after symptom onset</w:t>
            </w:r>
          </w:p>
        </w:tc>
        <w:tc>
          <w:tcPr>
            <w:tcW w:w="521" w:type="pct"/>
          </w:tcPr>
          <w:p w14:paraId="0B52F4E1" w14:textId="77777777" w:rsidR="00315893" w:rsidRPr="00D85E09" w:rsidRDefault="00315893" w:rsidP="0043316B">
            <w:pPr>
              <w:pStyle w:val="Tabletext"/>
              <w:keepNext w:val="0"/>
              <w:widowControl w:val="0"/>
            </w:pPr>
            <w:r w:rsidRPr="00D85E09">
              <w:t>N=70</w:t>
            </w:r>
          </w:p>
          <w:p w14:paraId="0889204D" w14:textId="24D4D580" w:rsidR="00315893" w:rsidRPr="00D85E09" w:rsidRDefault="00315893" w:rsidP="0043316B">
            <w:pPr>
              <w:pStyle w:val="Tabletext"/>
              <w:keepNext w:val="0"/>
              <w:widowControl w:val="0"/>
            </w:pPr>
            <w:r w:rsidRPr="00D85E09">
              <w:t xml:space="preserve">Endovascular therapy. The intra-arterial administration of </w:t>
            </w:r>
            <w:r w:rsidR="005B7DCE">
              <w:t>tPA</w:t>
            </w:r>
            <w:r w:rsidRPr="00D85E09">
              <w:t xml:space="preserve"> at a dose of as much as 14 mg was allowed as rescue therapy within 6 </w:t>
            </w:r>
            <w:r w:rsidRPr="00D85E09">
              <w:lastRenderedPageBreak/>
              <w:t>hours after symptom onset.</w:t>
            </w:r>
          </w:p>
          <w:p w14:paraId="0FA8E52B" w14:textId="77777777" w:rsidR="00315893" w:rsidRPr="00D85E09" w:rsidRDefault="00315893" w:rsidP="0043316B">
            <w:pPr>
              <w:pStyle w:val="Tabletext"/>
              <w:keepNext w:val="0"/>
              <w:widowControl w:val="0"/>
            </w:pPr>
            <w:r w:rsidRPr="00D85E09">
              <w:t>N=57</w:t>
            </w:r>
          </w:p>
          <w:p w14:paraId="5D6C6921" w14:textId="2C633623" w:rsidR="00315893" w:rsidRPr="00D85E09" w:rsidRDefault="00315893" w:rsidP="0043316B">
            <w:pPr>
              <w:pStyle w:val="Tabletext"/>
              <w:keepNext w:val="0"/>
              <w:widowControl w:val="0"/>
            </w:pPr>
            <w:r w:rsidRPr="00D85E09">
              <w:t xml:space="preserve">IV </w:t>
            </w:r>
            <w:r w:rsidR="005B7DCE">
              <w:t>tPA</w:t>
            </w:r>
            <w:r w:rsidRPr="00D85E09">
              <w:t xml:space="preserve"> alone</w:t>
            </w:r>
          </w:p>
        </w:tc>
        <w:tc>
          <w:tcPr>
            <w:tcW w:w="679" w:type="pct"/>
          </w:tcPr>
          <w:p w14:paraId="2309EDE8" w14:textId="77777777" w:rsidR="00315893" w:rsidRPr="00D85E09" w:rsidRDefault="00315893" w:rsidP="0043316B">
            <w:pPr>
              <w:pStyle w:val="Tabletext"/>
              <w:keepNext w:val="0"/>
              <w:widowControl w:val="0"/>
            </w:pPr>
            <w:r w:rsidRPr="00D85E09">
              <w:lastRenderedPageBreak/>
              <w:t>Patients between the ages of 18 and 85 years</w:t>
            </w:r>
          </w:p>
          <w:p w14:paraId="4EF8ABBB" w14:textId="77777777" w:rsidR="00315893" w:rsidRPr="00D85E09" w:rsidRDefault="00315893" w:rsidP="0043316B">
            <w:pPr>
              <w:pStyle w:val="Tabletext"/>
              <w:keepNext w:val="0"/>
              <w:widowControl w:val="0"/>
            </w:pPr>
            <w:r w:rsidRPr="00D85E09">
              <w:t>NIHSS scores of 6 to 29</w:t>
            </w:r>
          </w:p>
          <w:p w14:paraId="34E10598" w14:textId="77777777" w:rsidR="00315893" w:rsidRPr="00D85E09" w:rsidRDefault="00315893" w:rsidP="0043316B">
            <w:pPr>
              <w:pStyle w:val="Tabletext"/>
              <w:keepNext w:val="0"/>
              <w:widowControl w:val="0"/>
            </w:pPr>
            <w:r w:rsidRPr="00D85E09">
              <w:t>Large vessel, anterior circulation ischaemic stroke</w:t>
            </w:r>
          </w:p>
          <w:p w14:paraId="37A057D5" w14:textId="77777777" w:rsidR="00315893" w:rsidRPr="00D85E09" w:rsidRDefault="00315893" w:rsidP="0043316B">
            <w:pPr>
              <w:pStyle w:val="Tabletext"/>
              <w:keepNext w:val="0"/>
              <w:widowControl w:val="0"/>
            </w:pPr>
          </w:p>
        </w:tc>
        <w:tc>
          <w:tcPr>
            <w:tcW w:w="479" w:type="pct"/>
          </w:tcPr>
          <w:p w14:paraId="1D566863" w14:textId="77777777" w:rsidR="00315893" w:rsidRPr="00D85E09" w:rsidRDefault="00315893" w:rsidP="0043316B">
            <w:pPr>
              <w:pStyle w:val="Tabletext"/>
              <w:keepNext w:val="0"/>
              <w:widowControl w:val="0"/>
            </w:pPr>
            <w:r w:rsidRPr="00D85E09">
              <w:t>Score on the mRS</w:t>
            </w:r>
          </w:p>
        </w:tc>
        <w:tc>
          <w:tcPr>
            <w:tcW w:w="976" w:type="pct"/>
          </w:tcPr>
          <w:p w14:paraId="16EF67EC" w14:textId="77777777" w:rsidR="00315893" w:rsidRPr="00D85E09" w:rsidRDefault="00315893" w:rsidP="0043316B">
            <w:pPr>
              <w:pStyle w:val="Tabletext"/>
              <w:keepNext w:val="0"/>
              <w:widowControl w:val="0"/>
            </w:pPr>
            <w:r w:rsidRPr="00D85E09">
              <w:t>Scores of 0 to 2 on mRS</w:t>
            </w:r>
          </w:p>
          <w:p w14:paraId="797286EC" w14:textId="77777777" w:rsidR="00315893" w:rsidRPr="00D85E09" w:rsidRDefault="00315893" w:rsidP="0043316B">
            <w:pPr>
              <w:pStyle w:val="Tabletext"/>
              <w:keepNext w:val="0"/>
              <w:widowControl w:val="0"/>
            </w:pPr>
            <w:r w:rsidRPr="00D85E09">
              <w:t>Successful revascularisation was assessed with TICI scale</w:t>
            </w:r>
          </w:p>
          <w:p w14:paraId="39AF02CC" w14:textId="77777777" w:rsidR="00315893" w:rsidRPr="00D85E09" w:rsidRDefault="00315893" w:rsidP="0043316B">
            <w:pPr>
              <w:pStyle w:val="Tabletext"/>
              <w:keepNext w:val="0"/>
              <w:widowControl w:val="0"/>
            </w:pPr>
            <w:r w:rsidRPr="00D85E09">
              <w:t>Partial or complete revascularisation was defined as a TICI score of 2a to 3.</w:t>
            </w:r>
          </w:p>
          <w:p w14:paraId="0A0B17B7" w14:textId="77777777" w:rsidR="00315893" w:rsidRPr="00D85E09" w:rsidRDefault="00315893" w:rsidP="0043316B">
            <w:pPr>
              <w:pStyle w:val="Tabletext"/>
              <w:keepNext w:val="0"/>
              <w:widowControl w:val="0"/>
            </w:pPr>
          </w:p>
        </w:tc>
      </w:tr>
    </w:tbl>
    <w:p w14:paraId="2AA42871" w14:textId="2908FCD5" w:rsidR="00315893" w:rsidRPr="00D85E09" w:rsidRDefault="00315893" w:rsidP="0043316B">
      <w:pPr>
        <w:pStyle w:val="Tablefooter"/>
        <w:widowControl w:val="0"/>
      </w:pPr>
      <w:r w:rsidRPr="00D85E09">
        <w:lastRenderedPageBreak/>
        <w:t xml:space="preserve">Abbreviations: </w:t>
      </w:r>
      <w:r w:rsidR="0070191F" w:rsidRPr="00D85E09">
        <w:t xml:space="preserve">MC, multicentre; </w:t>
      </w:r>
      <w:r w:rsidRPr="00D85E09">
        <w:t>PROBE, prospective randomised open blinded endpoint</w:t>
      </w:r>
    </w:p>
    <w:p w14:paraId="76B04AD1" w14:textId="77777777" w:rsidR="00315893" w:rsidRPr="00D85E09" w:rsidRDefault="00315893" w:rsidP="0043316B">
      <w:pPr>
        <w:pStyle w:val="minoredits"/>
        <w:widowControl w:val="0"/>
        <w:rPr>
          <w:color w:val="auto"/>
          <w:highlight w:val="yellow"/>
        </w:rPr>
      </w:pPr>
    </w:p>
    <w:p w14:paraId="643336F9" w14:textId="77777777" w:rsidR="00315893" w:rsidRPr="00D85E09" w:rsidRDefault="00315893" w:rsidP="0043316B">
      <w:pPr>
        <w:pStyle w:val="Tablefootnote"/>
        <w:widowControl w:val="0"/>
        <w:rPr>
          <w:lang w:val="en-AU"/>
        </w:rPr>
        <w:sectPr w:rsidR="00315893" w:rsidRPr="00D85E09" w:rsidSect="00465778">
          <w:pgSz w:w="16834" w:h="11907" w:orient="landscape" w:code="9"/>
          <w:pgMar w:top="1701" w:right="1814" w:bottom="1418" w:left="1418" w:header="720" w:footer="720" w:gutter="0"/>
          <w:paperSrc w:first="7" w:other="7"/>
          <w:cols w:space="720"/>
          <w:noEndnote/>
          <w:docGrid w:linePitch="299"/>
        </w:sectPr>
      </w:pPr>
    </w:p>
    <w:p w14:paraId="1BD0E2D3" w14:textId="77777777" w:rsidR="00315893" w:rsidRPr="00D85E09" w:rsidRDefault="00315893" w:rsidP="0043316B">
      <w:pPr>
        <w:pStyle w:val="Heading2"/>
        <w:widowControl w:val="0"/>
        <w:spacing w:before="240"/>
        <w:ind w:left="851" w:hanging="851"/>
        <w:jc w:val="both"/>
        <w:rPr>
          <w:lang w:val="en-AU"/>
        </w:rPr>
      </w:pPr>
      <w:bookmarkStart w:id="155" w:name="_Ref364676572"/>
      <w:bookmarkStart w:id="156" w:name="_Toc367090348"/>
      <w:bookmarkStart w:id="157" w:name="_Toc453065259"/>
      <w:r w:rsidRPr="00D85E09">
        <w:rPr>
          <w:lang w:val="en-AU"/>
        </w:rPr>
        <w:lastRenderedPageBreak/>
        <w:t>Assessment of the measures taken to minimise bias</w:t>
      </w:r>
      <w:bookmarkEnd w:id="155"/>
      <w:bookmarkEnd w:id="156"/>
      <w:bookmarkEnd w:id="157"/>
    </w:p>
    <w:p w14:paraId="379A6F80" w14:textId="77777777" w:rsidR="00315893" w:rsidRPr="00D85E09" w:rsidRDefault="00315893" w:rsidP="0043316B">
      <w:pPr>
        <w:pStyle w:val="Heading3"/>
        <w:keepNext w:val="0"/>
        <w:widowControl w:val="0"/>
        <w:spacing w:before="240"/>
        <w:ind w:left="851" w:hanging="851"/>
        <w:jc w:val="both"/>
        <w:rPr>
          <w:lang w:val="en-AU"/>
        </w:rPr>
      </w:pPr>
      <w:bookmarkStart w:id="158" w:name="_Toc380047995"/>
      <w:bookmarkStart w:id="159" w:name="_Toc382303608"/>
      <w:bookmarkStart w:id="160" w:name="_Toc453065260"/>
      <w:r w:rsidRPr="00D85E09">
        <w:rPr>
          <w:lang w:val="en-AU"/>
        </w:rPr>
        <w:t>Randomisation and blinding</w:t>
      </w:r>
      <w:bookmarkEnd w:id="158"/>
      <w:bookmarkEnd w:id="159"/>
      <w:bookmarkEnd w:id="160"/>
    </w:p>
    <w:p w14:paraId="3AB459D7" w14:textId="65B1317A" w:rsidR="00315893" w:rsidRPr="00D85E09" w:rsidRDefault="00315893" w:rsidP="0043316B">
      <w:pPr>
        <w:widowControl w:val="0"/>
      </w:pPr>
      <w:r w:rsidRPr="00D85E09">
        <w:t xml:space="preserve">The measures undertaken to minimise bias in the included studies are summarised in </w:t>
      </w:r>
      <w:r w:rsidRPr="00D85E09">
        <w:fldChar w:fldCharType="begin"/>
      </w:r>
      <w:r w:rsidRPr="00D85E09">
        <w:instrText xml:space="preserve"> REF _Ref155083060 \h  \* MERGEFORMAT </w:instrText>
      </w:r>
      <w:r w:rsidRPr="00D85E09">
        <w:fldChar w:fldCharType="separate"/>
      </w:r>
      <w:r w:rsidR="00A456ED" w:rsidRPr="00D85E09">
        <w:t xml:space="preserve">Table </w:t>
      </w:r>
      <w:r w:rsidR="00A456ED">
        <w:t>17</w:t>
      </w:r>
      <w:r w:rsidRPr="00D85E09">
        <w:fldChar w:fldCharType="end"/>
      </w:r>
      <w:r w:rsidRPr="00D85E09">
        <w:t>. Overall, the studies employed appropriate methods to minimise the risk of bias through concealment of randomisation and blinding. Outcome assessment at 90 days was blinded in all studies; however it was not possible to conceal treatment allocation from patients after randomisation. Given the non-subjective nature of AIS outcomes and response to therapy, it is unlikely that this would have any impact on treatment efficacy. Methods used to maintain the integrity of randomisation and blinding in each study are described under the headings below.</w:t>
      </w:r>
    </w:p>
    <w:p w14:paraId="33E76CDD" w14:textId="77777777" w:rsidR="00315893" w:rsidRPr="00D85E09" w:rsidRDefault="00315893" w:rsidP="0043316B">
      <w:pPr>
        <w:pStyle w:val="Heading5"/>
        <w:widowControl w:val="0"/>
        <w:rPr>
          <w:lang w:val="en-AU"/>
        </w:rPr>
      </w:pPr>
      <w:r w:rsidRPr="00D85E09">
        <w:rPr>
          <w:lang w:val="en-AU"/>
        </w:rPr>
        <w:t>ESCAPE</w:t>
      </w:r>
    </w:p>
    <w:p w14:paraId="5048395E" w14:textId="289CDDEF" w:rsidR="00315893" w:rsidRPr="00D85E09" w:rsidRDefault="00315893" w:rsidP="0043316B">
      <w:pPr>
        <w:widowControl w:val="0"/>
        <w:rPr>
          <w:rFonts w:eastAsia="OTNEJMQuadraat"/>
          <w:lang w:eastAsia="en-AU"/>
        </w:rPr>
      </w:pPr>
      <w:r w:rsidRPr="00D85E09">
        <w:rPr>
          <w:rFonts w:eastAsia="OTNEJMQuadraat"/>
          <w:lang w:eastAsia="en-AU"/>
        </w:rPr>
        <w:t>Participants were randomly assigned in a 1:1 ratio to receive routine standard stroke care (control group, n=150) or standard care plus endovascular treatment with the use of available thrombectomy devices (intervention group, n=165).</w:t>
      </w:r>
      <w:r w:rsidRPr="00D85E09">
        <w:t xml:space="preserve"> </w:t>
      </w:r>
      <w:r w:rsidRPr="00D85E09">
        <w:rPr>
          <w:rFonts w:eastAsia="OTNEJMQuadraat"/>
          <w:lang w:eastAsia="en-AU"/>
        </w:rPr>
        <w:t>Randomisation was performed using a web-based algorithm with treatment assignment allocated by web</w:t>
      </w:r>
      <w:r w:rsidRPr="00D85E09">
        <w:rPr>
          <w:rFonts w:ascii="Cambria Math" w:eastAsia="OTNEJMQuadraat" w:hAnsi="Cambria Math" w:cs="Cambria Math"/>
          <w:lang w:eastAsia="en-AU"/>
        </w:rPr>
        <w:t>‐</w:t>
      </w:r>
      <w:r w:rsidRPr="00D85E09">
        <w:rPr>
          <w:rFonts w:eastAsia="OTNEJMQuadraat"/>
          <w:lang w:eastAsia="en-AU"/>
        </w:rPr>
        <w:t>based real</w:t>
      </w:r>
      <w:r w:rsidRPr="00D85E09">
        <w:rPr>
          <w:rFonts w:ascii="Cambria Math" w:eastAsia="OTNEJMQuadraat" w:hAnsi="Cambria Math" w:cs="Cambria Math"/>
          <w:lang w:eastAsia="en-AU"/>
        </w:rPr>
        <w:t>‐</w:t>
      </w:r>
      <w:r w:rsidRPr="00D85E09">
        <w:rPr>
          <w:rFonts w:eastAsia="OTNEJMQuadraat"/>
          <w:lang w:eastAsia="en-AU"/>
        </w:rPr>
        <w:t>time interaction with the site.</w:t>
      </w:r>
      <w:r w:rsidRPr="00D85E09">
        <w:t xml:space="preserve"> </w:t>
      </w:r>
      <w:r w:rsidRPr="00D85E09">
        <w:rPr>
          <w:rFonts w:eastAsia="OTNEJMQuadraat"/>
          <w:lang w:eastAsia="en-AU"/>
        </w:rPr>
        <w:t>A minimal sufficient balance method was used to ensure that the patients entered into the trial were matched between control and active treatment arms on key variables, such as age, sex, baseline NIHSS score, baseline NCCT ASPECTS score, location of the symptomatic target arterial occlusive lesion and IV-</w:t>
      </w:r>
      <w:r w:rsidR="00F67AF7" w:rsidRPr="00D85E09">
        <w:rPr>
          <w:rFonts w:eastAsia="OTNEJMQuadraat"/>
          <w:lang w:eastAsia="en-AU"/>
        </w:rPr>
        <w:t>t</w:t>
      </w:r>
      <w:r w:rsidRPr="00D85E09">
        <w:rPr>
          <w:rFonts w:eastAsia="OTNEJMQuadraat"/>
          <w:lang w:eastAsia="en-AU"/>
        </w:rPr>
        <w:t>PA use.</w:t>
      </w:r>
    </w:p>
    <w:p w14:paraId="7DCDB83E" w14:textId="77777777" w:rsidR="00315893" w:rsidRPr="00D85E09" w:rsidRDefault="00315893" w:rsidP="0043316B">
      <w:pPr>
        <w:widowControl w:val="0"/>
      </w:pPr>
      <w:r w:rsidRPr="00D85E09">
        <w:t>Treatment assignment was open-label. Blinding of the outcome assessment at 90 days was ensured at the site by having a person who was not involved in the acute treatment period conduct the assessment.</w:t>
      </w:r>
    </w:p>
    <w:p w14:paraId="58220E58" w14:textId="1E812146" w:rsidR="00315893" w:rsidRPr="00D85E09" w:rsidRDefault="005B7DCE" w:rsidP="0043316B">
      <w:pPr>
        <w:pStyle w:val="Heading5"/>
        <w:widowControl w:val="0"/>
        <w:rPr>
          <w:lang w:val="en-AU"/>
        </w:rPr>
      </w:pPr>
      <w:r>
        <w:rPr>
          <w:lang w:val="en-AU"/>
        </w:rPr>
        <w:t>EXTEND-I</w:t>
      </w:r>
      <w:r w:rsidR="00315893" w:rsidRPr="00D85E09">
        <w:rPr>
          <w:lang w:val="en-AU"/>
        </w:rPr>
        <w:t>A</w:t>
      </w:r>
    </w:p>
    <w:p w14:paraId="2D8D2E7F" w14:textId="77777777" w:rsidR="00315893" w:rsidRPr="00D85E09" w:rsidRDefault="00315893" w:rsidP="0043316B">
      <w:pPr>
        <w:widowControl w:val="0"/>
      </w:pPr>
      <w:r w:rsidRPr="00D85E09">
        <w:t>All patients received alteplase at a dose of 0.9 mg per kilogram as standard care, after which patients were randomly assigned in a 1:1 ratio to receive either MT with the Solitaire FR stent retriever (endovascular therapy group, n=35) or no further therapy (alteplase-only group, n=35). Randomisation was achieved by means of a centralised website and stratified according to the site of arterial occlusion: the internal carotid artery or the first or second segment of the middle cerebral artery.</w:t>
      </w:r>
    </w:p>
    <w:p w14:paraId="1C3D8087" w14:textId="77777777" w:rsidR="00315893" w:rsidRPr="00D85E09" w:rsidRDefault="00315893" w:rsidP="0043316B">
      <w:pPr>
        <w:widowControl w:val="0"/>
      </w:pPr>
      <w:r w:rsidRPr="00D85E09">
        <w:lastRenderedPageBreak/>
        <w:t>The intra-arterial treatment is open-label. However, all those involved in the subsequent clinical and imaging assessment of outcomes were blinded to treatment allocation. Neurological impairment and functional scores were measured by a healthcare professional trained in their administration and blinded to the treatment assignment.</w:t>
      </w:r>
    </w:p>
    <w:p w14:paraId="7E786BF8" w14:textId="77777777" w:rsidR="00315893" w:rsidRPr="00D85E09" w:rsidRDefault="00315893" w:rsidP="0043316B">
      <w:pPr>
        <w:pStyle w:val="Heading5"/>
        <w:widowControl w:val="0"/>
        <w:rPr>
          <w:lang w:val="en-AU"/>
        </w:rPr>
      </w:pPr>
      <w:r w:rsidRPr="00D85E09">
        <w:rPr>
          <w:lang w:val="en-AU"/>
        </w:rPr>
        <w:t>MR CLEAN</w:t>
      </w:r>
    </w:p>
    <w:p w14:paraId="6CD2FA62" w14:textId="77777777" w:rsidR="00315893" w:rsidRPr="00D85E09" w:rsidRDefault="00315893" w:rsidP="0043316B">
      <w:pPr>
        <w:widowControl w:val="0"/>
      </w:pPr>
      <w:r w:rsidRPr="00D85E09">
        <w:t>A total of 233 participants were randomised to receive intra-arterial thrombolysis, mechanical treatment, (undertaken with any currently available and approved device) or both, plus usual care (which could include IV alteplase) and 267 participants were randomised to receive usual care alone. The randomisation procedure was computer and web-based permuted blocks. Additionally, randomisation was stratified according to medical centre, use of IV alteplase (yes or no), planned treatment method (mechanical or other), and stroke severity (NIHSS score of ≤14 or &gt;14).</w:t>
      </w:r>
    </w:p>
    <w:p w14:paraId="74DC7404" w14:textId="77777777" w:rsidR="00315893" w:rsidRPr="00D85E09" w:rsidRDefault="00315893" w:rsidP="0043316B">
      <w:pPr>
        <w:widowControl w:val="0"/>
      </w:pPr>
      <w:r w:rsidRPr="00D85E09">
        <w:t>Both patient and treating physician were aware of the treatment assignment. Assessment of outcome on the MRS scale was assessed by those who were blinded to the treatment allocation. Information on treatment allocation was kept separate from the main study database.</w:t>
      </w:r>
    </w:p>
    <w:p w14:paraId="485BA561" w14:textId="77777777" w:rsidR="00315893" w:rsidRPr="00D85E09" w:rsidRDefault="00315893" w:rsidP="0043316B">
      <w:pPr>
        <w:pStyle w:val="Heading5"/>
        <w:widowControl w:val="0"/>
        <w:rPr>
          <w:lang w:val="en-AU"/>
        </w:rPr>
      </w:pPr>
      <w:r w:rsidRPr="00D85E09">
        <w:rPr>
          <w:lang w:val="en-AU"/>
        </w:rPr>
        <w:t>REVASCAT</w:t>
      </w:r>
    </w:p>
    <w:p w14:paraId="7EE451AD" w14:textId="77777777" w:rsidR="00315893" w:rsidRPr="00D85E09" w:rsidRDefault="00315893" w:rsidP="0043316B">
      <w:pPr>
        <w:widowControl w:val="0"/>
      </w:pPr>
      <w:r w:rsidRPr="00D85E09">
        <w:t>Participants were randomly assigned in equal numbers (1:1) to receive medical therapy (including intravenous alteplase when eligible) and endovascular treatment with the Solitaire stent retriever (thrombectomy group, n=103) or medical therapy alone (control group, n=103). A real-time computerised randomisation procedure was used and patients were stratified according to age (≤70 or &gt;70 years), baseline NIHSS score (6 to 16 or ≥17), therapeutic window (≤4.5 or &gt;4.5 hours), occlusion site (intra-cranial internal carotid artery or M1 segment [main trunk of the middle cerebral artery]), and participating centre.</w:t>
      </w:r>
    </w:p>
    <w:p w14:paraId="181E5914" w14:textId="21C00533" w:rsidR="00315893" w:rsidRPr="00D85E09" w:rsidRDefault="00315893" w:rsidP="0043316B">
      <w:pPr>
        <w:widowControl w:val="0"/>
      </w:pPr>
      <w:r w:rsidRPr="00D85E09">
        <w:t xml:space="preserve">The primary endpoint of functional independence at 90 days was assessed by a local evaluator blinded to the treatment and a central independent blinded Rankin </w:t>
      </w:r>
      <w:r w:rsidR="00F67AF7" w:rsidRPr="00D85E09">
        <w:t>s</w:t>
      </w:r>
      <w:r w:rsidRPr="00D85E09">
        <w:t>cale-certified evaluator. All the secondary endpoints including infarct volume and haemorrhage were assessed by those blinded to treatment.</w:t>
      </w:r>
    </w:p>
    <w:p w14:paraId="5F4C1839" w14:textId="77777777" w:rsidR="00315893" w:rsidRPr="00D85E09" w:rsidRDefault="00315893" w:rsidP="0043316B">
      <w:pPr>
        <w:pStyle w:val="Heading5"/>
        <w:widowControl w:val="0"/>
        <w:rPr>
          <w:lang w:val="en-AU"/>
        </w:rPr>
      </w:pPr>
      <w:r w:rsidRPr="00D85E09">
        <w:rPr>
          <w:lang w:val="en-AU"/>
        </w:rPr>
        <w:t>SWIFT PRIME</w:t>
      </w:r>
    </w:p>
    <w:p w14:paraId="054A393F" w14:textId="259F134F" w:rsidR="00315893" w:rsidRPr="00D85E09" w:rsidRDefault="00315893" w:rsidP="0043316B">
      <w:pPr>
        <w:widowControl w:val="0"/>
      </w:pPr>
      <w:r w:rsidRPr="00D85E09">
        <w:rPr>
          <w:lang w:eastAsia="en-AU"/>
        </w:rPr>
        <w:t xml:space="preserve">Once all inclusion/exclusion criteria were satisfied including imaging assessments, subjects were randomised in a 1:1 ratio to either the MT procedure using the Solitaire FR </w:t>
      </w:r>
      <w:r w:rsidRPr="00D85E09">
        <w:rPr>
          <w:lang w:eastAsia="en-AU"/>
        </w:rPr>
        <w:lastRenderedPageBreak/>
        <w:t xml:space="preserve">Revascularisation Device (n=98) or remain on IV </w:t>
      </w:r>
      <w:r w:rsidR="005B7DCE">
        <w:rPr>
          <w:lang w:eastAsia="en-AU"/>
        </w:rPr>
        <w:t>tPA</w:t>
      </w:r>
      <w:r w:rsidRPr="00D85E09">
        <w:rPr>
          <w:lang w:eastAsia="en-AU"/>
        </w:rPr>
        <w:t xml:space="preserve"> therapy only (n=98). Eligible patients were receiving or had received intravenous </w:t>
      </w:r>
      <w:r w:rsidR="005B7DCE">
        <w:rPr>
          <w:lang w:eastAsia="en-AU"/>
        </w:rPr>
        <w:t>tPA</w:t>
      </w:r>
      <w:r w:rsidRPr="00D85E09">
        <w:rPr>
          <w:lang w:eastAsia="en-AU"/>
        </w:rPr>
        <w:t>; and were able to undergo initiation of endovascular treatment within 6 hours after the time that they were last known to be well before the onset of acute stroke symptoms. Subject allocation to treatment was accomplished by using an interactive web response (IWRS) or interactive voice response system (IVRS). The number of treatments and controls were balanced within investigational sites and by baseline NIHSS severity (&lt;= 17 versus &gt;17), age, and occlusion location within site.</w:t>
      </w:r>
    </w:p>
    <w:p w14:paraId="0B82E701" w14:textId="77777777" w:rsidR="00315893" w:rsidRPr="00D85E09" w:rsidRDefault="00315893" w:rsidP="0043316B">
      <w:pPr>
        <w:widowControl w:val="0"/>
      </w:pPr>
      <w:r w:rsidRPr="00D85E09">
        <w:t xml:space="preserve">The primary endpoint of global disability level at 90 days (mRS), as well as the NIHSS and Barthel Index at 90 days were assessed by an independent evaluator blinded to the treatment. </w:t>
      </w:r>
      <w:r w:rsidRPr="00D85E09">
        <w:rPr>
          <w:lang w:eastAsia="en-AU"/>
        </w:rPr>
        <w:t>The primary analysis for all baseline characteristics and study outcomes will include all randomised subjects.</w:t>
      </w:r>
    </w:p>
    <w:p w14:paraId="37E4BEEC" w14:textId="772E1B72" w:rsidR="00315893" w:rsidRPr="00D85E09" w:rsidRDefault="00315893" w:rsidP="0043316B">
      <w:pPr>
        <w:pStyle w:val="Caption"/>
        <w:keepNext w:val="0"/>
        <w:widowControl w:val="0"/>
        <w:rPr>
          <w:lang w:val="en-AU"/>
        </w:rPr>
      </w:pPr>
      <w:bookmarkStart w:id="161" w:name="_Ref155083060"/>
      <w:bookmarkStart w:id="162" w:name="_Toc192319851"/>
      <w:bookmarkStart w:id="163" w:name="_Toc273301532"/>
      <w:bookmarkStart w:id="164" w:name="_Toc367090372"/>
      <w:bookmarkStart w:id="165" w:name="_Toc45306535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17</w:t>
      </w:r>
      <w:r w:rsidRPr="00D85E09">
        <w:rPr>
          <w:lang w:val="en-AU"/>
        </w:rPr>
        <w:fldChar w:fldCharType="end"/>
      </w:r>
      <w:bookmarkEnd w:id="161"/>
      <w:r w:rsidRPr="00D85E09">
        <w:rPr>
          <w:lang w:val="en-AU"/>
        </w:rPr>
        <w:tab/>
        <w:t>Summary of the measures undertaken to minimise bias</w:t>
      </w:r>
      <w:bookmarkEnd w:id="162"/>
      <w:bookmarkEnd w:id="163"/>
      <w:bookmarkEnd w:id="164"/>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7. Summary of the measures undertaken to minimise bias"/>
      </w:tblPr>
      <w:tblGrid>
        <w:gridCol w:w="1242"/>
        <w:gridCol w:w="1512"/>
        <w:gridCol w:w="1155"/>
        <w:gridCol w:w="1237"/>
        <w:gridCol w:w="1104"/>
        <w:gridCol w:w="1412"/>
        <w:gridCol w:w="1342"/>
      </w:tblGrid>
      <w:tr w:rsidR="00315893" w:rsidRPr="00D85E09" w14:paraId="1D64A51E" w14:textId="77777777" w:rsidTr="001922F3">
        <w:trPr>
          <w:cantSplit/>
          <w:tblHeader/>
        </w:trPr>
        <w:tc>
          <w:tcPr>
            <w:tcW w:w="690" w:type="pct"/>
            <w:vMerge w:val="restart"/>
            <w:shd w:val="clear" w:color="auto" w:fill="auto"/>
          </w:tcPr>
          <w:p w14:paraId="5D7D27FE" w14:textId="77777777" w:rsidR="00315893" w:rsidRPr="00D85E09" w:rsidRDefault="00315893" w:rsidP="0043316B">
            <w:pPr>
              <w:pStyle w:val="Tabletext"/>
              <w:keepNext w:val="0"/>
              <w:widowControl w:val="0"/>
              <w:rPr>
                <w:b/>
              </w:rPr>
            </w:pPr>
            <w:r w:rsidRPr="00D85E09">
              <w:rPr>
                <w:b/>
              </w:rPr>
              <w:t>Trial ID</w:t>
            </w:r>
          </w:p>
        </w:tc>
        <w:tc>
          <w:tcPr>
            <w:tcW w:w="840" w:type="pct"/>
            <w:vMerge w:val="restart"/>
            <w:shd w:val="clear" w:color="auto" w:fill="auto"/>
          </w:tcPr>
          <w:p w14:paraId="25742752" w14:textId="77777777" w:rsidR="00315893" w:rsidRPr="00D85E09" w:rsidRDefault="00315893" w:rsidP="0043316B">
            <w:pPr>
              <w:pStyle w:val="Tabletext"/>
              <w:keepNext w:val="0"/>
              <w:widowControl w:val="0"/>
              <w:rPr>
                <w:b/>
                <w:vertAlign w:val="superscript"/>
              </w:rPr>
            </w:pPr>
            <w:r w:rsidRPr="00D85E09">
              <w:rPr>
                <w:b/>
              </w:rPr>
              <w:t>Concealment of randomisation</w:t>
            </w:r>
          </w:p>
        </w:tc>
        <w:tc>
          <w:tcPr>
            <w:tcW w:w="1941" w:type="pct"/>
            <w:gridSpan w:val="3"/>
            <w:shd w:val="clear" w:color="auto" w:fill="auto"/>
          </w:tcPr>
          <w:p w14:paraId="74154BC7" w14:textId="77777777" w:rsidR="00315893" w:rsidRPr="00D85E09" w:rsidRDefault="00315893" w:rsidP="0043316B">
            <w:pPr>
              <w:pStyle w:val="Tabletext"/>
              <w:keepNext w:val="0"/>
              <w:widowControl w:val="0"/>
              <w:rPr>
                <w:b/>
              </w:rPr>
            </w:pPr>
            <w:r w:rsidRPr="00D85E09">
              <w:rPr>
                <w:b/>
              </w:rPr>
              <w:t>Blinding</w:t>
            </w:r>
          </w:p>
        </w:tc>
        <w:tc>
          <w:tcPr>
            <w:tcW w:w="784" w:type="pct"/>
            <w:vMerge w:val="restart"/>
            <w:shd w:val="clear" w:color="auto" w:fill="auto"/>
          </w:tcPr>
          <w:p w14:paraId="70090D12" w14:textId="77777777" w:rsidR="00315893" w:rsidRPr="00D85E09" w:rsidRDefault="00315893" w:rsidP="0043316B">
            <w:pPr>
              <w:pStyle w:val="Tabletext"/>
              <w:keepNext w:val="0"/>
              <w:widowControl w:val="0"/>
              <w:rPr>
                <w:b/>
                <w:vertAlign w:val="superscript"/>
              </w:rPr>
            </w:pPr>
            <w:r w:rsidRPr="00D85E09">
              <w:rPr>
                <w:b/>
              </w:rPr>
              <w:t>Basis of analysis</w:t>
            </w:r>
          </w:p>
        </w:tc>
        <w:tc>
          <w:tcPr>
            <w:tcW w:w="746" w:type="pct"/>
            <w:vMerge w:val="restart"/>
            <w:shd w:val="clear" w:color="auto" w:fill="auto"/>
          </w:tcPr>
          <w:p w14:paraId="26476E71" w14:textId="77777777" w:rsidR="00315893" w:rsidRPr="00D85E09" w:rsidRDefault="00315893" w:rsidP="0043316B">
            <w:pPr>
              <w:pStyle w:val="Tabletext"/>
              <w:keepNext w:val="0"/>
              <w:widowControl w:val="0"/>
              <w:rPr>
                <w:b/>
              </w:rPr>
            </w:pPr>
            <w:r w:rsidRPr="00D85E09">
              <w:rPr>
                <w:b/>
              </w:rPr>
              <w:t>Source</w:t>
            </w:r>
          </w:p>
        </w:tc>
      </w:tr>
      <w:tr w:rsidR="00315893" w:rsidRPr="00D85E09" w14:paraId="04733B26" w14:textId="77777777" w:rsidTr="001922F3">
        <w:trPr>
          <w:cantSplit/>
          <w:tblHeader/>
        </w:trPr>
        <w:tc>
          <w:tcPr>
            <w:tcW w:w="690" w:type="pct"/>
            <w:vMerge/>
            <w:shd w:val="clear" w:color="auto" w:fill="auto"/>
          </w:tcPr>
          <w:p w14:paraId="391F2EFD" w14:textId="77777777" w:rsidR="00315893" w:rsidRPr="00D85E09" w:rsidRDefault="00315893" w:rsidP="0043316B">
            <w:pPr>
              <w:pStyle w:val="Tabletext"/>
              <w:keepNext w:val="0"/>
              <w:widowControl w:val="0"/>
            </w:pPr>
          </w:p>
        </w:tc>
        <w:tc>
          <w:tcPr>
            <w:tcW w:w="840" w:type="pct"/>
            <w:vMerge/>
            <w:shd w:val="clear" w:color="auto" w:fill="auto"/>
          </w:tcPr>
          <w:p w14:paraId="7C5A777F" w14:textId="77777777" w:rsidR="00315893" w:rsidRPr="00D85E09" w:rsidRDefault="00315893" w:rsidP="0043316B">
            <w:pPr>
              <w:pStyle w:val="Tabletext"/>
              <w:keepNext w:val="0"/>
              <w:widowControl w:val="0"/>
            </w:pPr>
          </w:p>
        </w:tc>
        <w:tc>
          <w:tcPr>
            <w:tcW w:w="641" w:type="pct"/>
            <w:shd w:val="clear" w:color="auto" w:fill="auto"/>
          </w:tcPr>
          <w:p w14:paraId="35A7504D" w14:textId="77777777" w:rsidR="00315893" w:rsidRPr="00D85E09" w:rsidRDefault="00315893" w:rsidP="0043316B">
            <w:pPr>
              <w:pStyle w:val="Tabletext"/>
              <w:keepNext w:val="0"/>
              <w:widowControl w:val="0"/>
              <w:rPr>
                <w:b/>
              </w:rPr>
            </w:pPr>
            <w:r w:rsidRPr="00D85E09">
              <w:rPr>
                <w:b/>
              </w:rPr>
              <w:t>Participants</w:t>
            </w:r>
          </w:p>
        </w:tc>
        <w:tc>
          <w:tcPr>
            <w:tcW w:w="687" w:type="pct"/>
            <w:shd w:val="clear" w:color="auto" w:fill="auto"/>
          </w:tcPr>
          <w:p w14:paraId="6EC07BE7" w14:textId="77777777" w:rsidR="00315893" w:rsidRPr="00D85E09" w:rsidRDefault="00315893" w:rsidP="0043316B">
            <w:pPr>
              <w:pStyle w:val="Tabletext"/>
              <w:keepNext w:val="0"/>
              <w:widowControl w:val="0"/>
              <w:rPr>
                <w:b/>
              </w:rPr>
            </w:pPr>
            <w:r w:rsidRPr="00D85E09">
              <w:rPr>
                <w:b/>
              </w:rPr>
              <w:t>Investigators</w:t>
            </w:r>
          </w:p>
        </w:tc>
        <w:tc>
          <w:tcPr>
            <w:tcW w:w="613" w:type="pct"/>
            <w:shd w:val="clear" w:color="auto" w:fill="auto"/>
          </w:tcPr>
          <w:p w14:paraId="695E3644" w14:textId="77777777" w:rsidR="00315893" w:rsidRPr="00D85E09" w:rsidRDefault="00315893" w:rsidP="0043316B">
            <w:pPr>
              <w:pStyle w:val="Tabletext"/>
              <w:keepNext w:val="0"/>
              <w:widowControl w:val="0"/>
              <w:rPr>
                <w:b/>
              </w:rPr>
            </w:pPr>
            <w:r w:rsidRPr="00D85E09">
              <w:rPr>
                <w:b/>
              </w:rPr>
              <w:t>Outcome Assessors</w:t>
            </w:r>
          </w:p>
        </w:tc>
        <w:tc>
          <w:tcPr>
            <w:tcW w:w="784" w:type="pct"/>
            <w:vMerge/>
            <w:shd w:val="clear" w:color="auto" w:fill="auto"/>
          </w:tcPr>
          <w:p w14:paraId="5E54B787" w14:textId="77777777" w:rsidR="00315893" w:rsidRPr="00D85E09" w:rsidRDefault="00315893" w:rsidP="0043316B">
            <w:pPr>
              <w:pStyle w:val="Tabletext"/>
              <w:keepNext w:val="0"/>
              <w:widowControl w:val="0"/>
            </w:pPr>
          </w:p>
        </w:tc>
        <w:tc>
          <w:tcPr>
            <w:tcW w:w="746" w:type="pct"/>
            <w:vMerge/>
            <w:shd w:val="clear" w:color="auto" w:fill="auto"/>
          </w:tcPr>
          <w:p w14:paraId="7311944D" w14:textId="77777777" w:rsidR="00315893" w:rsidRPr="00D85E09" w:rsidRDefault="00315893" w:rsidP="0043316B">
            <w:pPr>
              <w:pStyle w:val="Tabletext"/>
              <w:keepNext w:val="0"/>
              <w:widowControl w:val="0"/>
            </w:pPr>
          </w:p>
        </w:tc>
      </w:tr>
      <w:tr w:rsidR="00315893" w:rsidRPr="00D85E09" w14:paraId="440D9313" w14:textId="77777777" w:rsidTr="00465778">
        <w:tc>
          <w:tcPr>
            <w:tcW w:w="690" w:type="pct"/>
          </w:tcPr>
          <w:p w14:paraId="53B0C6F1" w14:textId="77777777" w:rsidR="00315893" w:rsidRPr="00D85E09" w:rsidRDefault="00315893" w:rsidP="0043316B">
            <w:pPr>
              <w:pStyle w:val="Tabletext"/>
              <w:keepNext w:val="0"/>
              <w:widowControl w:val="0"/>
            </w:pPr>
            <w:r w:rsidRPr="00D85E09">
              <w:t>ESCAPE</w:t>
            </w:r>
          </w:p>
        </w:tc>
        <w:tc>
          <w:tcPr>
            <w:tcW w:w="840" w:type="pct"/>
          </w:tcPr>
          <w:p w14:paraId="3FCCF6D9" w14:textId="77777777" w:rsidR="00315893" w:rsidRPr="00D85E09" w:rsidRDefault="00315893" w:rsidP="0043316B">
            <w:pPr>
              <w:pStyle w:val="Tabletext"/>
              <w:keepNext w:val="0"/>
              <w:widowControl w:val="0"/>
            </w:pPr>
            <w:r w:rsidRPr="00D85E09">
              <w:t>Web-based algorithm with treatment assignment allocated by web</w:t>
            </w:r>
            <w:r w:rsidRPr="00D85E09">
              <w:rPr>
                <w:rFonts w:ascii="Cambria Math" w:hAnsi="Cambria Math" w:cs="Cambria Math"/>
              </w:rPr>
              <w:t>‐</w:t>
            </w:r>
            <w:r w:rsidRPr="00D85E09">
              <w:t>based real</w:t>
            </w:r>
            <w:r w:rsidRPr="00D85E09">
              <w:rPr>
                <w:rFonts w:ascii="Cambria Math" w:hAnsi="Cambria Math" w:cs="Cambria Math"/>
              </w:rPr>
              <w:t>‐</w:t>
            </w:r>
            <w:r w:rsidRPr="00D85E09">
              <w:t>time interaction with the site</w:t>
            </w:r>
          </w:p>
        </w:tc>
        <w:tc>
          <w:tcPr>
            <w:tcW w:w="641" w:type="pct"/>
          </w:tcPr>
          <w:p w14:paraId="3526C0DE" w14:textId="77777777" w:rsidR="00315893" w:rsidRPr="00D85E09" w:rsidRDefault="00315893" w:rsidP="0043316B">
            <w:pPr>
              <w:pStyle w:val="Tabletext"/>
              <w:keepNext w:val="0"/>
              <w:widowControl w:val="0"/>
            </w:pPr>
            <w:r w:rsidRPr="00D85E09">
              <w:t>NO</w:t>
            </w:r>
          </w:p>
        </w:tc>
        <w:tc>
          <w:tcPr>
            <w:tcW w:w="687" w:type="pct"/>
          </w:tcPr>
          <w:p w14:paraId="2AC1DCEA" w14:textId="77777777" w:rsidR="00315893" w:rsidRPr="00D85E09" w:rsidRDefault="00315893" w:rsidP="0043316B">
            <w:pPr>
              <w:pStyle w:val="Tabletext"/>
              <w:keepNext w:val="0"/>
              <w:widowControl w:val="0"/>
            </w:pPr>
            <w:r w:rsidRPr="00D85E09">
              <w:t>NO</w:t>
            </w:r>
          </w:p>
        </w:tc>
        <w:tc>
          <w:tcPr>
            <w:tcW w:w="613" w:type="pct"/>
          </w:tcPr>
          <w:p w14:paraId="6A44D5CC" w14:textId="77777777" w:rsidR="00315893" w:rsidRPr="00D85E09" w:rsidRDefault="00315893" w:rsidP="0043316B">
            <w:pPr>
              <w:pStyle w:val="Tabletext"/>
              <w:keepNext w:val="0"/>
              <w:widowControl w:val="0"/>
            </w:pPr>
            <w:r w:rsidRPr="00D85E09">
              <w:t>YES</w:t>
            </w:r>
          </w:p>
        </w:tc>
        <w:tc>
          <w:tcPr>
            <w:tcW w:w="784" w:type="pct"/>
          </w:tcPr>
          <w:p w14:paraId="6DCAD650" w14:textId="77777777" w:rsidR="00315893" w:rsidRPr="00D85E09" w:rsidRDefault="00315893" w:rsidP="0043316B">
            <w:pPr>
              <w:pStyle w:val="Tabletext"/>
              <w:keepNext w:val="0"/>
              <w:widowControl w:val="0"/>
            </w:pPr>
            <w:r w:rsidRPr="00D85E09">
              <w:t>ITT population</w:t>
            </w:r>
          </w:p>
        </w:tc>
        <w:tc>
          <w:tcPr>
            <w:tcW w:w="746" w:type="pct"/>
          </w:tcPr>
          <w:p w14:paraId="198CA7C9" w14:textId="77777777" w:rsidR="00315893" w:rsidRPr="00D85E09" w:rsidRDefault="00315893" w:rsidP="0043316B">
            <w:pPr>
              <w:pStyle w:val="Tabletext"/>
              <w:keepNext w:val="0"/>
              <w:widowControl w:val="0"/>
            </w:pPr>
            <w:r w:rsidRPr="00D85E09">
              <w:t>ESCAPE protocol, p, 29, p.99</w:t>
            </w:r>
          </w:p>
        </w:tc>
      </w:tr>
      <w:tr w:rsidR="00315893" w:rsidRPr="00D85E09" w14:paraId="07135F13" w14:textId="77777777" w:rsidTr="00465778">
        <w:tc>
          <w:tcPr>
            <w:tcW w:w="690" w:type="pct"/>
          </w:tcPr>
          <w:p w14:paraId="57D01D90" w14:textId="62C7B3EF" w:rsidR="00315893" w:rsidRPr="00D85E09" w:rsidRDefault="005B7DCE" w:rsidP="0043316B">
            <w:pPr>
              <w:pStyle w:val="Tabletext"/>
              <w:keepNext w:val="0"/>
              <w:widowControl w:val="0"/>
            </w:pPr>
            <w:r>
              <w:t>EXTEND-I</w:t>
            </w:r>
            <w:r w:rsidR="00315893" w:rsidRPr="00D85E09">
              <w:t>A</w:t>
            </w:r>
          </w:p>
        </w:tc>
        <w:tc>
          <w:tcPr>
            <w:tcW w:w="840" w:type="pct"/>
          </w:tcPr>
          <w:p w14:paraId="660AF919" w14:textId="77777777" w:rsidR="00315893" w:rsidRPr="00D85E09" w:rsidRDefault="00315893" w:rsidP="0043316B">
            <w:pPr>
              <w:pStyle w:val="Tabletext"/>
              <w:keepNext w:val="0"/>
              <w:widowControl w:val="0"/>
            </w:pPr>
            <w:r w:rsidRPr="00D85E09">
              <w:t>Randomisation via a centralised website</w:t>
            </w:r>
          </w:p>
        </w:tc>
        <w:tc>
          <w:tcPr>
            <w:tcW w:w="641" w:type="pct"/>
          </w:tcPr>
          <w:p w14:paraId="4E03217A" w14:textId="77777777" w:rsidR="00315893" w:rsidRPr="00D85E09" w:rsidRDefault="00315893" w:rsidP="0043316B">
            <w:pPr>
              <w:pStyle w:val="Tabletext"/>
              <w:keepNext w:val="0"/>
              <w:widowControl w:val="0"/>
            </w:pPr>
            <w:r w:rsidRPr="00D85E09">
              <w:t>NO</w:t>
            </w:r>
          </w:p>
        </w:tc>
        <w:tc>
          <w:tcPr>
            <w:tcW w:w="687" w:type="pct"/>
          </w:tcPr>
          <w:p w14:paraId="692826A6" w14:textId="77777777" w:rsidR="00315893" w:rsidRPr="00D85E09" w:rsidRDefault="00315893" w:rsidP="0043316B">
            <w:pPr>
              <w:pStyle w:val="Tabletext"/>
              <w:keepNext w:val="0"/>
              <w:widowControl w:val="0"/>
            </w:pPr>
            <w:r w:rsidRPr="00D85E09">
              <w:t>NO</w:t>
            </w:r>
          </w:p>
        </w:tc>
        <w:tc>
          <w:tcPr>
            <w:tcW w:w="613" w:type="pct"/>
          </w:tcPr>
          <w:p w14:paraId="445FACA2" w14:textId="77777777" w:rsidR="00315893" w:rsidRPr="00D85E09" w:rsidRDefault="00315893" w:rsidP="0043316B">
            <w:pPr>
              <w:pStyle w:val="Tabletext"/>
              <w:keepNext w:val="0"/>
              <w:widowControl w:val="0"/>
            </w:pPr>
            <w:r w:rsidRPr="00D85E09">
              <w:t>YES</w:t>
            </w:r>
          </w:p>
        </w:tc>
        <w:tc>
          <w:tcPr>
            <w:tcW w:w="784" w:type="pct"/>
          </w:tcPr>
          <w:p w14:paraId="256EA622" w14:textId="77777777" w:rsidR="00315893" w:rsidRPr="00D85E09" w:rsidRDefault="00315893" w:rsidP="0043316B">
            <w:pPr>
              <w:pStyle w:val="Tabletext"/>
              <w:keepNext w:val="0"/>
              <w:widowControl w:val="0"/>
            </w:pPr>
            <w:r w:rsidRPr="00D85E09">
              <w:t>ITT population</w:t>
            </w:r>
          </w:p>
        </w:tc>
        <w:tc>
          <w:tcPr>
            <w:tcW w:w="746" w:type="pct"/>
          </w:tcPr>
          <w:p w14:paraId="20E833AE" w14:textId="77777777" w:rsidR="00315893" w:rsidRPr="00D85E09" w:rsidRDefault="00315893" w:rsidP="0043316B">
            <w:pPr>
              <w:pStyle w:val="Tabletext"/>
              <w:keepNext w:val="0"/>
              <w:widowControl w:val="0"/>
            </w:pPr>
            <w:r w:rsidRPr="00D85E09">
              <w:t>EXTEND-IA protocol, p. 3-5</w:t>
            </w:r>
          </w:p>
        </w:tc>
      </w:tr>
      <w:tr w:rsidR="00315893" w:rsidRPr="00D85E09" w14:paraId="111B6136" w14:textId="77777777" w:rsidTr="00465778">
        <w:tc>
          <w:tcPr>
            <w:tcW w:w="690" w:type="pct"/>
          </w:tcPr>
          <w:p w14:paraId="0D330C9C" w14:textId="77777777" w:rsidR="00315893" w:rsidRPr="00D85E09" w:rsidRDefault="00315893" w:rsidP="0043316B">
            <w:pPr>
              <w:pStyle w:val="Tabletext"/>
              <w:keepNext w:val="0"/>
              <w:widowControl w:val="0"/>
            </w:pPr>
            <w:r w:rsidRPr="00D85E09">
              <w:t>MR CLEAN</w:t>
            </w:r>
          </w:p>
        </w:tc>
        <w:tc>
          <w:tcPr>
            <w:tcW w:w="840" w:type="pct"/>
          </w:tcPr>
          <w:p w14:paraId="7A7772B1" w14:textId="77777777" w:rsidR="00315893" w:rsidRPr="00D85E09" w:rsidRDefault="00315893" w:rsidP="0043316B">
            <w:pPr>
              <w:pStyle w:val="Tabletext"/>
              <w:keepNext w:val="0"/>
              <w:widowControl w:val="0"/>
            </w:pPr>
            <w:r w:rsidRPr="00D85E09">
              <w:t>Randomisation procedure was web-based, with the use of permuted blocks</w:t>
            </w:r>
          </w:p>
        </w:tc>
        <w:tc>
          <w:tcPr>
            <w:tcW w:w="641" w:type="pct"/>
          </w:tcPr>
          <w:p w14:paraId="5377EF14" w14:textId="77777777" w:rsidR="00315893" w:rsidRPr="00D85E09" w:rsidRDefault="00315893" w:rsidP="0043316B">
            <w:pPr>
              <w:pStyle w:val="Tabletext"/>
              <w:keepNext w:val="0"/>
              <w:widowControl w:val="0"/>
            </w:pPr>
            <w:r w:rsidRPr="00D85E09">
              <w:t>NO</w:t>
            </w:r>
          </w:p>
        </w:tc>
        <w:tc>
          <w:tcPr>
            <w:tcW w:w="687" w:type="pct"/>
          </w:tcPr>
          <w:p w14:paraId="3B1BB8FE" w14:textId="77777777" w:rsidR="00315893" w:rsidRPr="00D85E09" w:rsidRDefault="00315893" w:rsidP="0043316B">
            <w:pPr>
              <w:pStyle w:val="Tabletext"/>
              <w:keepNext w:val="0"/>
              <w:widowControl w:val="0"/>
            </w:pPr>
            <w:r w:rsidRPr="00D85E09">
              <w:t>NO</w:t>
            </w:r>
          </w:p>
        </w:tc>
        <w:tc>
          <w:tcPr>
            <w:tcW w:w="613" w:type="pct"/>
          </w:tcPr>
          <w:p w14:paraId="3194C33D" w14:textId="77777777" w:rsidR="00315893" w:rsidRPr="00D85E09" w:rsidRDefault="00315893" w:rsidP="0043316B">
            <w:pPr>
              <w:pStyle w:val="Tabletext"/>
              <w:keepNext w:val="0"/>
              <w:widowControl w:val="0"/>
            </w:pPr>
            <w:r w:rsidRPr="00D85E09">
              <w:t>YES</w:t>
            </w:r>
          </w:p>
        </w:tc>
        <w:tc>
          <w:tcPr>
            <w:tcW w:w="784" w:type="pct"/>
          </w:tcPr>
          <w:p w14:paraId="3312C245" w14:textId="77777777" w:rsidR="00315893" w:rsidRPr="00D85E09" w:rsidRDefault="00315893" w:rsidP="0043316B">
            <w:pPr>
              <w:pStyle w:val="Tabletext"/>
              <w:keepNext w:val="0"/>
              <w:widowControl w:val="0"/>
            </w:pPr>
            <w:r w:rsidRPr="00D85E09">
              <w:t>ITT population</w:t>
            </w:r>
          </w:p>
        </w:tc>
        <w:tc>
          <w:tcPr>
            <w:tcW w:w="746" w:type="pct"/>
          </w:tcPr>
          <w:p w14:paraId="71B39300" w14:textId="77777777" w:rsidR="00315893" w:rsidRPr="00D85E09" w:rsidRDefault="00315893" w:rsidP="0043316B">
            <w:pPr>
              <w:pStyle w:val="Tabletext"/>
              <w:keepNext w:val="0"/>
              <w:widowControl w:val="0"/>
            </w:pPr>
            <w:r w:rsidRPr="00D85E09">
              <w:t>MR CLEAN protocol, p. 22</w:t>
            </w:r>
          </w:p>
        </w:tc>
      </w:tr>
      <w:tr w:rsidR="00315893" w:rsidRPr="00D85E09" w14:paraId="18BCD344" w14:textId="77777777" w:rsidTr="00465778">
        <w:tc>
          <w:tcPr>
            <w:tcW w:w="690" w:type="pct"/>
          </w:tcPr>
          <w:p w14:paraId="626D11FB" w14:textId="77777777" w:rsidR="00315893" w:rsidRPr="00D85E09" w:rsidRDefault="00315893" w:rsidP="0043316B">
            <w:pPr>
              <w:pStyle w:val="Tabletext"/>
              <w:keepNext w:val="0"/>
              <w:widowControl w:val="0"/>
            </w:pPr>
            <w:r w:rsidRPr="00D85E09">
              <w:t>REVASCAT</w:t>
            </w:r>
          </w:p>
        </w:tc>
        <w:tc>
          <w:tcPr>
            <w:tcW w:w="840" w:type="pct"/>
          </w:tcPr>
          <w:p w14:paraId="0D57C153" w14:textId="77777777" w:rsidR="00315893" w:rsidRPr="00D85E09" w:rsidRDefault="00315893" w:rsidP="0043316B">
            <w:pPr>
              <w:pStyle w:val="Tabletext"/>
              <w:keepNext w:val="0"/>
              <w:widowControl w:val="0"/>
            </w:pPr>
            <w:r w:rsidRPr="00D85E09">
              <w:t>Real-time computerised randomisation procedure</w:t>
            </w:r>
          </w:p>
        </w:tc>
        <w:tc>
          <w:tcPr>
            <w:tcW w:w="641" w:type="pct"/>
          </w:tcPr>
          <w:p w14:paraId="7AA03948" w14:textId="77777777" w:rsidR="00315893" w:rsidRPr="00D85E09" w:rsidRDefault="00315893" w:rsidP="0043316B">
            <w:pPr>
              <w:pStyle w:val="Tabletext"/>
              <w:keepNext w:val="0"/>
              <w:widowControl w:val="0"/>
            </w:pPr>
            <w:r w:rsidRPr="00D85E09">
              <w:t>NO</w:t>
            </w:r>
          </w:p>
        </w:tc>
        <w:tc>
          <w:tcPr>
            <w:tcW w:w="687" w:type="pct"/>
          </w:tcPr>
          <w:p w14:paraId="6FC27ED5" w14:textId="77777777" w:rsidR="00315893" w:rsidRPr="00D85E09" w:rsidRDefault="00315893" w:rsidP="0043316B">
            <w:pPr>
              <w:pStyle w:val="Tabletext"/>
              <w:keepNext w:val="0"/>
              <w:widowControl w:val="0"/>
            </w:pPr>
            <w:r w:rsidRPr="00D85E09">
              <w:t>NO</w:t>
            </w:r>
          </w:p>
        </w:tc>
        <w:tc>
          <w:tcPr>
            <w:tcW w:w="613" w:type="pct"/>
          </w:tcPr>
          <w:p w14:paraId="13889F01" w14:textId="77777777" w:rsidR="00315893" w:rsidRPr="00D85E09" w:rsidRDefault="00315893" w:rsidP="0043316B">
            <w:pPr>
              <w:pStyle w:val="Tabletext"/>
              <w:keepNext w:val="0"/>
              <w:widowControl w:val="0"/>
            </w:pPr>
            <w:r w:rsidRPr="00D85E09">
              <w:t>YES</w:t>
            </w:r>
          </w:p>
        </w:tc>
        <w:tc>
          <w:tcPr>
            <w:tcW w:w="784" w:type="pct"/>
          </w:tcPr>
          <w:p w14:paraId="7B4892F2" w14:textId="77777777" w:rsidR="00315893" w:rsidRPr="00D85E09" w:rsidRDefault="00315893" w:rsidP="0043316B">
            <w:pPr>
              <w:pStyle w:val="Tabletext"/>
              <w:keepNext w:val="0"/>
              <w:widowControl w:val="0"/>
            </w:pPr>
            <w:r w:rsidRPr="00D85E09">
              <w:t>ITT population</w:t>
            </w:r>
          </w:p>
        </w:tc>
        <w:tc>
          <w:tcPr>
            <w:tcW w:w="746" w:type="pct"/>
          </w:tcPr>
          <w:p w14:paraId="2A3A46DA" w14:textId="77777777" w:rsidR="00315893" w:rsidRPr="00D85E09" w:rsidRDefault="00315893" w:rsidP="0043316B">
            <w:pPr>
              <w:pStyle w:val="Tabletext"/>
              <w:keepNext w:val="0"/>
              <w:widowControl w:val="0"/>
            </w:pPr>
            <w:r w:rsidRPr="00D85E09">
              <w:t>REVASCAT protocol, p.36-37</w:t>
            </w:r>
          </w:p>
        </w:tc>
      </w:tr>
      <w:tr w:rsidR="00315893" w:rsidRPr="00D85E09" w14:paraId="25339ACF" w14:textId="77777777" w:rsidTr="00465778">
        <w:tc>
          <w:tcPr>
            <w:tcW w:w="690" w:type="pct"/>
          </w:tcPr>
          <w:p w14:paraId="1F01A8C7" w14:textId="77777777" w:rsidR="00315893" w:rsidRPr="00D85E09" w:rsidRDefault="00315893" w:rsidP="0043316B">
            <w:pPr>
              <w:pStyle w:val="Tabletext"/>
              <w:keepNext w:val="0"/>
              <w:widowControl w:val="0"/>
            </w:pPr>
            <w:r w:rsidRPr="00D85E09">
              <w:t>SWIFT PRIME</w:t>
            </w:r>
          </w:p>
        </w:tc>
        <w:tc>
          <w:tcPr>
            <w:tcW w:w="840" w:type="pct"/>
          </w:tcPr>
          <w:p w14:paraId="1DB4A24D" w14:textId="77777777" w:rsidR="00315893" w:rsidRPr="00D85E09" w:rsidRDefault="00315893" w:rsidP="0043316B">
            <w:pPr>
              <w:pStyle w:val="Tabletext"/>
              <w:keepNext w:val="0"/>
              <w:widowControl w:val="0"/>
            </w:pPr>
            <w:r w:rsidRPr="00D85E09">
              <w:t>Central telephone randomisation service e.g. IWRS/IVRS</w:t>
            </w:r>
          </w:p>
        </w:tc>
        <w:tc>
          <w:tcPr>
            <w:tcW w:w="641" w:type="pct"/>
          </w:tcPr>
          <w:p w14:paraId="35C32CCE" w14:textId="77777777" w:rsidR="00315893" w:rsidRPr="00D85E09" w:rsidRDefault="00315893" w:rsidP="0043316B">
            <w:pPr>
              <w:pStyle w:val="Tabletext"/>
              <w:keepNext w:val="0"/>
              <w:widowControl w:val="0"/>
            </w:pPr>
            <w:r w:rsidRPr="00D85E09">
              <w:t>NO</w:t>
            </w:r>
          </w:p>
        </w:tc>
        <w:tc>
          <w:tcPr>
            <w:tcW w:w="687" w:type="pct"/>
          </w:tcPr>
          <w:p w14:paraId="1B9AA398" w14:textId="77777777" w:rsidR="00315893" w:rsidRPr="00D85E09" w:rsidRDefault="00315893" w:rsidP="0043316B">
            <w:pPr>
              <w:pStyle w:val="Tabletext"/>
              <w:keepNext w:val="0"/>
              <w:widowControl w:val="0"/>
            </w:pPr>
            <w:r w:rsidRPr="00D85E09">
              <w:t>NO</w:t>
            </w:r>
          </w:p>
        </w:tc>
        <w:tc>
          <w:tcPr>
            <w:tcW w:w="613" w:type="pct"/>
          </w:tcPr>
          <w:p w14:paraId="1682C002" w14:textId="77777777" w:rsidR="00315893" w:rsidRPr="00D85E09" w:rsidRDefault="00315893" w:rsidP="0043316B">
            <w:pPr>
              <w:pStyle w:val="Tabletext"/>
              <w:keepNext w:val="0"/>
              <w:widowControl w:val="0"/>
            </w:pPr>
            <w:r w:rsidRPr="00D85E09">
              <w:t>YES</w:t>
            </w:r>
          </w:p>
        </w:tc>
        <w:tc>
          <w:tcPr>
            <w:tcW w:w="784" w:type="pct"/>
          </w:tcPr>
          <w:p w14:paraId="310CD2A3" w14:textId="77777777" w:rsidR="00315893" w:rsidRPr="00D85E09" w:rsidRDefault="00315893" w:rsidP="0043316B">
            <w:pPr>
              <w:pStyle w:val="Tabletext"/>
              <w:keepNext w:val="0"/>
              <w:widowControl w:val="0"/>
            </w:pPr>
            <w:r w:rsidRPr="00D85E09">
              <w:t>All randomised subjects</w:t>
            </w:r>
          </w:p>
        </w:tc>
        <w:tc>
          <w:tcPr>
            <w:tcW w:w="746" w:type="pct"/>
          </w:tcPr>
          <w:p w14:paraId="53F97CBF" w14:textId="77777777" w:rsidR="00315893" w:rsidRPr="00D85E09" w:rsidRDefault="00315893" w:rsidP="0043316B">
            <w:pPr>
              <w:pStyle w:val="Tabletext"/>
              <w:keepNext w:val="0"/>
              <w:widowControl w:val="0"/>
            </w:pPr>
            <w:r w:rsidRPr="00D85E09">
              <w:t>SWIFT PRIME protocol, Section 5.10, Section 6.4, Section 9.2.1</w:t>
            </w:r>
          </w:p>
        </w:tc>
      </w:tr>
    </w:tbl>
    <w:p w14:paraId="47C6AE7F" w14:textId="77777777" w:rsidR="00315893" w:rsidRPr="00D85E09" w:rsidRDefault="00315893" w:rsidP="0043316B">
      <w:pPr>
        <w:pStyle w:val="Tablefootnote"/>
        <w:widowControl w:val="0"/>
        <w:rPr>
          <w:lang w:val="en-AU"/>
        </w:rPr>
      </w:pPr>
      <w:r w:rsidRPr="00D85E09">
        <w:rPr>
          <w:lang w:val="en-AU"/>
        </w:rPr>
        <w:t>Abbreviations: IVRS, interactive voice response system; IWRS, interactive web response system</w:t>
      </w:r>
    </w:p>
    <w:p w14:paraId="2C2119ED" w14:textId="77777777" w:rsidR="00315893" w:rsidRPr="00D85E09" w:rsidRDefault="00315893" w:rsidP="0043316B">
      <w:pPr>
        <w:pStyle w:val="Tablefootnote"/>
        <w:widowControl w:val="0"/>
        <w:rPr>
          <w:lang w:val="en-AU"/>
        </w:rPr>
      </w:pPr>
    </w:p>
    <w:p w14:paraId="0CEC6022" w14:textId="77777777" w:rsidR="00315893" w:rsidRPr="00D85E09" w:rsidRDefault="00315893" w:rsidP="0043316B">
      <w:pPr>
        <w:pStyle w:val="Tablefootnote"/>
        <w:widowControl w:val="0"/>
        <w:rPr>
          <w:lang w:val="en-AU"/>
        </w:rPr>
        <w:sectPr w:rsidR="00315893" w:rsidRPr="00D85E09" w:rsidSect="00465778">
          <w:pgSz w:w="11907" w:h="16834" w:code="9"/>
          <w:pgMar w:top="1418" w:right="1701" w:bottom="1814" w:left="1418" w:header="720" w:footer="720" w:gutter="0"/>
          <w:paperSrc w:first="4035" w:other="4035"/>
          <w:cols w:space="720"/>
          <w:noEndnote/>
          <w:docGrid w:linePitch="299"/>
        </w:sectPr>
      </w:pPr>
    </w:p>
    <w:p w14:paraId="5E5C28C1" w14:textId="77777777" w:rsidR="00315893" w:rsidRPr="00D85E09" w:rsidRDefault="00315893" w:rsidP="0043316B">
      <w:pPr>
        <w:pStyle w:val="Heading3"/>
        <w:keepNext w:val="0"/>
        <w:widowControl w:val="0"/>
        <w:spacing w:before="240"/>
        <w:ind w:left="851" w:hanging="851"/>
        <w:jc w:val="both"/>
        <w:rPr>
          <w:lang w:val="en-AU"/>
        </w:rPr>
      </w:pPr>
      <w:bookmarkStart w:id="166" w:name="_Toc453065261"/>
      <w:r w:rsidRPr="00D85E09">
        <w:rPr>
          <w:lang w:val="en-AU"/>
        </w:rPr>
        <w:lastRenderedPageBreak/>
        <w:t>Handling of missing data</w:t>
      </w:r>
      <w:bookmarkEnd w:id="166"/>
    </w:p>
    <w:p w14:paraId="10945766" w14:textId="77777777" w:rsidR="00315893" w:rsidRPr="00D85E09" w:rsidRDefault="00315893" w:rsidP="0043316B">
      <w:pPr>
        <w:pStyle w:val="Heading5"/>
        <w:widowControl w:val="0"/>
        <w:rPr>
          <w:lang w:val="en-AU"/>
        </w:rPr>
      </w:pPr>
      <w:r w:rsidRPr="00D85E09">
        <w:rPr>
          <w:lang w:val="en-AU"/>
        </w:rPr>
        <w:t>ESCAPE</w:t>
      </w:r>
    </w:p>
    <w:p w14:paraId="25E98B05" w14:textId="77777777" w:rsidR="00315893" w:rsidRPr="00D85E09" w:rsidRDefault="00315893" w:rsidP="0043316B">
      <w:pPr>
        <w:widowControl w:val="0"/>
      </w:pPr>
      <w:r w:rsidRPr="00D85E09">
        <w:t>Any missing data for the primary outcome analysis was imputed by assuming the missing mRS score at 3 months to be unfavourable, i.e. the worst possible score. If the patient was known to be alive, a score of 5 was given. If the patient was not known to be alive or dead, a score of 6 was imputed. At a minimum, 90-day outcome assessments were accepted within a +/-30</w:t>
      </w:r>
      <w:r w:rsidRPr="00D85E09">
        <w:rPr>
          <w:rFonts w:ascii="Cambria Math" w:hAnsi="Cambria Math" w:cs="Cambria Math"/>
        </w:rPr>
        <w:t>‐</w:t>
      </w:r>
      <w:r w:rsidRPr="00D85E09">
        <w:t>day window.</w:t>
      </w:r>
    </w:p>
    <w:p w14:paraId="0B8703AE" w14:textId="4818F0AA" w:rsidR="00315893" w:rsidRPr="00D85E09" w:rsidRDefault="005B7DCE" w:rsidP="0043316B">
      <w:pPr>
        <w:pStyle w:val="Heading5"/>
        <w:widowControl w:val="0"/>
        <w:rPr>
          <w:lang w:val="en-AU"/>
        </w:rPr>
      </w:pPr>
      <w:r>
        <w:rPr>
          <w:lang w:val="en-AU"/>
        </w:rPr>
        <w:t>EXTEND-I</w:t>
      </w:r>
      <w:r w:rsidR="00315893" w:rsidRPr="00D85E09">
        <w:rPr>
          <w:lang w:val="en-AU"/>
        </w:rPr>
        <w:t>A</w:t>
      </w:r>
    </w:p>
    <w:p w14:paraId="55A4DAEA" w14:textId="11DB1ED4" w:rsidR="00315893" w:rsidRPr="00D85E09" w:rsidRDefault="00315893" w:rsidP="0043316B">
      <w:pPr>
        <w:widowControl w:val="0"/>
      </w:pPr>
      <w:r w:rsidRPr="00D85E09">
        <w:t>Reperfusion in three patients was unable to be assessed due to clinical deterioration prior to the protoc</w:t>
      </w:r>
      <w:r w:rsidR="0070191F" w:rsidRPr="00D85E09">
        <w:t>ol amendment allowing repeat CT</w:t>
      </w:r>
      <w:r w:rsidRPr="00D85E09">
        <w:t xml:space="preserve"> at 24h (all three were randomised to alteplase-only and all died shortly afterwards). These missing data were imputed with a pre-specified 0% reperfusion but sensitivity analysis was also performed using 100% reperfusion in place of missing values. Similarly, the three missing data points for recanalisation were imputed with “recanalisation absent” and sensitivity analysis was also performed to test the effect of classifying the missing data points as “recanalisation present”.</w:t>
      </w:r>
    </w:p>
    <w:p w14:paraId="306F1F65" w14:textId="77777777" w:rsidR="00315893" w:rsidRPr="00D85E09" w:rsidRDefault="00315893" w:rsidP="0043316B">
      <w:pPr>
        <w:widowControl w:val="0"/>
      </w:pPr>
      <w:r w:rsidRPr="00D85E09">
        <w:t>The approach taken to address missing data for the 90-day mRS outcome was not described (this was not the primary outcome); however, it should be noted that the population included in the analysis consisted of all randomised patients.</w:t>
      </w:r>
    </w:p>
    <w:p w14:paraId="32143E1C" w14:textId="77777777" w:rsidR="00315893" w:rsidRPr="00D85E09" w:rsidRDefault="00315893" w:rsidP="0043316B">
      <w:pPr>
        <w:pStyle w:val="Heading5"/>
        <w:widowControl w:val="0"/>
        <w:rPr>
          <w:lang w:val="en-AU"/>
        </w:rPr>
      </w:pPr>
      <w:r w:rsidRPr="00D85E09">
        <w:rPr>
          <w:lang w:val="en-AU"/>
        </w:rPr>
        <w:t>MR CLEAN</w:t>
      </w:r>
    </w:p>
    <w:p w14:paraId="4D9F7889" w14:textId="77777777" w:rsidR="00315893" w:rsidRPr="00D85E09" w:rsidRDefault="00315893" w:rsidP="0043316B">
      <w:pPr>
        <w:widowControl w:val="0"/>
        <w:rPr>
          <w:lang w:eastAsia="en-AU"/>
        </w:rPr>
      </w:pPr>
      <w:r w:rsidRPr="00D85E09">
        <w:rPr>
          <w:lang w:eastAsia="en-AU"/>
        </w:rPr>
        <w:t>Patients who died within the study period were assigned the worst score on all outcome measures and taken into the analysis.</w:t>
      </w:r>
    </w:p>
    <w:p w14:paraId="79DFFABB" w14:textId="77777777" w:rsidR="00315893" w:rsidRPr="00D85E09" w:rsidRDefault="00315893" w:rsidP="0043316B">
      <w:pPr>
        <w:pStyle w:val="Heading5"/>
        <w:widowControl w:val="0"/>
        <w:rPr>
          <w:lang w:val="en-AU"/>
        </w:rPr>
      </w:pPr>
      <w:r w:rsidRPr="00D85E09">
        <w:rPr>
          <w:lang w:val="en-AU"/>
        </w:rPr>
        <w:t>REVASCAT</w:t>
      </w:r>
    </w:p>
    <w:p w14:paraId="20A2C568" w14:textId="77777777" w:rsidR="00315893" w:rsidRPr="00D85E09" w:rsidRDefault="00315893" w:rsidP="0043316B">
      <w:pPr>
        <w:widowControl w:val="0"/>
      </w:pPr>
      <w:r w:rsidRPr="00D85E09">
        <w:t>If a subject died prior to 90 days, that subject was not considered missing and was assigned the highest mRS score (6) for the 90-day evaluation. The worst score (mRS of 6) was also assigned if the living status of the patient was unknown. For patients known to be alive at 3 months post randomisation in whom follow-up evaluations was not be possible, the discharge mRS was carried forward.</w:t>
      </w:r>
    </w:p>
    <w:p w14:paraId="1F7BE8CC" w14:textId="77777777" w:rsidR="00315893" w:rsidRPr="00D85E09" w:rsidRDefault="00315893" w:rsidP="0043316B">
      <w:pPr>
        <w:pStyle w:val="Heading5"/>
        <w:widowControl w:val="0"/>
        <w:rPr>
          <w:lang w:val="en-AU"/>
        </w:rPr>
      </w:pPr>
      <w:r w:rsidRPr="00D85E09">
        <w:rPr>
          <w:lang w:val="en-AU"/>
        </w:rPr>
        <w:t>SWIFT PRIME</w:t>
      </w:r>
    </w:p>
    <w:p w14:paraId="6F9E8E8E" w14:textId="77777777" w:rsidR="00315893" w:rsidRPr="00D85E09" w:rsidRDefault="00315893" w:rsidP="0043316B">
      <w:pPr>
        <w:widowControl w:val="0"/>
      </w:pPr>
      <w:r w:rsidRPr="00D85E09">
        <w:t xml:space="preserve">Since the primary endpoint was defined using mRS, subjects deceased during the study </w:t>
      </w:r>
      <w:r w:rsidRPr="00D85E09">
        <w:lastRenderedPageBreak/>
        <w:t>follow-up were scored a mRS 6 and were counted as failures in the evaluation of functional independence. Other subjects not completing the 90-day follow-up visit were categorised for the primary endpoint using the mRS as of the last available follow-up visit.</w:t>
      </w:r>
    </w:p>
    <w:p w14:paraId="30CFE37C" w14:textId="77777777" w:rsidR="00315893" w:rsidRPr="00D85E09" w:rsidRDefault="00315893" w:rsidP="0043316B">
      <w:pPr>
        <w:pStyle w:val="Heading3"/>
        <w:keepNext w:val="0"/>
        <w:widowControl w:val="0"/>
        <w:spacing w:before="240"/>
        <w:ind w:left="851" w:hanging="851"/>
        <w:jc w:val="both"/>
        <w:rPr>
          <w:lang w:val="en-AU"/>
        </w:rPr>
      </w:pPr>
      <w:bookmarkStart w:id="167" w:name="_Toc453065262"/>
      <w:r w:rsidRPr="00D85E09">
        <w:rPr>
          <w:lang w:val="en-AU"/>
        </w:rPr>
        <w:t>Flow of participants</w:t>
      </w:r>
      <w:bookmarkEnd w:id="167"/>
    </w:p>
    <w:p w14:paraId="3256D64D" w14:textId="318674FC" w:rsidR="00315893" w:rsidRPr="00D85E09" w:rsidRDefault="00315893" w:rsidP="0043316B">
      <w:pPr>
        <w:widowControl w:val="0"/>
      </w:pPr>
      <w:r w:rsidRPr="00D85E09">
        <w:t xml:space="preserve">The flow of participants in the included trials is summarised in </w:t>
      </w:r>
      <w:r w:rsidRPr="00D85E09">
        <w:fldChar w:fldCharType="begin"/>
      </w:r>
      <w:r w:rsidRPr="00D85E09">
        <w:instrText xml:space="preserve"> REF _Ref169667131 \h </w:instrText>
      </w:r>
      <w:r w:rsidRPr="00D85E09">
        <w:fldChar w:fldCharType="separate"/>
      </w:r>
      <w:r w:rsidR="00A456ED" w:rsidRPr="00D85E09">
        <w:t xml:space="preserve">Table </w:t>
      </w:r>
      <w:r w:rsidR="00A456ED">
        <w:rPr>
          <w:noProof/>
        </w:rPr>
        <w:t>18</w:t>
      </w:r>
      <w:r w:rsidRPr="00D85E09">
        <w:fldChar w:fldCharType="end"/>
      </w:r>
      <w:r w:rsidRPr="00D85E09">
        <w:t>. The majority of trials had zero loss to follow-up (EXTEND-IA, MR CLEAN, REVASCAT). In the ESCAPE study four patients were lost to follow-up, while in SWIFT PRIME, 3-month mRS outcomes were unavailable for 5 patients. In each of the studies, there were some patients that did not receive MT. However, since this is also likely to occur in clinical practice, and the results for these patients are still included in the ITT analysis, this is not expected to bias the results in any way.</w:t>
      </w:r>
    </w:p>
    <w:p w14:paraId="48682209" w14:textId="77777777" w:rsidR="00315893" w:rsidRPr="00D85E09" w:rsidRDefault="00315893" w:rsidP="0043316B">
      <w:pPr>
        <w:pStyle w:val="Heading5"/>
        <w:widowControl w:val="0"/>
        <w:rPr>
          <w:lang w:val="en-AU"/>
        </w:rPr>
      </w:pPr>
      <w:r w:rsidRPr="00D85E09">
        <w:rPr>
          <w:lang w:val="en-AU"/>
        </w:rPr>
        <w:t>ESCAPE</w:t>
      </w:r>
    </w:p>
    <w:p w14:paraId="5DEE99D8" w14:textId="77777777" w:rsidR="00315893" w:rsidRPr="00D85E09" w:rsidRDefault="00315893" w:rsidP="0043316B">
      <w:pPr>
        <w:widowControl w:val="0"/>
        <w:rPr>
          <w:rFonts w:eastAsia="OTNEJMQuadraat"/>
          <w:lang w:eastAsia="en-AU"/>
        </w:rPr>
      </w:pPr>
      <w:r w:rsidRPr="00D85E09">
        <w:t xml:space="preserve">A total of 316 participants were enrolled in the study; one participant was excluded owing to improper consent procedures; therefore, 165 participants were assigned to the intervention group, 150 participants were assigned to the control group, one participant in the control group crossed over to receive endovascular treatment. In the intervention group, 14 participants did not receive any interventional therapy. Four participants (1.3%) were lost to follow-up; (1 in the endovascular group and 3 in the control group) missing data on outcomes in these participants was not imputed. Therefore, </w:t>
      </w:r>
      <w:r w:rsidRPr="00D85E09">
        <w:rPr>
          <w:rFonts w:eastAsia="OTNEJMQuadraat"/>
          <w:lang w:eastAsia="en-AU"/>
        </w:rPr>
        <w:t>the primary efficacy analysis included 164 (99.4%) participants in the intervention group and 147 (98%) in the control group.</w:t>
      </w:r>
    </w:p>
    <w:p w14:paraId="2590E6DC" w14:textId="68C5F546" w:rsidR="00315893" w:rsidRPr="00D85E09" w:rsidRDefault="005B7DCE" w:rsidP="0043316B">
      <w:pPr>
        <w:pStyle w:val="Heading5"/>
        <w:widowControl w:val="0"/>
        <w:rPr>
          <w:lang w:val="en-AU"/>
        </w:rPr>
      </w:pPr>
      <w:r>
        <w:rPr>
          <w:lang w:val="en-AU"/>
        </w:rPr>
        <w:t>EXTEND-I</w:t>
      </w:r>
      <w:r w:rsidR="00315893" w:rsidRPr="00D85E09">
        <w:rPr>
          <w:lang w:val="en-AU"/>
        </w:rPr>
        <w:t>A</w:t>
      </w:r>
    </w:p>
    <w:p w14:paraId="42F55545" w14:textId="77777777" w:rsidR="00315893" w:rsidRPr="00D85E09" w:rsidRDefault="00315893" w:rsidP="0043316B">
      <w:pPr>
        <w:widowControl w:val="0"/>
      </w:pPr>
      <w:r w:rsidRPr="00D85E09">
        <w:rPr>
          <w:rFonts w:eastAsia="OTNEJMQuadraat"/>
          <w:lang w:eastAsia="en-AU"/>
        </w:rPr>
        <w:t xml:space="preserve">A total of 70 patients underwent randomisation: 35 were allocated to the endovascular therapy group and 35 were allocated to the alteplase-only group. Eight (22.9%) patients in the endovascular group did not undergo thrombectomy. </w:t>
      </w:r>
      <w:r w:rsidRPr="00D85E09">
        <w:t>All 70 participants were included for evaluation at 90 days for the primary outcome.</w:t>
      </w:r>
    </w:p>
    <w:p w14:paraId="58D51F9E" w14:textId="77777777" w:rsidR="00315893" w:rsidRPr="00D85E09" w:rsidRDefault="00315893" w:rsidP="0043316B">
      <w:pPr>
        <w:pStyle w:val="Heading5"/>
        <w:widowControl w:val="0"/>
        <w:rPr>
          <w:lang w:val="en-AU"/>
        </w:rPr>
      </w:pPr>
      <w:r w:rsidRPr="00D85E09">
        <w:rPr>
          <w:lang w:val="en-AU"/>
        </w:rPr>
        <w:t>MR CLEAN</w:t>
      </w:r>
    </w:p>
    <w:p w14:paraId="032ACB4A" w14:textId="77777777" w:rsidR="00315893" w:rsidRPr="00D85E09" w:rsidRDefault="00315893" w:rsidP="0043316B">
      <w:pPr>
        <w:widowControl w:val="0"/>
      </w:pPr>
      <w:r w:rsidRPr="00D85E09">
        <w:rPr>
          <w:rFonts w:eastAsia="OTNEJMQuadraat"/>
          <w:lang w:eastAsia="en-AU"/>
        </w:rPr>
        <w:t xml:space="preserve">In total, 233 patients (46.6%) were assigned to receive intra-arterial thrombolysis, mechanical treatment, [undertaken with any currently available and approved device] or both, plus usual care [which could include IV alteplase] (intervention group) and 267 patients (53.4%) were assigned to usual care alone (control group). One patient received </w:t>
      </w:r>
      <w:r w:rsidRPr="00D85E09">
        <w:rPr>
          <w:rFonts w:eastAsia="OTNEJMQuadraat"/>
          <w:lang w:eastAsia="en-AU"/>
        </w:rPr>
        <w:lastRenderedPageBreak/>
        <w:t xml:space="preserve">intra-arterial treatment after being assigned to the control group. Intra-arterial treatment was never initiated in 17 patients (7.3%) assigned to the intervention group. </w:t>
      </w:r>
      <w:r w:rsidRPr="00D85E09">
        <w:t>All 500 participants were included for evaluation at 90 days for the primary outcome.</w:t>
      </w:r>
    </w:p>
    <w:p w14:paraId="1BC59606" w14:textId="77777777" w:rsidR="00315893" w:rsidRPr="00D85E09" w:rsidRDefault="00315893" w:rsidP="0043316B">
      <w:pPr>
        <w:pStyle w:val="Heading5"/>
        <w:widowControl w:val="0"/>
        <w:rPr>
          <w:lang w:val="en-AU"/>
        </w:rPr>
      </w:pPr>
      <w:r w:rsidRPr="00D85E09">
        <w:rPr>
          <w:lang w:val="en-AU"/>
        </w:rPr>
        <w:t>REVASCAT</w:t>
      </w:r>
    </w:p>
    <w:p w14:paraId="06192A3E" w14:textId="77777777" w:rsidR="00315893" w:rsidRPr="00D85E09" w:rsidRDefault="00315893" w:rsidP="0043316B">
      <w:pPr>
        <w:widowControl w:val="0"/>
      </w:pPr>
      <w:r w:rsidRPr="00D85E09">
        <w:t>A total of 207 patients were enrolled in the study; 1 participants withdrew informed consent, therefore 103 participants were allocated to the Solitaire stent retriever (thrombectomy group) and 103 were allocated to medical therapy alone (control group). No crossovers occurred, however 5 participants in the thrombectomy group did not undergo the thrombectomy procedure. All 206 participants were included for evaluation at 90 days for the primary outcome.</w:t>
      </w:r>
    </w:p>
    <w:p w14:paraId="0E7650A3" w14:textId="77777777" w:rsidR="00315893" w:rsidRPr="00D85E09" w:rsidRDefault="00315893" w:rsidP="0043316B">
      <w:pPr>
        <w:pStyle w:val="Heading5"/>
        <w:widowControl w:val="0"/>
        <w:rPr>
          <w:lang w:val="en-AU"/>
        </w:rPr>
      </w:pPr>
      <w:r w:rsidRPr="00D85E09">
        <w:rPr>
          <w:lang w:val="en-AU"/>
        </w:rPr>
        <w:t>SWIFT PRIME</w:t>
      </w:r>
    </w:p>
    <w:p w14:paraId="6C0034F6" w14:textId="2A1A8A17" w:rsidR="00315893" w:rsidRPr="00D85E09" w:rsidRDefault="00315893" w:rsidP="0043316B">
      <w:pPr>
        <w:widowControl w:val="0"/>
        <w:rPr>
          <w:rFonts w:eastAsia="OTNEJMQuadraat"/>
          <w:lang w:eastAsia="en-AU"/>
        </w:rPr>
      </w:pPr>
      <w:r w:rsidRPr="00D85E09">
        <w:rPr>
          <w:rFonts w:eastAsia="OTNEJMQuadraat"/>
          <w:lang w:eastAsia="en-AU"/>
        </w:rPr>
        <w:t xml:space="preserve">A total of 196 patients underwent randomisation; 98 were randomised to IV </w:t>
      </w:r>
      <w:r w:rsidR="005B7DCE">
        <w:rPr>
          <w:rFonts w:eastAsia="OTNEJMQuadraat"/>
          <w:lang w:eastAsia="en-AU"/>
        </w:rPr>
        <w:t>tPA</w:t>
      </w:r>
      <w:r w:rsidRPr="00D85E09">
        <w:rPr>
          <w:rFonts w:eastAsia="OTNEJMQuadraat"/>
          <w:lang w:eastAsia="en-AU"/>
        </w:rPr>
        <w:t xml:space="preserve"> plus MT performed with the use of the Solitaire FR or Solitaire 2 device stent retriever (intervention group) and 98 were randomised to IV </w:t>
      </w:r>
      <w:r w:rsidR="005B7DCE">
        <w:rPr>
          <w:rFonts w:eastAsia="OTNEJMQuadraat"/>
          <w:lang w:eastAsia="en-AU"/>
        </w:rPr>
        <w:t>tPA</w:t>
      </w:r>
      <w:r w:rsidRPr="00D85E09">
        <w:rPr>
          <w:rFonts w:eastAsia="OTNEJMQuadraat"/>
          <w:lang w:eastAsia="en-AU"/>
        </w:rPr>
        <w:t xml:space="preserve"> alone (control group). Eleven (11.2%) participants in the intervention group did not receive MT; the main reason was due to complete or partial resolution of the target occlusion (n=7). Nine (9.2%) participants in the intervention group and 12 (12.2%) participants in the control group died prior to the 90-day follow-up. Final assessment was unavailable for 5 patients randomised to the control group, therefore the primary efficacy analysis included 98 (100%) participants in the intervention group and 93 (94.9%) in the control group.</w:t>
      </w:r>
    </w:p>
    <w:p w14:paraId="5EFCA099" w14:textId="77777777" w:rsidR="00315893" w:rsidRPr="00D85E09" w:rsidRDefault="00315893" w:rsidP="0043316B">
      <w:pPr>
        <w:widowControl w:val="0"/>
      </w:pPr>
    </w:p>
    <w:p w14:paraId="1CAA08B1" w14:textId="77777777" w:rsidR="00315893" w:rsidRPr="00D85E09" w:rsidRDefault="00315893" w:rsidP="0043316B">
      <w:pPr>
        <w:widowControl w:val="0"/>
        <w:sectPr w:rsidR="00315893" w:rsidRPr="00D85E09" w:rsidSect="00465778">
          <w:pgSz w:w="11907" w:h="16834" w:code="9"/>
          <w:pgMar w:top="1418" w:right="1701" w:bottom="1814" w:left="1418" w:header="720" w:footer="720" w:gutter="0"/>
          <w:paperSrc w:first="4035" w:other="4035"/>
          <w:cols w:space="720"/>
          <w:noEndnote/>
          <w:docGrid w:linePitch="299"/>
        </w:sectPr>
      </w:pPr>
    </w:p>
    <w:p w14:paraId="421C327C" w14:textId="308C2EA1" w:rsidR="00315893" w:rsidRPr="00D85E09" w:rsidRDefault="00315893" w:rsidP="0043316B">
      <w:pPr>
        <w:pStyle w:val="Caption"/>
        <w:keepNext w:val="0"/>
        <w:widowControl w:val="0"/>
        <w:rPr>
          <w:lang w:val="en-AU"/>
        </w:rPr>
      </w:pPr>
      <w:bookmarkStart w:id="168" w:name="_Ref169667131"/>
      <w:bookmarkStart w:id="169" w:name="_Toc192319852"/>
      <w:bookmarkStart w:id="170" w:name="_Toc273301533"/>
      <w:bookmarkStart w:id="171" w:name="_Toc367090373"/>
      <w:bookmarkStart w:id="172" w:name="_Toc453065354"/>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18</w:t>
      </w:r>
      <w:r w:rsidRPr="00D85E09">
        <w:rPr>
          <w:lang w:val="en-AU"/>
        </w:rPr>
        <w:fldChar w:fldCharType="end"/>
      </w:r>
      <w:bookmarkEnd w:id="168"/>
      <w:r w:rsidRPr="00D85E09">
        <w:rPr>
          <w:lang w:val="en-AU"/>
        </w:rPr>
        <w:tab/>
        <w:t>Flow of participants</w:t>
      </w:r>
      <w:bookmarkEnd w:id="169"/>
      <w:bookmarkEnd w:id="170"/>
      <w:bookmarkEnd w:id="171"/>
      <w:bookmarkEnd w:id="172"/>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8. Flow of participants"/>
      </w:tblPr>
      <w:tblGrid>
        <w:gridCol w:w="1534"/>
        <w:gridCol w:w="1537"/>
        <w:gridCol w:w="1536"/>
        <w:gridCol w:w="1536"/>
        <w:gridCol w:w="1536"/>
        <w:gridCol w:w="1536"/>
        <w:gridCol w:w="1536"/>
        <w:gridCol w:w="1536"/>
        <w:gridCol w:w="1528"/>
      </w:tblGrid>
      <w:tr w:rsidR="00315893" w:rsidRPr="00D85E09" w14:paraId="3F3E633A" w14:textId="77777777" w:rsidTr="001922F3">
        <w:trPr>
          <w:cantSplit/>
          <w:trHeight w:val="20"/>
          <w:tblHeader/>
        </w:trPr>
        <w:tc>
          <w:tcPr>
            <w:tcW w:w="555" w:type="pct"/>
            <w:shd w:val="clear" w:color="auto" w:fill="auto"/>
            <w:vAlign w:val="center"/>
          </w:tcPr>
          <w:p w14:paraId="4EC9A420" w14:textId="77777777" w:rsidR="00315893" w:rsidRPr="00D85E09" w:rsidRDefault="00315893" w:rsidP="0043316B">
            <w:pPr>
              <w:pStyle w:val="Tabletext"/>
              <w:keepNext w:val="0"/>
              <w:widowControl w:val="0"/>
              <w:spacing w:after="60"/>
              <w:jc w:val="center"/>
              <w:rPr>
                <w:b/>
              </w:rPr>
            </w:pPr>
            <w:r w:rsidRPr="00D85E09">
              <w:rPr>
                <w:b/>
              </w:rPr>
              <w:t>Trial ID</w:t>
            </w:r>
          </w:p>
        </w:tc>
        <w:tc>
          <w:tcPr>
            <w:tcW w:w="556" w:type="pct"/>
            <w:shd w:val="clear" w:color="auto" w:fill="auto"/>
            <w:vAlign w:val="center"/>
          </w:tcPr>
          <w:p w14:paraId="28AA3ABD" w14:textId="77777777" w:rsidR="00315893" w:rsidRPr="00D85E09" w:rsidRDefault="00315893" w:rsidP="0043316B">
            <w:pPr>
              <w:pStyle w:val="Tabletext"/>
              <w:keepNext w:val="0"/>
              <w:widowControl w:val="0"/>
              <w:spacing w:after="60"/>
              <w:rPr>
                <w:b/>
              </w:rPr>
            </w:pPr>
            <w:r w:rsidRPr="00D85E09">
              <w:rPr>
                <w:b/>
              </w:rPr>
              <w:t>Intervention</w:t>
            </w:r>
          </w:p>
        </w:tc>
        <w:tc>
          <w:tcPr>
            <w:tcW w:w="556" w:type="pct"/>
            <w:shd w:val="clear" w:color="auto" w:fill="auto"/>
            <w:vAlign w:val="center"/>
          </w:tcPr>
          <w:p w14:paraId="259C39B5" w14:textId="77777777" w:rsidR="00315893" w:rsidRPr="00D85E09" w:rsidRDefault="00315893" w:rsidP="0043316B">
            <w:pPr>
              <w:pStyle w:val="Tabletext"/>
              <w:keepNext w:val="0"/>
              <w:widowControl w:val="0"/>
              <w:spacing w:after="60"/>
              <w:jc w:val="center"/>
              <w:rPr>
                <w:b/>
              </w:rPr>
            </w:pPr>
            <w:r w:rsidRPr="00D85E09">
              <w:rPr>
                <w:b/>
              </w:rPr>
              <w:t>Randomised</w:t>
            </w:r>
          </w:p>
          <w:p w14:paraId="755E8E72" w14:textId="77777777" w:rsidR="00315893" w:rsidRPr="00D85E09" w:rsidRDefault="00315893" w:rsidP="0043316B">
            <w:pPr>
              <w:pStyle w:val="Tabletext"/>
              <w:keepNext w:val="0"/>
              <w:widowControl w:val="0"/>
              <w:spacing w:after="60"/>
              <w:jc w:val="center"/>
              <w:rPr>
                <w:b/>
              </w:rPr>
            </w:pPr>
            <w:r w:rsidRPr="00D85E09">
              <w:rPr>
                <w:b/>
              </w:rPr>
              <w:t>N</w:t>
            </w:r>
          </w:p>
        </w:tc>
        <w:tc>
          <w:tcPr>
            <w:tcW w:w="556" w:type="pct"/>
            <w:shd w:val="clear" w:color="auto" w:fill="auto"/>
            <w:vAlign w:val="center"/>
          </w:tcPr>
          <w:p w14:paraId="478BA65F" w14:textId="744E9062" w:rsidR="00315893" w:rsidRPr="00D85E09" w:rsidRDefault="00315893" w:rsidP="0043316B">
            <w:pPr>
              <w:pStyle w:val="Tabletext"/>
              <w:keepNext w:val="0"/>
              <w:widowControl w:val="0"/>
              <w:spacing w:after="60"/>
              <w:jc w:val="center"/>
              <w:rPr>
                <w:b/>
              </w:rPr>
            </w:pPr>
            <w:r w:rsidRPr="00D85E09">
              <w:rPr>
                <w:b/>
              </w:rPr>
              <w:t xml:space="preserve">Received </w:t>
            </w:r>
            <w:r w:rsidR="005B7DCE">
              <w:rPr>
                <w:b/>
              </w:rPr>
              <w:t>tPA</w:t>
            </w:r>
          </w:p>
          <w:p w14:paraId="537A6732" w14:textId="77777777" w:rsidR="00315893" w:rsidRPr="00D85E09" w:rsidRDefault="00315893" w:rsidP="0043316B">
            <w:pPr>
              <w:pStyle w:val="Tabletext"/>
              <w:keepNext w:val="0"/>
              <w:widowControl w:val="0"/>
              <w:spacing w:after="60"/>
              <w:jc w:val="center"/>
              <w:rPr>
                <w:b/>
              </w:rPr>
            </w:pPr>
            <w:r w:rsidRPr="00D85E09">
              <w:rPr>
                <w:b/>
              </w:rPr>
              <w:t>n (%)</w:t>
            </w:r>
          </w:p>
        </w:tc>
        <w:tc>
          <w:tcPr>
            <w:tcW w:w="556" w:type="pct"/>
            <w:shd w:val="clear" w:color="auto" w:fill="auto"/>
            <w:vAlign w:val="center"/>
          </w:tcPr>
          <w:p w14:paraId="19D5DD75" w14:textId="77777777" w:rsidR="00315893" w:rsidRPr="00D85E09" w:rsidRDefault="00315893" w:rsidP="0043316B">
            <w:pPr>
              <w:pStyle w:val="Tabletext"/>
              <w:keepNext w:val="0"/>
              <w:widowControl w:val="0"/>
              <w:spacing w:after="60"/>
              <w:jc w:val="center"/>
              <w:rPr>
                <w:b/>
              </w:rPr>
            </w:pPr>
            <w:r w:rsidRPr="00D85E09">
              <w:rPr>
                <w:b/>
              </w:rPr>
              <w:t>Did not receive intervention</w:t>
            </w:r>
          </w:p>
          <w:p w14:paraId="3C9D8162" w14:textId="77777777" w:rsidR="00315893" w:rsidRPr="00D85E09" w:rsidRDefault="00315893" w:rsidP="0043316B">
            <w:pPr>
              <w:pStyle w:val="Tabletext"/>
              <w:keepNext w:val="0"/>
              <w:widowControl w:val="0"/>
              <w:spacing w:after="60"/>
              <w:jc w:val="center"/>
              <w:rPr>
                <w:b/>
              </w:rPr>
            </w:pPr>
            <w:r w:rsidRPr="00D85E09">
              <w:rPr>
                <w:b/>
              </w:rPr>
              <w:t>n (%)</w:t>
            </w:r>
          </w:p>
        </w:tc>
        <w:tc>
          <w:tcPr>
            <w:tcW w:w="556" w:type="pct"/>
            <w:shd w:val="clear" w:color="auto" w:fill="auto"/>
            <w:vAlign w:val="center"/>
          </w:tcPr>
          <w:p w14:paraId="01796911" w14:textId="77777777" w:rsidR="00315893" w:rsidRPr="00D85E09" w:rsidRDefault="00315893" w:rsidP="0043316B">
            <w:pPr>
              <w:pStyle w:val="Tabletext"/>
              <w:keepNext w:val="0"/>
              <w:widowControl w:val="0"/>
              <w:spacing w:after="60"/>
              <w:jc w:val="center"/>
              <w:rPr>
                <w:b/>
              </w:rPr>
            </w:pPr>
            <w:r w:rsidRPr="00D85E09">
              <w:rPr>
                <w:b/>
              </w:rPr>
              <w:t>Lost to follow-up</w:t>
            </w:r>
          </w:p>
          <w:p w14:paraId="29C06A33" w14:textId="77777777" w:rsidR="00315893" w:rsidRPr="00D85E09" w:rsidRDefault="00315893" w:rsidP="0043316B">
            <w:pPr>
              <w:pStyle w:val="Tabletext"/>
              <w:keepNext w:val="0"/>
              <w:widowControl w:val="0"/>
              <w:spacing w:after="60"/>
              <w:jc w:val="center"/>
              <w:rPr>
                <w:b/>
              </w:rPr>
            </w:pPr>
            <w:r w:rsidRPr="00D85E09">
              <w:rPr>
                <w:b/>
              </w:rPr>
              <w:t>n (%)</w:t>
            </w:r>
          </w:p>
        </w:tc>
        <w:tc>
          <w:tcPr>
            <w:tcW w:w="556" w:type="pct"/>
            <w:shd w:val="clear" w:color="auto" w:fill="auto"/>
            <w:vAlign w:val="center"/>
          </w:tcPr>
          <w:p w14:paraId="55B6E2C5" w14:textId="77777777" w:rsidR="00315893" w:rsidRPr="00D85E09" w:rsidRDefault="00315893" w:rsidP="0043316B">
            <w:pPr>
              <w:pStyle w:val="Tabletext"/>
              <w:keepNext w:val="0"/>
              <w:widowControl w:val="0"/>
              <w:spacing w:after="60"/>
              <w:jc w:val="center"/>
              <w:rPr>
                <w:b/>
              </w:rPr>
            </w:pPr>
            <w:r w:rsidRPr="00D85E09">
              <w:rPr>
                <w:b/>
              </w:rPr>
              <w:t>Died</w:t>
            </w:r>
          </w:p>
          <w:p w14:paraId="64268667" w14:textId="77777777" w:rsidR="00315893" w:rsidRPr="00D85E09" w:rsidRDefault="00315893" w:rsidP="0043316B">
            <w:pPr>
              <w:pStyle w:val="Tabletext"/>
              <w:keepNext w:val="0"/>
              <w:widowControl w:val="0"/>
              <w:spacing w:after="60"/>
              <w:jc w:val="center"/>
              <w:rPr>
                <w:b/>
              </w:rPr>
            </w:pPr>
            <w:r w:rsidRPr="00D85E09">
              <w:rPr>
                <w:b/>
              </w:rPr>
              <w:t>n (%)</w:t>
            </w:r>
          </w:p>
        </w:tc>
        <w:tc>
          <w:tcPr>
            <w:tcW w:w="556" w:type="pct"/>
            <w:shd w:val="clear" w:color="auto" w:fill="auto"/>
            <w:vAlign w:val="center"/>
          </w:tcPr>
          <w:p w14:paraId="34FF160E" w14:textId="77777777" w:rsidR="00315893" w:rsidRPr="00D85E09" w:rsidRDefault="00315893" w:rsidP="0043316B">
            <w:pPr>
              <w:pStyle w:val="Tabletext"/>
              <w:keepNext w:val="0"/>
              <w:widowControl w:val="0"/>
              <w:spacing w:after="60"/>
              <w:jc w:val="center"/>
              <w:rPr>
                <w:b/>
              </w:rPr>
            </w:pPr>
            <w:r w:rsidRPr="00D85E09">
              <w:rPr>
                <w:b/>
              </w:rPr>
              <w:t>Analysed</w:t>
            </w:r>
          </w:p>
          <w:p w14:paraId="38FDDB7F" w14:textId="77777777" w:rsidR="00315893" w:rsidRPr="00D85E09" w:rsidRDefault="00315893" w:rsidP="0043316B">
            <w:pPr>
              <w:pStyle w:val="Tabletext"/>
              <w:keepNext w:val="0"/>
              <w:widowControl w:val="0"/>
              <w:spacing w:after="60"/>
              <w:jc w:val="center"/>
              <w:rPr>
                <w:b/>
              </w:rPr>
            </w:pPr>
            <w:r w:rsidRPr="00D85E09">
              <w:rPr>
                <w:b/>
              </w:rPr>
              <w:t>n (%)</w:t>
            </w:r>
          </w:p>
        </w:tc>
        <w:tc>
          <w:tcPr>
            <w:tcW w:w="553" w:type="pct"/>
            <w:shd w:val="clear" w:color="auto" w:fill="auto"/>
            <w:vAlign w:val="center"/>
          </w:tcPr>
          <w:p w14:paraId="7DDA6AC1" w14:textId="77777777" w:rsidR="00315893" w:rsidRPr="00D85E09" w:rsidRDefault="00315893" w:rsidP="0043316B">
            <w:pPr>
              <w:pStyle w:val="Tabletext"/>
              <w:keepNext w:val="0"/>
              <w:widowControl w:val="0"/>
              <w:spacing w:after="60"/>
              <w:jc w:val="center"/>
              <w:rPr>
                <w:b/>
              </w:rPr>
            </w:pPr>
            <w:r w:rsidRPr="00D85E09">
              <w:rPr>
                <w:b/>
              </w:rPr>
              <w:t>Source</w:t>
            </w:r>
          </w:p>
        </w:tc>
      </w:tr>
      <w:tr w:rsidR="00315893" w:rsidRPr="00D85E09" w14:paraId="77D26507" w14:textId="77777777" w:rsidTr="00465778">
        <w:trPr>
          <w:trHeight w:val="395"/>
        </w:trPr>
        <w:tc>
          <w:tcPr>
            <w:tcW w:w="555" w:type="pct"/>
            <w:vMerge w:val="restart"/>
          </w:tcPr>
          <w:p w14:paraId="57717E50" w14:textId="77777777" w:rsidR="00315893" w:rsidRPr="00D85E09" w:rsidRDefault="00315893" w:rsidP="0043316B">
            <w:pPr>
              <w:pStyle w:val="Tabletext"/>
              <w:keepNext w:val="0"/>
              <w:widowControl w:val="0"/>
              <w:spacing w:after="60"/>
            </w:pPr>
            <w:r w:rsidRPr="00D85E09">
              <w:t>ESCAPE</w:t>
            </w:r>
          </w:p>
        </w:tc>
        <w:tc>
          <w:tcPr>
            <w:tcW w:w="556" w:type="pct"/>
          </w:tcPr>
          <w:p w14:paraId="38079F86" w14:textId="77777777" w:rsidR="00315893" w:rsidRPr="00D85E09" w:rsidRDefault="00315893" w:rsidP="0043316B">
            <w:pPr>
              <w:pStyle w:val="Tabletext"/>
              <w:keepNext w:val="0"/>
              <w:widowControl w:val="0"/>
              <w:spacing w:after="60"/>
              <w:rPr>
                <w:lang w:eastAsia="en-AU"/>
              </w:rPr>
            </w:pPr>
            <w:r w:rsidRPr="00D85E09">
              <w:t>Usual care + MT</w:t>
            </w:r>
          </w:p>
        </w:tc>
        <w:tc>
          <w:tcPr>
            <w:tcW w:w="556" w:type="pct"/>
          </w:tcPr>
          <w:p w14:paraId="177FB711" w14:textId="77777777" w:rsidR="00315893" w:rsidRPr="00D85E09" w:rsidRDefault="00315893" w:rsidP="0043316B">
            <w:pPr>
              <w:pStyle w:val="Tabletext"/>
              <w:keepNext w:val="0"/>
              <w:widowControl w:val="0"/>
              <w:spacing w:after="60"/>
              <w:jc w:val="center"/>
            </w:pPr>
            <w:r w:rsidRPr="00D85E09">
              <w:t>165</w:t>
            </w:r>
          </w:p>
        </w:tc>
        <w:tc>
          <w:tcPr>
            <w:tcW w:w="556" w:type="pct"/>
          </w:tcPr>
          <w:p w14:paraId="199EC36C" w14:textId="77777777" w:rsidR="00315893" w:rsidRPr="00D85E09" w:rsidRDefault="00315893" w:rsidP="0043316B">
            <w:pPr>
              <w:pStyle w:val="Tabletext"/>
              <w:keepNext w:val="0"/>
              <w:widowControl w:val="0"/>
              <w:spacing w:after="60"/>
              <w:jc w:val="center"/>
            </w:pPr>
            <w:r w:rsidRPr="00D85E09">
              <w:t>120 (72.7)</w:t>
            </w:r>
          </w:p>
        </w:tc>
        <w:tc>
          <w:tcPr>
            <w:tcW w:w="556" w:type="pct"/>
          </w:tcPr>
          <w:p w14:paraId="7ABBBB35" w14:textId="77777777" w:rsidR="00315893" w:rsidRPr="00D85E09" w:rsidRDefault="00315893" w:rsidP="0043316B">
            <w:pPr>
              <w:pStyle w:val="Tabletext"/>
              <w:keepNext w:val="0"/>
              <w:widowControl w:val="0"/>
              <w:spacing w:after="60"/>
              <w:jc w:val="center"/>
            </w:pPr>
            <w:r w:rsidRPr="00D85E09">
              <w:t>14 (8.5)</w:t>
            </w:r>
          </w:p>
        </w:tc>
        <w:tc>
          <w:tcPr>
            <w:tcW w:w="556" w:type="pct"/>
          </w:tcPr>
          <w:p w14:paraId="0F09CA35" w14:textId="77777777" w:rsidR="00315893" w:rsidRPr="00D85E09" w:rsidRDefault="00315893" w:rsidP="0043316B">
            <w:pPr>
              <w:pStyle w:val="Tabletext"/>
              <w:keepNext w:val="0"/>
              <w:widowControl w:val="0"/>
              <w:spacing w:after="60"/>
              <w:jc w:val="center"/>
            </w:pPr>
            <w:r w:rsidRPr="00D85E09">
              <w:t>1 (0.6)</w:t>
            </w:r>
          </w:p>
        </w:tc>
        <w:tc>
          <w:tcPr>
            <w:tcW w:w="556" w:type="pct"/>
          </w:tcPr>
          <w:p w14:paraId="059F00BD" w14:textId="77777777" w:rsidR="00315893" w:rsidRPr="00D85E09" w:rsidRDefault="00315893" w:rsidP="0043316B">
            <w:pPr>
              <w:pStyle w:val="Tabletext"/>
              <w:keepNext w:val="0"/>
              <w:widowControl w:val="0"/>
              <w:spacing w:after="60"/>
              <w:jc w:val="center"/>
            </w:pPr>
            <w:r w:rsidRPr="00D85E09">
              <w:t>NR</w:t>
            </w:r>
          </w:p>
        </w:tc>
        <w:tc>
          <w:tcPr>
            <w:tcW w:w="556" w:type="pct"/>
          </w:tcPr>
          <w:p w14:paraId="3FEC0FF4" w14:textId="77777777" w:rsidR="00315893" w:rsidRPr="00D85E09" w:rsidRDefault="00315893" w:rsidP="0043316B">
            <w:pPr>
              <w:pStyle w:val="Tabletext"/>
              <w:keepNext w:val="0"/>
              <w:widowControl w:val="0"/>
              <w:spacing w:after="60"/>
              <w:jc w:val="center"/>
            </w:pPr>
            <w:r w:rsidRPr="00D85E09">
              <w:t>164 (99.4)</w:t>
            </w:r>
          </w:p>
        </w:tc>
        <w:tc>
          <w:tcPr>
            <w:tcW w:w="553" w:type="pct"/>
            <w:vMerge w:val="restart"/>
            <w:vAlign w:val="center"/>
          </w:tcPr>
          <w:p w14:paraId="5E2CCD72" w14:textId="77777777" w:rsidR="00315893" w:rsidRPr="00D85E09" w:rsidRDefault="00315893" w:rsidP="0043316B">
            <w:pPr>
              <w:pStyle w:val="Tabletext"/>
              <w:keepNext w:val="0"/>
              <w:widowControl w:val="0"/>
              <w:spacing w:after="60"/>
              <w:jc w:val="center"/>
            </w:pPr>
            <w:r w:rsidRPr="00D85E09">
              <w:t>Goyal 2015; Figure S1, p.8.</w:t>
            </w:r>
          </w:p>
        </w:tc>
      </w:tr>
      <w:tr w:rsidR="00315893" w:rsidRPr="00D85E09" w14:paraId="63A0F5EF" w14:textId="77777777" w:rsidTr="00465778">
        <w:trPr>
          <w:trHeight w:val="396"/>
        </w:trPr>
        <w:tc>
          <w:tcPr>
            <w:tcW w:w="555" w:type="pct"/>
            <w:vMerge/>
          </w:tcPr>
          <w:p w14:paraId="5D7ABCD8" w14:textId="77777777" w:rsidR="00315893" w:rsidRPr="00D85E09" w:rsidRDefault="00315893" w:rsidP="0043316B">
            <w:pPr>
              <w:pStyle w:val="Tabletext"/>
              <w:keepNext w:val="0"/>
              <w:widowControl w:val="0"/>
              <w:spacing w:after="60"/>
            </w:pPr>
          </w:p>
        </w:tc>
        <w:tc>
          <w:tcPr>
            <w:tcW w:w="556" w:type="pct"/>
          </w:tcPr>
          <w:p w14:paraId="48AB9BAF" w14:textId="77777777" w:rsidR="00315893" w:rsidRPr="00D85E09" w:rsidRDefault="00315893" w:rsidP="0043316B">
            <w:pPr>
              <w:pStyle w:val="Tabletext"/>
              <w:keepNext w:val="0"/>
              <w:widowControl w:val="0"/>
              <w:spacing w:after="60"/>
              <w:rPr>
                <w:lang w:eastAsia="en-AU"/>
              </w:rPr>
            </w:pPr>
            <w:r w:rsidRPr="00D85E09">
              <w:t>Usual care</w:t>
            </w:r>
          </w:p>
        </w:tc>
        <w:tc>
          <w:tcPr>
            <w:tcW w:w="556" w:type="pct"/>
          </w:tcPr>
          <w:p w14:paraId="7A807405" w14:textId="77777777" w:rsidR="00315893" w:rsidRPr="00D85E09" w:rsidRDefault="00315893" w:rsidP="0043316B">
            <w:pPr>
              <w:pStyle w:val="Tabletext"/>
              <w:keepNext w:val="0"/>
              <w:widowControl w:val="0"/>
              <w:spacing w:after="60"/>
              <w:jc w:val="center"/>
            </w:pPr>
            <w:r w:rsidRPr="00D85E09">
              <w:t>150</w:t>
            </w:r>
          </w:p>
        </w:tc>
        <w:tc>
          <w:tcPr>
            <w:tcW w:w="556" w:type="pct"/>
          </w:tcPr>
          <w:p w14:paraId="2CEFCFCA" w14:textId="77777777" w:rsidR="00315893" w:rsidRPr="00D85E09" w:rsidRDefault="00315893" w:rsidP="0043316B">
            <w:pPr>
              <w:pStyle w:val="Tabletext"/>
              <w:keepNext w:val="0"/>
              <w:widowControl w:val="0"/>
              <w:spacing w:after="60"/>
              <w:jc w:val="center"/>
            </w:pPr>
            <w:r w:rsidRPr="00D85E09">
              <w:t>118 (78.7)</w:t>
            </w:r>
          </w:p>
        </w:tc>
        <w:tc>
          <w:tcPr>
            <w:tcW w:w="556" w:type="pct"/>
          </w:tcPr>
          <w:p w14:paraId="0703487C" w14:textId="77777777" w:rsidR="00315893" w:rsidRPr="00D85E09" w:rsidRDefault="00315893" w:rsidP="0043316B">
            <w:pPr>
              <w:pStyle w:val="Tabletext"/>
              <w:keepNext w:val="0"/>
              <w:widowControl w:val="0"/>
              <w:spacing w:after="60"/>
              <w:jc w:val="center"/>
            </w:pPr>
            <w:r w:rsidRPr="00D85E09">
              <w:t>1 (0.7)</w:t>
            </w:r>
            <w:r w:rsidRPr="00D85E09">
              <w:rPr>
                <w:vertAlign w:val="superscript"/>
              </w:rPr>
              <w:t>a</w:t>
            </w:r>
          </w:p>
        </w:tc>
        <w:tc>
          <w:tcPr>
            <w:tcW w:w="556" w:type="pct"/>
          </w:tcPr>
          <w:p w14:paraId="24007731" w14:textId="77777777" w:rsidR="00315893" w:rsidRPr="00D85E09" w:rsidRDefault="00315893" w:rsidP="0043316B">
            <w:pPr>
              <w:pStyle w:val="Tabletext"/>
              <w:keepNext w:val="0"/>
              <w:widowControl w:val="0"/>
              <w:spacing w:after="60"/>
              <w:jc w:val="center"/>
            </w:pPr>
            <w:r w:rsidRPr="00D85E09">
              <w:t>3 (2.0)</w:t>
            </w:r>
          </w:p>
        </w:tc>
        <w:tc>
          <w:tcPr>
            <w:tcW w:w="556" w:type="pct"/>
          </w:tcPr>
          <w:p w14:paraId="40E96AD7" w14:textId="77777777" w:rsidR="00315893" w:rsidRPr="00D85E09" w:rsidRDefault="00315893" w:rsidP="0043316B">
            <w:pPr>
              <w:pStyle w:val="Tabletext"/>
              <w:keepNext w:val="0"/>
              <w:widowControl w:val="0"/>
              <w:spacing w:after="60"/>
              <w:jc w:val="center"/>
            </w:pPr>
            <w:r w:rsidRPr="00D85E09">
              <w:t>NR</w:t>
            </w:r>
          </w:p>
        </w:tc>
        <w:tc>
          <w:tcPr>
            <w:tcW w:w="556" w:type="pct"/>
          </w:tcPr>
          <w:p w14:paraId="55B4A45A" w14:textId="77777777" w:rsidR="00315893" w:rsidRPr="00D85E09" w:rsidRDefault="00315893" w:rsidP="0043316B">
            <w:pPr>
              <w:pStyle w:val="Tabletext"/>
              <w:keepNext w:val="0"/>
              <w:widowControl w:val="0"/>
              <w:spacing w:after="60"/>
              <w:jc w:val="center"/>
            </w:pPr>
            <w:r w:rsidRPr="00D85E09">
              <w:t>147 (98.0)</w:t>
            </w:r>
          </w:p>
        </w:tc>
        <w:tc>
          <w:tcPr>
            <w:tcW w:w="553" w:type="pct"/>
            <w:vMerge/>
            <w:vAlign w:val="center"/>
          </w:tcPr>
          <w:p w14:paraId="0E120044" w14:textId="77777777" w:rsidR="00315893" w:rsidRPr="00D85E09" w:rsidRDefault="00315893" w:rsidP="0043316B">
            <w:pPr>
              <w:pStyle w:val="Tabletext"/>
              <w:keepNext w:val="0"/>
              <w:widowControl w:val="0"/>
              <w:spacing w:after="60"/>
              <w:jc w:val="center"/>
            </w:pPr>
          </w:p>
        </w:tc>
      </w:tr>
      <w:tr w:rsidR="00315893" w:rsidRPr="00D85E09" w14:paraId="1A11F229" w14:textId="77777777" w:rsidTr="00465778">
        <w:trPr>
          <w:trHeight w:val="396"/>
        </w:trPr>
        <w:tc>
          <w:tcPr>
            <w:tcW w:w="555" w:type="pct"/>
            <w:vMerge w:val="restart"/>
          </w:tcPr>
          <w:p w14:paraId="3107CBBC" w14:textId="25C70D87" w:rsidR="00315893" w:rsidRPr="00D85E09" w:rsidRDefault="005B7DCE" w:rsidP="0043316B">
            <w:pPr>
              <w:pStyle w:val="Tabletext"/>
              <w:keepNext w:val="0"/>
              <w:widowControl w:val="0"/>
              <w:spacing w:after="60"/>
            </w:pPr>
            <w:r>
              <w:t>EXTEND-I</w:t>
            </w:r>
            <w:r w:rsidR="00315893" w:rsidRPr="00D85E09">
              <w:t>A</w:t>
            </w:r>
          </w:p>
        </w:tc>
        <w:tc>
          <w:tcPr>
            <w:tcW w:w="556" w:type="pct"/>
          </w:tcPr>
          <w:p w14:paraId="131FB315" w14:textId="77777777" w:rsidR="00315893" w:rsidRPr="00D85E09" w:rsidRDefault="00315893" w:rsidP="0043316B">
            <w:pPr>
              <w:pStyle w:val="Tabletext"/>
              <w:keepNext w:val="0"/>
              <w:widowControl w:val="0"/>
              <w:spacing w:after="60"/>
            </w:pPr>
            <w:r w:rsidRPr="00D85E09">
              <w:t>Usual care + MT</w:t>
            </w:r>
          </w:p>
        </w:tc>
        <w:tc>
          <w:tcPr>
            <w:tcW w:w="556" w:type="pct"/>
          </w:tcPr>
          <w:p w14:paraId="4225E08E" w14:textId="77777777" w:rsidR="00315893" w:rsidRPr="00D85E09" w:rsidRDefault="00315893" w:rsidP="0043316B">
            <w:pPr>
              <w:pStyle w:val="Tabletext"/>
              <w:keepNext w:val="0"/>
              <w:widowControl w:val="0"/>
              <w:spacing w:after="60"/>
              <w:jc w:val="center"/>
            </w:pPr>
            <w:r w:rsidRPr="00D85E09">
              <w:t>35</w:t>
            </w:r>
          </w:p>
        </w:tc>
        <w:tc>
          <w:tcPr>
            <w:tcW w:w="556" w:type="pct"/>
          </w:tcPr>
          <w:p w14:paraId="42247CB4" w14:textId="77777777" w:rsidR="00315893" w:rsidRPr="00D85E09" w:rsidRDefault="00315893" w:rsidP="0043316B">
            <w:pPr>
              <w:pStyle w:val="Tabletext"/>
              <w:keepNext w:val="0"/>
              <w:widowControl w:val="0"/>
              <w:spacing w:after="60"/>
              <w:jc w:val="center"/>
            </w:pPr>
            <w:r w:rsidRPr="00D85E09">
              <w:t>35 (100)</w:t>
            </w:r>
          </w:p>
        </w:tc>
        <w:tc>
          <w:tcPr>
            <w:tcW w:w="556" w:type="pct"/>
          </w:tcPr>
          <w:p w14:paraId="0CD0EC6C" w14:textId="77777777" w:rsidR="00315893" w:rsidRPr="00D85E09" w:rsidRDefault="00315893" w:rsidP="0043316B">
            <w:pPr>
              <w:pStyle w:val="Tabletext"/>
              <w:keepNext w:val="0"/>
              <w:widowControl w:val="0"/>
              <w:spacing w:after="60"/>
              <w:jc w:val="center"/>
            </w:pPr>
            <w:r w:rsidRPr="00D85E09">
              <w:t>8 (22.9)</w:t>
            </w:r>
          </w:p>
        </w:tc>
        <w:tc>
          <w:tcPr>
            <w:tcW w:w="556" w:type="pct"/>
          </w:tcPr>
          <w:p w14:paraId="460A9558" w14:textId="77777777" w:rsidR="00315893" w:rsidRPr="00D85E09" w:rsidRDefault="00315893" w:rsidP="0043316B">
            <w:pPr>
              <w:pStyle w:val="Tabletext"/>
              <w:keepNext w:val="0"/>
              <w:widowControl w:val="0"/>
              <w:spacing w:after="60"/>
              <w:jc w:val="center"/>
            </w:pPr>
            <w:r w:rsidRPr="00D85E09">
              <w:t>0</w:t>
            </w:r>
          </w:p>
        </w:tc>
        <w:tc>
          <w:tcPr>
            <w:tcW w:w="556" w:type="pct"/>
          </w:tcPr>
          <w:p w14:paraId="1F102DF5" w14:textId="77777777" w:rsidR="00315893" w:rsidRPr="00D85E09" w:rsidRDefault="00315893" w:rsidP="0043316B">
            <w:pPr>
              <w:pStyle w:val="Tabletext"/>
              <w:keepNext w:val="0"/>
              <w:widowControl w:val="0"/>
              <w:spacing w:after="60"/>
              <w:jc w:val="center"/>
            </w:pPr>
            <w:r w:rsidRPr="00D85E09">
              <w:t>NR</w:t>
            </w:r>
          </w:p>
        </w:tc>
        <w:tc>
          <w:tcPr>
            <w:tcW w:w="556" w:type="pct"/>
          </w:tcPr>
          <w:p w14:paraId="4ABFD370" w14:textId="77777777" w:rsidR="00315893" w:rsidRPr="00D85E09" w:rsidRDefault="00315893" w:rsidP="0043316B">
            <w:pPr>
              <w:pStyle w:val="Tabletext"/>
              <w:keepNext w:val="0"/>
              <w:widowControl w:val="0"/>
              <w:spacing w:after="60"/>
              <w:jc w:val="center"/>
            </w:pPr>
            <w:r w:rsidRPr="00D85E09">
              <w:t>35 (100)</w:t>
            </w:r>
          </w:p>
        </w:tc>
        <w:tc>
          <w:tcPr>
            <w:tcW w:w="553" w:type="pct"/>
            <w:vMerge w:val="restart"/>
            <w:vAlign w:val="center"/>
          </w:tcPr>
          <w:p w14:paraId="3C1F5BCF" w14:textId="77777777" w:rsidR="00315893" w:rsidRPr="00D85E09" w:rsidRDefault="00315893" w:rsidP="0043316B">
            <w:pPr>
              <w:pStyle w:val="Tabletext"/>
              <w:keepNext w:val="0"/>
              <w:widowControl w:val="0"/>
              <w:spacing w:after="60"/>
              <w:jc w:val="center"/>
            </w:pPr>
            <w:r w:rsidRPr="00D85E09">
              <w:t>Campbell 2015; text, p. 1010, Figure S1, p.15.</w:t>
            </w:r>
          </w:p>
        </w:tc>
      </w:tr>
      <w:tr w:rsidR="00315893" w:rsidRPr="00D85E09" w14:paraId="7AE98A46" w14:textId="77777777" w:rsidTr="00465778">
        <w:trPr>
          <w:trHeight w:val="396"/>
        </w:trPr>
        <w:tc>
          <w:tcPr>
            <w:tcW w:w="555" w:type="pct"/>
            <w:vMerge/>
          </w:tcPr>
          <w:p w14:paraId="3D83E031" w14:textId="77777777" w:rsidR="00315893" w:rsidRPr="00D85E09" w:rsidRDefault="00315893" w:rsidP="0043316B">
            <w:pPr>
              <w:pStyle w:val="Tabletext"/>
              <w:keepNext w:val="0"/>
              <w:widowControl w:val="0"/>
              <w:spacing w:after="60"/>
            </w:pPr>
          </w:p>
        </w:tc>
        <w:tc>
          <w:tcPr>
            <w:tcW w:w="556" w:type="pct"/>
          </w:tcPr>
          <w:p w14:paraId="073C94B7" w14:textId="77777777" w:rsidR="00315893" w:rsidRPr="00D85E09" w:rsidRDefault="00315893" w:rsidP="0043316B">
            <w:pPr>
              <w:pStyle w:val="Tabletext"/>
              <w:keepNext w:val="0"/>
              <w:widowControl w:val="0"/>
              <w:spacing w:after="60"/>
            </w:pPr>
            <w:r w:rsidRPr="00D85E09">
              <w:t>Usual care</w:t>
            </w:r>
          </w:p>
        </w:tc>
        <w:tc>
          <w:tcPr>
            <w:tcW w:w="556" w:type="pct"/>
          </w:tcPr>
          <w:p w14:paraId="3A21ECF3" w14:textId="77777777" w:rsidR="00315893" w:rsidRPr="00D85E09" w:rsidRDefault="00315893" w:rsidP="0043316B">
            <w:pPr>
              <w:pStyle w:val="Tabletext"/>
              <w:keepNext w:val="0"/>
              <w:widowControl w:val="0"/>
              <w:spacing w:after="60"/>
              <w:jc w:val="center"/>
            </w:pPr>
            <w:r w:rsidRPr="00D85E09">
              <w:t>35</w:t>
            </w:r>
          </w:p>
        </w:tc>
        <w:tc>
          <w:tcPr>
            <w:tcW w:w="556" w:type="pct"/>
          </w:tcPr>
          <w:p w14:paraId="428BF028" w14:textId="77777777" w:rsidR="00315893" w:rsidRPr="00D85E09" w:rsidRDefault="00315893" w:rsidP="0043316B">
            <w:pPr>
              <w:pStyle w:val="Tabletext"/>
              <w:keepNext w:val="0"/>
              <w:widowControl w:val="0"/>
              <w:spacing w:after="60"/>
              <w:jc w:val="center"/>
            </w:pPr>
            <w:r w:rsidRPr="00D85E09">
              <w:t>35 (100)</w:t>
            </w:r>
          </w:p>
        </w:tc>
        <w:tc>
          <w:tcPr>
            <w:tcW w:w="556" w:type="pct"/>
          </w:tcPr>
          <w:p w14:paraId="0D890C1F" w14:textId="77777777" w:rsidR="00315893" w:rsidRPr="00D85E09" w:rsidRDefault="00315893" w:rsidP="0043316B">
            <w:pPr>
              <w:pStyle w:val="Tabletext"/>
              <w:keepNext w:val="0"/>
              <w:widowControl w:val="0"/>
              <w:spacing w:after="60"/>
              <w:jc w:val="center"/>
            </w:pPr>
            <w:r w:rsidRPr="00D85E09">
              <w:t>0</w:t>
            </w:r>
          </w:p>
        </w:tc>
        <w:tc>
          <w:tcPr>
            <w:tcW w:w="556" w:type="pct"/>
          </w:tcPr>
          <w:p w14:paraId="5DA2AFB7" w14:textId="77777777" w:rsidR="00315893" w:rsidRPr="00D85E09" w:rsidRDefault="00315893" w:rsidP="0043316B">
            <w:pPr>
              <w:pStyle w:val="Tabletext"/>
              <w:keepNext w:val="0"/>
              <w:widowControl w:val="0"/>
              <w:spacing w:after="60"/>
              <w:jc w:val="center"/>
            </w:pPr>
            <w:r w:rsidRPr="00D85E09">
              <w:t>0</w:t>
            </w:r>
          </w:p>
        </w:tc>
        <w:tc>
          <w:tcPr>
            <w:tcW w:w="556" w:type="pct"/>
          </w:tcPr>
          <w:p w14:paraId="453BF0FF" w14:textId="77777777" w:rsidR="00315893" w:rsidRPr="00D85E09" w:rsidRDefault="00315893" w:rsidP="0043316B">
            <w:pPr>
              <w:pStyle w:val="Tabletext"/>
              <w:keepNext w:val="0"/>
              <w:widowControl w:val="0"/>
              <w:spacing w:after="60"/>
              <w:jc w:val="center"/>
            </w:pPr>
            <w:r w:rsidRPr="00D85E09">
              <w:t>NR</w:t>
            </w:r>
          </w:p>
        </w:tc>
        <w:tc>
          <w:tcPr>
            <w:tcW w:w="556" w:type="pct"/>
          </w:tcPr>
          <w:p w14:paraId="27994799" w14:textId="77777777" w:rsidR="00315893" w:rsidRPr="00D85E09" w:rsidRDefault="00315893" w:rsidP="0043316B">
            <w:pPr>
              <w:pStyle w:val="Tabletext"/>
              <w:keepNext w:val="0"/>
              <w:widowControl w:val="0"/>
              <w:spacing w:after="60"/>
              <w:jc w:val="center"/>
            </w:pPr>
            <w:r w:rsidRPr="00D85E09">
              <w:t>35 (100)</w:t>
            </w:r>
          </w:p>
        </w:tc>
        <w:tc>
          <w:tcPr>
            <w:tcW w:w="553" w:type="pct"/>
            <w:vMerge/>
          </w:tcPr>
          <w:p w14:paraId="3E5C6DB5" w14:textId="77777777" w:rsidR="00315893" w:rsidRPr="00D85E09" w:rsidRDefault="00315893" w:rsidP="0043316B">
            <w:pPr>
              <w:pStyle w:val="Tabletext"/>
              <w:keepNext w:val="0"/>
              <w:widowControl w:val="0"/>
              <w:spacing w:after="60"/>
              <w:jc w:val="center"/>
            </w:pPr>
          </w:p>
        </w:tc>
      </w:tr>
      <w:tr w:rsidR="00315893" w:rsidRPr="00D85E09" w14:paraId="12FFAE39" w14:textId="77777777" w:rsidTr="00465778">
        <w:trPr>
          <w:trHeight w:val="396"/>
        </w:trPr>
        <w:tc>
          <w:tcPr>
            <w:tcW w:w="555" w:type="pct"/>
            <w:vMerge w:val="restart"/>
          </w:tcPr>
          <w:p w14:paraId="6C6A913E" w14:textId="77777777" w:rsidR="00315893" w:rsidRPr="00D85E09" w:rsidRDefault="00315893" w:rsidP="0043316B">
            <w:pPr>
              <w:pStyle w:val="Tabletext"/>
              <w:keepNext w:val="0"/>
              <w:widowControl w:val="0"/>
              <w:spacing w:after="60"/>
            </w:pPr>
            <w:r w:rsidRPr="00D85E09">
              <w:t>MR CLEAN</w:t>
            </w:r>
          </w:p>
        </w:tc>
        <w:tc>
          <w:tcPr>
            <w:tcW w:w="556" w:type="pct"/>
          </w:tcPr>
          <w:p w14:paraId="4F52F46E" w14:textId="77777777" w:rsidR="00315893" w:rsidRPr="00D85E09" w:rsidRDefault="00315893" w:rsidP="0043316B">
            <w:pPr>
              <w:pStyle w:val="Tabletext"/>
              <w:keepNext w:val="0"/>
              <w:widowControl w:val="0"/>
              <w:spacing w:after="60"/>
            </w:pPr>
            <w:r w:rsidRPr="00D85E09">
              <w:t>Usual care + MT</w:t>
            </w:r>
          </w:p>
        </w:tc>
        <w:tc>
          <w:tcPr>
            <w:tcW w:w="556" w:type="pct"/>
          </w:tcPr>
          <w:p w14:paraId="3C77F202" w14:textId="77777777" w:rsidR="00315893" w:rsidRPr="00D85E09" w:rsidRDefault="00315893" w:rsidP="0043316B">
            <w:pPr>
              <w:pStyle w:val="Tabletext"/>
              <w:keepNext w:val="0"/>
              <w:widowControl w:val="0"/>
              <w:spacing w:after="60"/>
              <w:jc w:val="center"/>
            </w:pPr>
            <w:r w:rsidRPr="00D85E09">
              <w:t>233</w:t>
            </w:r>
          </w:p>
        </w:tc>
        <w:tc>
          <w:tcPr>
            <w:tcW w:w="556" w:type="pct"/>
          </w:tcPr>
          <w:p w14:paraId="608C0C98" w14:textId="77777777" w:rsidR="00315893" w:rsidRPr="00D85E09" w:rsidRDefault="00315893" w:rsidP="0043316B">
            <w:pPr>
              <w:pStyle w:val="Tabletext"/>
              <w:keepNext w:val="0"/>
              <w:widowControl w:val="0"/>
              <w:spacing w:after="60"/>
              <w:jc w:val="center"/>
            </w:pPr>
            <w:r w:rsidRPr="00D85E09">
              <w:t>203 (87.1)</w:t>
            </w:r>
          </w:p>
        </w:tc>
        <w:tc>
          <w:tcPr>
            <w:tcW w:w="556" w:type="pct"/>
          </w:tcPr>
          <w:p w14:paraId="77CC0333" w14:textId="77777777" w:rsidR="00315893" w:rsidRPr="00D85E09" w:rsidRDefault="00315893" w:rsidP="0043316B">
            <w:pPr>
              <w:pStyle w:val="Tabletext"/>
              <w:keepNext w:val="0"/>
              <w:widowControl w:val="0"/>
              <w:spacing w:after="60"/>
              <w:jc w:val="center"/>
            </w:pPr>
            <w:r w:rsidRPr="00D85E09">
              <w:t>17 (2.3)</w:t>
            </w:r>
          </w:p>
        </w:tc>
        <w:tc>
          <w:tcPr>
            <w:tcW w:w="556" w:type="pct"/>
          </w:tcPr>
          <w:p w14:paraId="68A3AF84" w14:textId="77777777" w:rsidR="00315893" w:rsidRPr="00D85E09" w:rsidRDefault="00315893" w:rsidP="0043316B">
            <w:pPr>
              <w:pStyle w:val="Tabletext"/>
              <w:keepNext w:val="0"/>
              <w:widowControl w:val="0"/>
              <w:spacing w:after="60"/>
              <w:jc w:val="center"/>
            </w:pPr>
            <w:r w:rsidRPr="00D85E09">
              <w:t>0</w:t>
            </w:r>
          </w:p>
        </w:tc>
        <w:tc>
          <w:tcPr>
            <w:tcW w:w="556" w:type="pct"/>
          </w:tcPr>
          <w:p w14:paraId="6A913BAF" w14:textId="77777777" w:rsidR="00315893" w:rsidRPr="00D85E09" w:rsidRDefault="00315893" w:rsidP="0043316B">
            <w:pPr>
              <w:pStyle w:val="Tabletext"/>
              <w:keepNext w:val="0"/>
              <w:widowControl w:val="0"/>
              <w:spacing w:after="60"/>
              <w:jc w:val="center"/>
            </w:pPr>
            <w:r w:rsidRPr="00D85E09">
              <w:t>NR</w:t>
            </w:r>
          </w:p>
        </w:tc>
        <w:tc>
          <w:tcPr>
            <w:tcW w:w="556" w:type="pct"/>
          </w:tcPr>
          <w:p w14:paraId="60AB9585" w14:textId="77777777" w:rsidR="00315893" w:rsidRPr="00D85E09" w:rsidRDefault="00315893" w:rsidP="0043316B">
            <w:pPr>
              <w:pStyle w:val="Tabletext"/>
              <w:keepNext w:val="0"/>
              <w:widowControl w:val="0"/>
              <w:spacing w:after="60"/>
              <w:jc w:val="center"/>
            </w:pPr>
            <w:r w:rsidRPr="00D85E09">
              <w:t>233 (100)</w:t>
            </w:r>
          </w:p>
        </w:tc>
        <w:tc>
          <w:tcPr>
            <w:tcW w:w="553" w:type="pct"/>
            <w:vMerge w:val="restart"/>
            <w:vAlign w:val="center"/>
          </w:tcPr>
          <w:p w14:paraId="3193ED34" w14:textId="77777777" w:rsidR="00315893" w:rsidRPr="00D85E09" w:rsidRDefault="00315893" w:rsidP="0043316B">
            <w:pPr>
              <w:pStyle w:val="Tabletext"/>
              <w:keepNext w:val="0"/>
              <w:widowControl w:val="0"/>
              <w:spacing w:after="60"/>
              <w:jc w:val="center"/>
            </w:pPr>
            <w:r w:rsidRPr="00D85E09">
              <w:t>Berkhemer 2015; Table 1, p. 15, Figure S1, p.9.</w:t>
            </w:r>
          </w:p>
        </w:tc>
      </w:tr>
      <w:tr w:rsidR="00315893" w:rsidRPr="00D85E09" w14:paraId="310F84ED" w14:textId="77777777" w:rsidTr="00465778">
        <w:trPr>
          <w:trHeight w:val="395"/>
        </w:trPr>
        <w:tc>
          <w:tcPr>
            <w:tcW w:w="555" w:type="pct"/>
            <w:vMerge/>
          </w:tcPr>
          <w:p w14:paraId="75CB7B5F" w14:textId="77777777" w:rsidR="00315893" w:rsidRPr="00D85E09" w:rsidRDefault="00315893" w:rsidP="0043316B">
            <w:pPr>
              <w:pStyle w:val="Tabletext"/>
              <w:keepNext w:val="0"/>
              <w:widowControl w:val="0"/>
              <w:spacing w:after="60"/>
            </w:pPr>
          </w:p>
        </w:tc>
        <w:tc>
          <w:tcPr>
            <w:tcW w:w="556" w:type="pct"/>
          </w:tcPr>
          <w:p w14:paraId="1A48F455" w14:textId="77777777" w:rsidR="00315893" w:rsidRPr="00D85E09" w:rsidRDefault="00315893" w:rsidP="0043316B">
            <w:pPr>
              <w:pStyle w:val="Tabletext"/>
              <w:keepNext w:val="0"/>
              <w:widowControl w:val="0"/>
              <w:spacing w:after="60"/>
            </w:pPr>
            <w:r w:rsidRPr="00D85E09">
              <w:t>Usual care</w:t>
            </w:r>
          </w:p>
        </w:tc>
        <w:tc>
          <w:tcPr>
            <w:tcW w:w="556" w:type="pct"/>
          </w:tcPr>
          <w:p w14:paraId="7BD22E6D" w14:textId="77777777" w:rsidR="00315893" w:rsidRPr="00D85E09" w:rsidRDefault="00315893" w:rsidP="0043316B">
            <w:pPr>
              <w:pStyle w:val="Tabletext"/>
              <w:keepNext w:val="0"/>
              <w:widowControl w:val="0"/>
              <w:spacing w:after="60"/>
              <w:jc w:val="center"/>
            </w:pPr>
            <w:r w:rsidRPr="00D85E09">
              <w:t>267</w:t>
            </w:r>
          </w:p>
        </w:tc>
        <w:tc>
          <w:tcPr>
            <w:tcW w:w="556" w:type="pct"/>
          </w:tcPr>
          <w:p w14:paraId="494C0BBA" w14:textId="77777777" w:rsidR="00315893" w:rsidRPr="00D85E09" w:rsidRDefault="00315893" w:rsidP="0043316B">
            <w:pPr>
              <w:pStyle w:val="Tabletext"/>
              <w:keepNext w:val="0"/>
              <w:widowControl w:val="0"/>
              <w:spacing w:after="60"/>
              <w:jc w:val="center"/>
            </w:pPr>
            <w:r w:rsidRPr="00D85E09">
              <w:t>242 (90.6)</w:t>
            </w:r>
          </w:p>
        </w:tc>
        <w:tc>
          <w:tcPr>
            <w:tcW w:w="556" w:type="pct"/>
          </w:tcPr>
          <w:p w14:paraId="056AA96D" w14:textId="77777777" w:rsidR="00315893" w:rsidRPr="00D85E09" w:rsidRDefault="00315893" w:rsidP="0043316B">
            <w:pPr>
              <w:pStyle w:val="Tabletext"/>
              <w:keepNext w:val="0"/>
              <w:widowControl w:val="0"/>
              <w:spacing w:after="60"/>
              <w:jc w:val="center"/>
            </w:pPr>
            <w:r w:rsidRPr="00D85E09">
              <w:t>1 (0.4)</w:t>
            </w:r>
            <w:r w:rsidRPr="00D85E09">
              <w:rPr>
                <w:vertAlign w:val="superscript"/>
              </w:rPr>
              <w:t>b</w:t>
            </w:r>
          </w:p>
        </w:tc>
        <w:tc>
          <w:tcPr>
            <w:tcW w:w="556" w:type="pct"/>
          </w:tcPr>
          <w:p w14:paraId="67F27FAE" w14:textId="77777777" w:rsidR="00315893" w:rsidRPr="00D85E09" w:rsidRDefault="00315893" w:rsidP="0043316B">
            <w:pPr>
              <w:pStyle w:val="Tabletext"/>
              <w:keepNext w:val="0"/>
              <w:widowControl w:val="0"/>
              <w:spacing w:after="60"/>
              <w:jc w:val="center"/>
            </w:pPr>
            <w:r w:rsidRPr="00D85E09">
              <w:t>0</w:t>
            </w:r>
          </w:p>
        </w:tc>
        <w:tc>
          <w:tcPr>
            <w:tcW w:w="556" w:type="pct"/>
          </w:tcPr>
          <w:p w14:paraId="5D19222E" w14:textId="77777777" w:rsidR="00315893" w:rsidRPr="00D85E09" w:rsidRDefault="00315893" w:rsidP="0043316B">
            <w:pPr>
              <w:pStyle w:val="Tabletext"/>
              <w:keepNext w:val="0"/>
              <w:widowControl w:val="0"/>
              <w:spacing w:after="60"/>
              <w:jc w:val="center"/>
            </w:pPr>
            <w:r w:rsidRPr="00D85E09">
              <w:t>NR</w:t>
            </w:r>
          </w:p>
        </w:tc>
        <w:tc>
          <w:tcPr>
            <w:tcW w:w="556" w:type="pct"/>
          </w:tcPr>
          <w:p w14:paraId="28413519" w14:textId="77777777" w:rsidR="00315893" w:rsidRPr="00D85E09" w:rsidRDefault="00315893" w:rsidP="0043316B">
            <w:pPr>
              <w:pStyle w:val="Tabletext"/>
              <w:keepNext w:val="0"/>
              <w:widowControl w:val="0"/>
              <w:spacing w:after="60"/>
              <w:jc w:val="center"/>
            </w:pPr>
            <w:r w:rsidRPr="00D85E09">
              <w:t>267 (100)</w:t>
            </w:r>
          </w:p>
        </w:tc>
        <w:tc>
          <w:tcPr>
            <w:tcW w:w="553" w:type="pct"/>
            <w:vMerge/>
          </w:tcPr>
          <w:p w14:paraId="689ED99F" w14:textId="77777777" w:rsidR="00315893" w:rsidRPr="00D85E09" w:rsidRDefault="00315893" w:rsidP="0043316B">
            <w:pPr>
              <w:pStyle w:val="Tabletext"/>
              <w:keepNext w:val="0"/>
              <w:widowControl w:val="0"/>
              <w:spacing w:after="60"/>
              <w:jc w:val="center"/>
            </w:pPr>
          </w:p>
        </w:tc>
      </w:tr>
      <w:tr w:rsidR="00315893" w:rsidRPr="00D85E09" w14:paraId="159FD132" w14:textId="77777777" w:rsidTr="00465778">
        <w:trPr>
          <w:trHeight w:val="396"/>
        </w:trPr>
        <w:tc>
          <w:tcPr>
            <w:tcW w:w="555" w:type="pct"/>
            <w:vMerge w:val="restart"/>
          </w:tcPr>
          <w:p w14:paraId="3B6B3B9C" w14:textId="77777777" w:rsidR="00315893" w:rsidRPr="00D85E09" w:rsidRDefault="00315893" w:rsidP="0043316B">
            <w:pPr>
              <w:pStyle w:val="Tabletext"/>
              <w:keepNext w:val="0"/>
              <w:widowControl w:val="0"/>
              <w:spacing w:after="60"/>
            </w:pPr>
            <w:r w:rsidRPr="00D85E09">
              <w:t>REVASCAT</w:t>
            </w:r>
          </w:p>
        </w:tc>
        <w:tc>
          <w:tcPr>
            <w:tcW w:w="556" w:type="pct"/>
          </w:tcPr>
          <w:p w14:paraId="1BDA9C67" w14:textId="77777777" w:rsidR="00315893" w:rsidRPr="00D85E09" w:rsidRDefault="00315893" w:rsidP="0043316B">
            <w:pPr>
              <w:pStyle w:val="Tabletext"/>
              <w:keepNext w:val="0"/>
              <w:widowControl w:val="0"/>
              <w:spacing w:after="60"/>
              <w:rPr>
                <w:lang w:eastAsia="en-AU"/>
              </w:rPr>
            </w:pPr>
            <w:r w:rsidRPr="00D85E09">
              <w:t>Usual care + MT</w:t>
            </w:r>
          </w:p>
        </w:tc>
        <w:tc>
          <w:tcPr>
            <w:tcW w:w="556" w:type="pct"/>
          </w:tcPr>
          <w:p w14:paraId="2CAECEE5" w14:textId="77777777" w:rsidR="00315893" w:rsidRPr="00D85E09" w:rsidRDefault="00315893" w:rsidP="0043316B">
            <w:pPr>
              <w:pStyle w:val="Tabletext"/>
              <w:keepNext w:val="0"/>
              <w:widowControl w:val="0"/>
              <w:spacing w:after="60"/>
              <w:jc w:val="center"/>
            </w:pPr>
            <w:r w:rsidRPr="00D85E09">
              <w:t>103</w:t>
            </w:r>
          </w:p>
        </w:tc>
        <w:tc>
          <w:tcPr>
            <w:tcW w:w="556" w:type="pct"/>
          </w:tcPr>
          <w:p w14:paraId="4943F8DD" w14:textId="77777777" w:rsidR="00315893" w:rsidRPr="00D85E09" w:rsidRDefault="00315893" w:rsidP="0043316B">
            <w:pPr>
              <w:pStyle w:val="Tabletext"/>
              <w:keepNext w:val="0"/>
              <w:widowControl w:val="0"/>
              <w:spacing w:after="60"/>
              <w:jc w:val="center"/>
            </w:pPr>
            <w:r w:rsidRPr="00D85E09">
              <w:t>70 (68.0)</w:t>
            </w:r>
          </w:p>
        </w:tc>
        <w:tc>
          <w:tcPr>
            <w:tcW w:w="556" w:type="pct"/>
          </w:tcPr>
          <w:p w14:paraId="4FAF0FAD" w14:textId="77777777" w:rsidR="00315893" w:rsidRPr="00D85E09" w:rsidRDefault="00315893" w:rsidP="0043316B">
            <w:pPr>
              <w:pStyle w:val="Tabletext"/>
              <w:keepNext w:val="0"/>
              <w:widowControl w:val="0"/>
              <w:spacing w:after="60"/>
              <w:jc w:val="center"/>
            </w:pPr>
            <w:r w:rsidRPr="00D85E09">
              <w:t>5 (4.9)</w:t>
            </w:r>
          </w:p>
        </w:tc>
        <w:tc>
          <w:tcPr>
            <w:tcW w:w="556" w:type="pct"/>
          </w:tcPr>
          <w:p w14:paraId="09F92E14" w14:textId="77777777" w:rsidR="00315893" w:rsidRPr="00D85E09" w:rsidRDefault="00315893" w:rsidP="0043316B">
            <w:pPr>
              <w:pStyle w:val="Tabletext"/>
              <w:keepNext w:val="0"/>
              <w:widowControl w:val="0"/>
              <w:spacing w:after="60"/>
              <w:jc w:val="center"/>
            </w:pPr>
            <w:r w:rsidRPr="00D85E09">
              <w:t>0</w:t>
            </w:r>
          </w:p>
        </w:tc>
        <w:tc>
          <w:tcPr>
            <w:tcW w:w="556" w:type="pct"/>
          </w:tcPr>
          <w:p w14:paraId="37695AA8" w14:textId="77777777" w:rsidR="00315893" w:rsidRPr="00D85E09" w:rsidRDefault="00315893" w:rsidP="0043316B">
            <w:pPr>
              <w:pStyle w:val="Tabletext"/>
              <w:keepNext w:val="0"/>
              <w:widowControl w:val="0"/>
              <w:spacing w:after="60"/>
              <w:jc w:val="center"/>
            </w:pPr>
            <w:r w:rsidRPr="00D85E09">
              <w:t>NR</w:t>
            </w:r>
          </w:p>
        </w:tc>
        <w:tc>
          <w:tcPr>
            <w:tcW w:w="556" w:type="pct"/>
          </w:tcPr>
          <w:p w14:paraId="5FC7AB02" w14:textId="77777777" w:rsidR="00315893" w:rsidRPr="00D85E09" w:rsidRDefault="00315893" w:rsidP="0043316B">
            <w:pPr>
              <w:pStyle w:val="Tabletext"/>
              <w:keepNext w:val="0"/>
              <w:widowControl w:val="0"/>
              <w:spacing w:after="60"/>
              <w:jc w:val="center"/>
            </w:pPr>
            <w:r w:rsidRPr="00D85E09">
              <w:t>103 (100)</w:t>
            </w:r>
          </w:p>
        </w:tc>
        <w:tc>
          <w:tcPr>
            <w:tcW w:w="553" w:type="pct"/>
            <w:vMerge w:val="restart"/>
            <w:vAlign w:val="center"/>
          </w:tcPr>
          <w:p w14:paraId="09F84C9D" w14:textId="77777777" w:rsidR="00315893" w:rsidRPr="00D85E09" w:rsidRDefault="00315893" w:rsidP="0043316B">
            <w:pPr>
              <w:pStyle w:val="Tabletext"/>
              <w:keepNext w:val="0"/>
              <w:widowControl w:val="0"/>
              <w:spacing w:after="60"/>
              <w:jc w:val="center"/>
            </w:pPr>
            <w:r w:rsidRPr="00D85E09">
              <w:t>Jovin 2015; Figure S1, p.7.</w:t>
            </w:r>
          </w:p>
        </w:tc>
      </w:tr>
      <w:tr w:rsidR="00315893" w:rsidRPr="00D85E09" w14:paraId="175AF022" w14:textId="77777777" w:rsidTr="00465778">
        <w:trPr>
          <w:trHeight w:val="396"/>
        </w:trPr>
        <w:tc>
          <w:tcPr>
            <w:tcW w:w="555" w:type="pct"/>
            <w:vMerge/>
          </w:tcPr>
          <w:p w14:paraId="2F291A72" w14:textId="77777777" w:rsidR="00315893" w:rsidRPr="00D85E09" w:rsidRDefault="00315893" w:rsidP="0043316B">
            <w:pPr>
              <w:pStyle w:val="Tabletext"/>
              <w:keepNext w:val="0"/>
              <w:widowControl w:val="0"/>
              <w:spacing w:after="60"/>
            </w:pPr>
          </w:p>
        </w:tc>
        <w:tc>
          <w:tcPr>
            <w:tcW w:w="556" w:type="pct"/>
          </w:tcPr>
          <w:p w14:paraId="56E8527E" w14:textId="77777777" w:rsidR="00315893" w:rsidRPr="00D85E09" w:rsidRDefault="00315893" w:rsidP="0043316B">
            <w:pPr>
              <w:pStyle w:val="Tabletext"/>
              <w:keepNext w:val="0"/>
              <w:widowControl w:val="0"/>
              <w:spacing w:after="60"/>
              <w:rPr>
                <w:lang w:eastAsia="en-AU"/>
              </w:rPr>
            </w:pPr>
            <w:r w:rsidRPr="00D85E09">
              <w:t>Usual care</w:t>
            </w:r>
          </w:p>
        </w:tc>
        <w:tc>
          <w:tcPr>
            <w:tcW w:w="556" w:type="pct"/>
          </w:tcPr>
          <w:p w14:paraId="29B185C4" w14:textId="77777777" w:rsidR="00315893" w:rsidRPr="00D85E09" w:rsidRDefault="00315893" w:rsidP="0043316B">
            <w:pPr>
              <w:pStyle w:val="Tabletext"/>
              <w:keepNext w:val="0"/>
              <w:widowControl w:val="0"/>
              <w:spacing w:after="60"/>
              <w:jc w:val="center"/>
            </w:pPr>
            <w:r w:rsidRPr="00D85E09">
              <w:t>103</w:t>
            </w:r>
          </w:p>
        </w:tc>
        <w:tc>
          <w:tcPr>
            <w:tcW w:w="556" w:type="pct"/>
          </w:tcPr>
          <w:p w14:paraId="1A656973" w14:textId="77777777" w:rsidR="00315893" w:rsidRPr="00D85E09" w:rsidRDefault="00315893" w:rsidP="0043316B">
            <w:pPr>
              <w:pStyle w:val="Tabletext"/>
              <w:keepNext w:val="0"/>
              <w:widowControl w:val="0"/>
              <w:spacing w:after="60"/>
              <w:jc w:val="center"/>
            </w:pPr>
            <w:r w:rsidRPr="00D85E09">
              <w:t>80 (77.7)</w:t>
            </w:r>
          </w:p>
        </w:tc>
        <w:tc>
          <w:tcPr>
            <w:tcW w:w="556" w:type="pct"/>
          </w:tcPr>
          <w:p w14:paraId="3F8B31ED" w14:textId="77777777" w:rsidR="00315893" w:rsidRPr="00D85E09" w:rsidRDefault="00315893" w:rsidP="0043316B">
            <w:pPr>
              <w:pStyle w:val="Tabletext"/>
              <w:keepNext w:val="0"/>
              <w:widowControl w:val="0"/>
              <w:spacing w:after="60"/>
              <w:jc w:val="center"/>
            </w:pPr>
            <w:r w:rsidRPr="00D85E09">
              <w:t>0</w:t>
            </w:r>
          </w:p>
        </w:tc>
        <w:tc>
          <w:tcPr>
            <w:tcW w:w="556" w:type="pct"/>
          </w:tcPr>
          <w:p w14:paraId="5A072012" w14:textId="77777777" w:rsidR="00315893" w:rsidRPr="00D85E09" w:rsidRDefault="00315893" w:rsidP="0043316B">
            <w:pPr>
              <w:pStyle w:val="Tabletext"/>
              <w:keepNext w:val="0"/>
              <w:widowControl w:val="0"/>
              <w:spacing w:after="60"/>
              <w:jc w:val="center"/>
            </w:pPr>
            <w:r w:rsidRPr="00D85E09">
              <w:t>0</w:t>
            </w:r>
          </w:p>
        </w:tc>
        <w:tc>
          <w:tcPr>
            <w:tcW w:w="556" w:type="pct"/>
          </w:tcPr>
          <w:p w14:paraId="5E663D9C" w14:textId="77777777" w:rsidR="00315893" w:rsidRPr="00D85E09" w:rsidRDefault="00315893" w:rsidP="0043316B">
            <w:pPr>
              <w:pStyle w:val="Tabletext"/>
              <w:keepNext w:val="0"/>
              <w:widowControl w:val="0"/>
              <w:spacing w:after="60"/>
              <w:jc w:val="center"/>
            </w:pPr>
            <w:r w:rsidRPr="00D85E09">
              <w:t>NR</w:t>
            </w:r>
          </w:p>
        </w:tc>
        <w:tc>
          <w:tcPr>
            <w:tcW w:w="556" w:type="pct"/>
          </w:tcPr>
          <w:p w14:paraId="1356792B" w14:textId="77777777" w:rsidR="00315893" w:rsidRPr="00D85E09" w:rsidRDefault="00315893" w:rsidP="0043316B">
            <w:pPr>
              <w:pStyle w:val="Tabletext"/>
              <w:keepNext w:val="0"/>
              <w:widowControl w:val="0"/>
              <w:spacing w:after="60"/>
              <w:jc w:val="center"/>
            </w:pPr>
            <w:r w:rsidRPr="00D85E09">
              <w:t>103 (100)</w:t>
            </w:r>
          </w:p>
        </w:tc>
        <w:tc>
          <w:tcPr>
            <w:tcW w:w="553" w:type="pct"/>
            <w:vMerge/>
          </w:tcPr>
          <w:p w14:paraId="777324E2" w14:textId="77777777" w:rsidR="00315893" w:rsidRPr="00D85E09" w:rsidRDefault="00315893" w:rsidP="0043316B">
            <w:pPr>
              <w:pStyle w:val="Tabletext"/>
              <w:keepNext w:val="0"/>
              <w:widowControl w:val="0"/>
              <w:spacing w:after="60"/>
              <w:jc w:val="center"/>
            </w:pPr>
          </w:p>
        </w:tc>
      </w:tr>
      <w:tr w:rsidR="00315893" w:rsidRPr="00D85E09" w14:paraId="3F9C92C5" w14:textId="77777777" w:rsidTr="00465778">
        <w:trPr>
          <w:trHeight w:val="396"/>
        </w:trPr>
        <w:tc>
          <w:tcPr>
            <w:tcW w:w="555" w:type="pct"/>
            <w:vMerge w:val="restart"/>
          </w:tcPr>
          <w:p w14:paraId="16BB0FE9" w14:textId="77777777" w:rsidR="00315893" w:rsidRPr="00D85E09" w:rsidRDefault="00315893" w:rsidP="0043316B">
            <w:pPr>
              <w:pStyle w:val="Tabletext"/>
              <w:keepNext w:val="0"/>
              <w:widowControl w:val="0"/>
              <w:spacing w:after="60"/>
            </w:pPr>
            <w:r w:rsidRPr="00D85E09">
              <w:t>SWIFT PRIME</w:t>
            </w:r>
          </w:p>
        </w:tc>
        <w:tc>
          <w:tcPr>
            <w:tcW w:w="556" w:type="pct"/>
          </w:tcPr>
          <w:p w14:paraId="215E2308" w14:textId="77777777" w:rsidR="00315893" w:rsidRPr="00D85E09" w:rsidRDefault="00315893" w:rsidP="0043316B">
            <w:pPr>
              <w:pStyle w:val="Tabletext"/>
              <w:keepNext w:val="0"/>
              <w:widowControl w:val="0"/>
              <w:spacing w:after="60"/>
            </w:pPr>
            <w:r w:rsidRPr="00D85E09">
              <w:t>Usual care + MT</w:t>
            </w:r>
          </w:p>
        </w:tc>
        <w:tc>
          <w:tcPr>
            <w:tcW w:w="556" w:type="pct"/>
          </w:tcPr>
          <w:p w14:paraId="3372A507" w14:textId="77777777" w:rsidR="00315893" w:rsidRPr="00D85E09" w:rsidRDefault="00315893" w:rsidP="0043316B">
            <w:pPr>
              <w:pStyle w:val="Tabletext"/>
              <w:keepNext w:val="0"/>
              <w:widowControl w:val="0"/>
              <w:spacing w:after="60"/>
              <w:jc w:val="center"/>
            </w:pPr>
            <w:r w:rsidRPr="00D85E09">
              <w:t>98</w:t>
            </w:r>
          </w:p>
        </w:tc>
        <w:tc>
          <w:tcPr>
            <w:tcW w:w="556" w:type="pct"/>
          </w:tcPr>
          <w:p w14:paraId="5031BD15" w14:textId="77777777" w:rsidR="00315893" w:rsidRPr="00D85E09" w:rsidRDefault="00315893" w:rsidP="0043316B">
            <w:pPr>
              <w:pStyle w:val="Tabletext"/>
              <w:keepNext w:val="0"/>
              <w:widowControl w:val="0"/>
              <w:spacing w:after="60"/>
              <w:jc w:val="center"/>
            </w:pPr>
            <w:r w:rsidRPr="00D85E09">
              <w:t>31 (32.0)</w:t>
            </w:r>
          </w:p>
        </w:tc>
        <w:tc>
          <w:tcPr>
            <w:tcW w:w="556" w:type="pct"/>
          </w:tcPr>
          <w:p w14:paraId="1F2FA9AB" w14:textId="77777777" w:rsidR="00315893" w:rsidRPr="00D85E09" w:rsidRDefault="00315893" w:rsidP="0043316B">
            <w:pPr>
              <w:pStyle w:val="Tabletext"/>
              <w:keepNext w:val="0"/>
              <w:widowControl w:val="0"/>
              <w:spacing w:after="60"/>
              <w:jc w:val="center"/>
            </w:pPr>
            <w:r w:rsidRPr="00D85E09">
              <w:t>11 (11.2)</w:t>
            </w:r>
          </w:p>
        </w:tc>
        <w:tc>
          <w:tcPr>
            <w:tcW w:w="556" w:type="pct"/>
          </w:tcPr>
          <w:p w14:paraId="028CD333" w14:textId="77777777" w:rsidR="00315893" w:rsidRPr="00D85E09" w:rsidRDefault="00315893" w:rsidP="0043316B">
            <w:pPr>
              <w:pStyle w:val="Tabletext"/>
              <w:keepNext w:val="0"/>
              <w:widowControl w:val="0"/>
              <w:spacing w:after="60"/>
              <w:jc w:val="center"/>
            </w:pPr>
            <w:r w:rsidRPr="00D85E09">
              <w:t>0</w:t>
            </w:r>
          </w:p>
        </w:tc>
        <w:tc>
          <w:tcPr>
            <w:tcW w:w="556" w:type="pct"/>
          </w:tcPr>
          <w:p w14:paraId="6F8F0957" w14:textId="77777777" w:rsidR="00315893" w:rsidRPr="00D85E09" w:rsidRDefault="00315893" w:rsidP="0043316B">
            <w:pPr>
              <w:pStyle w:val="Tabletext"/>
              <w:keepNext w:val="0"/>
              <w:widowControl w:val="0"/>
              <w:spacing w:after="60"/>
              <w:jc w:val="center"/>
            </w:pPr>
            <w:r w:rsidRPr="00D85E09">
              <w:t>9 (9.2)</w:t>
            </w:r>
          </w:p>
        </w:tc>
        <w:tc>
          <w:tcPr>
            <w:tcW w:w="556" w:type="pct"/>
          </w:tcPr>
          <w:p w14:paraId="5D664930" w14:textId="77777777" w:rsidR="00315893" w:rsidRPr="00D85E09" w:rsidRDefault="00315893" w:rsidP="0043316B">
            <w:pPr>
              <w:pStyle w:val="Tabletext"/>
              <w:keepNext w:val="0"/>
              <w:widowControl w:val="0"/>
              <w:spacing w:after="60"/>
              <w:jc w:val="center"/>
            </w:pPr>
            <w:r w:rsidRPr="00D85E09">
              <w:t>98 (100)</w:t>
            </w:r>
          </w:p>
        </w:tc>
        <w:tc>
          <w:tcPr>
            <w:tcW w:w="553" w:type="pct"/>
            <w:vMerge w:val="restart"/>
            <w:vAlign w:val="center"/>
          </w:tcPr>
          <w:p w14:paraId="3812ADA6" w14:textId="77777777" w:rsidR="00315893" w:rsidRPr="00D85E09" w:rsidRDefault="00315893" w:rsidP="0043316B">
            <w:pPr>
              <w:pStyle w:val="Tabletext"/>
              <w:keepNext w:val="0"/>
              <w:widowControl w:val="0"/>
              <w:spacing w:after="60"/>
              <w:jc w:val="center"/>
            </w:pPr>
            <w:r w:rsidRPr="00D85E09">
              <w:t>Saver 2015; Table 1, p.2288, Figure S2, p.22.</w:t>
            </w:r>
          </w:p>
        </w:tc>
      </w:tr>
      <w:tr w:rsidR="00315893" w:rsidRPr="00D85E09" w14:paraId="2084C6BA" w14:textId="77777777" w:rsidTr="00465778">
        <w:trPr>
          <w:trHeight w:val="396"/>
        </w:trPr>
        <w:tc>
          <w:tcPr>
            <w:tcW w:w="555" w:type="pct"/>
            <w:vMerge/>
          </w:tcPr>
          <w:p w14:paraId="74B764C2" w14:textId="77777777" w:rsidR="00315893" w:rsidRPr="00D85E09" w:rsidRDefault="00315893" w:rsidP="0043316B">
            <w:pPr>
              <w:pStyle w:val="Tabletext"/>
              <w:keepNext w:val="0"/>
              <w:widowControl w:val="0"/>
              <w:spacing w:after="60"/>
            </w:pPr>
          </w:p>
        </w:tc>
        <w:tc>
          <w:tcPr>
            <w:tcW w:w="556" w:type="pct"/>
          </w:tcPr>
          <w:p w14:paraId="3AA15479" w14:textId="77777777" w:rsidR="00315893" w:rsidRPr="00D85E09" w:rsidRDefault="00315893" w:rsidP="0043316B">
            <w:pPr>
              <w:pStyle w:val="Tabletext"/>
              <w:keepNext w:val="0"/>
              <w:widowControl w:val="0"/>
              <w:spacing w:after="60"/>
            </w:pPr>
            <w:r w:rsidRPr="00D85E09">
              <w:t>Usual care</w:t>
            </w:r>
          </w:p>
        </w:tc>
        <w:tc>
          <w:tcPr>
            <w:tcW w:w="556" w:type="pct"/>
          </w:tcPr>
          <w:p w14:paraId="5A32724F" w14:textId="77777777" w:rsidR="00315893" w:rsidRPr="00D85E09" w:rsidRDefault="00315893" w:rsidP="0043316B">
            <w:pPr>
              <w:pStyle w:val="Tabletext"/>
              <w:keepNext w:val="0"/>
              <w:widowControl w:val="0"/>
              <w:spacing w:after="60"/>
              <w:jc w:val="center"/>
            </w:pPr>
            <w:r w:rsidRPr="00D85E09">
              <w:t>98</w:t>
            </w:r>
          </w:p>
        </w:tc>
        <w:tc>
          <w:tcPr>
            <w:tcW w:w="556" w:type="pct"/>
          </w:tcPr>
          <w:p w14:paraId="5C581E0F" w14:textId="77777777" w:rsidR="00315893" w:rsidRPr="00D85E09" w:rsidRDefault="00315893" w:rsidP="0043316B">
            <w:pPr>
              <w:pStyle w:val="Tabletext"/>
              <w:keepNext w:val="0"/>
              <w:widowControl w:val="0"/>
              <w:spacing w:after="60"/>
              <w:jc w:val="center"/>
            </w:pPr>
            <w:r w:rsidRPr="00D85E09">
              <w:t>35/94 (37.0)</w:t>
            </w:r>
          </w:p>
        </w:tc>
        <w:tc>
          <w:tcPr>
            <w:tcW w:w="556" w:type="pct"/>
          </w:tcPr>
          <w:p w14:paraId="3B860BBA" w14:textId="77777777" w:rsidR="00315893" w:rsidRPr="00D85E09" w:rsidRDefault="00315893" w:rsidP="0043316B">
            <w:pPr>
              <w:pStyle w:val="Tabletext"/>
              <w:keepNext w:val="0"/>
              <w:widowControl w:val="0"/>
              <w:spacing w:after="60"/>
              <w:jc w:val="center"/>
            </w:pPr>
            <w:r w:rsidRPr="00D85E09">
              <w:t>0</w:t>
            </w:r>
          </w:p>
        </w:tc>
        <w:tc>
          <w:tcPr>
            <w:tcW w:w="556" w:type="pct"/>
          </w:tcPr>
          <w:p w14:paraId="207CB617" w14:textId="77777777" w:rsidR="00315893" w:rsidRPr="00D85E09" w:rsidRDefault="00315893" w:rsidP="0043316B">
            <w:pPr>
              <w:pStyle w:val="Tabletext"/>
              <w:keepNext w:val="0"/>
              <w:widowControl w:val="0"/>
              <w:spacing w:after="60"/>
              <w:jc w:val="center"/>
            </w:pPr>
            <w:r w:rsidRPr="00D85E09">
              <w:t>0</w:t>
            </w:r>
          </w:p>
        </w:tc>
        <w:tc>
          <w:tcPr>
            <w:tcW w:w="556" w:type="pct"/>
          </w:tcPr>
          <w:p w14:paraId="6B6249D3" w14:textId="77777777" w:rsidR="00315893" w:rsidRPr="00D85E09" w:rsidRDefault="00315893" w:rsidP="0043316B">
            <w:pPr>
              <w:pStyle w:val="Tabletext"/>
              <w:keepNext w:val="0"/>
              <w:widowControl w:val="0"/>
              <w:spacing w:after="60"/>
              <w:jc w:val="center"/>
            </w:pPr>
            <w:r w:rsidRPr="00D85E09">
              <w:t>12 (12.2)</w:t>
            </w:r>
          </w:p>
        </w:tc>
        <w:tc>
          <w:tcPr>
            <w:tcW w:w="556" w:type="pct"/>
          </w:tcPr>
          <w:p w14:paraId="34B709B5" w14:textId="77777777" w:rsidR="00315893" w:rsidRPr="00D85E09" w:rsidRDefault="00315893" w:rsidP="0043316B">
            <w:pPr>
              <w:pStyle w:val="Tabletext"/>
              <w:keepNext w:val="0"/>
              <w:widowControl w:val="0"/>
              <w:spacing w:after="60"/>
              <w:jc w:val="center"/>
            </w:pPr>
            <w:r w:rsidRPr="00D85E09">
              <w:t>93 (94.9)</w:t>
            </w:r>
            <w:r w:rsidRPr="00D85E09">
              <w:rPr>
                <w:vertAlign w:val="superscript"/>
              </w:rPr>
              <w:t>c</w:t>
            </w:r>
          </w:p>
        </w:tc>
        <w:tc>
          <w:tcPr>
            <w:tcW w:w="553" w:type="pct"/>
            <w:vMerge/>
          </w:tcPr>
          <w:p w14:paraId="6CFC2783" w14:textId="77777777" w:rsidR="00315893" w:rsidRPr="00D85E09" w:rsidRDefault="00315893" w:rsidP="0043316B">
            <w:pPr>
              <w:pStyle w:val="Tabletext"/>
              <w:keepNext w:val="0"/>
              <w:widowControl w:val="0"/>
              <w:spacing w:after="60"/>
              <w:jc w:val="center"/>
            </w:pPr>
          </w:p>
        </w:tc>
      </w:tr>
    </w:tbl>
    <w:p w14:paraId="20C8840C" w14:textId="77777777" w:rsidR="00315893" w:rsidRPr="00D85E09" w:rsidRDefault="00315893" w:rsidP="0043316B">
      <w:pPr>
        <w:pStyle w:val="Tablefootnote"/>
        <w:widowControl w:val="0"/>
        <w:rPr>
          <w:lang w:val="en-AU"/>
        </w:rPr>
      </w:pPr>
      <w:r w:rsidRPr="00D85E09">
        <w:rPr>
          <w:lang w:val="en-AU"/>
        </w:rPr>
        <w:t>Abbreviations: MT, mechanical thrombectomy; NR, not reported</w:t>
      </w:r>
    </w:p>
    <w:p w14:paraId="477E75DC" w14:textId="77777777" w:rsidR="00315893" w:rsidRPr="00D85E09" w:rsidRDefault="00315893" w:rsidP="0043316B">
      <w:pPr>
        <w:pStyle w:val="Tablefootnote"/>
        <w:widowControl w:val="0"/>
        <w:numPr>
          <w:ilvl w:val="0"/>
          <w:numId w:val="39"/>
        </w:numPr>
        <w:spacing w:before="0" w:after="0"/>
        <w:ind w:left="357" w:hanging="357"/>
        <w:jc w:val="both"/>
        <w:rPr>
          <w:lang w:val="en-AU"/>
        </w:rPr>
      </w:pPr>
      <w:r w:rsidRPr="00D85E09">
        <w:rPr>
          <w:lang w:val="en-AU"/>
        </w:rPr>
        <w:t>Crossover from control to endovascular</w:t>
      </w:r>
    </w:p>
    <w:p w14:paraId="597C46EC" w14:textId="77777777" w:rsidR="00315893" w:rsidRPr="00D85E09" w:rsidRDefault="00315893" w:rsidP="0043316B">
      <w:pPr>
        <w:pStyle w:val="Tablefootnote"/>
        <w:widowControl w:val="0"/>
        <w:numPr>
          <w:ilvl w:val="0"/>
          <w:numId w:val="39"/>
        </w:numPr>
        <w:spacing w:before="0" w:after="0"/>
        <w:ind w:left="357" w:hanging="357"/>
        <w:jc w:val="both"/>
        <w:rPr>
          <w:lang w:val="en-AU"/>
        </w:rPr>
      </w:pPr>
      <w:r w:rsidRPr="00D85E09">
        <w:rPr>
          <w:lang w:val="en-AU"/>
        </w:rPr>
        <w:t>Demanded treatment</w:t>
      </w:r>
    </w:p>
    <w:p w14:paraId="0FB9A8F3" w14:textId="77777777" w:rsidR="00315893" w:rsidRPr="00D85E09" w:rsidRDefault="00315893" w:rsidP="0043316B">
      <w:pPr>
        <w:pStyle w:val="Tablefootnote"/>
        <w:widowControl w:val="0"/>
        <w:numPr>
          <w:ilvl w:val="0"/>
          <w:numId w:val="39"/>
        </w:numPr>
        <w:spacing w:before="0" w:after="0"/>
        <w:ind w:left="357" w:hanging="357"/>
        <w:rPr>
          <w:lang w:val="en-AU"/>
        </w:rPr>
      </w:pPr>
      <w:r w:rsidRPr="00D85E09">
        <w:rPr>
          <w:lang w:val="en-AU"/>
        </w:rPr>
        <w:t>Final assessment unavailable for 5 patients</w:t>
      </w:r>
    </w:p>
    <w:p w14:paraId="60932441" w14:textId="77777777" w:rsidR="00315893" w:rsidRPr="00D85E09" w:rsidRDefault="00315893" w:rsidP="0043316B">
      <w:pPr>
        <w:pStyle w:val="Tablefootnote"/>
        <w:widowControl w:val="0"/>
        <w:spacing w:before="0" w:after="0"/>
        <w:rPr>
          <w:lang w:val="en-AU"/>
        </w:rPr>
      </w:pPr>
    </w:p>
    <w:p w14:paraId="07E2B160" w14:textId="77777777" w:rsidR="00315893" w:rsidRPr="00D85E09" w:rsidRDefault="00315893" w:rsidP="0043316B">
      <w:pPr>
        <w:pStyle w:val="NoSpacing"/>
        <w:widowControl w:val="0"/>
        <w:rPr>
          <w:lang w:val="en-AU"/>
        </w:rPr>
        <w:sectPr w:rsidR="00315893" w:rsidRPr="00D85E09" w:rsidSect="0040506E">
          <w:pgSz w:w="16834" w:h="11907" w:orient="landscape" w:code="9"/>
          <w:pgMar w:top="1418" w:right="1418" w:bottom="1701" w:left="1814" w:header="720" w:footer="720" w:gutter="0"/>
          <w:paperSrc w:first="4035" w:other="4035"/>
          <w:cols w:space="720"/>
          <w:noEndnote/>
          <w:docGrid w:linePitch="299"/>
        </w:sectPr>
      </w:pPr>
    </w:p>
    <w:p w14:paraId="1EBB6899" w14:textId="77777777" w:rsidR="00315893" w:rsidRPr="00D85E09" w:rsidRDefault="00315893" w:rsidP="0043316B">
      <w:pPr>
        <w:pStyle w:val="Heading2"/>
        <w:widowControl w:val="0"/>
        <w:spacing w:before="240"/>
        <w:ind w:left="851" w:hanging="851"/>
        <w:jc w:val="both"/>
        <w:rPr>
          <w:lang w:val="en-AU"/>
        </w:rPr>
      </w:pPr>
      <w:bookmarkStart w:id="173" w:name="_Toc191822155"/>
      <w:bookmarkStart w:id="174" w:name="_Toc191822205"/>
      <w:bookmarkStart w:id="175" w:name="_Toc191822255"/>
      <w:bookmarkStart w:id="176" w:name="_Toc258501776"/>
      <w:bookmarkStart w:id="177" w:name="_Toc273301458"/>
      <w:bookmarkStart w:id="178" w:name="_Ref364676584"/>
      <w:bookmarkStart w:id="179" w:name="_Toc367090349"/>
      <w:bookmarkStart w:id="180" w:name="_Toc453065263"/>
      <w:r w:rsidRPr="00D85E09">
        <w:rPr>
          <w:lang w:val="en-AU"/>
        </w:rPr>
        <w:lastRenderedPageBreak/>
        <w:t>Characteristics of the direct randomised trials</w:t>
      </w:r>
      <w:bookmarkEnd w:id="173"/>
      <w:bookmarkEnd w:id="174"/>
      <w:bookmarkEnd w:id="175"/>
      <w:bookmarkEnd w:id="176"/>
      <w:bookmarkEnd w:id="177"/>
      <w:bookmarkEnd w:id="178"/>
      <w:bookmarkEnd w:id="179"/>
      <w:bookmarkEnd w:id="180"/>
    </w:p>
    <w:p w14:paraId="16A87C51" w14:textId="77777777" w:rsidR="00315893" w:rsidRPr="00D85E09" w:rsidRDefault="00315893" w:rsidP="0043316B">
      <w:pPr>
        <w:pStyle w:val="Heading3"/>
        <w:keepNext w:val="0"/>
        <w:widowControl w:val="0"/>
        <w:spacing w:before="240"/>
        <w:ind w:left="851" w:hanging="851"/>
        <w:jc w:val="both"/>
        <w:rPr>
          <w:lang w:val="en-AU"/>
        </w:rPr>
      </w:pPr>
      <w:bookmarkStart w:id="181" w:name="_Toc191822156"/>
      <w:bookmarkStart w:id="182" w:name="_Toc191822206"/>
      <w:bookmarkStart w:id="183" w:name="_Toc191822256"/>
      <w:bookmarkStart w:id="184" w:name="_Toc258501777"/>
      <w:bookmarkStart w:id="185" w:name="_Toc273301459"/>
      <w:bookmarkStart w:id="186" w:name="_Toc367090350"/>
      <w:bookmarkStart w:id="187" w:name="_Toc453065264"/>
      <w:r w:rsidRPr="00D85E09">
        <w:rPr>
          <w:lang w:val="en-AU"/>
        </w:rPr>
        <w:t>Eligibility criteria</w:t>
      </w:r>
      <w:bookmarkEnd w:id="181"/>
      <w:bookmarkEnd w:id="182"/>
      <w:bookmarkEnd w:id="183"/>
      <w:bookmarkEnd w:id="184"/>
      <w:bookmarkEnd w:id="185"/>
      <w:bookmarkEnd w:id="186"/>
      <w:bookmarkEnd w:id="187"/>
    </w:p>
    <w:p w14:paraId="58B5F4E2" w14:textId="24C009A9" w:rsidR="00315893" w:rsidRPr="00D85E09" w:rsidRDefault="00315893" w:rsidP="0043316B">
      <w:pPr>
        <w:widowControl w:val="0"/>
      </w:pPr>
      <w:r w:rsidRPr="00D85E09">
        <w:t xml:space="preserve">The inclusion and exclusion criteria applied in the direct randomised trials are summarised in </w:t>
      </w:r>
      <w:r w:rsidRPr="00D85E09">
        <w:fldChar w:fldCharType="begin"/>
      </w:r>
      <w:r w:rsidRPr="00D85E09">
        <w:instrText xml:space="preserve"> REF _Ref365981009 \h  \* MERGEFORMAT </w:instrText>
      </w:r>
      <w:r w:rsidRPr="00D85E09">
        <w:fldChar w:fldCharType="separate"/>
      </w:r>
      <w:r w:rsidR="00A456ED" w:rsidRPr="00D85E09">
        <w:t xml:space="preserve">Table </w:t>
      </w:r>
      <w:r w:rsidR="00A456ED">
        <w:rPr>
          <w:noProof/>
        </w:rPr>
        <w:t>19</w:t>
      </w:r>
      <w:r w:rsidRPr="00D85E09">
        <w:fldChar w:fldCharType="end"/>
      </w:r>
      <w:r w:rsidRPr="00D85E09">
        <w:t>.</w:t>
      </w:r>
    </w:p>
    <w:p w14:paraId="57806A8D" w14:textId="32AEB513" w:rsidR="00315893" w:rsidRPr="00D85E09" w:rsidRDefault="00315893" w:rsidP="0043316B">
      <w:pPr>
        <w:widowControl w:val="0"/>
      </w:pPr>
      <w:r w:rsidRPr="00D85E09">
        <w:t xml:space="preserve">All five trials recruited patients who were of 18 years of age or older, who had AIS. The EXTEND-IA and SWFIT PRIME trials required that patients received IV </w:t>
      </w:r>
      <w:r w:rsidR="005B7DCE">
        <w:t>tPA</w:t>
      </w:r>
      <w:r w:rsidRPr="00D85E09">
        <w:t xml:space="preserve"> within 4·5 hours of stroke onset. In ESCAPE, participants were treated with IV </w:t>
      </w:r>
      <w:r w:rsidR="005B7DCE">
        <w:t>tPA</w:t>
      </w:r>
      <w:r w:rsidRPr="00D85E09">
        <w:t xml:space="preserve"> when clinically appropriate as part of standard care. Patients in REVASCAT could be either ineligible for IV alteplase or have received IV alteplase therapy without recanalisation. Patients were required to have functional independence prior to the stroke event defined as a Barthel Index score n&gt; 90 in ESCAPE and mRS ≤ 1 in REVASCAT and SWIFT PRIME. Endovascular treatment initiation was required between 6 and 8 hours of stroke onset in all trials.</w:t>
      </w:r>
    </w:p>
    <w:p w14:paraId="74848500" w14:textId="636405F5" w:rsidR="00540C5B" w:rsidRPr="00D85E09" w:rsidRDefault="00315893" w:rsidP="00540C5B">
      <w:pPr>
        <w:widowControl w:val="0"/>
      </w:pPr>
      <w:r w:rsidRPr="00D85E09">
        <w:t>Imaging is an important element of patient selection as it can be used to identify the location of the occlusion and size of the penumbra, the extent of the infarct, the presence of collateral circulation and the extent of tissue</w:t>
      </w:r>
      <w:r w:rsidR="00300BB6" w:rsidRPr="00D85E09">
        <w:t xml:space="preserve"> </w:t>
      </w:r>
      <w:r w:rsidRPr="00D85E09">
        <w:t>at risk for irreversible ischaemia. The use of up-to-date non-invasive arterial imaging is one of the factors attributed to the success of recent studies of MT when compared to earlier thrombectomy trials (Vo et al, 2015). In the pivotal studies of MT, imaging of the cerebral parenchyma and vascular imaging was performed using a range of techniques, including CT scan with perfusion and CTA, or by MRI, magnetic resonance diffusion and perfusion and MRA. Overall, angiography using CTA or MRA was the most widely used approach to vascular imaging and detection of LVO – in most cases for the detection of the occlusion and determining the core size. The implications of using different imaging strategies to select patients are discussed in Section C.</w:t>
      </w:r>
      <w:r w:rsidR="00871181" w:rsidRPr="00D85E09">
        <w:t>2</w:t>
      </w:r>
      <w:r w:rsidRPr="00D85E09">
        <w:t>.</w:t>
      </w:r>
      <w:bookmarkStart w:id="188" w:name="_Ref156188207"/>
      <w:bookmarkStart w:id="189" w:name="_Toc192319853"/>
      <w:bookmarkStart w:id="190" w:name="_Toc273301534"/>
    </w:p>
    <w:p w14:paraId="131330E7" w14:textId="5F112297" w:rsidR="00315893" w:rsidRPr="00D85E09" w:rsidRDefault="00315893" w:rsidP="0043316B">
      <w:pPr>
        <w:widowControl w:val="0"/>
        <w:sectPr w:rsidR="00315893" w:rsidRPr="00D85E09" w:rsidSect="00465778">
          <w:pgSz w:w="11907" w:h="16834" w:code="9"/>
          <w:pgMar w:top="1134" w:right="1418" w:bottom="1134" w:left="1418" w:header="720" w:footer="720" w:gutter="0"/>
          <w:paperSrc w:first="15" w:other="15"/>
          <w:cols w:space="720"/>
          <w:noEndnote/>
          <w:docGrid w:linePitch="299"/>
        </w:sectPr>
      </w:pPr>
      <w:r w:rsidRPr="00D85E09">
        <w:t xml:space="preserve"> </w:t>
      </w:r>
    </w:p>
    <w:p w14:paraId="6247CF2E" w14:textId="47FC629B" w:rsidR="00315893" w:rsidRPr="00D85E09" w:rsidRDefault="00315893" w:rsidP="0043316B">
      <w:pPr>
        <w:pStyle w:val="Caption"/>
        <w:keepNext w:val="0"/>
        <w:widowControl w:val="0"/>
        <w:rPr>
          <w:lang w:val="en-AU"/>
        </w:rPr>
      </w:pPr>
      <w:bookmarkStart w:id="191" w:name="_Ref365981009"/>
      <w:bookmarkStart w:id="192" w:name="_Toc367090374"/>
      <w:bookmarkStart w:id="193" w:name="_Toc453065355"/>
      <w:bookmarkEnd w:id="188"/>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19</w:t>
      </w:r>
      <w:r w:rsidRPr="00D85E09">
        <w:rPr>
          <w:lang w:val="en-AU"/>
        </w:rPr>
        <w:fldChar w:fldCharType="end"/>
      </w:r>
      <w:bookmarkEnd w:id="191"/>
      <w:r w:rsidRPr="00D85E09">
        <w:rPr>
          <w:lang w:val="en-AU"/>
        </w:rPr>
        <w:tab/>
        <w:t>Eligibility criteria in the direct randomised trials</w:t>
      </w:r>
      <w:bookmarkEnd w:id="189"/>
      <w:bookmarkEnd w:id="190"/>
      <w:bookmarkEnd w:id="192"/>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19. Eligibility criteria in the direct randomised trials"/>
      </w:tblPr>
      <w:tblGrid>
        <w:gridCol w:w="1724"/>
        <w:gridCol w:w="2441"/>
        <w:gridCol w:w="2441"/>
        <w:gridCol w:w="2441"/>
        <w:gridCol w:w="2441"/>
        <w:gridCol w:w="2443"/>
      </w:tblGrid>
      <w:tr w:rsidR="00315893" w:rsidRPr="00D85E09" w14:paraId="6B32A71D" w14:textId="77777777" w:rsidTr="001922F3">
        <w:trPr>
          <w:cantSplit/>
          <w:tblHeader/>
        </w:trPr>
        <w:tc>
          <w:tcPr>
            <w:tcW w:w="619" w:type="pct"/>
            <w:shd w:val="clear" w:color="auto" w:fill="auto"/>
          </w:tcPr>
          <w:p w14:paraId="77E3F990" w14:textId="18FAB538" w:rsidR="00315893" w:rsidRPr="00D85E09" w:rsidRDefault="001922F3" w:rsidP="0043316B">
            <w:pPr>
              <w:pStyle w:val="Tabletext"/>
              <w:keepNext w:val="0"/>
              <w:widowControl w:val="0"/>
              <w:rPr>
                <w:b/>
              </w:rPr>
            </w:pPr>
            <w:r w:rsidRPr="00D85E09">
              <w:rPr>
                <w:b/>
              </w:rPr>
              <w:t>Criteria</w:t>
            </w:r>
          </w:p>
        </w:tc>
        <w:tc>
          <w:tcPr>
            <w:tcW w:w="876" w:type="pct"/>
            <w:shd w:val="clear" w:color="auto" w:fill="auto"/>
          </w:tcPr>
          <w:p w14:paraId="7FEA120E" w14:textId="77777777" w:rsidR="00315893" w:rsidRPr="00D85E09" w:rsidRDefault="00315893" w:rsidP="0043316B">
            <w:pPr>
              <w:pStyle w:val="Tabletext"/>
              <w:keepNext w:val="0"/>
              <w:widowControl w:val="0"/>
              <w:rPr>
                <w:b/>
              </w:rPr>
            </w:pPr>
            <w:r w:rsidRPr="00D85E09">
              <w:rPr>
                <w:b/>
              </w:rPr>
              <w:t>ESCAPE</w:t>
            </w:r>
          </w:p>
        </w:tc>
        <w:tc>
          <w:tcPr>
            <w:tcW w:w="876" w:type="pct"/>
            <w:shd w:val="clear" w:color="auto" w:fill="auto"/>
          </w:tcPr>
          <w:p w14:paraId="51C38FF5" w14:textId="52A72A16" w:rsidR="00315893" w:rsidRPr="00D85E09" w:rsidRDefault="005B7DCE" w:rsidP="0043316B">
            <w:pPr>
              <w:pStyle w:val="Tabletext"/>
              <w:keepNext w:val="0"/>
              <w:widowControl w:val="0"/>
              <w:rPr>
                <w:b/>
              </w:rPr>
            </w:pPr>
            <w:r>
              <w:rPr>
                <w:b/>
              </w:rPr>
              <w:t>EXTEND-I</w:t>
            </w:r>
            <w:r w:rsidR="00315893" w:rsidRPr="00D85E09">
              <w:rPr>
                <w:b/>
              </w:rPr>
              <w:t>A</w:t>
            </w:r>
          </w:p>
        </w:tc>
        <w:tc>
          <w:tcPr>
            <w:tcW w:w="876" w:type="pct"/>
            <w:shd w:val="clear" w:color="auto" w:fill="auto"/>
          </w:tcPr>
          <w:p w14:paraId="567680FF" w14:textId="77777777" w:rsidR="00315893" w:rsidRPr="00D85E09" w:rsidRDefault="00315893" w:rsidP="0043316B">
            <w:pPr>
              <w:pStyle w:val="Tabletext"/>
              <w:keepNext w:val="0"/>
              <w:widowControl w:val="0"/>
              <w:rPr>
                <w:b/>
              </w:rPr>
            </w:pPr>
            <w:r w:rsidRPr="00D85E09">
              <w:rPr>
                <w:b/>
              </w:rPr>
              <w:t>MR CLEAN</w:t>
            </w:r>
          </w:p>
        </w:tc>
        <w:tc>
          <w:tcPr>
            <w:tcW w:w="876" w:type="pct"/>
            <w:shd w:val="clear" w:color="auto" w:fill="auto"/>
          </w:tcPr>
          <w:p w14:paraId="1B3F8C0F" w14:textId="77777777" w:rsidR="00315893" w:rsidRPr="00D85E09" w:rsidRDefault="00315893" w:rsidP="0043316B">
            <w:pPr>
              <w:pStyle w:val="Tabletext"/>
              <w:keepNext w:val="0"/>
              <w:widowControl w:val="0"/>
              <w:rPr>
                <w:b/>
              </w:rPr>
            </w:pPr>
            <w:r w:rsidRPr="00D85E09">
              <w:rPr>
                <w:b/>
              </w:rPr>
              <w:t>REVASCAT</w:t>
            </w:r>
          </w:p>
        </w:tc>
        <w:tc>
          <w:tcPr>
            <w:tcW w:w="877" w:type="pct"/>
            <w:shd w:val="clear" w:color="auto" w:fill="auto"/>
          </w:tcPr>
          <w:p w14:paraId="6FECD19F" w14:textId="77777777" w:rsidR="00315893" w:rsidRPr="00D85E09" w:rsidRDefault="00315893" w:rsidP="0043316B">
            <w:pPr>
              <w:pStyle w:val="Tabletext"/>
              <w:keepNext w:val="0"/>
              <w:widowControl w:val="0"/>
              <w:rPr>
                <w:b/>
              </w:rPr>
            </w:pPr>
            <w:r w:rsidRPr="00D85E09">
              <w:rPr>
                <w:b/>
              </w:rPr>
              <w:t>SWIFT PRIME</w:t>
            </w:r>
          </w:p>
        </w:tc>
      </w:tr>
      <w:tr w:rsidR="00315893" w:rsidRPr="00D85E09" w14:paraId="278E7559" w14:textId="77777777" w:rsidTr="00465778">
        <w:trPr>
          <w:cantSplit/>
          <w:tblHeader/>
        </w:trPr>
        <w:tc>
          <w:tcPr>
            <w:tcW w:w="5000" w:type="pct"/>
            <w:gridSpan w:val="6"/>
            <w:shd w:val="clear" w:color="auto" w:fill="auto"/>
          </w:tcPr>
          <w:p w14:paraId="1141E22C" w14:textId="77777777" w:rsidR="00315893" w:rsidRPr="00D85E09" w:rsidRDefault="00315893" w:rsidP="0043316B">
            <w:pPr>
              <w:pStyle w:val="Tabletext"/>
              <w:keepNext w:val="0"/>
              <w:widowControl w:val="0"/>
            </w:pPr>
            <w:r w:rsidRPr="00D85E09">
              <w:t>Inclusion criteria</w:t>
            </w:r>
          </w:p>
        </w:tc>
      </w:tr>
      <w:tr w:rsidR="00315893" w:rsidRPr="00D85E09" w14:paraId="53E91DDC" w14:textId="77777777" w:rsidTr="00465778">
        <w:trPr>
          <w:cantSplit/>
          <w:trHeight w:val="314"/>
        </w:trPr>
        <w:tc>
          <w:tcPr>
            <w:tcW w:w="619" w:type="pct"/>
            <w:shd w:val="clear" w:color="auto" w:fill="auto"/>
          </w:tcPr>
          <w:p w14:paraId="1F389620" w14:textId="77777777" w:rsidR="00315893" w:rsidRPr="00D85E09" w:rsidRDefault="00315893" w:rsidP="0043316B">
            <w:pPr>
              <w:pStyle w:val="Tabletext"/>
              <w:keepNext w:val="0"/>
              <w:widowControl w:val="0"/>
            </w:pPr>
            <w:r w:rsidRPr="00D85E09">
              <w:t xml:space="preserve">Age </w:t>
            </w:r>
          </w:p>
        </w:tc>
        <w:tc>
          <w:tcPr>
            <w:tcW w:w="876" w:type="pct"/>
            <w:shd w:val="clear" w:color="auto" w:fill="auto"/>
          </w:tcPr>
          <w:p w14:paraId="58E40557" w14:textId="77777777" w:rsidR="00315893" w:rsidRPr="00D85E09" w:rsidRDefault="00315893" w:rsidP="0043316B">
            <w:pPr>
              <w:pStyle w:val="Tabletext"/>
              <w:keepNext w:val="0"/>
              <w:widowControl w:val="0"/>
            </w:pPr>
            <w:r w:rsidRPr="00D85E09">
              <w:t>Age 18 or greater</w:t>
            </w:r>
          </w:p>
        </w:tc>
        <w:tc>
          <w:tcPr>
            <w:tcW w:w="876" w:type="pct"/>
            <w:shd w:val="clear" w:color="auto" w:fill="auto"/>
          </w:tcPr>
          <w:p w14:paraId="3EADD1E4" w14:textId="77777777" w:rsidR="00315893" w:rsidRPr="00D85E09" w:rsidRDefault="00315893" w:rsidP="0043316B">
            <w:pPr>
              <w:pStyle w:val="Tabletext"/>
              <w:keepNext w:val="0"/>
              <w:widowControl w:val="0"/>
            </w:pPr>
            <w:r w:rsidRPr="00D85E09">
              <w:t>Age 18 or greater</w:t>
            </w:r>
          </w:p>
        </w:tc>
        <w:tc>
          <w:tcPr>
            <w:tcW w:w="876" w:type="pct"/>
            <w:shd w:val="clear" w:color="auto" w:fill="auto"/>
          </w:tcPr>
          <w:p w14:paraId="2D59F843" w14:textId="77777777" w:rsidR="00315893" w:rsidRPr="00D85E09" w:rsidRDefault="00315893" w:rsidP="0043316B">
            <w:pPr>
              <w:pStyle w:val="Tabletext"/>
              <w:keepNext w:val="0"/>
              <w:widowControl w:val="0"/>
            </w:pPr>
            <w:r w:rsidRPr="00D85E09">
              <w:t>Age 18 or greater</w:t>
            </w:r>
          </w:p>
        </w:tc>
        <w:tc>
          <w:tcPr>
            <w:tcW w:w="876" w:type="pct"/>
            <w:shd w:val="clear" w:color="auto" w:fill="auto"/>
          </w:tcPr>
          <w:p w14:paraId="6F95F369" w14:textId="77777777" w:rsidR="00315893" w:rsidRPr="00D85E09" w:rsidRDefault="00315893" w:rsidP="0043316B">
            <w:pPr>
              <w:pStyle w:val="Tabletext"/>
              <w:keepNext w:val="0"/>
              <w:widowControl w:val="0"/>
            </w:pPr>
            <w:r w:rsidRPr="00D85E09">
              <w:t>Age ≥18 and ≤80</w:t>
            </w:r>
          </w:p>
        </w:tc>
        <w:tc>
          <w:tcPr>
            <w:tcW w:w="877" w:type="pct"/>
            <w:shd w:val="clear" w:color="auto" w:fill="auto"/>
          </w:tcPr>
          <w:p w14:paraId="66A7F183" w14:textId="77777777" w:rsidR="00315893" w:rsidRPr="00D85E09" w:rsidRDefault="00315893" w:rsidP="0043316B">
            <w:pPr>
              <w:pStyle w:val="Tabletext"/>
              <w:keepNext w:val="0"/>
              <w:widowControl w:val="0"/>
            </w:pPr>
            <w:r w:rsidRPr="00D85E09">
              <w:t>Age 18 – 85</w:t>
            </w:r>
          </w:p>
        </w:tc>
      </w:tr>
      <w:tr w:rsidR="00315893" w:rsidRPr="00D85E09" w14:paraId="40B1325B" w14:textId="77777777" w:rsidTr="00465778">
        <w:trPr>
          <w:cantSplit/>
          <w:trHeight w:val="314"/>
        </w:trPr>
        <w:tc>
          <w:tcPr>
            <w:tcW w:w="619" w:type="pct"/>
            <w:shd w:val="clear" w:color="auto" w:fill="auto"/>
          </w:tcPr>
          <w:p w14:paraId="312B50A6" w14:textId="77777777" w:rsidR="00315893" w:rsidRPr="00D85E09" w:rsidRDefault="00315893" w:rsidP="0043316B">
            <w:pPr>
              <w:pStyle w:val="Tabletext"/>
              <w:keepNext w:val="0"/>
              <w:widowControl w:val="0"/>
            </w:pPr>
            <w:r w:rsidRPr="00D85E09">
              <w:t>Indication</w:t>
            </w:r>
          </w:p>
        </w:tc>
        <w:tc>
          <w:tcPr>
            <w:tcW w:w="876" w:type="pct"/>
            <w:shd w:val="clear" w:color="auto" w:fill="auto"/>
          </w:tcPr>
          <w:p w14:paraId="65C1ADF8" w14:textId="77777777" w:rsidR="00315893" w:rsidRPr="00D85E09" w:rsidRDefault="00315893" w:rsidP="0043316B">
            <w:pPr>
              <w:pStyle w:val="Tabletext"/>
              <w:keepNext w:val="0"/>
              <w:widowControl w:val="0"/>
            </w:pPr>
            <w:r w:rsidRPr="00D85E09">
              <w:t>AIS; onset (last seen well) time to randomisation time &lt; 12 hours</w:t>
            </w:r>
          </w:p>
        </w:tc>
        <w:tc>
          <w:tcPr>
            <w:tcW w:w="876" w:type="pct"/>
            <w:shd w:val="clear" w:color="auto" w:fill="auto"/>
          </w:tcPr>
          <w:p w14:paraId="523BEFBD" w14:textId="16C569CF" w:rsidR="00315893" w:rsidRPr="00D85E09" w:rsidRDefault="00315893" w:rsidP="0043316B">
            <w:pPr>
              <w:pStyle w:val="Tabletext"/>
              <w:keepNext w:val="0"/>
              <w:widowControl w:val="0"/>
            </w:pPr>
            <w:r w:rsidRPr="00D85E09">
              <w:t xml:space="preserve">Anterior circulation AIS eligible to receive IV </w:t>
            </w:r>
            <w:r w:rsidR="005B7DCE">
              <w:t>tPA</w:t>
            </w:r>
            <w:r w:rsidRPr="00D85E09">
              <w:t xml:space="preserve"> within 4·5 hours of stroke onset</w:t>
            </w:r>
          </w:p>
        </w:tc>
        <w:tc>
          <w:tcPr>
            <w:tcW w:w="876" w:type="pct"/>
            <w:shd w:val="clear" w:color="auto" w:fill="auto"/>
          </w:tcPr>
          <w:p w14:paraId="60690E09" w14:textId="77777777" w:rsidR="00315893" w:rsidRPr="00D85E09" w:rsidRDefault="00315893" w:rsidP="0043316B">
            <w:pPr>
              <w:pStyle w:val="Tabletext"/>
              <w:keepNext w:val="0"/>
              <w:widowControl w:val="0"/>
            </w:pPr>
            <w:r w:rsidRPr="00D85E09">
              <w:t>Acute stroke</w:t>
            </w:r>
          </w:p>
          <w:p w14:paraId="394C4A15" w14:textId="77777777" w:rsidR="00315893" w:rsidRPr="00D85E09" w:rsidRDefault="00315893" w:rsidP="0043316B">
            <w:pPr>
              <w:pStyle w:val="Tabletext"/>
              <w:keepNext w:val="0"/>
              <w:widowControl w:val="0"/>
            </w:pPr>
          </w:p>
        </w:tc>
        <w:tc>
          <w:tcPr>
            <w:tcW w:w="876" w:type="pct"/>
            <w:shd w:val="clear" w:color="auto" w:fill="auto"/>
          </w:tcPr>
          <w:p w14:paraId="3EC2E72A" w14:textId="5C630C65" w:rsidR="00315893" w:rsidRPr="00D85E09" w:rsidRDefault="00315893" w:rsidP="0043316B">
            <w:pPr>
              <w:pStyle w:val="Tabletext"/>
              <w:keepNext w:val="0"/>
              <w:widowControl w:val="0"/>
            </w:pPr>
            <w:r w:rsidRPr="00D85E09">
              <w:t>AIS, where the patient is ineligible or IV thrombolytic treatment or the treatment is contraindicated OR where the patient has received IV thrombolytic therapy with recanalisation after a minimum of 30 min from start of IV-</w:t>
            </w:r>
            <w:r w:rsidR="00F67AF7" w:rsidRPr="00D85E09">
              <w:t>t</w:t>
            </w:r>
            <w:r w:rsidRPr="00D85E09">
              <w:t>PA infusion</w:t>
            </w:r>
          </w:p>
        </w:tc>
        <w:tc>
          <w:tcPr>
            <w:tcW w:w="877" w:type="pct"/>
            <w:shd w:val="clear" w:color="auto" w:fill="auto"/>
          </w:tcPr>
          <w:p w14:paraId="562B0070" w14:textId="7060EA8C" w:rsidR="00315893" w:rsidRPr="00D85E09" w:rsidRDefault="00315893" w:rsidP="0043316B">
            <w:pPr>
              <w:pStyle w:val="Tabletext"/>
              <w:keepNext w:val="0"/>
              <w:widowControl w:val="0"/>
            </w:pPr>
            <w:r w:rsidRPr="00D85E09">
              <w:t xml:space="preserve">Clinical signs consistent with AIS; patients receiving or had received intravenous </w:t>
            </w:r>
            <w:r w:rsidR="005B7DCE">
              <w:t>tPA</w:t>
            </w:r>
            <w:r w:rsidRPr="00D85E09">
              <w:t>;</w:t>
            </w:r>
          </w:p>
          <w:p w14:paraId="4ABC9BC8" w14:textId="77777777" w:rsidR="00315893" w:rsidRPr="00D85E09" w:rsidRDefault="00315893" w:rsidP="0043316B">
            <w:pPr>
              <w:pStyle w:val="Tabletext"/>
              <w:keepNext w:val="0"/>
              <w:widowControl w:val="0"/>
            </w:pPr>
          </w:p>
        </w:tc>
      </w:tr>
      <w:tr w:rsidR="00315893" w:rsidRPr="00D85E09" w14:paraId="611519AC" w14:textId="77777777" w:rsidTr="00465778">
        <w:trPr>
          <w:cantSplit/>
          <w:trHeight w:val="314"/>
        </w:trPr>
        <w:tc>
          <w:tcPr>
            <w:tcW w:w="619" w:type="pct"/>
            <w:shd w:val="clear" w:color="auto" w:fill="auto"/>
          </w:tcPr>
          <w:p w14:paraId="68E599B5" w14:textId="77777777" w:rsidR="00315893" w:rsidRPr="00D85E09" w:rsidRDefault="00315893" w:rsidP="0043316B">
            <w:pPr>
              <w:pStyle w:val="Tabletext"/>
              <w:keepNext w:val="0"/>
              <w:widowControl w:val="0"/>
            </w:pPr>
            <w:r w:rsidRPr="00D85E09">
              <w:t>Baseline NIHSS</w:t>
            </w:r>
          </w:p>
        </w:tc>
        <w:tc>
          <w:tcPr>
            <w:tcW w:w="876" w:type="pct"/>
            <w:shd w:val="clear" w:color="auto" w:fill="auto"/>
          </w:tcPr>
          <w:p w14:paraId="4B46ADFD" w14:textId="77777777" w:rsidR="00315893" w:rsidRPr="00D85E09" w:rsidRDefault="00315893" w:rsidP="0043316B">
            <w:pPr>
              <w:pStyle w:val="Tabletext"/>
              <w:keepNext w:val="0"/>
              <w:widowControl w:val="0"/>
            </w:pPr>
            <w:r w:rsidRPr="00D85E09">
              <w:t>NIHSS &gt; 5 (at the time of randomisation)</w:t>
            </w:r>
          </w:p>
        </w:tc>
        <w:tc>
          <w:tcPr>
            <w:tcW w:w="876" w:type="pct"/>
            <w:shd w:val="clear" w:color="auto" w:fill="auto"/>
          </w:tcPr>
          <w:p w14:paraId="718D98B3" w14:textId="77777777" w:rsidR="00315893" w:rsidRPr="00D85E09" w:rsidRDefault="00315893" w:rsidP="0043316B">
            <w:pPr>
              <w:pStyle w:val="Tabletext"/>
              <w:keepNext w:val="0"/>
              <w:widowControl w:val="0"/>
            </w:pPr>
            <w:r w:rsidRPr="00D85E09">
              <w:t>NA</w:t>
            </w:r>
          </w:p>
        </w:tc>
        <w:tc>
          <w:tcPr>
            <w:tcW w:w="876" w:type="pct"/>
            <w:shd w:val="clear" w:color="auto" w:fill="auto"/>
          </w:tcPr>
          <w:p w14:paraId="60280A67" w14:textId="77777777" w:rsidR="00315893" w:rsidRPr="00D85E09" w:rsidRDefault="00315893" w:rsidP="0043316B">
            <w:pPr>
              <w:pStyle w:val="Tabletext"/>
              <w:keepNext w:val="0"/>
              <w:widowControl w:val="0"/>
            </w:pPr>
            <w:r w:rsidRPr="00D85E09">
              <w:t>NIHSS deficit of 2 points or more</w:t>
            </w:r>
          </w:p>
        </w:tc>
        <w:tc>
          <w:tcPr>
            <w:tcW w:w="876" w:type="pct"/>
            <w:shd w:val="clear" w:color="auto" w:fill="auto"/>
          </w:tcPr>
          <w:p w14:paraId="7B240986" w14:textId="77777777" w:rsidR="00315893" w:rsidRPr="00D85E09" w:rsidRDefault="00315893" w:rsidP="0043316B">
            <w:pPr>
              <w:pStyle w:val="Tabletext"/>
              <w:keepNext w:val="0"/>
              <w:widowControl w:val="0"/>
            </w:pPr>
            <w:r w:rsidRPr="00D85E09">
              <w:t>NIHSS score ≥ 6 (prior to randomisation)</w:t>
            </w:r>
          </w:p>
        </w:tc>
        <w:tc>
          <w:tcPr>
            <w:tcW w:w="877" w:type="pct"/>
            <w:shd w:val="clear" w:color="auto" w:fill="auto"/>
          </w:tcPr>
          <w:p w14:paraId="308E6067" w14:textId="77777777" w:rsidR="00315893" w:rsidRPr="00D85E09" w:rsidRDefault="00315893" w:rsidP="0043316B">
            <w:pPr>
              <w:pStyle w:val="Tabletext"/>
              <w:keepNext w:val="0"/>
              <w:widowControl w:val="0"/>
            </w:pPr>
            <w:r w:rsidRPr="00D85E09">
              <w:t>NIHSS ≥ 8 and &lt; 30 at the time of randomisation</w:t>
            </w:r>
          </w:p>
        </w:tc>
      </w:tr>
      <w:tr w:rsidR="00315893" w:rsidRPr="00D85E09" w14:paraId="48EEF4E0" w14:textId="77777777" w:rsidTr="00465778">
        <w:trPr>
          <w:cantSplit/>
          <w:trHeight w:val="314"/>
        </w:trPr>
        <w:tc>
          <w:tcPr>
            <w:tcW w:w="619" w:type="pct"/>
            <w:shd w:val="clear" w:color="auto" w:fill="auto"/>
          </w:tcPr>
          <w:p w14:paraId="0186B58D" w14:textId="77777777" w:rsidR="00315893" w:rsidRPr="00D85E09" w:rsidRDefault="00315893" w:rsidP="0043316B">
            <w:pPr>
              <w:pStyle w:val="Tabletext"/>
              <w:keepNext w:val="0"/>
              <w:widowControl w:val="0"/>
            </w:pPr>
            <w:r w:rsidRPr="00D85E09">
              <w:t>Pre-stroke independent functional status</w:t>
            </w:r>
          </w:p>
        </w:tc>
        <w:tc>
          <w:tcPr>
            <w:tcW w:w="876" w:type="pct"/>
            <w:shd w:val="clear" w:color="auto" w:fill="auto"/>
          </w:tcPr>
          <w:p w14:paraId="27EFA270" w14:textId="77777777" w:rsidR="00315893" w:rsidRPr="00D85E09" w:rsidRDefault="00315893" w:rsidP="0043316B">
            <w:pPr>
              <w:pStyle w:val="Tabletext"/>
              <w:keepNext w:val="0"/>
              <w:widowControl w:val="0"/>
            </w:pPr>
            <w:r w:rsidRPr="00D85E09">
              <w:t xml:space="preserve">Modified Barthel Index &gt;90 </w:t>
            </w:r>
          </w:p>
        </w:tc>
        <w:tc>
          <w:tcPr>
            <w:tcW w:w="876" w:type="pct"/>
            <w:shd w:val="clear" w:color="auto" w:fill="auto"/>
          </w:tcPr>
          <w:p w14:paraId="2F376FB7" w14:textId="77777777" w:rsidR="00315893" w:rsidRPr="00D85E09" w:rsidRDefault="00315893" w:rsidP="0043316B">
            <w:pPr>
              <w:pStyle w:val="Tabletext"/>
              <w:keepNext w:val="0"/>
              <w:widowControl w:val="0"/>
            </w:pPr>
            <w:r w:rsidRPr="00D85E09">
              <w:t>NA</w:t>
            </w:r>
          </w:p>
        </w:tc>
        <w:tc>
          <w:tcPr>
            <w:tcW w:w="876" w:type="pct"/>
            <w:shd w:val="clear" w:color="auto" w:fill="auto"/>
          </w:tcPr>
          <w:p w14:paraId="7CC59A54" w14:textId="77777777" w:rsidR="00315893" w:rsidRPr="00D85E09" w:rsidRDefault="00315893" w:rsidP="0043316B">
            <w:pPr>
              <w:pStyle w:val="Tabletext"/>
              <w:keepNext w:val="0"/>
              <w:widowControl w:val="0"/>
            </w:pPr>
            <w:r w:rsidRPr="00D85E09">
              <w:t>NA</w:t>
            </w:r>
          </w:p>
        </w:tc>
        <w:tc>
          <w:tcPr>
            <w:tcW w:w="876" w:type="pct"/>
            <w:shd w:val="clear" w:color="auto" w:fill="auto"/>
          </w:tcPr>
          <w:p w14:paraId="43BE7EB7" w14:textId="77777777" w:rsidR="00315893" w:rsidRPr="00D85E09" w:rsidRDefault="00315893" w:rsidP="0043316B">
            <w:pPr>
              <w:pStyle w:val="Tabletext"/>
              <w:keepNext w:val="0"/>
              <w:widowControl w:val="0"/>
            </w:pPr>
            <w:r w:rsidRPr="00D85E09">
              <w:t>mRS ≤ 1</w:t>
            </w:r>
          </w:p>
        </w:tc>
        <w:tc>
          <w:tcPr>
            <w:tcW w:w="877" w:type="pct"/>
            <w:shd w:val="clear" w:color="auto" w:fill="auto"/>
          </w:tcPr>
          <w:p w14:paraId="7E100DD1" w14:textId="77777777" w:rsidR="00315893" w:rsidRPr="00D85E09" w:rsidRDefault="00315893" w:rsidP="0043316B">
            <w:pPr>
              <w:pStyle w:val="Tabletext"/>
              <w:keepNext w:val="0"/>
              <w:widowControl w:val="0"/>
            </w:pPr>
            <w:r w:rsidRPr="00D85E09">
              <w:t>mRS ≤ 1</w:t>
            </w:r>
          </w:p>
        </w:tc>
      </w:tr>
      <w:tr w:rsidR="00315893" w:rsidRPr="00D85E09" w14:paraId="349524E8" w14:textId="77777777" w:rsidTr="00465778">
        <w:trPr>
          <w:cantSplit/>
          <w:trHeight w:val="314"/>
        </w:trPr>
        <w:tc>
          <w:tcPr>
            <w:tcW w:w="619" w:type="pct"/>
            <w:shd w:val="clear" w:color="auto" w:fill="auto"/>
          </w:tcPr>
          <w:p w14:paraId="12350939" w14:textId="77777777" w:rsidR="00315893" w:rsidRPr="00D85E09" w:rsidRDefault="00315893" w:rsidP="0043316B">
            <w:pPr>
              <w:pStyle w:val="Tabletext"/>
              <w:keepNext w:val="0"/>
              <w:widowControl w:val="0"/>
            </w:pPr>
            <w:r w:rsidRPr="00D85E09">
              <w:t>Imaging diagnosis</w:t>
            </w:r>
          </w:p>
        </w:tc>
        <w:tc>
          <w:tcPr>
            <w:tcW w:w="876" w:type="pct"/>
            <w:shd w:val="clear" w:color="auto" w:fill="auto"/>
          </w:tcPr>
          <w:p w14:paraId="17AF8D00" w14:textId="77777777" w:rsidR="00315893" w:rsidRPr="00D85E09" w:rsidRDefault="00315893" w:rsidP="0043316B">
            <w:pPr>
              <w:pStyle w:val="Tabletext"/>
              <w:keepNext w:val="0"/>
              <w:widowControl w:val="0"/>
            </w:pPr>
            <w:r w:rsidRPr="00D85E09">
              <w:t>Confirmed symptomatic intra-cranial occlusion based on single phase, multiphase or dynamic CTA, at one or more of the following locations:</w:t>
            </w:r>
          </w:p>
          <w:p w14:paraId="44C102CE" w14:textId="77777777" w:rsidR="00315893" w:rsidRPr="00D85E09" w:rsidRDefault="00315893" w:rsidP="0043316B">
            <w:pPr>
              <w:pStyle w:val="Tabletext"/>
              <w:keepNext w:val="0"/>
              <w:widowControl w:val="0"/>
            </w:pPr>
            <w:r w:rsidRPr="00D85E09">
              <w:t>Carotid T/L, M1 MCA or M1-MCA equivalent (2 or more M2-MCAs).</w:t>
            </w:r>
          </w:p>
          <w:p w14:paraId="3B956F74" w14:textId="11C636E3" w:rsidR="00315893" w:rsidRPr="00D85E09" w:rsidRDefault="00315893" w:rsidP="0043316B">
            <w:pPr>
              <w:pStyle w:val="Tabletext"/>
              <w:keepNext w:val="0"/>
              <w:widowControl w:val="0"/>
            </w:pPr>
            <w:r w:rsidRPr="00D85E09">
              <w:t>Non-contrast CT and CTA for trial eligibility performed or repeated at ESCAPE stroke centre with endovascular suite on</w:t>
            </w:r>
            <w:r w:rsidR="00300BB6" w:rsidRPr="00D85E09">
              <w:t>site</w:t>
            </w:r>
          </w:p>
        </w:tc>
        <w:tc>
          <w:tcPr>
            <w:tcW w:w="876" w:type="pct"/>
            <w:shd w:val="clear" w:color="auto" w:fill="auto"/>
          </w:tcPr>
          <w:p w14:paraId="6EE18E14" w14:textId="77777777" w:rsidR="00315893" w:rsidRPr="00D85E09" w:rsidRDefault="00315893" w:rsidP="0043316B">
            <w:pPr>
              <w:pStyle w:val="Tabletext"/>
              <w:keepNext w:val="0"/>
              <w:widowControl w:val="0"/>
            </w:pPr>
            <w:r w:rsidRPr="00D85E09">
              <w:t>Arterial occlusion on CT or MR angiography of the ICA, M1, or M2</w:t>
            </w:r>
          </w:p>
          <w:p w14:paraId="5E148668" w14:textId="77777777" w:rsidR="00315893" w:rsidRPr="00D85E09" w:rsidRDefault="00315893" w:rsidP="0043316B">
            <w:pPr>
              <w:pStyle w:val="Tabletext"/>
              <w:keepNext w:val="0"/>
              <w:widowControl w:val="0"/>
            </w:pPr>
            <w:r w:rsidRPr="00D85E09">
              <w:t xml:space="preserve">Mismatch – using CT or MRI with a Tmax </w:t>
            </w:r>
            <w:r w:rsidRPr="00D85E09">
              <w:rPr>
                <w:rFonts w:eastAsia="BSSymbol-Medium"/>
              </w:rPr>
              <w:t>&gt;</w:t>
            </w:r>
            <w:r w:rsidRPr="00D85E09">
              <w:t>6 s delay perfusion volume and either CT-rCBF or DWI ischaemic core volume</w:t>
            </w:r>
          </w:p>
        </w:tc>
        <w:tc>
          <w:tcPr>
            <w:tcW w:w="876" w:type="pct"/>
            <w:shd w:val="clear" w:color="auto" w:fill="auto"/>
          </w:tcPr>
          <w:p w14:paraId="54752869" w14:textId="77777777" w:rsidR="00315893" w:rsidRPr="00D85E09" w:rsidRDefault="00315893" w:rsidP="0043316B">
            <w:pPr>
              <w:pStyle w:val="Tabletext"/>
              <w:keepNext w:val="0"/>
              <w:widowControl w:val="0"/>
            </w:pPr>
            <w:r w:rsidRPr="00D85E09">
              <w:t>Intra-cranial arterial occlusion of the distal intra-cranial carotid artery or middle (M1/M2) or anterior (A1/A2) cerebral artery, demonstrated with CTA, MRA or DSA</w:t>
            </w:r>
          </w:p>
        </w:tc>
        <w:tc>
          <w:tcPr>
            <w:tcW w:w="876" w:type="pct"/>
            <w:shd w:val="clear" w:color="auto" w:fill="auto"/>
          </w:tcPr>
          <w:p w14:paraId="2D9C1BD0" w14:textId="77777777" w:rsidR="00315893" w:rsidRPr="00D85E09" w:rsidRDefault="00315893" w:rsidP="0043316B">
            <w:pPr>
              <w:pStyle w:val="Tabletext"/>
              <w:keepNext w:val="0"/>
              <w:widowControl w:val="0"/>
            </w:pPr>
            <w:r w:rsidRPr="00D85E09">
              <w:t>Occlusion (TICI 0-1) of the intra-cranial ICA (distal ICA or T occlusions), MCA-M1 segment or tandem proximal ICA/MCA-M1 suitable for endovascular treatment, as evidenced by CTA, MRA or angiogram, with or without concomitant cervical carotid occlusion or stenosis</w:t>
            </w:r>
          </w:p>
        </w:tc>
        <w:tc>
          <w:tcPr>
            <w:tcW w:w="877" w:type="pct"/>
            <w:shd w:val="clear" w:color="auto" w:fill="auto"/>
          </w:tcPr>
          <w:p w14:paraId="58E3C1F8" w14:textId="77777777" w:rsidR="00315893" w:rsidRPr="00D85E09" w:rsidRDefault="00315893" w:rsidP="0043316B">
            <w:pPr>
              <w:pStyle w:val="Tabletext"/>
              <w:keepNext w:val="0"/>
              <w:widowControl w:val="0"/>
            </w:pPr>
            <w:r w:rsidRPr="00D85E09">
              <w:t>TICI 0-1 flow in the intra-cranial internal carotid artery, M1 segment of the MCA, or carotid terminus confirmed by CT or MR angiography that is accessible to the Solitaire FR Device.</w:t>
            </w:r>
          </w:p>
        </w:tc>
      </w:tr>
      <w:tr w:rsidR="00315893" w:rsidRPr="00D85E09" w14:paraId="2ACFF6DA" w14:textId="77777777" w:rsidTr="00465778">
        <w:trPr>
          <w:cantSplit/>
          <w:trHeight w:val="314"/>
        </w:trPr>
        <w:tc>
          <w:tcPr>
            <w:tcW w:w="619" w:type="pct"/>
            <w:shd w:val="clear" w:color="auto" w:fill="auto"/>
          </w:tcPr>
          <w:p w14:paraId="58B59BA4" w14:textId="77777777" w:rsidR="00315893" w:rsidRPr="00D85E09" w:rsidRDefault="00315893" w:rsidP="0043316B">
            <w:pPr>
              <w:pStyle w:val="Tabletext"/>
              <w:keepNext w:val="0"/>
              <w:widowControl w:val="0"/>
            </w:pPr>
            <w:r w:rsidRPr="00D85E09">
              <w:lastRenderedPageBreak/>
              <w:t>Endovascular treatment initiation</w:t>
            </w:r>
          </w:p>
        </w:tc>
        <w:tc>
          <w:tcPr>
            <w:tcW w:w="876" w:type="pct"/>
            <w:shd w:val="clear" w:color="auto" w:fill="auto"/>
          </w:tcPr>
          <w:p w14:paraId="4A20C7BB" w14:textId="77777777" w:rsidR="00315893" w:rsidRPr="00D85E09" w:rsidRDefault="00315893" w:rsidP="0043316B">
            <w:pPr>
              <w:pStyle w:val="Tabletext"/>
              <w:keepNext w:val="0"/>
              <w:widowControl w:val="0"/>
            </w:pPr>
            <w:r w:rsidRPr="00D85E09">
              <w:t>Groin puncture within 60 minutes of baseline non-contrast CT with target CT to first recanalisation of 90 minutes</w:t>
            </w:r>
          </w:p>
          <w:p w14:paraId="669B3303" w14:textId="77777777" w:rsidR="00315893" w:rsidRPr="00D85E09" w:rsidRDefault="00315893" w:rsidP="0043316B">
            <w:pPr>
              <w:pStyle w:val="Tabletext"/>
              <w:keepNext w:val="0"/>
              <w:widowControl w:val="0"/>
            </w:pPr>
          </w:p>
        </w:tc>
        <w:tc>
          <w:tcPr>
            <w:tcW w:w="876" w:type="pct"/>
            <w:shd w:val="clear" w:color="auto" w:fill="auto"/>
          </w:tcPr>
          <w:p w14:paraId="6B00F160" w14:textId="1C5CB5F1" w:rsidR="00315893" w:rsidRPr="00D85E09" w:rsidRDefault="00315893" w:rsidP="0043316B">
            <w:pPr>
              <w:pStyle w:val="Tabletext"/>
              <w:keepNext w:val="0"/>
              <w:widowControl w:val="0"/>
            </w:pPr>
            <w:r w:rsidRPr="00D85E09">
              <w:t>Intra-arterial clot retrieval treatment can commence (groin puncture) within six</w:t>
            </w:r>
            <w:r w:rsidR="00300BB6" w:rsidRPr="00D85E09">
              <w:t xml:space="preserve"> </w:t>
            </w:r>
            <w:r w:rsidRPr="00D85E09">
              <w:t>hours of stroke onset</w:t>
            </w:r>
          </w:p>
        </w:tc>
        <w:tc>
          <w:tcPr>
            <w:tcW w:w="876" w:type="pct"/>
            <w:shd w:val="clear" w:color="auto" w:fill="auto"/>
          </w:tcPr>
          <w:p w14:paraId="1E38D04F" w14:textId="77777777" w:rsidR="00315893" w:rsidRPr="00D85E09" w:rsidRDefault="00315893" w:rsidP="0043316B">
            <w:pPr>
              <w:pStyle w:val="Tabletext"/>
              <w:keepNext w:val="0"/>
              <w:widowControl w:val="0"/>
            </w:pPr>
            <w:r w:rsidRPr="00D85E09">
              <w:t>The possibility to start treatment within 6 hours from onset</w:t>
            </w:r>
          </w:p>
        </w:tc>
        <w:tc>
          <w:tcPr>
            <w:tcW w:w="876" w:type="pct"/>
            <w:shd w:val="clear" w:color="auto" w:fill="auto"/>
          </w:tcPr>
          <w:p w14:paraId="049C37DA" w14:textId="77777777" w:rsidR="00315893" w:rsidRPr="00D85E09" w:rsidRDefault="00315893" w:rsidP="0043316B">
            <w:pPr>
              <w:pStyle w:val="Tabletext"/>
              <w:keepNext w:val="0"/>
              <w:widowControl w:val="0"/>
            </w:pPr>
            <w:r w:rsidRPr="00D85E09">
              <w:t xml:space="preserve">Patient treatable within eight hours of symptom onset (treatment start defined as groin puncture). Symptoms onset is defined as point in time the patient was last seen well (at baseline). </w:t>
            </w:r>
          </w:p>
        </w:tc>
        <w:tc>
          <w:tcPr>
            <w:tcW w:w="877" w:type="pct"/>
            <w:shd w:val="clear" w:color="auto" w:fill="auto"/>
          </w:tcPr>
          <w:p w14:paraId="78174ECE" w14:textId="77777777" w:rsidR="00315893" w:rsidRPr="00D85E09" w:rsidRDefault="00315893" w:rsidP="0043316B">
            <w:pPr>
              <w:pStyle w:val="Tabletext"/>
              <w:keepNext w:val="0"/>
              <w:widowControl w:val="0"/>
            </w:pPr>
            <w:r w:rsidRPr="00D85E09">
              <w:t>Able to undergo initiation of endovascular treatment within 6 hours after the time that they were last known to be well before the onset of acute stroke symptoms.</w:t>
            </w:r>
          </w:p>
          <w:p w14:paraId="31371FE9" w14:textId="77777777" w:rsidR="00315893" w:rsidRPr="00D85E09" w:rsidRDefault="00315893" w:rsidP="0043316B">
            <w:pPr>
              <w:pStyle w:val="Tabletext"/>
              <w:keepNext w:val="0"/>
              <w:widowControl w:val="0"/>
            </w:pPr>
            <w:r w:rsidRPr="00D85E09">
              <w:t>Subject is able to be treated (with minimum 1 deployment of Solitaire FR Device) within 1.5 hours of CTA/PCT or PWI/MRA MRI.</w:t>
            </w:r>
          </w:p>
        </w:tc>
      </w:tr>
      <w:tr w:rsidR="00315893" w:rsidRPr="00D85E09" w14:paraId="69252581" w14:textId="77777777" w:rsidTr="00465778">
        <w:trPr>
          <w:cantSplit/>
        </w:trPr>
        <w:tc>
          <w:tcPr>
            <w:tcW w:w="5000" w:type="pct"/>
            <w:gridSpan w:val="6"/>
            <w:shd w:val="clear" w:color="auto" w:fill="auto"/>
          </w:tcPr>
          <w:p w14:paraId="073DCE6F" w14:textId="77777777" w:rsidR="00315893" w:rsidRPr="00D85E09" w:rsidRDefault="00315893" w:rsidP="0043316B">
            <w:pPr>
              <w:pStyle w:val="Tabletext"/>
              <w:keepNext w:val="0"/>
              <w:widowControl w:val="0"/>
            </w:pPr>
            <w:r w:rsidRPr="00D85E09">
              <w:t>Exclusion criteria</w:t>
            </w:r>
          </w:p>
        </w:tc>
      </w:tr>
      <w:tr w:rsidR="00315893" w:rsidRPr="00D85E09" w14:paraId="4B39A012" w14:textId="77777777" w:rsidTr="00465778">
        <w:tc>
          <w:tcPr>
            <w:tcW w:w="619" w:type="pct"/>
            <w:shd w:val="clear" w:color="auto" w:fill="auto"/>
          </w:tcPr>
          <w:p w14:paraId="511CB402" w14:textId="77777777" w:rsidR="00315893" w:rsidRPr="00D85E09" w:rsidRDefault="00315893" w:rsidP="0043316B">
            <w:pPr>
              <w:pStyle w:val="Tabletext"/>
              <w:keepNext w:val="0"/>
              <w:widowControl w:val="0"/>
            </w:pPr>
            <w:r w:rsidRPr="00D85E09">
              <w:t xml:space="preserve">Current treatment </w:t>
            </w:r>
          </w:p>
        </w:tc>
        <w:tc>
          <w:tcPr>
            <w:tcW w:w="876" w:type="pct"/>
            <w:shd w:val="clear" w:color="auto" w:fill="auto"/>
          </w:tcPr>
          <w:p w14:paraId="55328B04" w14:textId="77777777" w:rsidR="00315893" w:rsidRPr="00D85E09" w:rsidRDefault="00315893" w:rsidP="0043316B">
            <w:pPr>
              <w:pStyle w:val="Tabletext"/>
              <w:keepNext w:val="0"/>
              <w:widowControl w:val="0"/>
            </w:pPr>
          </w:p>
        </w:tc>
        <w:tc>
          <w:tcPr>
            <w:tcW w:w="876" w:type="pct"/>
            <w:shd w:val="clear" w:color="auto" w:fill="auto"/>
          </w:tcPr>
          <w:p w14:paraId="0F0BED93" w14:textId="77777777" w:rsidR="00315893" w:rsidRPr="00D85E09" w:rsidRDefault="00315893" w:rsidP="0043316B">
            <w:pPr>
              <w:pStyle w:val="Tabletext"/>
              <w:keepNext w:val="0"/>
              <w:widowControl w:val="0"/>
            </w:pPr>
          </w:p>
        </w:tc>
        <w:tc>
          <w:tcPr>
            <w:tcW w:w="876" w:type="pct"/>
            <w:shd w:val="clear" w:color="auto" w:fill="auto"/>
          </w:tcPr>
          <w:p w14:paraId="57A5E110" w14:textId="77777777" w:rsidR="00315893" w:rsidRPr="00D85E09" w:rsidRDefault="00315893" w:rsidP="0043316B">
            <w:pPr>
              <w:pStyle w:val="Tabletext"/>
              <w:keepNext w:val="0"/>
              <w:widowControl w:val="0"/>
            </w:pPr>
            <w:r w:rsidRPr="00D85E09">
              <w:t>Intravenous treatment with thrombolytic therapy in a dose exceeding 0.9 mg/kg alteplase</w:t>
            </w:r>
            <w:r w:rsidRPr="00D85E09">
              <w:tab/>
              <w:t>or 90 mg</w:t>
            </w:r>
          </w:p>
          <w:p w14:paraId="11B819A7" w14:textId="77777777" w:rsidR="00315893" w:rsidRPr="00D85E09" w:rsidRDefault="00315893" w:rsidP="0043316B">
            <w:pPr>
              <w:pStyle w:val="Tabletext"/>
              <w:keepNext w:val="0"/>
              <w:widowControl w:val="0"/>
            </w:pPr>
            <w:r w:rsidRPr="00D85E09">
              <w:t>Current treatment with oral thrombin</w:t>
            </w:r>
            <w:r w:rsidRPr="00D85E09">
              <w:tab/>
              <w:t>antagonists, such as argatroban and dabigatran or treatment with oral selective</w:t>
            </w:r>
            <w:r w:rsidRPr="00D85E09">
              <w:tab/>
              <w:t>Factor Xa inhibitors, such as rivaroxaban</w:t>
            </w:r>
          </w:p>
        </w:tc>
        <w:tc>
          <w:tcPr>
            <w:tcW w:w="876" w:type="pct"/>
            <w:shd w:val="clear" w:color="auto" w:fill="auto"/>
          </w:tcPr>
          <w:p w14:paraId="5EBCD24A" w14:textId="6015E579" w:rsidR="00315893" w:rsidRPr="00D85E09" w:rsidRDefault="00315893" w:rsidP="0043316B">
            <w:pPr>
              <w:pStyle w:val="Tabletext"/>
              <w:keepNext w:val="0"/>
              <w:widowControl w:val="0"/>
            </w:pPr>
            <w:r w:rsidRPr="00D85E09">
              <w:t xml:space="preserve">Subjects who have received IV </w:t>
            </w:r>
            <w:r w:rsidR="005B7DCE">
              <w:t>tPA</w:t>
            </w:r>
            <w:r w:rsidRPr="00D85E09">
              <w:t xml:space="preserve"> treatment beyond 4,5 hours from the beginning of the symptoms.</w:t>
            </w:r>
          </w:p>
        </w:tc>
        <w:tc>
          <w:tcPr>
            <w:tcW w:w="877" w:type="pct"/>
            <w:shd w:val="clear" w:color="auto" w:fill="auto"/>
          </w:tcPr>
          <w:p w14:paraId="0CDC4AAF" w14:textId="77777777" w:rsidR="00315893" w:rsidRPr="00D85E09" w:rsidRDefault="00315893" w:rsidP="0043316B">
            <w:pPr>
              <w:pStyle w:val="Tabletext"/>
              <w:keepNext w:val="0"/>
              <w:widowControl w:val="0"/>
            </w:pPr>
            <w:r w:rsidRPr="00D85E09">
              <w:t>Warfarin therapy with INR greater than 1.</w:t>
            </w:r>
          </w:p>
          <w:p w14:paraId="7A29E154" w14:textId="60ED3EA7" w:rsidR="00315893" w:rsidRPr="00D85E09" w:rsidRDefault="00315893" w:rsidP="0043316B">
            <w:pPr>
              <w:pStyle w:val="Tabletext"/>
              <w:keepNext w:val="0"/>
              <w:widowControl w:val="0"/>
            </w:pPr>
            <w:r w:rsidRPr="00D85E09">
              <w:t xml:space="preserve">Low molecular Weight Heparins (such as Dalteparin, Enoxaparin, Tinzaparin, Fondaparinux) as </w:t>
            </w:r>
            <w:r w:rsidR="0070191F" w:rsidRPr="00D85E09">
              <w:t>deep vien thrombosis (</w:t>
            </w:r>
            <w:r w:rsidRPr="00D85E09">
              <w:t>DVT</w:t>
            </w:r>
            <w:r w:rsidR="0070191F" w:rsidRPr="00D85E09">
              <w:t>)</w:t>
            </w:r>
            <w:r w:rsidRPr="00D85E09">
              <w:t xml:space="preserve"> prophylaxis or in full dose within the last 24 hours from screening.</w:t>
            </w:r>
          </w:p>
          <w:p w14:paraId="33B657D7" w14:textId="77777777" w:rsidR="00315893" w:rsidRPr="00D85E09" w:rsidRDefault="00315893" w:rsidP="0043316B">
            <w:pPr>
              <w:pStyle w:val="Tabletext"/>
              <w:keepNext w:val="0"/>
              <w:widowControl w:val="0"/>
            </w:pPr>
            <w:r w:rsidRPr="00D85E09">
              <w:t>Subject who has received heparin or a direct thrombin inhibitor (e.g. rivaroxaban, Angiomax™, argatroban, Refludan™) within the last 48 hours must have a normal partial thromboplastin time (PTT) to be eligible.</w:t>
            </w:r>
          </w:p>
          <w:p w14:paraId="7554A48D" w14:textId="77777777" w:rsidR="00315893" w:rsidRPr="00D85E09" w:rsidRDefault="00315893" w:rsidP="0043316B">
            <w:pPr>
              <w:pStyle w:val="Tabletext"/>
              <w:keepNext w:val="0"/>
              <w:widowControl w:val="0"/>
            </w:pPr>
            <w:r w:rsidRPr="00D85E09">
              <w:t xml:space="preserve">Subject who has received factor Xa inhibitor therapy (e.g. dabigatran) within the </w:t>
            </w:r>
            <w:r w:rsidRPr="00D85E09">
              <w:lastRenderedPageBreak/>
              <w:t>past 24 hours must have a normal ecarin clotting time to be eligible. Subject who has received factor Xa inhibitor therapy more than 24 hours ago but less than 48 hours ago must have a normal partial thromboplastin time (PTT) to be eligible.</w:t>
            </w:r>
          </w:p>
        </w:tc>
      </w:tr>
      <w:tr w:rsidR="00315893" w:rsidRPr="00D85E09" w14:paraId="5BEFC755" w14:textId="77777777" w:rsidTr="00465778">
        <w:tc>
          <w:tcPr>
            <w:tcW w:w="619" w:type="pct"/>
            <w:shd w:val="clear" w:color="auto" w:fill="auto"/>
          </w:tcPr>
          <w:p w14:paraId="7CBEAD46" w14:textId="77777777" w:rsidR="00315893" w:rsidRPr="00D85E09" w:rsidRDefault="00315893" w:rsidP="0043316B">
            <w:pPr>
              <w:pStyle w:val="Tabletext"/>
              <w:keepNext w:val="0"/>
              <w:widowControl w:val="0"/>
            </w:pPr>
            <w:r w:rsidRPr="00D85E09">
              <w:lastRenderedPageBreak/>
              <w:t>Stroke history/after stroke presentation</w:t>
            </w:r>
          </w:p>
        </w:tc>
        <w:tc>
          <w:tcPr>
            <w:tcW w:w="876" w:type="pct"/>
            <w:shd w:val="clear" w:color="auto" w:fill="auto"/>
          </w:tcPr>
          <w:p w14:paraId="3A0A555C" w14:textId="77777777" w:rsidR="00315893" w:rsidRPr="00D85E09" w:rsidRDefault="00315893" w:rsidP="0043316B">
            <w:pPr>
              <w:pStyle w:val="Tabletext"/>
              <w:keepNext w:val="0"/>
              <w:widowControl w:val="0"/>
            </w:pPr>
          </w:p>
        </w:tc>
        <w:tc>
          <w:tcPr>
            <w:tcW w:w="876" w:type="pct"/>
            <w:shd w:val="clear" w:color="auto" w:fill="auto"/>
          </w:tcPr>
          <w:p w14:paraId="397978DF" w14:textId="77777777" w:rsidR="00315893" w:rsidRPr="00D85E09" w:rsidRDefault="00315893" w:rsidP="0043316B">
            <w:pPr>
              <w:pStyle w:val="Tabletext"/>
              <w:keepNext w:val="0"/>
              <w:widowControl w:val="0"/>
            </w:pPr>
          </w:p>
        </w:tc>
        <w:tc>
          <w:tcPr>
            <w:tcW w:w="876" w:type="pct"/>
            <w:shd w:val="clear" w:color="auto" w:fill="auto"/>
          </w:tcPr>
          <w:p w14:paraId="041EE3AC" w14:textId="77777777" w:rsidR="00315893" w:rsidRPr="00D85E09" w:rsidRDefault="00315893" w:rsidP="0043316B">
            <w:pPr>
              <w:pStyle w:val="Tabletext"/>
              <w:keepNext w:val="0"/>
              <w:widowControl w:val="0"/>
            </w:pPr>
          </w:p>
        </w:tc>
        <w:tc>
          <w:tcPr>
            <w:tcW w:w="876" w:type="pct"/>
            <w:shd w:val="clear" w:color="auto" w:fill="auto"/>
          </w:tcPr>
          <w:p w14:paraId="3010FD1A" w14:textId="451C6783" w:rsidR="00315893" w:rsidRPr="00D85E09" w:rsidRDefault="00315893" w:rsidP="0070191F">
            <w:pPr>
              <w:pStyle w:val="Tabletext"/>
              <w:keepNext w:val="0"/>
              <w:widowControl w:val="0"/>
            </w:pPr>
            <w:r w:rsidRPr="00D85E09">
              <w:t>Patients with acute stroke within the first 48 hours after percutaneous cardiac or cerebrovascular interventions and major surgery (beyond 48h they should be randomised in REVASCAT</w:t>
            </w:r>
            <w:r w:rsidR="0070191F" w:rsidRPr="00D85E09">
              <w:t>)</w:t>
            </w:r>
          </w:p>
        </w:tc>
        <w:tc>
          <w:tcPr>
            <w:tcW w:w="877" w:type="pct"/>
            <w:shd w:val="clear" w:color="auto" w:fill="auto"/>
          </w:tcPr>
          <w:p w14:paraId="16CA8A17" w14:textId="77777777" w:rsidR="00315893" w:rsidRPr="00D85E09" w:rsidRDefault="00315893" w:rsidP="0043316B">
            <w:pPr>
              <w:pStyle w:val="Tabletext"/>
              <w:keepNext w:val="0"/>
              <w:widowControl w:val="0"/>
            </w:pPr>
            <w:r w:rsidRPr="00D85E09">
              <w:t>History of stroke in the past 3 months</w:t>
            </w:r>
          </w:p>
          <w:p w14:paraId="73205E4F" w14:textId="77777777" w:rsidR="00315893" w:rsidRPr="00D85E09" w:rsidRDefault="00315893" w:rsidP="0043316B">
            <w:pPr>
              <w:pStyle w:val="Tabletext"/>
              <w:keepNext w:val="0"/>
              <w:widowControl w:val="0"/>
            </w:pPr>
            <w:r w:rsidRPr="00D85E09">
              <w:t>Rapid neurological improvement prior to study randomisation suggesting resolution of signs/symptoms of stroke.</w:t>
            </w:r>
          </w:p>
          <w:p w14:paraId="3BCEE141" w14:textId="77777777" w:rsidR="00315893" w:rsidRPr="00D85E09" w:rsidRDefault="00315893" w:rsidP="0043316B">
            <w:pPr>
              <w:pStyle w:val="Tabletext"/>
              <w:keepNext w:val="0"/>
              <w:widowControl w:val="0"/>
            </w:pPr>
            <w:r w:rsidRPr="00D85E09">
              <w:t>Previous intra-cranial haemorrhage, neoplasm, subarachnoid haemorrhage, cerebral aneurysm, or arteriovenous malformation</w:t>
            </w:r>
          </w:p>
          <w:p w14:paraId="0AA44B77" w14:textId="77777777" w:rsidR="00315893" w:rsidRPr="00D85E09" w:rsidRDefault="00315893" w:rsidP="0043316B">
            <w:pPr>
              <w:pStyle w:val="Tabletext"/>
              <w:keepNext w:val="0"/>
              <w:widowControl w:val="0"/>
            </w:pPr>
            <w:r w:rsidRPr="00D85E09">
              <w:t>Clinical presentation suggests a subarachnoid haemorrhage, even if initial CT or MRI scan is normal</w:t>
            </w:r>
          </w:p>
        </w:tc>
      </w:tr>
      <w:tr w:rsidR="00315893" w:rsidRPr="00D85E09" w14:paraId="3500C3BB" w14:textId="77777777" w:rsidTr="00465778">
        <w:tc>
          <w:tcPr>
            <w:tcW w:w="619" w:type="pct"/>
            <w:shd w:val="clear" w:color="auto" w:fill="auto"/>
          </w:tcPr>
          <w:p w14:paraId="18BEDD13" w14:textId="77777777" w:rsidR="00315893" w:rsidRPr="00D85E09" w:rsidRDefault="00315893" w:rsidP="0043316B">
            <w:pPr>
              <w:pStyle w:val="Tabletext"/>
              <w:keepNext w:val="0"/>
              <w:widowControl w:val="0"/>
            </w:pPr>
            <w:r w:rsidRPr="00D85E09">
              <w:t>Contraindications</w:t>
            </w:r>
          </w:p>
        </w:tc>
        <w:tc>
          <w:tcPr>
            <w:tcW w:w="876" w:type="pct"/>
            <w:shd w:val="clear" w:color="auto" w:fill="auto"/>
          </w:tcPr>
          <w:p w14:paraId="6D33E988" w14:textId="77777777" w:rsidR="00315893" w:rsidRPr="00D85E09" w:rsidRDefault="00315893" w:rsidP="0043316B">
            <w:pPr>
              <w:pStyle w:val="Tabletext"/>
              <w:keepNext w:val="0"/>
              <w:widowControl w:val="0"/>
            </w:pPr>
          </w:p>
        </w:tc>
        <w:tc>
          <w:tcPr>
            <w:tcW w:w="876" w:type="pct"/>
            <w:shd w:val="clear" w:color="auto" w:fill="auto"/>
          </w:tcPr>
          <w:p w14:paraId="7B92F91E" w14:textId="77777777" w:rsidR="00315893" w:rsidRPr="00D85E09" w:rsidRDefault="00315893" w:rsidP="0043316B">
            <w:pPr>
              <w:pStyle w:val="Tabletext"/>
              <w:keepNext w:val="0"/>
              <w:widowControl w:val="0"/>
            </w:pPr>
            <w:r w:rsidRPr="00D85E09">
              <w:t>Standard contraindications to intravenous tPA</w:t>
            </w:r>
          </w:p>
        </w:tc>
        <w:tc>
          <w:tcPr>
            <w:tcW w:w="876" w:type="pct"/>
            <w:shd w:val="clear" w:color="auto" w:fill="auto"/>
          </w:tcPr>
          <w:p w14:paraId="506BF7B2" w14:textId="54DD7B14" w:rsidR="00315893" w:rsidRPr="00D85E09" w:rsidRDefault="00315893" w:rsidP="0043316B">
            <w:pPr>
              <w:pStyle w:val="Tabletext"/>
              <w:keepNext w:val="0"/>
              <w:widowControl w:val="0"/>
            </w:pPr>
            <w:r w:rsidRPr="00D85E09">
              <w:t xml:space="preserve">Intravenous treatment with thrombolytic therapy despite contraindications, i.e. major surgery, gastrointestinal bleeding or urinary tract bleeding within the previous 2 weeks, or arterial puncture at </w:t>
            </w:r>
            <w:r w:rsidRPr="00D85E09">
              <w:br/>
            </w:r>
            <w:r w:rsidRPr="00D85E09">
              <w:lastRenderedPageBreak/>
              <w:t>a non</w:t>
            </w:r>
            <w:r w:rsidR="00300BB6" w:rsidRPr="00D85E09">
              <w:t>compressible</w:t>
            </w:r>
            <w:r w:rsidRPr="00D85E09">
              <w:t xml:space="preserve"> site within the previous 7 days</w:t>
            </w:r>
          </w:p>
        </w:tc>
        <w:tc>
          <w:tcPr>
            <w:tcW w:w="876" w:type="pct"/>
            <w:shd w:val="clear" w:color="auto" w:fill="auto"/>
          </w:tcPr>
          <w:p w14:paraId="590A54FC" w14:textId="77777777" w:rsidR="00315893" w:rsidRPr="00D85E09" w:rsidRDefault="00315893" w:rsidP="0043316B">
            <w:pPr>
              <w:pStyle w:val="Tabletext"/>
              <w:keepNext w:val="0"/>
              <w:widowControl w:val="0"/>
            </w:pPr>
          </w:p>
        </w:tc>
        <w:tc>
          <w:tcPr>
            <w:tcW w:w="877" w:type="pct"/>
            <w:shd w:val="clear" w:color="auto" w:fill="auto"/>
          </w:tcPr>
          <w:p w14:paraId="7C6B21E8" w14:textId="77777777" w:rsidR="00315893" w:rsidRPr="00D85E09" w:rsidRDefault="00315893" w:rsidP="0043316B">
            <w:pPr>
              <w:pStyle w:val="Tabletext"/>
              <w:keepNext w:val="0"/>
              <w:widowControl w:val="0"/>
            </w:pPr>
          </w:p>
        </w:tc>
      </w:tr>
      <w:tr w:rsidR="00315893" w:rsidRPr="00D85E09" w14:paraId="6003F78E" w14:textId="77777777" w:rsidTr="00465778">
        <w:tc>
          <w:tcPr>
            <w:tcW w:w="619" w:type="pct"/>
            <w:shd w:val="clear" w:color="auto" w:fill="auto"/>
          </w:tcPr>
          <w:p w14:paraId="7961BFE9" w14:textId="77777777" w:rsidR="00315893" w:rsidRPr="00D85E09" w:rsidRDefault="00315893" w:rsidP="0043316B">
            <w:pPr>
              <w:pStyle w:val="Tabletext"/>
              <w:keepNext w:val="0"/>
              <w:widowControl w:val="0"/>
            </w:pPr>
            <w:r w:rsidRPr="00D85E09">
              <w:lastRenderedPageBreak/>
              <w:t>Imaging diagnosis</w:t>
            </w:r>
          </w:p>
        </w:tc>
        <w:tc>
          <w:tcPr>
            <w:tcW w:w="876" w:type="pct"/>
            <w:shd w:val="clear" w:color="auto" w:fill="auto"/>
          </w:tcPr>
          <w:p w14:paraId="360C4BD3" w14:textId="77777777" w:rsidR="00315893" w:rsidRPr="00D85E09" w:rsidRDefault="00315893" w:rsidP="0043316B">
            <w:pPr>
              <w:pStyle w:val="Tabletext"/>
              <w:keepNext w:val="0"/>
              <w:widowControl w:val="0"/>
            </w:pPr>
            <w:r w:rsidRPr="00D85E09">
              <w:t>Baseline non-contrast CT reveals a moderate/large core defined as extensive early ischaemic changes of ASPECTS 0-5 in the territory of symptomatic intra-cranial occlusion</w:t>
            </w:r>
          </w:p>
        </w:tc>
        <w:tc>
          <w:tcPr>
            <w:tcW w:w="876" w:type="pct"/>
            <w:shd w:val="clear" w:color="auto" w:fill="auto"/>
          </w:tcPr>
          <w:p w14:paraId="10C5B300" w14:textId="77777777" w:rsidR="00315893" w:rsidRPr="00D85E09" w:rsidRDefault="00315893" w:rsidP="0043316B">
            <w:pPr>
              <w:pStyle w:val="Tabletext"/>
              <w:keepNext w:val="0"/>
              <w:widowControl w:val="0"/>
            </w:pPr>
          </w:p>
        </w:tc>
        <w:tc>
          <w:tcPr>
            <w:tcW w:w="876" w:type="pct"/>
            <w:shd w:val="clear" w:color="auto" w:fill="auto"/>
          </w:tcPr>
          <w:p w14:paraId="0B70B635" w14:textId="77777777" w:rsidR="00315893" w:rsidRPr="00D85E09" w:rsidRDefault="00315893" w:rsidP="0043316B">
            <w:pPr>
              <w:pStyle w:val="Tabletext"/>
              <w:keepNext w:val="0"/>
              <w:widowControl w:val="0"/>
            </w:pPr>
          </w:p>
        </w:tc>
        <w:tc>
          <w:tcPr>
            <w:tcW w:w="876" w:type="pct"/>
            <w:shd w:val="clear" w:color="auto" w:fill="auto"/>
          </w:tcPr>
          <w:p w14:paraId="7E0AD35C" w14:textId="77777777" w:rsidR="00315893" w:rsidRPr="00D85E09" w:rsidRDefault="00315893" w:rsidP="0043316B">
            <w:pPr>
              <w:pStyle w:val="Tabletext"/>
              <w:keepNext w:val="0"/>
              <w:widowControl w:val="0"/>
            </w:pPr>
            <w:r w:rsidRPr="00D85E09">
              <w:t>CT or MR evidence of haemorrhage (the presence of microbleeds is allowed).</w:t>
            </w:r>
          </w:p>
          <w:p w14:paraId="005B74E6" w14:textId="77777777" w:rsidR="00315893" w:rsidRPr="00D85E09" w:rsidRDefault="00315893" w:rsidP="0043316B">
            <w:pPr>
              <w:pStyle w:val="Tabletext"/>
              <w:keepNext w:val="0"/>
              <w:widowControl w:val="0"/>
            </w:pPr>
            <w:r w:rsidRPr="00D85E09">
              <w:t>Significant mass effect with midline shift.</w:t>
            </w:r>
          </w:p>
          <w:p w14:paraId="4FA0546D" w14:textId="77777777" w:rsidR="00315893" w:rsidRPr="00D85E09" w:rsidRDefault="00315893" w:rsidP="0043316B">
            <w:pPr>
              <w:pStyle w:val="Tabletext"/>
              <w:keepNext w:val="0"/>
              <w:widowControl w:val="0"/>
            </w:pPr>
            <w:r w:rsidRPr="00D85E09">
              <w:t>Evidence of ipsilateral carotid occlusion, high grade stenosis or arterial dissection in the extracranial or petrous segment of the internal carotid artery that cannot be treated or will prevent access to the intra-cranial clot or excessive tortuosity of cervical vessels precluding device delivery/deployment</w:t>
            </w:r>
          </w:p>
          <w:p w14:paraId="54D3AE44" w14:textId="77777777" w:rsidR="00315893" w:rsidRPr="00D85E09" w:rsidRDefault="00315893" w:rsidP="0043316B">
            <w:pPr>
              <w:pStyle w:val="Tabletext"/>
              <w:keepNext w:val="0"/>
              <w:widowControl w:val="0"/>
            </w:pPr>
            <w:r w:rsidRPr="00D85E09">
              <w:t>Subjects with occlusions in multiple vascular territories (e.g., bilateral anterior circulation, or anterior/posterior circulation)</w:t>
            </w:r>
          </w:p>
          <w:p w14:paraId="57D158AB" w14:textId="77777777" w:rsidR="00315893" w:rsidRPr="00D85E09" w:rsidRDefault="00315893" w:rsidP="0043316B">
            <w:pPr>
              <w:pStyle w:val="Tabletext"/>
              <w:keepNext w:val="0"/>
              <w:widowControl w:val="0"/>
            </w:pPr>
            <w:r w:rsidRPr="00D85E09">
              <w:t>Evidence of intra-cranial tumour (except small meningioma)</w:t>
            </w:r>
          </w:p>
        </w:tc>
        <w:tc>
          <w:tcPr>
            <w:tcW w:w="877" w:type="pct"/>
            <w:shd w:val="clear" w:color="auto" w:fill="auto"/>
          </w:tcPr>
          <w:p w14:paraId="15437C87" w14:textId="77777777" w:rsidR="00315893" w:rsidRPr="00D85E09" w:rsidRDefault="00315893" w:rsidP="0043316B">
            <w:pPr>
              <w:pStyle w:val="Tabletext"/>
              <w:keepNext w:val="0"/>
              <w:widowControl w:val="0"/>
            </w:pPr>
            <w:r w:rsidRPr="00D85E09">
              <w:t>CT or MRI evidence of haemorrhage on presentation</w:t>
            </w:r>
          </w:p>
          <w:p w14:paraId="590D09CE" w14:textId="77777777" w:rsidR="00315893" w:rsidRPr="00D85E09" w:rsidRDefault="00315893" w:rsidP="0043316B">
            <w:pPr>
              <w:pStyle w:val="Tabletext"/>
              <w:keepNext w:val="0"/>
              <w:widowControl w:val="0"/>
            </w:pPr>
            <w:r w:rsidRPr="00D85E09">
              <w:t>CT showing hypodensity or MRI showing hyperintensity involving greater than 1/3 of the MCA territory (or in other territories, &gt;100 cc of tissue) on presentation</w:t>
            </w:r>
          </w:p>
          <w:p w14:paraId="643DF79B" w14:textId="77777777" w:rsidR="00315893" w:rsidRPr="00D85E09" w:rsidRDefault="00315893" w:rsidP="0043316B">
            <w:pPr>
              <w:pStyle w:val="Tabletext"/>
              <w:keepNext w:val="0"/>
              <w:widowControl w:val="0"/>
            </w:pPr>
            <w:r w:rsidRPr="00D85E09">
              <w:t>CT or MRI evidence of mass effect or intra-cranial tumour (except small meningioma)</w:t>
            </w:r>
          </w:p>
          <w:p w14:paraId="3850D1FF" w14:textId="77777777" w:rsidR="00315893" w:rsidRPr="00D85E09" w:rsidRDefault="00315893" w:rsidP="0043316B">
            <w:pPr>
              <w:pStyle w:val="Tabletext"/>
              <w:keepNext w:val="0"/>
              <w:widowControl w:val="0"/>
            </w:pPr>
            <w:r w:rsidRPr="00D85E09">
              <w:t>Angiographic evidence of carotid dissection or complete cervical carotid occlusion</w:t>
            </w:r>
          </w:p>
          <w:p w14:paraId="0F94F191" w14:textId="77777777" w:rsidR="00315893" w:rsidRPr="00D85E09" w:rsidRDefault="00315893" w:rsidP="0043316B">
            <w:pPr>
              <w:pStyle w:val="Tabletext"/>
              <w:keepNext w:val="0"/>
              <w:widowControl w:val="0"/>
            </w:pPr>
            <w:r w:rsidRPr="00D85E09">
              <w:t>Arterial tortuosity, calcification, pre-existing stent, and/or stenosis which would prevent the device from reaching the target vessel and/or preclude safe recovery of the device</w:t>
            </w:r>
          </w:p>
        </w:tc>
      </w:tr>
      <w:tr w:rsidR="00315893" w:rsidRPr="00D85E09" w14:paraId="345A240A" w14:textId="77777777" w:rsidTr="00465778">
        <w:tc>
          <w:tcPr>
            <w:tcW w:w="619" w:type="pct"/>
            <w:shd w:val="clear" w:color="auto" w:fill="auto"/>
          </w:tcPr>
          <w:p w14:paraId="133CDF0D" w14:textId="77777777" w:rsidR="00315893" w:rsidRPr="00D85E09" w:rsidRDefault="00315893" w:rsidP="0043316B">
            <w:pPr>
              <w:pStyle w:val="Tabletext"/>
              <w:keepNext w:val="0"/>
              <w:widowControl w:val="0"/>
            </w:pPr>
            <w:r w:rsidRPr="00D85E09">
              <w:t>Imaging complications</w:t>
            </w:r>
          </w:p>
        </w:tc>
        <w:tc>
          <w:tcPr>
            <w:tcW w:w="876" w:type="pct"/>
            <w:shd w:val="clear" w:color="auto" w:fill="auto"/>
          </w:tcPr>
          <w:p w14:paraId="2145AEBF" w14:textId="77777777" w:rsidR="00315893" w:rsidRPr="00D85E09" w:rsidRDefault="00315893" w:rsidP="0043316B">
            <w:pPr>
              <w:pStyle w:val="Tabletext"/>
              <w:keepNext w:val="0"/>
              <w:widowControl w:val="0"/>
            </w:pPr>
            <w:r w:rsidRPr="00D85E09">
              <w:t>Severe contrast allergy or absolute contraindication to iodinated contrast</w:t>
            </w:r>
          </w:p>
        </w:tc>
        <w:tc>
          <w:tcPr>
            <w:tcW w:w="876" w:type="pct"/>
            <w:shd w:val="clear" w:color="auto" w:fill="auto"/>
          </w:tcPr>
          <w:p w14:paraId="094D91A2" w14:textId="77777777" w:rsidR="00315893" w:rsidRPr="00D85E09" w:rsidRDefault="00315893" w:rsidP="0043316B">
            <w:pPr>
              <w:pStyle w:val="Tabletext"/>
              <w:keepNext w:val="0"/>
              <w:widowControl w:val="0"/>
            </w:pPr>
            <w:r w:rsidRPr="00D85E09">
              <w:t>Contraindication to imaging with contrast agents</w:t>
            </w:r>
          </w:p>
        </w:tc>
        <w:tc>
          <w:tcPr>
            <w:tcW w:w="876" w:type="pct"/>
            <w:shd w:val="clear" w:color="auto" w:fill="auto"/>
          </w:tcPr>
          <w:p w14:paraId="7FD8A8D3" w14:textId="77777777" w:rsidR="00315893" w:rsidRPr="00D85E09" w:rsidRDefault="00315893" w:rsidP="0043316B">
            <w:pPr>
              <w:pStyle w:val="Tabletext"/>
              <w:keepNext w:val="0"/>
              <w:widowControl w:val="0"/>
            </w:pPr>
          </w:p>
        </w:tc>
        <w:tc>
          <w:tcPr>
            <w:tcW w:w="876" w:type="pct"/>
            <w:shd w:val="clear" w:color="auto" w:fill="auto"/>
          </w:tcPr>
          <w:p w14:paraId="35D1909A" w14:textId="77777777" w:rsidR="00315893" w:rsidRPr="00D85E09" w:rsidRDefault="00315893" w:rsidP="0043316B">
            <w:pPr>
              <w:pStyle w:val="Tabletext"/>
              <w:keepNext w:val="0"/>
              <w:widowControl w:val="0"/>
            </w:pPr>
          </w:p>
        </w:tc>
        <w:tc>
          <w:tcPr>
            <w:tcW w:w="877" w:type="pct"/>
            <w:shd w:val="clear" w:color="auto" w:fill="auto"/>
          </w:tcPr>
          <w:p w14:paraId="43A537CA" w14:textId="77777777" w:rsidR="00315893" w:rsidRPr="00D85E09" w:rsidRDefault="00315893" w:rsidP="0043316B">
            <w:pPr>
              <w:pStyle w:val="Tabletext"/>
              <w:keepNext w:val="0"/>
              <w:widowControl w:val="0"/>
            </w:pPr>
            <w:r w:rsidRPr="00D85E09">
              <w:t>Known serious sensitivity to radiographic contrast agents.</w:t>
            </w:r>
          </w:p>
        </w:tc>
      </w:tr>
      <w:tr w:rsidR="00315893" w:rsidRPr="00D85E09" w14:paraId="6558C946" w14:textId="77777777" w:rsidTr="00465778">
        <w:tc>
          <w:tcPr>
            <w:tcW w:w="619" w:type="pct"/>
            <w:shd w:val="clear" w:color="auto" w:fill="auto"/>
          </w:tcPr>
          <w:p w14:paraId="01255D71" w14:textId="77777777" w:rsidR="00315893" w:rsidRPr="00D85E09" w:rsidRDefault="00315893" w:rsidP="0043316B">
            <w:pPr>
              <w:pStyle w:val="Tabletext"/>
              <w:keepNext w:val="0"/>
              <w:widowControl w:val="0"/>
            </w:pPr>
            <w:r w:rsidRPr="00D85E09">
              <w:t>Procedure complications</w:t>
            </w:r>
          </w:p>
          <w:p w14:paraId="117E684F" w14:textId="77777777" w:rsidR="00315893" w:rsidRPr="00D85E09" w:rsidRDefault="00315893" w:rsidP="0043316B">
            <w:pPr>
              <w:pStyle w:val="Tabletext"/>
              <w:keepNext w:val="0"/>
              <w:widowControl w:val="0"/>
            </w:pPr>
          </w:p>
        </w:tc>
        <w:tc>
          <w:tcPr>
            <w:tcW w:w="876" w:type="pct"/>
            <w:shd w:val="clear" w:color="auto" w:fill="auto"/>
          </w:tcPr>
          <w:p w14:paraId="39745147" w14:textId="77777777" w:rsidR="00315893" w:rsidRPr="00D85E09" w:rsidRDefault="00315893" w:rsidP="0043316B">
            <w:pPr>
              <w:pStyle w:val="Tabletext"/>
              <w:keepNext w:val="0"/>
              <w:widowControl w:val="0"/>
            </w:pPr>
            <w:r w:rsidRPr="00D85E09">
              <w:lastRenderedPageBreak/>
              <w:t xml:space="preserve">Groin puncture not possible within 60 mins of the end of </w:t>
            </w:r>
            <w:r w:rsidRPr="00D85E09">
              <w:lastRenderedPageBreak/>
              <w:t>CT acquisition.</w:t>
            </w:r>
          </w:p>
          <w:p w14:paraId="3E5EE713" w14:textId="77777777" w:rsidR="00315893" w:rsidRPr="00D85E09" w:rsidRDefault="00315893" w:rsidP="0043316B">
            <w:pPr>
              <w:pStyle w:val="Tabletext"/>
              <w:keepNext w:val="0"/>
              <w:widowControl w:val="0"/>
            </w:pPr>
            <w:r w:rsidRPr="00D85E09">
              <w:t>Very difficult endovascular access resulting in a CTA to recanalisation time that is longer than 90 mins</w:t>
            </w:r>
          </w:p>
          <w:p w14:paraId="59D390A1" w14:textId="77777777" w:rsidR="00315893" w:rsidRPr="00D85E09" w:rsidRDefault="00315893" w:rsidP="0043316B">
            <w:pPr>
              <w:pStyle w:val="Tabletext"/>
              <w:keepNext w:val="0"/>
              <w:widowControl w:val="0"/>
            </w:pPr>
            <w:r w:rsidRPr="00D85E09">
              <w:t>No femoral pulse</w:t>
            </w:r>
          </w:p>
        </w:tc>
        <w:tc>
          <w:tcPr>
            <w:tcW w:w="876" w:type="pct"/>
            <w:shd w:val="clear" w:color="auto" w:fill="auto"/>
          </w:tcPr>
          <w:p w14:paraId="24604A54" w14:textId="77777777" w:rsidR="00315893" w:rsidRPr="00D85E09" w:rsidRDefault="00315893" w:rsidP="0043316B">
            <w:pPr>
              <w:pStyle w:val="Tabletext"/>
              <w:keepNext w:val="0"/>
              <w:widowControl w:val="0"/>
            </w:pPr>
            <w:r w:rsidRPr="00D85E09">
              <w:lastRenderedPageBreak/>
              <w:t xml:space="preserve">Inability to access the cerebral vasculature in the opinion of the neurointerventional team </w:t>
            </w:r>
            <w:r w:rsidRPr="00D85E09">
              <w:lastRenderedPageBreak/>
              <w:t>or contraindication to use of the Solitaire FR device</w:t>
            </w:r>
          </w:p>
        </w:tc>
        <w:tc>
          <w:tcPr>
            <w:tcW w:w="876" w:type="pct"/>
            <w:shd w:val="clear" w:color="auto" w:fill="auto"/>
          </w:tcPr>
          <w:p w14:paraId="1D104A31" w14:textId="77777777" w:rsidR="00315893" w:rsidRPr="00D85E09" w:rsidRDefault="00315893" w:rsidP="0043316B">
            <w:pPr>
              <w:pStyle w:val="Tabletext"/>
              <w:keepNext w:val="0"/>
              <w:widowControl w:val="0"/>
            </w:pPr>
          </w:p>
        </w:tc>
        <w:tc>
          <w:tcPr>
            <w:tcW w:w="876" w:type="pct"/>
            <w:shd w:val="clear" w:color="auto" w:fill="auto"/>
          </w:tcPr>
          <w:p w14:paraId="14FAECD4" w14:textId="77777777" w:rsidR="00315893" w:rsidRPr="00D85E09" w:rsidRDefault="00315893" w:rsidP="0043316B">
            <w:pPr>
              <w:pStyle w:val="Tabletext"/>
              <w:keepNext w:val="0"/>
              <w:widowControl w:val="0"/>
            </w:pPr>
          </w:p>
        </w:tc>
        <w:tc>
          <w:tcPr>
            <w:tcW w:w="877" w:type="pct"/>
            <w:shd w:val="clear" w:color="auto" w:fill="auto"/>
          </w:tcPr>
          <w:p w14:paraId="795C4F3D" w14:textId="77777777" w:rsidR="00315893" w:rsidRPr="00D85E09" w:rsidRDefault="00315893" w:rsidP="0043316B">
            <w:pPr>
              <w:pStyle w:val="Tabletext"/>
              <w:keepNext w:val="0"/>
              <w:widowControl w:val="0"/>
            </w:pPr>
          </w:p>
        </w:tc>
      </w:tr>
      <w:tr w:rsidR="00315893" w:rsidRPr="00D85E09" w14:paraId="7D3D6215" w14:textId="77777777" w:rsidTr="00465778">
        <w:tc>
          <w:tcPr>
            <w:tcW w:w="619" w:type="pct"/>
            <w:shd w:val="clear" w:color="auto" w:fill="auto"/>
          </w:tcPr>
          <w:p w14:paraId="1A2E74D9" w14:textId="643CD744" w:rsidR="00315893" w:rsidRPr="00D85E09" w:rsidRDefault="00315893" w:rsidP="0043316B">
            <w:pPr>
              <w:pStyle w:val="Tabletext"/>
              <w:keepNext w:val="0"/>
              <w:widowControl w:val="0"/>
            </w:pPr>
            <w:r w:rsidRPr="00D85E09">
              <w:lastRenderedPageBreak/>
              <w:t>Co</w:t>
            </w:r>
            <w:r w:rsidR="00300BB6" w:rsidRPr="00D85E09">
              <w:t>morbidities</w:t>
            </w:r>
          </w:p>
        </w:tc>
        <w:tc>
          <w:tcPr>
            <w:tcW w:w="876" w:type="pct"/>
            <w:shd w:val="clear" w:color="auto" w:fill="auto"/>
          </w:tcPr>
          <w:p w14:paraId="03456A53" w14:textId="77777777" w:rsidR="00315893" w:rsidRPr="00D85E09" w:rsidRDefault="00315893" w:rsidP="0043316B">
            <w:pPr>
              <w:pStyle w:val="Tabletext"/>
              <w:keepNext w:val="0"/>
              <w:widowControl w:val="0"/>
            </w:pPr>
            <w:r w:rsidRPr="00D85E09">
              <w:t>Patient had severe or fatal comorbid illness that will prevent improvement or follow-up or that would render the procedure unlikely to benefit the patient</w:t>
            </w:r>
          </w:p>
          <w:p w14:paraId="190C9C31" w14:textId="77777777" w:rsidR="00315893" w:rsidRPr="00D85E09" w:rsidRDefault="00315893" w:rsidP="0043316B">
            <w:pPr>
              <w:pStyle w:val="Tabletext"/>
              <w:keepNext w:val="0"/>
              <w:widowControl w:val="0"/>
            </w:pPr>
            <w:r w:rsidRPr="00D85E09">
              <w:t>Suspected intra-cranial dissection</w:t>
            </w:r>
          </w:p>
        </w:tc>
        <w:tc>
          <w:tcPr>
            <w:tcW w:w="876" w:type="pct"/>
            <w:shd w:val="clear" w:color="auto" w:fill="auto"/>
          </w:tcPr>
          <w:p w14:paraId="13D0B376" w14:textId="77777777" w:rsidR="00315893" w:rsidRPr="00D85E09" w:rsidRDefault="00315893" w:rsidP="0043316B">
            <w:pPr>
              <w:pStyle w:val="Tabletext"/>
              <w:keepNext w:val="0"/>
              <w:widowControl w:val="0"/>
            </w:pPr>
            <w:r w:rsidRPr="00D85E09">
              <w:t>Pre-stroke mRS score of ≥2 (indicating previous disability).</w:t>
            </w:r>
          </w:p>
          <w:p w14:paraId="48816E10" w14:textId="77777777" w:rsidR="00315893" w:rsidRPr="00D85E09" w:rsidRDefault="00315893" w:rsidP="0043316B">
            <w:pPr>
              <w:pStyle w:val="Tabletext"/>
              <w:keepNext w:val="0"/>
              <w:widowControl w:val="0"/>
            </w:pPr>
            <w:r w:rsidRPr="00D85E09">
              <w:t>Any terminal illness such that patient would not be expected to survive more than one year</w:t>
            </w:r>
          </w:p>
        </w:tc>
        <w:tc>
          <w:tcPr>
            <w:tcW w:w="876" w:type="pct"/>
            <w:shd w:val="clear" w:color="auto" w:fill="auto"/>
          </w:tcPr>
          <w:p w14:paraId="28683E7F" w14:textId="77777777" w:rsidR="00315893" w:rsidRPr="00D85E09" w:rsidRDefault="00315893" w:rsidP="0043316B">
            <w:pPr>
              <w:pStyle w:val="Tabletext"/>
              <w:keepNext w:val="0"/>
              <w:widowControl w:val="0"/>
            </w:pPr>
            <w:r w:rsidRPr="00D85E09">
              <w:t>Arterial blood pressure &gt;185/110</w:t>
            </w:r>
            <w:r w:rsidRPr="00D85E09">
              <w:tab/>
              <w:t>mmHg.</w:t>
            </w:r>
          </w:p>
          <w:p w14:paraId="42324A14" w14:textId="77777777" w:rsidR="00315893" w:rsidRPr="00D85E09" w:rsidRDefault="00315893" w:rsidP="0043316B">
            <w:pPr>
              <w:pStyle w:val="Tabletext"/>
              <w:keepNext w:val="0"/>
              <w:widowControl w:val="0"/>
            </w:pPr>
            <w:r w:rsidRPr="00D85E09">
              <w:t>Blood glucose &lt;2.7or &gt;22.2 mmol/L.</w:t>
            </w:r>
          </w:p>
          <w:p w14:paraId="1E50C718" w14:textId="77777777" w:rsidR="00315893" w:rsidRPr="00D85E09" w:rsidRDefault="00315893" w:rsidP="0043316B">
            <w:pPr>
              <w:pStyle w:val="Tabletext"/>
              <w:keepNext w:val="0"/>
              <w:widowControl w:val="0"/>
            </w:pPr>
            <w:r w:rsidRPr="00D85E09">
              <w:t>Laboratory evidence of coagulation abnormalities, i.e. platelet count &lt;40 x 109/L, APTT&gt;50</w:t>
            </w:r>
            <w:r w:rsidRPr="00D85E09">
              <w:tab/>
              <w:t>sec or INR &gt;3.0 (for intended MT)</w:t>
            </w:r>
          </w:p>
          <w:p w14:paraId="1BF2B7CA" w14:textId="77777777" w:rsidR="00315893" w:rsidRPr="00D85E09" w:rsidRDefault="00315893" w:rsidP="0043316B">
            <w:pPr>
              <w:pStyle w:val="Tabletext"/>
              <w:keepNext w:val="0"/>
              <w:widowControl w:val="0"/>
            </w:pPr>
            <w:r w:rsidRPr="00D85E09">
              <w:t xml:space="preserve">Clinical or laboratory evidence of coagulation abnormalities, i.e. platelet count &lt;90 x 109/L, APTT&gt;50 </w:t>
            </w:r>
            <w:r w:rsidRPr="00D85E09">
              <w:br/>
              <w:t>sec or INR &gt;1.7 (for intended intra-arterial thrombolysis)</w:t>
            </w:r>
          </w:p>
          <w:p w14:paraId="49819294" w14:textId="77777777" w:rsidR="00315893" w:rsidRPr="00D85E09" w:rsidRDefault="00315893" w:rsidP="0043316B">
            <w:pPr>
              <w:pStyle w:val="Tabletext"/>
              <w:keepNext w:val="0"/>
              <w:widowControl w:val="0"/>
            </w:pPr>
            <w:r w:rsidRPr="00D85E09">
              <w:t>Cerebral</w:t>
            </w:r>
            <w:r w:rsidRPr="00D85E09">
              <w:tab/>
              <w:t>infarction</w:t>
            </w:r>
            <w:r w:rsidRPr="00D85E09">
              <w:tab/>
              <w:t>in the distribution of the relevant occluded</w:t>
            </w:r>
            <w:r w:rsidRPr="00D85E09">
              <w:tab/>
              <w:t>artery in the previous</w:t>
            </w:r>
            <w:r w:rsidRPr="00D85E09">
              <w:tab/>
              <w:t>6 weeks.</w:t>
            </w:r>
            <w:r w:rsidRPr="00D85E09">
              <w:tab/>
            </w:r>
          </w:p>
          <w:p w14:paraId="0AE11B93" w14:textId="77777777" w:rsidR="00315893" w:rsidRPr="00D85E09" w:rsidRDefault="00315893" w:rsidP="0043316B">
            <w:pPr>
              <w:pStyle w:val="Tabletext"/>
              <w:keepNext w:val="0"/>
              <w:widowControl w:val="0"/>
            </w:pPr>
            <w:r w:rsidRPr="00D85E09">
              <w:t>History</w:t>
            </w:r>
            <w:r w:rsidRPr="00D85E09">
              <w:tab/>
              <w:t>of intracerebral haemorrhage.</w:t>
            </w:r>
          </w:p>
          <w:p w14:paraId="78EB87C7" w14:textId="77777777" w:rsidR="00315893" w:rsidRPr="00D85E09" w:rsidRDefault="00315893" w:rsidP="0043316B">
            <w:pPr>
              <w:pStyle w:val="Tabletext"/>
              <w:keepNext w:val="0"/>
              <w:widowControl w:val="0"/>
            </w:pPr>
            <w:r w:rsidRPr="00D85E09">
              <w:t>Severe head injury (contusion) in the previous 4 weeks.</w:t>
            </w:r>
          </w:p>
        </w:tc>
        <w:tc>
          <w:tcPr>
            <w:tcW w:w="876" w:type="pct"/>
            <w:shd w:val="clear" w:color="auto" w:fill="auto"/>
          </w:tcPr>
          <w:p w14:paraId="7EC4D207" w14:textId="77777777" w:rsidR="00315893" w:rsidRPr="00D85E09" w:rsidRDefault="00315893" w:rsidP="0043316B">
            <w:pPr>
              <w:pStyle w:val="Tabletext"/>
              <w:keepNext w:val="0"/>
              <w:widowControl w:val="0"/>
            </w:pPr>
            <w:r w:rsidRPr="00D85E09">
              <w:t>Known haemorrhagic diathesis, coagulation factor deficiency, or oral anticoagulant therapy with INR &gt; 3.0</w:t>
            </w:r>
          </w:p>
          <w:p w14:paraId="5FBA56BE" w14:textId="77777777" w:rsidR="00315893" w:rsidRPr="00D85E09" w:rsidRDefault="00315893" w:rsidP="0043316B">
            <w:pPr>
              <w:pStyle w:val="Tabletext"/>
              <w:keepNext w:val="0"/>
              <w:widowControl w:val="0"/>
            </w:pPr>
            <w:r w:rsidRPr="00D85E09">
              <w:t>Baseline platelet count &lt; 30.000/µL</w:t>
            </w:r>
          </w:p>
          <w:p w14:paraId="0A9EAF23" w14:textId="77777777" w:rsidR="00315893" w:rsidRPr="00D85E09" w:rsidRDefault="00315893" w:rsidP="0043316B">
            <w:pPr>
              <w:pStyle w:val="Tabletext"/>
              <w:keepNext w:val="0"/>
              <w:widowControl w:val="0"/>
            </w:pPr>
            <w:r w:rsidRPr="00D85E09">
              <w:t>Baseline blood glucose of &lt; 50mg/dL or &gt;400mg/dl</w:t>
            </w:r>
          </w:p>
          <w:p w14:paraId="04B18BB7" w14:textId="77777777" w:rsidR="00315893" w:rsidRPr="00D85E09" w:rsidRDefault="00315893" w:rsidP="0043316B">
            <w:pPr>
              <w:pStyle w:val="Tabletext"/>
              <w:keepNext w:val="0"/>
              <w:widowControl w:val="0"/>
            </w:pPr>
            <w:r w:rsidRPr="00D85E09">
              <w:t>Severe, sustained hypertension (SBP &gt; 185 mm Hg or DBP &gt; 110 mm Hg)</w:t>
            </w:r>
          </w:p>
          <w:p w14:paraId="2A498F39" w14:textId="77777777" w:rsidR="00315893" w:rsidRPr="00D85E09" w:rsidRDefault="00315893" w:rsidP="0043316B">
            <w:pPr>
              <w:pStyle w:val="Tabletext"/>
              <w:keepNext w:val="0"/>
              <w:widowControl w:val="0"/>
            </w:pPr>
            <w:r w:rsidRPr="00D85E09">
              <w:t>Patients in coma (NIHSS item of consciousness &gt;1)</w:t>
            </w:r>
          </w:p>
          <w:p w14:paraId="630849D5" w14:textId="77777777" w:rsidR="00315893" w:rsidRPr="00D85E09" w:rsidRDefault="00315893" w:rsidP="0043316B">
            <w:pPr>
              <w:pStyle w:val="Tabletext"/>
              <w:keepNext w:val="0"/>
              <w:widowControl w:val="0"/>
            </w:pPr>
            <w:r w:rsidRPr="00D85E09">
              <w:t>Seizures at stroke onset which would preclude obtaining a baseline NIHSS</w:t>
            </w:r>
          </w:p>
          <w:p w14:paraId="50055F32" w14:textId="77777777" w:rsidR="00315893" w:rsidRPr="00D85E09" w:rsidRDefault="00315893" w:rsidP="0043316B">
            <w:pPr>
              <w:pStyle w:val="Tabletext"/>
              <w:keepNext w:val="0"/>
              <w:widowControl w:val="0"/>
            </w:pPr>
            <w:r w:rsidRPr="00D85E09">
              <w:t>Serious, advanced, or terminal illness with anticipated life expectancy of less than one year.</w:t>
            </w:r>
          </w:p>
          <w:p w14:paraId="7921F3CD" w14:textId="77777777" w:rsidR="00315893" w:rsidRPr="00D85E09" w:rsidRDefault="00315893" w:rsidP="0043316B">
            <w:pPr>
              <w:pStyle w:val="Tabletext"/>
              <w:keepNext w:val="0"/>
              <w:widowControl w:val="0"/>
            </w:pPr>
            <w:r w:rsidRPr="00D85E09">
              <w:t>History of life threatening allergy (more than rash) to contrast medium</w:t>
            </w:r>
          </w:p>
          <w:p w14:paraId="2692FC3B" w14:textId="77777777" w:rsidR="00315893" w:rsidRPr="00D85E09" w:rsidRDefault="00315893" w:rsidP="0043316B">
            <w:pPr>
              <w:pStyle w:val="Tabletext"/>
              <w:keepNext w:val="0"/>
              <w:widowControl w:val="0"/>
            </w:pPr>
            <w:r w:rsidRPr="00D85E09">
              <w:t xml:space="preserve">Renal insufficiency with </w:t>
            </w:r>
            <w:r w:rsidRPr="00D85E09">
              <w:lastRenderedPageBreak/>
              <w:t>creatinine ≥ 3 mg/dl</w:t>
            </w:r>
          </w:p>
          <w:p w14:paraId="6FE3278A" w14:textId="77777777" w:rsidR="00315893" w:rsidRPr="00D85E09" w:rsidRDefault="00315893" w:rsidP="0043316B">
            <w:pPr>
              <w:pStyle w:val="Tabletext"/>
              <w:keepNext w:val="0"/>
              <w:widowControl w:val="0"/>
            </w:pPr>
            <w:r w:rsidRPr="00D85E09">
              <w:t>Cerebral vasculitis</w:t>
            </w:r>
          </w:p>
        </w:tc>
        <w:tc>
          <w:tcPr>
            <w:tcW w:w="877" w:type="pct"/>
            <w:shd w:val="clear" w:color="auto" w:fill="auto"/>
          </w:tcPr>
          <w:p w14:paraId="7870DD9A" w14:textId="77777777" w:rsidR="00315893" w:rsidRPr="00D85E09" w:rsidRDefault="00315893" w:rsidP="0043316B">
            <w:pPr>
              <w:pStyle w:val="Tabletext"/>
              <w:keepNext w:val="0"/>
              <w:widowControl w:val="0"/>
            </w:pPr>
            <w:r w:rsidRPr="00D85E09">
              <w:lastRenderedPageBreak/>
              <w:t>Uncontrolled hypertension defined as systolic blood pressure &gt; 185 or diastolic blood pressure &gt; 110 that cannot be controlled except with continuous parenteral antihypertensive medication.</w:t>
            </w:r>
          </w:p>
          <w:p w14:paraId="1CF2628C" w14:textId="77777777" w:rsidR="00315893" w:rsidRPr="00D85E09" w:rsidRDefault="00315893" w:rsidP="0043316B">
            <w:pPr>
              <w:pStyle w:val="Tabletext"/>
              <w:keepNext w:val="0"/>
              <w:widowControl w:val="0"/>
            </w:pPr>
            <w:r w:rsidRPr="00D85E09">
              <w:t>Known hereditary or acquired haemorrhagic diathesis, coagulation factor deficiency.</w:t>
            </w:r>
          </w:p>
          <w:p w14:paraId="19BB433E" w14:textId="77777777" w:rsidR="00315893" w:rsidRPr="00D85E09" w:rsidRDefault="00315893" w:rsidP="0043316B">
            <w:pPr>
              <w:pStyle w:val="Tabletext"/>
              <w:keepNext w:val="0"/>
              <w:widowControl w:val="0"/>
            </w:pPr>
            <w:r w:rsidRPr="00D85E09">
              <w:t>Baseline lab values: glucose &lt; 50 mg/dL or &gt; 400 mg/dL, platelets &lt; 100,000 or Hct &lt; 25</w:t>
            </w:r>
          </w:p>
          <w:p w14:paraId="400F65B5" w14:textId="77777777" w:rsidR="00315893" w:rsidRPr="00D85E09" w:rsidRDefault="00315893" w:rsidP="0043316B">
            <w:pPr>
              <w:pStyle w:val="Tabletext"/>
              <w:keepNext w:val="0"/>
              <w:widowControl w:val="0"/>
            </w:pPr>
            <w:r w:rsidRPr="00D85E09">
              <w:t>Renal Failure as defined by a serum creatinine &gt; 2.0 or Glomerular Filtration Rate [GFR] &lt; 30.</w:t>
            </w:r>
          </w:p>
          <w:p w14:paraId="29BDB5D5" w14:textId="77777777" w:rsidR="00315893" w:rsidRPr="00D85E09" w:rsidRDefault="00315893" w:rsidP="0043316B">
            <w:pPr>
              <w:pStyle w:val="Tabletext"/>
              <w:keepNext w:val="0"/>
              <w:widowControl w:val="0"/>
            </w:pPr>
            <w:r w:rsidRPr="00D85E09">
              <w:t>Subject who requires haemodialysis or peritoneal dialysis, or who have a contraindication to an angiogram for whatever reason.</w:t>
            </w:r>
          </w:p>
          <w:p w14:paraId="6DF5877D" w14:textId="77777777" w:rsidR="00315893" w:rsidRPr="00D85E09" w:rsidRDefault="00315893" w:rsidP="0043316B">
            <w:pPr>
              <w:pStyle w:val="Tabletext"/>
              <w:keepNext w:val="0"/>
              <w:widowControl w:val="0"/>
            </w:pPr>
            <w:r w:rsidRPr="00D85E09">
              <w:t>Life expectancy of less than 90 days</w:t>
            </w:r>
          </w:p>
          <w:p w14:paraId="7F5BC1D0" w14:textId="77777777" w:rsidR="00315893" w:rsidRPr="00D85E09" w:rsidRDefault="00315893" w:rsidP="0043316B">
            <w:pPr>
              <w:pStyle w:val="Tabletext"/>
              <w:keepNext w:val="0"/>
              <w:widowControl w:val="0"/>
            </w:pPr>
            <w:r w:rsidRPr="00D85E09">
              <w:lastRenderedPageBreak/>
              <w:t>Presumed septic embolus, or suspicion of bacterial endocarditis.</w:t>
            </w:r>
          </w:p>
          <w:p w14:paraId="7E274F0E" w14:textId="77777777" w:rsidR="00315893" w:rsidRPr="00D85E09" w:rsidRDefault="00315893" w:rsidP="0043316B">
            <w:pPr>
              <w:pStyle w:val="Tabletext"/>
              <w:keepNext w:val="0"/>
              <w:widowControl w:val="0"/>
            </w:pPr>
            <w:r w:rsidRPr="00D85E09">
              <w:t>Presumed pericarditis including pericarditis after acute myocardial infarction.</w:t>
            </w:r>
          </w:p>
          <w:p w14:paraId="4510CE16" w14:textId="77777777" w:rsidR="00315893" w:rsidRPr="00D85E09" w:rsidRDefault="00315893" w:rsidP="0043316B">
            <w:pPr>
              <w:pStyle w:val="Tabletext"/>
              <w:keepNext w:val="0"/>
              <w:widowControl w:val="0"/>
            </w:pPr>
            <w:r w:rsidRPr="00D85E09">
              <w:t>Suspicion of aortic dissection</w:t>
            </w:r>
          </w:p>
          <w:p w14:paraId="30BF0187" w14:textId="77777777" w:rsidR="00315893" w:rsidRPr="00D85E09" w:rsidRDefault="00315893" w:rsidP="0043316B">
            <w:pPr>
              <w:pStyle w:val="Tabletext"/>
              <w:keepNext w:val="0"/>
              <w:widowControl w:val="0"/>
            </w:pPr>
            <w:r w:rsidRPr="00D85E09">
              <w:t>Surgery or biopsy of parenchymal organ within 30 days.</w:t>
            </w:r>
          </w:p>
          <w:p w14:paraId="2AAA6239" w14:textId="77777777" w:rsidR="00315893" w:rsidRPr="00D85E09" w:rsidRDefault="00315893" w:rsidP="0043316B">
            <w:pPr>
              <w:pStyle w:val="Tabletext"/>
              <w:keepNext w:val="0"/>
              <w:widowControl w:val="0"/>
            </w:pPr>
            <w:r w:rsidRPr="00D85E09">
              <w:t>Trauma, with internal injuries or ulcerative wounds within 30 days.</w:t>
            </w:r>
          </w:p>
          <w:p w14:paraId="6586F7CD" w14:textId="77777777" w:rsidR="00315893" w:rsidRPr="00D85E09" w:rsidRDefault="00315893" w:rsidP="0043316B">
            <w:pPr>
              <w:pStyle w:val="Tabletext"/>
              <w:keepNext w:val="0"/>
              <w:widowControl w:val="0"/>
            </w:pPr>
            <w:r w:rsidRPr="00D85E09">
              <w:t>Severe head trauma or head trauma with loss of consciousness within 90 days.</w:t>
            </w:r>
          </w:p>
          <w:p w14:paraId="05DD5E2D" w14:textId="77777777" w:rsidR="00315893" w:rsidRPr="00D85E09" w:rsidRDefault="00315893" w:rsidP="0043316B">
            <w:pPr>
              <w:pStyle w:val="Tabletext"/>
              <w:keepNext w:val="0"/>
              <w:widowControl w:val="0"/>
            </w:pPr>
            <w:r w:rsidRPr="00D85E09">
              <w:t>Any active or recent haemorrhage within 30 days.</w:t>
            </w:r>
          </w:p>
          <w:p w14:paraId="18728AA4" w14:textId="77777777" w:rsidR="00315893" w:rsidRPr="00D85E09" w:rsidRDefault="00315893" w:rsidP="0043316B">
            <w:pPr>
              <w:pStyle w:val="Tabletext"/>
              <w:keepNext w:val="0"/>
              <w:widowControl w:val="0"/>
            </w:pPr>
            <w:r w:rsidRPr="00D85E09">
              <w:t>Cerebral vasculitis</w:t>
            </w:r>
          </w:p>
        </w:tc>
      </w:tr>
    </w:tbl>
    <w:p w14:paraId="36E8BBC9" w14:textId="77777777" w:rsidR="00315893" w:rsidRPr="00D85E09" w:rsidRDefault="00315893" w:rsidP="0043316B">
      <w:pPr>
        <w:widowControl w:val="0"/>
        <w:sectPr w:rsidR="00315893" w:rsidRPr="00D85E09" w:rsidSect="00465778">
          <w:pgSz w:w="16834" w:h="11907" w:orient="landscape" w:code="9"/>
          <w:pgMar w:top="1701" w:right="1701" w:bottom="1418" w:left="1418" w:header="720" w:footer="720" w:gutter="0"/>
          <w:cols w:space="720"/>
          <w:noEndnote/>
          <w:docGrid w:linePitch="299"/>
        </w:sectPr>
      </w:pPr>
      <w:bookmarkStart w:id="194" w:name="_Toc191822157"/>
      <w:bookmarkStart w:id="195" w:name="_Toc191822207"/>
      <w:bookmarkStart w:id="196" w:name="_Toc191822257"/>
      <w:bookmarkStart w:id="197" w:name="_Toc258501778"/>
      <w:bookmarkStart w:id="198" w:name="_Toc273301460"/>
    </w:p>
    <w:p w14:paraId="1978E71D" w14:textId="77777777" w:rsidR="00315893" w:rsidRPr="00D85E09" w:rsidRDefault="00315893" w:rsidP="0043316B">
      <w:pPr>
        <w:pStyle w:val="Heading3"/>
        <w:keepNext w:val="0"/>
        <w:widowControl w:val="0"/>
        <w:spacing w:before="240"/>
        <w:ind w:left="851" w:hanging="851"/>
        <w:jc w:val="both"/>
        <w:rPr>
          <w:lang w:val="en-AU"/>
        </w:rPr>
      </w:pPr>
      <w:bookmarkStart w:id="199" w:name="_Toc367090351"/>
      <w:bookmarkStart w:id="200" w:name="_Ref368404868"/>
      <w:bookmarkStart w:id="201" w:name="_Toc453065265"/>
      <w:r w:rsidRPr="00D85E09">
        <w:rPr>
          <w:lang w:val="en-AU"/>
        </w:rPr>
        <w:lastRenderedPageBreak/>
        <w:t>Patient baseline characteristics</w:t>
      </w:r>
      <w:bookmarkEnd w:id="194"/>
      <w:bookmarkEnd w:id="195"/>
      <w:bookmarkEnd w:id="196"/>
      <w:bookmarkEnd w:id="197"/>
      <w:bookmarkEnd w:id="198"/>
      <w:bookmarkEnd w:id="199"/>
      <w:bookmarkEnd w:id="200"/>
      <w:bookmarkEnd w:id="201"/>
    </w:p>
    <w:p w14:paraId="4E46F5E3" w14:textId="684EDA90" w:rsidR="00315893" w:rsidRPr="00D85E09" w:rsidRDefault="00315893" w:rsidP="0043316B">
      <w:pPr>
        <w:widowControl w:val="0"/>
      </w:pPr>
      <w:r w:rsidRPr="00D85E09">
        <w:t xml:space="preserve">The baseline characteristics of participants in direct randomised trials are summarised in </w:t>
      </w:r>
      <w:r w:rsidRPr="00D85E09">
        <w:fldChar w:fldCharType="begin"/>
      </w:r>
      <w:r w:rsidRPr="00D85E09">
        <w:instrText xml:space="preserve"> REF _Ref364844714 \h </w:instrText>
      </w:r>
      <w:r w:rsidRPr="00D85E09">
        <w:fldChar w:fldCharType="separate"/>
      </w:r>
      <w:r w:rsidR="00A456ED" w:rsidRPr="00D85E09">
        <w:t xml:space="preserve">Table </w:t>
      </w:r>
      <w:r w:rsidR="00A456ED">
        <w:rPr>
          <w:noProof/>
        </w:rPr>
        <w:t>20</w:t>
      </w:r>
      <w:r w:rsidRPr="00D85E09">
        <w:fldChar w:fldCharType="end"/>
      </w:r>
      <w:r w:rsidRPr="00D85E09">
        <w:t>.</w:t>
      </w:r>
    </w:p>
    <w:p w14:paraId="1353E1B4" w14:textId="77777777" w:rsidR="00315893" w:rsidRPr="00D85E09" w:rsidRDefault="00315893" w:rsidP="0043316B">
      <w:pPr>
        <w:widowControl w:val="0"/>
      </w:pPr>
      <w:r w:rsidRPr="00D85E09">
        <w:t>Baseline demographic characteristics were comparable between the treatment arms of within trials and across trials. The age of participants both within arms and across trials was comparable, ranging from mean of 65.0 to 70.2 years or a median range between 65.7 and 71 years.</w:t>
      </w:r>
    </w:p>
    <w:p w14:paraId="140680DF" w14:textId="77777777" w:rsidR="00315893" w:rsidRPr="00D85E09" w:rsidRDefault="00315893" w:rsidP="0043316B">
      <w:pPr>
        <w:widowControl w:val="0"/>
      </w:pPr>
      <w:r w:rsidRPr="00D85E09">
        <w:t>The majority of patients (50.6-99%), where reported in each trial had a pre-stroke mRS 0-1 score and the median NIHSS score across treatment arms and trials ranged from 13-18. Due to differences between the trials in terms of patient selection, there were some differences between patients in terms of the site of occlusion. In all trials, the most common location of the occlusion in the first segment of the middle cerebral artery: between 57% and 77% in the intervention treatment arms across the trials and 51% and 71% in the control arms across the trials.</w:t>
      </w:r>
    </w:p>
    <w:p w14:paraId="588AB39E" w14:textId="4B57F4CB" w:rsidR="00315893" w:rsidRPr="00D85E09" w:rsidRDefault="00315893" w:rsidP="0043316B">
      <w:pPr>
        <w:widowControl w:val="0"/>
      </w:pPr>
      <w:r w:rsidRPr="00D85E09">
        <w:t xml:space="preserve">In the EXTEND-IA and SWIFT PRIME trials of the Solitaire device, patients were required to receive IV </w:t>
      </w:r>
      <w:r w:rsidR="005B7DCE">
        <w:t>tPA</w:t>
      </w:r>
      <w:r w:rsidRPr="00D85E09">
        <w:t xml:space="preserve"> in both arms; however, in the other included RCTs nominated “usual care” as the main comparator, which may or may not have included IV </w:t>
      </w:r>
      <w:r w:rsidR="005B7DCE">
        <w:t>tPA</w:t>
      </w:r>
      <w:r w:rsidRPr="00D85E09">
        <w:t>. Across this latter group of trials, between 68-87% of patients in the intervention treatment arm received treatment with IV-</w:t>
      </w:r>
      <w:r w:rsidR="005B7DCE">
        <w:t>tPA</w:t>
      </w:r>
      <w:r w:rsidRPr="00D85E09">
        <w:t xml:space="preserve"> compared with 78-91% of patients in the control arm.</w:t>
      </w:r>
    </w:p>
    <w:p w14:paraId="5C198E9C" w14:textId="0C11F139" w:rsidR="00315893" w:rsidRPr="00D85E09" w:rsidRDefault="00315893" w:rsidP="0043316B">
      <w:pPr>
        <w:widowControl w:val="0"/>
      </w:pPr>
      <w:r w:rsidRPr="00D85E09">
        <w:t xml:space="preserve">Since the studies were conducted in a range of sites and settings, there were differences between trials in terms of delivery of the intervention. The median time from stroke onset to randomisation was 169-223 mins across the trials for the intervention treatment arm and 172-226 mins across the trials for the control arm. Despite some variation, it should be noted that in all of the trials, the time to delivery of the intervention was well within the recommended timeframe of 4.5 hours for IV </w:t>
      </w:r>
      <w:r w:rsidR="005B7DCE">
        <w:t>tPA</w:t>
      </w:r>
      <w:r w:rsidRPr="00D85E09">
        <w:t xml:space="preserve"> and 6-12 hours for MT, as required by the trials. Despite these differences, MT was consistently effective and consistency of treatment effect is supported by the IPD (</w:t>
      </w:r>
      <w:r w:rsidR="00871181" w:rsidRPr="00D85E09">
        <w:t>s</w:t>
      </w:r>
      <w:r w:rsidRPr="00D85E09">
        <w:t xml:space="preserve">ee Section </w:t>
      </w:r>
      <w:r w:rsidR="00871181" w:rsidRPr="00D85E09">
        <w:t>C.2</w:t>
      </w:r>
      <w:r w:rsidRPr="00D85E09">
        <w:t>).</w:t>
      </w:r>
    </w:p>
    <w:p w14:paraId="5B80EB2F" w14:textId="0BCE9F1D" w:rsidR="00315893" w:rsidRPr="00D85E09" w:rsidRDefault="00315893" w:rsidP="0043316B">
      <w:pPr>
        <w:widowControl w:val="0"/>
      </w:pPr>
      <w:r w:rsidRPr="00D85E09">
        <w:t xml:space="preserve">The impact of different baseline characteristics on treatment efficacy is explored in an IPD meta-analysis of data from the five trials (Goyal et al, 2016), presented in </w:t>
      </w:r>
      <w:r w:rsidR="00871181" w:rsidRPr="00D85E09">
        <w:t>Section C.2</w:t>
      </w:r>
      <w:r w:rsidRPr="00D85E09">
        <w:t xml:space="preserve"> of this submission.</w:t>
      </w:r>
    </w:p>
    <w:p w14:paraId="7BCB5538" w14:textId="77777777" w:rsidR="00315893" w:rsidRPr="00D85E09" w:rsidRDefault="00315893" w:rsidP="0043316B">
      <w:pPr>
        <w:widowControl w:val="0"/>
        <w:sectPr w:rsidR="00315893" w:rsidRPr="00D85E09" w:rsidSect="00465778">
          <w:pgSz w:w="11907" w:h="16834" w:code="9"/>
          <w:pgMar w:top="1701" w:right="1418" w:bottom="1418" w:left="1701" w:header="720" w:footer="720" w:gutter="0"/>
          <w:cols w:space="720"/>
          <w:noEndnote/>
          <w:docGrid w:linePitch="299"/>
        </w:sectPr>
      </w:pPr>
    </w:p>
    <w:p w14:paraId="42913BCE" w14:textId="79838C43" w:rsidR="00315893" w:rsidRPr="00D85E09" w:rsidRDefault="00315893" w:rsidP="0043316B">
      <w:pPr>
        <w:pStyle w:val="Caption"/>
        <w:keepNext w:val="0"/>
        <w:widowControl w:val="0"/>
        <w:rPr>
          <w:lang w:val="en-AU"/>
        </w:rPr>
      </w:pPr>
      <w:bookmarkStart w:id="202" w:name="_Ref364844714"/>
      <w:bookmarkStart w:id="203" w:name="_Toc367090375"/>
      <w:bookmarkStart w:id="204" w:name="_Toc453065356"/>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20</w:t>
      </w:r>
      <w:r w:rsidRPr="00D85E09">
        <w:rPr>
          <w:lang w:val="en-AU"/>
        </w:rPr>
        <w:fldChar w:fldCharType="end"/>
      </w:r>
      <w:bookmarkEnd w:id="202"/>
      <w:r w:rsidRPr="00D85E09">
        <w:rPr>
          <w:lang w:val="en-AU"/>
        </w:rPr>
        <w:tab/>
        <w:t xml:space="preserve">Baseline characteristics of participants in </w:t>
      </w:r>
      <w:bookmarkEnd w:id="203"/>
      <w:r w:rsidRPr="00D85E09">
        <w:rPr>
          <w:lang w:val="en-AU"/>
        </w:rPr>
        <w:t>direct randomised trials</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20. Baseline characteristics of participants in direct randomised trials"/>
      </w:tblPr>
      <w:tblGrid>
        <w:gridCol w:w="2156"/>
        <w:gridCol w:w="1176"/>
        <w:gridCol w:w="1179"/>
        <w:gridCol w:w="1176"/>
        <w:gridCol w:w="1179"/>
        <w:gridCol w:w="1176"/>
        <w:gridCol w:w="1179"/>
        <w:gridCol w:w="1179"/>
        <w:gridCol w:w="1176"/>
        <w:gridCol w:w="1176"/>
        <w:gridCol w:w="1179"/>
      </w:tblGrid>
      <w:tr w:rsidR="00315893" w:rsidRPr="00D85E09" w14:paraId="36BC563F" w14:textId="77777777" w:rsidTr="001922F3">
        <w:trPr>
          <w:trHeight w:val="20"/>
          <w:tblHeader/>
        </w:trPr>
        <w:tc>
          <w:tcPr>
            <w:tcW w:w="774" w:type="pct"/>
            <w:vMerge w:val="restart"/>
            <w:tcBorders>
              <w:top w:val="single" w:sz="4" w:space="0" w:color="auto"/>
              <w:left w:val="single" w:sz="4" w:space="0" w:color="auto"/>
              <w:right w:val="single" w:sz="4" w:space="0" w:color="auto"/>
            </w:tcBorders>
            <w:shd w:val="clear" w:color="auto" w:fill="auto"/>
            <w:vAlign w:val="center"/>
          </w:tcPr>
          <w:p w14:paraId="58B02E6B" w14:textId="77777777" w:rsidR="00315893" w:rsidRPr="00D85E09" w:rsidRDefault="00315893" w:rsidP="0043316B">
            <w:pPr>
              <w:pStyle w:val="Tabletext"/>
              <w:keepNext w:val="0"/>
              <w:widowControl w:val="0"/>
              <w:rPr>
                <w:b/>
              </w:rPr>
            </w:pPr>
            <w:r w:rsidRPr="00D85E09">
              <w:rPr>
                <w:b/>
              </w:rPr>
              <w:t>Characteristic</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19DE1" w14:textId="77777777" w:rsidR="00315893" w:rsidRPr="00D85E09" w:rsidRDefault="00315893" w:rsidP="0043316B">
            <w:pPr>
              <w:pStyle w:val="Tabletext"/>
              <w:keepNext w:val="0"/>
              <w:widowControl w:val="0"/>
              <w:rPr>
                <w:b/>
              </w:rPr>
            </w:pPr>
            <w:r w:rsidRPr="00D85E09">
              <w:rPr>
                <w:b/>
              </w:rPr>
              <w:t>ESCAPE</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2A6DE" w14:textId="4027F9E0" w:rsidR="00315893" w:rsidRPr="00D85E09" w:rsidRDefault="005B7DCE" w:rsidP="0043316B">
            <w:pPr>
              <w:pStyle w:val="Tabletext"/>
              <w:keepNext w:val="0"/>
              <w:widowControl w:val="0"/>
              <w:rPr>
                <w:b/>
              </w:rPr>
            </w:pPr>
            <w:r>
              <w:rPr>
                <w:b/>
              </w:rPr>
              <w:t>EXTEND I</w:t>
            </w:r>
            <w:r w:rsidR="00315893" w:rsidRPr="00D85E09">
              <w:rPr>
                <w:b/>
              </w:rPr>
              <w:t>A</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085C4E" w14:textId="77777777" w:rsidR="00315893" w:rsidRPr="00D85E09" w:rsidRDefault="00315893" w:rsidP="0043316B">
            <w:pPr>
              <w:pStyle w:val="Tabletext"/>
              <w:keepNext w:val="0"/>
              <w:widowControl w:val="0"/>
              <w:rPr>
                <w:b/>
              </w:rPr>
            </w:pPr>
            <w:r w:rsidRPr="00D85E09">
              <w:rPr>
                <w:b/>
              </w:rPr>
              <w:t>MR CLEAN</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9E504" w14:textId="77777777" w:rsidR="00315893" w:rsidRPr="00D85E09" w:rsidRDefault="00315893" w:rsidP="0043316B">
            <w:pPr>
              <w:pStyle w:val="Tabletext"/>
              <w:keepNext w:val="0"/>
              <w:widowControl w:val="0"/>
              <w:rPr>
                <w:b/>
              </w:rPr>
            </w:pPr>
            <w:r w:rsidRPr="00D85E09">
              <w:rPr>
                <w:b/>
              </w:rPr>
              <w:t>REVASCAT</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63ABA3" w14:textId="77777777" w:rsidR="00315893" w:rsidRPr="00D85E09" w:rsidRDefault="00315893" w:rsidP="0043316B">
            <w:pPr>
              <w:pStyle w:val="Tabletext"/>
              <w:keepNext w:val="0"/>
              <w:widowControl w:val="0"/>
              <w:rPr>
                <w:b/>
              </w:rPr>
            </w:pPr>
            <w:r w:rsidRPr="00D85E09">
              <w:rPr>
                <w:b/>
              </w:rPr>
              <w:t>SWIFT PRIME</w:t>
            </w:r>
          </w:p>
        </w:tc>
      </w:tr>
      <w:tr w:rsidR="00315893" w:rsidRPr="00D85E09" w14:paraId="3AF1C307" w14:textId="77777777" w:rsidTr="001922F3">
        <w:trPr>
          <w:trHeight w:val="20"/>
          <w:tblHeader/>
        </w:trPr>
        <w:tc>
          <w:tcPr>
            <w:tcW w:w="774" w:type="pct"/>
            <w:vMerge/>
            <w:tcBorders>
              <w:left w:val="single" w:sz="4" w:space="0" w:color="auto"/>
              <w:bottom w:val="single" w:sz="4" w:space="0" w:color="auto"/>
              <w:right w:val="single" w:sz="4" w:space="0" w:color="auto"/>
            </w:tcBorders>
            <w:shd w:val="clear" w:color="auto" w:fill="auto"/>
            <w:vAlign w:val="center"/>
            <w:hideMark/>
          </w:tcPr>
          <w:p w14:paraId="7245740B" w14:textId="77777777" w:rsidR="00315893" w:rsidRPr="00D85E09" w:rsidRDefault="00315893" w:rsidP="0043316B">
            <w:pPr>
              <w:pStyle w:val="Tabletext"/>
              <w:keepNext w:val="0"/>
              <w:widowControl w:val="0"/>
              <w:rPr>
                <w:b/>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D81BCEF" w14:textId="77777777" w:rsidR="00315893" w:rsidRPr="00D85E09" w:rsidRDefault="00315893" w:rsidP="0043316B">
            <w:pPr>
              <w:pStyle w:val="Tabletext"/>
              <w:keepNext w:val="0"/>
              <w:widowControl w:val="0"/>
              <w:rPr>
                <w:b/>
              </w:rPr>
            </w:pPr>
            <w:r w:rsidRPr="00D85E09">
              <w:rPr>
                <w:b/>
              </w:rPr>
              <w:t>Intervention</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253A0F3E" w14:textId="77777777" w:rsidR="00315893" w:rsidRPr="00D85E09" w:rsidRDefault="00315893" w:rsidP="0043316B">
            <w:pPr>
              <w:pStyle w:val="Tabletext"/>
              <w:keepNext w:val="0"/>
              <w:widowControl w:val="0"/>
              <w:rPr>
                <w:b/>
              </w:rPr>
            </w:pPr>
            <w:r w:rsidRPr="00D85E09">
              <w:rPr>
                <w:b/>
              </w:rPr>
              <w:t>Control</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F677F16" w14:textId="77777777" w:rsidR="00315893" w:rsidRPr="00D85E09" w:rsidRDefault="00315893" w:rsidP="0043316B">
            <w:pPr>
              <w:pStyle w:val="Tabletext"/>
              <w:keepNext w:val="0"/>
              <w:widowControl w:val="0"/>
              <w:rPr>
                <w:b/>
              </w:rPr>
            </w:pPr>
            <w:r w:rsidRPr="00D85E09">
              <w:rPr>
                <w:b/>
              </w:rPr>
              <w:t>Intervention</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083465D" w14:textId="77777777" w:rsidR="00315893" w:rsidRPr="00D85E09" w:rsidRDefault="00315893" w:rsidP="0043316B">
            <w:pPr>
              <w:pStyle w:val="Tabletext"/>
              <w:keepNext w:val="0"/>
              <w:widowControl w:val="0"/>
              <w:rPr>
                <w:b/>
              </w:rPr>
            </w:pPr>
            <w:r w:rsidRPr="00D85E09">
              <w:rPr>
                <w:b/>
              </w:rPr>
              <w:t>Control</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472F0952" w14:textId="77777777" w:rsidR="00315893" w:rsidRPr="00D85E09" w:rsidRDefault="00315893" w:rsidP="0043316B">
            <w:pPr>
              <w:pStyle w:val="Tabletext"/>
              <w:keepNext w:val="0"/>
              <w:widowControl w:val="0"/>
              <w:rPr>
                <w:b/>
              </w:rPr>
            </w:pPr>
            <w:r w:rsidRPr="00D85E09">
              <w:rPr>
                <w:b/>
              </w:rPr>
              <w:t>Intervention</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28556B8" w14:textId="77777777" w:rsidR="00315893" w:rsidRPr="00D85E09" w:rsidRDefault="00315893" w:rsidP="0043316B">
            <w:pPr>
              <w:pStyle w:val="Tabletext"/>
              <w:keepNext w:val="0"/>
              <w:widowControl w:val="0"/>
              <w:rPr>
                <w:b/>
              </w:rPr>
            </w:pPr>
            <w:r w:rsidRPr="00D85E09">
              <w:rPr>
                <w:b/>
              </w:rPr>
              <w:t>Control</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05CC48A" w14:textId="77777777" w:rsidR="00315893" w:rsidRPr="00D85E09" w:rsidRDefault="00315893" w:rsidP="0043316B">
            <w:pPr>
              <w:pStyle w:val="Tabletext"/>
              <w:keepNext w:val="0"/>
              <w:widowControl w:val="0"/>
              <w:rPr>
                <w:b/>
              </w:rPr>
            </w:pPr>
            <w:r w:rsidRPr="00D85E09">
              <w:rPr>
                <w:b/>
              </w:rPr>
              <w:t>Intervention</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1EC80A2" w14:textId="77777777" w:rsidR="00315893" w:rsidRPr="00D85E09" w:rsidRDefault="00315893" w:rsidP="0043316B">
            <w:pPr>
              <w:pStyle w:val="Tabletext"/>
              <w:keepNext w:val="0"/>
              <w:widowControl w:val="0"/>
              <w:rPr>
                <w:b/>
              </w:rPr>
            </w:pPr>
            <w:r w:rsidRPr="00D85E09">
              <w:rPr>
                <w:b/>
              </w:rPr>
              <w:t>Control</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F778E" w14:textId="77777777" w:rsidR="00315893" w:rsidRPr="00D85E09" w:rsidRDefault="00315893" w:rsidP="0043316B">
            <w:pPr>
              <w:pStyle w:val="Tabletext"/>
              <w:keepNext w:val="0"/>
              <w:widowControl w:val="0"/>
              <w:rPr>
                <w:b/>
              </w:rPr>
            </w:pPr>
            <w:r w:rsidRPr="00D85E09">
              <w:rPr>
                <w:b/>
              </w:rPr>
              <w:t>Intervention</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A6D5A" w14:textId="77777777" w:rsidR="00315893" w:rsidRPr="00D85E09" w:rsidRDefault="00315893" w:rsidP="0043316B">
            <w:pPr>
              <w:pStyle w:val="Tabletext"/>
              <w:keepNext w:val="0"/>
              <w:widowControl w:val="0"/>
              <w:rPr>
                <w:b/>
              </w:rPr>
            </w:pPr>
            <w:r w:rsidRPr="00D85E09">
              <w:rPr>
                <w:b/>
              </w:rPr>
              <w:t>Control</w:t>
            </w:r>
          </w:p>
        </w:tc>
      </w:tr>
      <w:tr w:rsidR="00315893" w:rsidRPr="00D85E09" w14:paraId="42D72011" w14:textId="77777777" w:rsidTr="00465778">
        <w:trPr>
          <w:trHeight w:val="20"/>
        </w:trPr>
        <w:tc>
          <w:tcPr>
            <w:tcW w:w="774" w:type="pct"/>
            <w:shd w:val="clear" w:color="auto" w:fill="auto"/>
            <w:vAlign w:val="center"/>
            <w:hideMark/>
          </w:tcPr>
          <w:p w14:paraId="67D3B942" w14:textId="77777777" w:rsidR="00315893" w:rsidRPr="00D85E09" w:rsidRDefault="00315893" w:rsidP="0043316B">
            <w:pPr>
              <w:pStyle w:val="Tabletext"/>
              <w:keepNext w:val="0"/>
              <w:widowControl w:val="0"/>
            </w:pPr>
            <w:r w:rsidRPr="00D85E09">
              <w:t>N</w:t>
            </w:r>
          </w:p>
        </w:tc>
        <w:tc>
          <w:tcPr>
            <w:tcW w:w="422" w:type="pct"/>
            <w:vAlign w:val="center"/>
          </w:tcPr>
          <w:p w14:paraId="40771163" w14:textId="77777777" w:rsidR="00315893" w:rsidRPr="00D85E09" w:rsidRDefault="00315893" w:rsidP="0043316B">
            <w:pPr>
              <w:pStyle w:val="Tabletext"/>
              <w:keepNext w:val="0"/>
              <w:widowControl w:val="0"/>
            </w:pPr>
            <w:r w:rsidRPr="00D85E09">
              <w:t>165</w:t>
            </w:r>
          </w:p>
        </w:tc>
        <w:tc>
          <w:tcPr>
            <w:tcW w:w="423" w:type="pct"/>
            <w:vAlign w:val="center"/>
          </w:tcPr>
          <w:p w14:paraId="32E2D8D5" w14:textId="77777777" w:rsidR="00315893" w:rsidRPr="00D85E09" w:rsidRDefault="00315893" w:rsidP="0043316B">
            <w:pPr>
              <w:pStyle w:val="Tabletext"/>
              <w:keepNext w:val="0"/>
              <w:widowControl w:val="0"/>
            </w:pPr>
            <w:r w:rsidRPr="00D85E09">
              <w:t>150</w:t>
            </w:r>
          </w:p>
        </w:tc>
        <w:tc>
          <w:tcPr>
            <w:tcW w:w="422" w:type="pct"/>
            <w:vAlign w:val="center"/>
          </w:tcPr>
          <w:p w14:paraId="43A5435D" w14:textId="77777777" w:rsidR="00315893" w:rsidRPr="00D85E09" w:rsidRDefault="00315893" w:rsidP="0043316B">
            <w:pPr>
              <w:pStyle w:val="Tabletext"/>
              <w:keepNext w:val="0"/>
              <w:widowControl w:val="0"/>
            </w:pPr>
            <w:r w:rsidRPr="00D85E09">
              <w:t>35</w:t>
            </w:r>
          </w:p>
        </w:tc>
        <w:tc>
          <w:tcPr>
            <w:tcW w:w="423" w:type="pct"/>
            <w:vAlign w:val="center"/>
          </w:tcPr>
          <w:p w14:paraId="36161469" w14:textId="77777777" w:rsidR="00315893" w:rsidRPr="00D85E09" w:rsidRDefault="00315893" w:rsidP="0043316B">
            <w:pPr>
              <w:pStyle w:val="Tabletext"/>
              <w:keepNext w:val="0"/>
              <w:widowControl w:val="0"/>
            </w:pPr>
            <w:r w:rsidRPr="00D85E09">
              <w:t>35</w:t>
            </w:r>
          </w:p>
        </w:tc>
        <w:tc>
          <w:tcPr>
            <w:tcW w:w="422" w:type="pct"/>
            <w:vAlign w:val="center"/>
          </w:tcPr>
          <w:p w14:paraId="0819E0E1" w14:textId="77777777" w:rsidR="00315893" w:rsidRPr="00D85E09" w:rsidRDefault="00315893" w:rsidP="0043316B">
            <w:pPr>
              <w:pStyle w:val="Tabletext"/>
              <w:keepNext w:val="0"/>
              <w:widowControl w:val="0"/>
            </w:pPr>
            <w:r w:rsidRPr="00D85E09">
              <w:t>233</w:t>
            </w:r>
          </w:p>
        </w:tc>
        <w:tc>
          <w:tcPr>
            <w:tcW w:w="423" w:type="pct"/>
            <w:vAlign w:val="center"/>
          </w:tcPr>
          <w:p w14:paraId="63D4DE52" w14:textId="77777777" w:rsidR="00315893" w:rsidRPr="00D85E09" w:rsidRDefault="00315893" w:rsidP="0043316B">
            <w:pPr>
              <w:pStyle w:val="Tabletext"/>
              <w:keepNext w:val="0"/>
              <w:widowControl w:val="0"/>
            </w:pPr>
            <w:r w:rsidRPr="00D85E09">
              <w:t>267</w:t>
            </w:r>
          </w:p>
        </w:tc>
        <w:tc>
          <w:tcPr>
            <w:tcW w:w="423" w:type="pct"/>
            <w:vAlign w:val="center"/>
          </w:tcPr>
          <w:p w14:paraId="7861CDAC" w14:textId="77777777" w:rsidR="00315893" w:rsidRPr="00D85E09" w:rsidRDefault="00315893" w:rsidP="0043316B">
            <w:pPr>
              <w:pStyle w:val="Tabletext"/>
              <w:keepNext w:val="0"/>
              <w:widowControl w:val="0"/>
            </w:pPr>
            <w:r w:rsidRPr="00D85E09">
              <w:t>103</w:t>
            </w:r>
          </w:p>
        </w:tc>
        <w:tc>
          <w:tcPr>
            <w:tcW w:w="422" w:type="pct"/>
            <w:vAlign w:val="center"/>
          </w:tcPr>
          <w:p w14:paraId="5B1C302D" w14:textId="77777777" w:rsidR="00315893" w:rsidRPr="00D85E09" w:rsidRDefault="00315893" w:rsidP="0043316B">
            <w:pPr>
              <w:pStyle w:val="Tabletext"/>
              <w:keepNext w:val="0"/>
              <w:widowControl w:val="0"/>
            </w:pPr>
            <w:r w:rsidRPr="00D85E09">
              <w:t>103</w:t>
            </w:r>
          </w:p>
        </w:tc>
        <w:tc>
          <w:tcPr>
            <w:tcW w:w="422" w:type="pct"/>
            <w:shd w:val="clear" w:color="auto" w:fill="auto"/>
            <w:noWrap/>
            <w:vAlign w:val="center"/>
            <w:hideMark/>
          </w:tcPr>
          <w:p w14:paraId="63710F61" w14:textId="77777777" w:rsidR="00315893" w:rsidRPr="00D85E09" w:rsidRDefault="00315893" w:rsidP="0043316B">
            <w:pPr>
              <w:pStyle w:val="Tabletext"/>
              <w:keepNext w:val="0"/>
              <w:widowControl w:val="0"/>
            </w:pPr>
            <w:r w:rsidRPr="00D85E09">
              <w:t>98</w:t>
            </w:r>
          </w:p>
        </w:tc>
        <w:tc>
          <w:tcPr>
            <w:tcW w:w="423" w:type="pct"/>
            <w:shd w:val="clear" w:color="auto" w:fill="auto"/>
            <w:noWrap/>
            <w:vAlign w:val="center"/>
            <w:hideMark/>
          </w:tcPr>
          <w:p w14:paraId="0367DEB3" w14:textId="77777777" w:rsidR="00315893" w:rsidRPr="00D85E09" w:rsidRDefault="00315893" w:rsidP="0043316B">
            <w:pPr>
              <w:pStyle w:val="Tabletext"/>
              <w:keepNext w:val="0"/>
              <w:widowControl w:val="0"/>
            </w:pPr>
            <w:r w:rsidRPr="00D85E09">
              <w:t>98</w:t>
            </w:r>
          </w:p>
        </w:tc>
      </w:tr>
      <w:tr w:rsidR="00315893" w:rsidRPr="00D85E09" w14:paraId="2E56E7CE" w14:textId="77777777" w:rsidTr="00465778">
        <w:trPr>
          <w:trHeight w:val="20"/>
        </w:trPr>
        <w:tc>
          <w:tcPr>
            <w:tcW w:w="774" w:type="pct"/>
            <w:shd w:val="clear" w:color="auto" w:fill="auto"/>
            <w:noWrap/>
            <w:vAlign w:val="center"/>
            <w:hideMark/>
          </w:tcPr>
          <w:p w14:paraId="51F5F801" w14:textId="77777777" w:rsidR="00315893" w:rsidRPr="00D85E09" w:rsidRDefault="00315893" w:rsidP="0043316B">
            <w:pPr>
              <w:pStyle w:val="Tabletext"/>
              <w:keepNext w:val="0"/>
              <w:widowControl w:val="0"/>
            </w:pPr>
            <w:r w:rsidRPr="00D85E09">
              <w:t>Age; Mean (SD)</w:t>
            </w:r>
          </w:p>
        </w:tc>
        <w:tc>
          <w:tcPr>
            <w:tcW w:w="422" w:type="pct"/>
            <w:vAlign w:val="center"/>
          </w:tcPr>
          <w:p w14:paraId="6438114F" w14:textId="77777777" w:rsidR="00315893" w:rsidRPr="00D85E09" w:rsidRDefault="00315893" w:rsidP="0043316B">
            <w:pPr>
              <w:pStyle w:val="Tabletext"/>
              <w:keepNext w:val="0"/>
              <w:widowControl w:val="0"/>
            </w:pPr>
            <w:r w:rsidRPr="00D85E09">
              <w:t>NR</w:t>
            </w:r>
          </w:p>
        </w:tc>
        <w:tc>
          <w:tcPr>
            <w:tcW w:w="423" w:type="pct"/>
            <w:vAlign w:val="center"/>
          </w:tcPr>
          <w:p w14:paraId="55FCE076" w14:textId="77777777" w:rsidR="00315893" w:rsidRPr="00D85E09" w:rsidRDefault="00315893" w:rsidP="0043316B">
            <w:pPr>
              <w:pStyle w:val="Tabletext"/>
              <w:keepNext w:val="0"/>
              <w:widowControl w:val="0"/>
            </w:pPr>
            <w:r w:rsidRPr="00D85E09">
              <w:t>NR</w:t>
            </w:r>
          </w:p>
        </w:tc>
        <w:tc>
          <w:tcPr>
            <w:tcW w:w="422" w:type="pct"/>
            <w:vAlign w:val="center"/>
          </w:tcPr>
          <w:p w14:paraId="613BE3C2" w14:textId="77777777" w:rsidR="00315893" w:rsidRPr="00D85E09" w:rsidRDefault="00315893" w:rsidP="0043316B">
            <w:pPr>
              <w:pStyle w:val="Tabletext"/>
              <w:keepNext w:val="0"/>
              <w:widowControl w:val="0"/>
            </w:pPr>
            <w:r w:rsidRPr="00D85E09">
              <w:t>68.6 (12.3)</w:t>
            </w:r>
          </w:p>
        </w:tc>
        <w:tc>
          <w:tcPr>
            <w:tcW w:w="423" w:type="pct"/>
            <w:vAlign w:val="center"/>
          </w:tcPr>
          <w:p w14:paraId="519D81F6" w14:textId="77777777" w:rsidR="00315893" w:rsidRPr="00D85E09" w:rsidRDefault="00315893" w:rsidP="0043316B">
            <w:pPr>
              <w:pStyle w:val="Tabletext"/>
              <w:keepNext w:val="0"/>
              <w:widowControl w:val="0"/>
            </w:pPr>
            <w:r w:rsidRPr="00D85E09">
              <w:t>70.2 (11.8)</w:t>
            </w:r>
          </w:p>
        </w:tc>
        <w:tc>
          <w:tcPr>
            <w:tcW w:w="422" w:type="pct"/>
            <w:vAlign w:val="center"/>
          </w:tcPr>
          <w:p w14:paraId="228F9735" w14:textId="77777777" w:rsidR="00315893" w:rsidRPr="00D85E09" w:rsidRDefault="00315893" w:rsidP="0043316B">
            <w:pPr>
              <w:pStyle w:val="Tabletext"/>
              <w:keepNext w:val="0"/>
              <w:widowControl w:val="0"/>
            </w:pPr>
            <w:r w:rsidRPr="00D85E09">
              <w:t>NR</w:t>
            </w:r>
          </w:p>
        </w:tc>
        <w:tc>
          <w:tcPr>
            <w:tcW w:w="423" w:type="pct"/>
            <w:vAlign w:val="center"/>
          </w:tcPr>
          <w:p w14:paraId="79A881C0" w14:textId="77777777" w:rsidR="00315893" w:rsidRPr="00D85E09" w:rsidRDefault="00315893" w:rsidP="0043316B">
            <w:pPr>
              <w:pStyle w:val="Tabletext"/>
              <w:keepNext w:val="0"/>
              <w:widowControl w:val="0"/>
            </w:pPr>
            <w:r w:rsidRPr="00D85E09">
              <w:t>NR</w:t>
            </w:r>
          </w:p>
        </w:tc>
        <w:tc>
          <w:tcPr>
            <w:tcW w:w="423" w:type="pct"/>
            <w:vAlign w:val="center"/>
          </w:tcPr>
          <w:p w14:paraId="5086971D" w14:textId="77777777" w:rsidR="00315893" w:rsidRPr="00D85E09" w:rsidRDefault="00315893" w:rsidP="0043316B">
            <w:pPr>
              <w:pStyle w:val="Tabletext"/>
              <w:keepNext w:val="0"/>
              <w:widowControl w:val="0"/>
            </w:pPr>
            <w:r w:rsidRPr="00D85E09">
              <w:t>65.7 (11.3)</w:t>
            </w:r>
          </w:p>
        </w:tc>
        <w:tc>
          <w:tcPr>
            <w:tcW w:w="422" w:type="pct"/>
            <w:vAlign w:val="center"/>
          </w:tcPr>
          <w:p w14:paraId="566010D2" w14:textId="77777777" w:rsidR="00315893" w:rsidRPr="00D85E09" w:rsidRDefault="00315893" w:rsidP="0043316B">
            <w:pPr>
              <w:pStyle w:val="Tabletext"/>
              <w:keepNext w:val="0"/>
              <w:widowControl w:val="0"/>
            </w:pPr>
            <w:r w:rsidRPr="00D85E09">
              <w:t>67.2 (9.5)</w:t>
            </w:r>
          </w:p>
        </w:tc>
        <w:tc>
          <w:tcPr>
            <w:tcW w:w="422" w:type="pct"/>
            <w:shd w:val="clear" w:color="auto" w:fill="auto"/>
            <w:noWrap/>
            <w:vAlign w:val="center"/>
          </w:tcPr>
          <w:p w14:paraId="3E722799" w14:textId="77777777" w:rsidR="00315893" w:rsidRPr="00D85E09" w:rsidRDefault="00315893" w:rsidP="0043316B">
            <w:pPr>
              <w:pStyle w:val="Tabletext"/>
              <w:keepNext w:val="0"/>
              <w:widowControl w:val="0"/>
            </w:pPr>
            <w:r w:rsidRPr="00D85E09">
              <w:t>65.0 (12.5)</w:t>
            </w:r>
          </w:p>
        </w:tc>
        <w:tc>
          <w:tcPr>
            <w:tcW w:w="423" w:type="pct"/>
            <w:shd w:val="clear" w:color="auto" w:fill="auto"/>
            <w:noWrap/>
            <w:vAlign w:val="center"/>
          </w:tcPr>
          <w:p w14:paraId="3C65F438" w14:textId="77777777" w:rsidR="00315893" w:rsidRPr="00D85E09" w:rsidRDefault="00315893" w:rsidP="0043316B">
            <w:pPr>
              <w:pStyle w:val="Tabletext"/>
              <w:keepNext w:val="0"/>
              <w:widowControl w:val="0"/>
            </w:pPr>
            <w:r w:rsidRPr="00D85E09">
              <w:t>66.3 (11.3)</w:t>
            </w:r>
          </w:p>
        </w:tc>
      </w:tr>
      <w:tr w:rsidR="00315893" w:rsidRPr="00D85E09" w14:paraId="5969148A" w14:textId="77777777" w:rsidTr="00465778">
        <w:trPr>
          <w:trHeight w:val="20"/>
        </w:trPr>
        <w:tc>
          <w:tcPr>
            <w:tcW w:w="774" w:type="pct"/>
            <w:shd w:val="clear" w:color="auto" w:fill="auto"/>
            <w:noWrap/>
            <w:vAlign w:val="center"/>
          </w:tcPr>
          <w:p w14:paraId="57078D0C" w14:textId="77777777" w:rsidR="00315893" w:rsidRPr="00D85E09" w:rsidRDefault="00315893" w:rsidP="0043316B">
            <w:pPr>
              <w:pStyle w:val="Tabletext"/>
              <w:keepNext w:val="0"/>
              <w:widowControl w:val="0"/>
            </w:pPr>
            <w:r w:rsidRPr="00D85E09">
              <w:t>Age; Median (IQR)</w:t>
            </w:r>
          </w:p>
        </w:tc>
        <w:tc>
          <w:tcPr>
            <w:tcW w:w="422" w:type="pct"/>
            <w:vAlign w:val="center"/>
          </w:tcPr>
          <w:p w14:paraId="57BADC93" w14:textId="77777777" w:rsidR="00315893" w:rsidRPr="00D85E09" w:rsidRDefault="00315893" w:rsidP="0043316B">
            <w:pPr>
              <w:pStyle w:val="Tabletext"/>
              <w:keepNext w:val="0"/>
              <w:widowControl w:val="0"/>
            </w:pPr>
            <w:r w:rsidRPr="00D85E09">
              <w:t>71</w:t>
            </w:r>
            <w:r w:rsidRPr="00D85E09">
              <w:br/>
              <w:t xml:space="preserve"> (60-81)</w:t>
            </w:r>
          </w:p>
        </w:tc>
        <w:tc>
          <w:tcPr>
            <w:tcW w:w="423" w:type="pct"/>
            <w:vAlign w:val="center"/>
          </w:tcPr>
          <w:p w14:paraId="36ACDDBA" w14:textId="77777777" w:rsidR="00315893" w:rsidRPr="00D85E09" w:rsidRDefault="00315893" w:rsidP="0043316B">
            <w:pPr>
              <w:pStyle w:val="Tabletext"/>
              <w:keepNext w:val="0"/>
              <w:widowControl w:val="0"/>
            </w:pPr>
            <w:r w:rsidRPr="00D85E09">
              <w:t xml:space="preserve">70 </w:t>
            </w:r>
            <w:r w:rsidRPr="00D85E09">
              <w:br/>
              <w:t>(60-81)</w:t>
            </w:r>
          </w:p>
        </w:tc>
        <w:tc>
          <w:tcPr>
            <w:tcW w:w="422" w:type="pct"/>
            <w:vAlign w:val="center"/>
          </w:tcPr>
          <w:p w14:paraId="20C2F8BF" w14:textId="77777777" w:rsidR="00315893" w:rsidRPr="00D85E09" w:rsidRDefault="00315893" w:rsidP="0043316B">
            <w:pPr>
              <w:pStyle w:val="Tabletext"/>
              <w:keepNext w:val="0"/>
              <w:widowControl w:val="0"/>
            </w:pPr>
            <w:r w:rsidRPr="00D85E09">
              <w:t>NR</w:t>
            </w:r>
          </w:p>
        </w:tc>
        <w:tc>
          <w:tcPr>
            <w:tcW w:w="423" w:type="pct"/>
            <w:vAlign w:val="center"/>
          </w:tcPr>
          <w:p w14:paraId="72CD787F" w14:textId="77777777" w:rsidR="00315893" w:rsidRPr="00D85E09" w:rsidRDefault="00315893" w:rsidP="0043316B">
            <w:pPr>
              <w:pStyle w:val="Tabletext"/>
              <w:keepNext w:val="0"/>
              <w:widowControl w:val="0"/>
            </w:pPr>
            <w:r w:rsidRPr="00D85E09">
              <w:t>NR</w:t>
            </w:r>
          </w:p>
        </w:tc>
        <w:tc>
          <w:tcPr>
            <w:tcW w:w="422" w:type="pct"/>
            <w:vAlign w:val="center"/>
          </w:tcPr>
          <w:p w14:paraId="4F949A6B" w14:textId="77777777" w:rsidR="00315893" w:rsidRPr="00D85E09" w:rsidRDefault="00315893" w:rsidP="0043316B">
            <w:pPr>
              <w:pStyle w:val="Tabletext"/>
              <w:keepNext w:val="0"/>
              <w:widowControl w:val="0"/>
            </w:pPr>
            <w:r w:rsidRPr="00D85E09">
              <w:t xml:space="preserve">65.8 </w:t>
            </w:r>
            <w:r w:rsidRPr="00D85E09">
              <w:br/>
              <w:t>(54.5-76.0)</w:t>
            </w:r>
          </w:p>
        </w:tc>
        <w:tc>
          <w:tcPr>
            <w:tcW w:w="423" w:type="pct"/>
            <w:vAlign w:val="center"/>
          </w:tcPr>
          <w:p w14:paraId="12F4E57F" w14:textId="77777777" w:rsidR="00315893" w:rsidRPr="00D85E09" w:rsidRDefault="00315893" w:rsidP="0043316B">
            <w:pPr>
              <w:pStyle w:val="Tabletext"/>
              <w:keepNext w:val="0"/>
              <w:widowControl w:val="0"/>
            </w:pPr>
            <w:r w:rsidRPr="00D85E09">
              <w:t xml:space="preserve">65.7 </w:t>
            </w:r>
            <w:r w:rsidRPr="00D85E09">
              <w:br/>
              <w:t>(55.5-76.4)</w:t>
            </w:r>
          </w:p>
        </w:tc>
        <w:tc>
          <w:tcPr>
            <w:tcW w:w="423" w:type="pct"/>
            <w:vAlign w:val="center"/>
          </w:tcPr>
          <w:p w14:paraId="5814FED2" w14:textId="77777777" w:rsidR="00315893" w:rsidRPr="00D85E09" w:rsidRDefault="00315893" w:rsidP="0043316B">
            <w:pPr>
              <w:pStyle w:val="Tabletext"/>
              <w:keepNext w:val="0"/>
              <w:widowControl w:val="0"/>
            </w:pPr>
            <w:r w:rsidRPr="00D85E09">
              <w:t>NR</w:t>
            </w:r>
          </w:p>
        </w:tc>
        <w:tc>
          <w:tcPr>
            <w:tcW w:w="422" w:type="pct"/>
            <w:vAlign w:val="center"/>
          </w:tcPr>
          <w:p w14:paraId="38809548" w14:textId="77777777" w:rsidR="00315893" w:rsidRPr="00D85E09" w:rsidRDefault="00315893" w:rsidP="0043316B">
            <w:pPr>
              <w:pStyle w:val="Tabletext"/>
              <w:keepNext w:val="0"/>
              <w:widowControl w:val="0"/>
            </w:pPr>
            <w:r w:rsidRPr="00D85E09">
              <w:t>NR</w:t>
            </w:r>
          </w:p>
        </w:tc>
        <w:tc>
          <w:tcPr>
            <w:tcW w:w="422" w:type="pct"/>
            <w:shd w:val="clear" w:color="auto" w:fill="auto"/>
            <w:noWrap/>
            <w:vAlign w:val="center"/>
          </w:tcPr>
          <w:p w14:paraId="37EBC093"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6A47A3F0" w14:textId="77777777" w:rsidR="00315893" w:rsidRPr="00D85E09" w:rsidRDefault="00315893" w:rsidP="0043316B">
            <w:pPr>
              <w:pStyle w:val="Tabletext"/>
              <w:keepNext w:val="0"/>
              <w:widowControl w:val="0"/>
            </w:pPr>
            <w:r w:rsidRPr="00D85E09">
              <w:t>NR</w:t>
            </w:r>
          </w:p>
        </w:tc>
      </w:tr>
      <w:tr w:rsidR="00315893" w:rsidRPr="00D85E09" w14:paraId="2CC06B03" w14:textId="77777777" w:rsidTr="00465778">
        <w:trPr>
          <w:trHeight w:val="20"/>
        </w:trPr>
        <w:tc>
          <w:tcPr>
            <w:tcW w:w="774" w:type="pct"/>
            <w:shd w:val="clear" w:color="auto" w:fill="auto"/>
            <w:noWrap/>
            <w:vAlign w:val="center"/>
          </w:tcPr>
          <w:p w14:paraId="2F45D09E" w14:textId="77777777" w:rsidR="00315893" w:rsidRPr="00D85E09" w:rsidRDefault="00315893" w:rsidP="0043316B">
            <w:pPr>
              <w:pStyle w:val="Tabletext"/>
              <w:keepNext w:val="0"/>
              <w:widowControl w:val="0"/>
            </w:pPr>
            <w:r w:rsidRPr="00D85E09">
              <w:t>Gender; n/N (%) male</w:t>
            </w:r>
          </w:p>
        </w:tc>
        <w:tc>
          <w:tcPr>
            <w:tcW w:w="422" w:type="pct"/>
            <w:vAlign w:val="center"/>
          </w:tcPr>
          <w:p w14:paraId="2461191D" w14:textId="77777777" w:rsidR="00315893" w:rsidRPr="00D85E09" w:rsidRDefault="00315893" w:rsidP="0043316B">
            <w:pPr>
              <w:pStyle w:val="Tabletext"/>
              <w:keepNext w:val="0"/>
              <w:widowControl w:val="0"/>
            </w:pPr>
            <w:r w:rsidRPr="00D85E09">
              <w:t>79/165 (47.9)</w:t>
            </w:r>
          </w:p>
        </w:tc>
        <w:tc>
          <w:tcPr>
            <w:tcW w:w="423" w:type="pct"/>
            <w:vAlign w:val="center"/>
          </w:tcPr>
          <w:p w14:paraId="3C0D2D99" w14:textId="77777777" w:rsidR="00315893" w:rsidRPr="00D85E09" w:rsidRDefault="00315893" w:rsidP="0043316B">
            <w:pPr>
              <w:pStyle w:val="Tabletext"/>
              <w:keepNext w:val="0"/>
              <w:widowControl w:val="0"/>
            </w:pPr>
            <w:r w:rsidRPr="00D85E09">
              <w:t>71/150 (47.3)</w:t>
            </w:r>
          </w:p>
        </w:tc>
        <w:tc>
          <w:tcPr>
            <w:tcW w:w="422" w:type="pct"/>
            <w:vAlign w:val="center"/>
          </w:tcPr>
          <w:p w14:paraId="609B2C09" w14:textId="77777777" w:rsidR="00315893" w:rsidRPr="00D85E09" w:rsidRDefault="00315893" w:rsidP="0043316B">
            <w:pPr>
              <w:pStyle w:val="Tabletext"/>
              <w:keepNext w:val="0"/>
              <w:widowControl w:val="0"/>
            </w:pPr>
            <w:r w:rsidRPr="00D85E09">
              <w:t xml:space="preserve">17/35 </w:t>
            </w:r>
            <w:r w:rsidRPr="00D85E09">
              <w:br/>
              <w:t>(49)</w:t>
            </w:r>
          </w:p>
        </w:tc>
        <w:tc>
          <w:tcPr>
            <w:tcW w:w="423" w:type="pct"/>
            <w:vAlign w:val="center"/>
          </w:tcPr>
          <w:p w14:paraId="3BF52CDC" w14:textId="77777777" w:rsidR="00315893" w:rsidRPr="00D85E09" w:rsidRDefault="00315893" w:rsidP="0043316B">
            <w:pPr>
              <w:pStyle w:val="Tabletext"/>
              <w:keepNext w:val="0"/>
              <w:widowControl w:val="0"/>
            </w:pPr>
            <w:r w:rsidRPr="00D85E09">
              <w:t xml:space="preserve">17/35 </w:t>
            </w:r>
            <w:r w:rsidRPr="00D85E09">
              <w:br/>
              <w:t>(49)</w:t>
            </w:r>
          </w:p>
        </w:tc>
        <w:tc>
          <w:tcPr>
            <w:tcW w:w="422" w:type="pct"/>
            <w:vAlign w:val="center"/>
          </w:tcPr>
          <w:p w14:paraId="47C6DAB9" w14:textId="77777777" w:rsidR="00315893" w:rsidRPr="00D85E09" w:rsidRDefault="00315893" w:rsidP="0043316B">
            <w:pPr>
              <w:pStyle w:val="Tabletext"/>
              <w:keepNext w:val="0"/>
              <w:widowControl w:val="0"/>
            </w:pPr>
            <w:r w:rsidRPr="00D85E09">
              <w:t>135/233 (57.9)</w:t>
            </w:r>
          </w:p>
        </w:tc>
        <w:tc>
          <w:tcPr>
            <w:tcW w:w="423" w:type="pct"/>
            <w:vAlign w:val="center"/>
          </w:tcPr>
          <w:p w14:paraId="32C1CD24" w14:textId="77777777" w:rsidR="00315893" w:rsidRPr="00D85E09" w:rsidRDefault="00315893" w:rsidP="0043316B">
            <w:pPr>
              <w:pStyle w:val="Tabletext"/>
              <w:keepNext w:val="0"/>
              <w:widowControl w:val="0"/>
            </w:pPr>
            <w:r w:rsidRPr="00D85E09">
              <w:t>157/267</w:t>
            </w:r>
            <w:r w:rsidRPr="00D85E09">
              <w:br/>
              <w:t>(58.8)</w:t>
            </w:r>
          </w:p>
        </w:tc>
        <w:tc>
          <w:tcPr>
            <w:tcW w:w="423" w:type="pct"/>
            <w:vAlign w:val="center"/>
          </w:tcPr>
          <w:p w14:paraId="4FE7A110" w14:textId="77777777" w:rsidR="00315893" w:rsidRPr="00D85E09" w:rsidRDefault="00315893" w:rsidP="0043316B">
            <w:pPr>
              <w:pStyle w:val="Tabletext"/>
              <w:keepNext w:val="0"/>
              <w:widowControl w:val="0"/>
            </w:pPr>
            <w:r w:rsidRPr="00D85E09">
              <w:t>55/103</w:t>
            </w:r>
            <w:r w:rsidRPr="00D85E09">
              <w:br/>
              <w:t>(53.4)</w:t>
            </w:r>
          </w:p>
        </w:tc>
        <w:tc>
          <w:tcPr>
            <w:tcW w:w="422" w:type="pct"/>
            <w:vAlign w:val="center"/>
          </w:tcPr>
          <w:p w14:paraId="041ACB7E" w14:textId="77777777" w:rsidR="00315893" w:rsidRPr="00D85E09" w:rsidRDefault="00315893" w:rsidP="0043316B">
            <w:pPr>
              <w:pStyle w:val="Tabletext"/>
              <w:keepNext w:val="0"/>
              <w:widowControl w:val="0"/>
            </w:pPr>
            <w:r w:rsidRPr="00D85E09">
              <w:t>54/103 (52.4)</w:t>
            </w:r>
          </w:p>
        </w:tc>
        <w:tc>
          <w:tcPr>
            <w:tcW w:w="422" w:type="pct"/>
            <w:shd w:val="clear" w:color="auto" w:fill="auto"/>
            <w:noWrap/>
            <w:vAlign w:val="center"/>
          </w:tcPr>
          <w:p w14:paraId="12FD4ABD" w14:textId="77777777" w:rsidR="00315893" w:rsidRPr="00D85E09" w:rsidRDefault="00315893" w:rsidP="0043316B">
            <w:pPr>
              <w:pStyle w:val="Tabletext"/>
              <w:keepNext w:val="0"/>
              <w:widowControl w:val="0"/>
            </w:pPr>
            <w:r w:rsidRPr="00D85E09">
              <w:t xml:space="preserve">54/98 </w:t>
            </w:r>
            <w:r w:rsidRPr="00D85E09">
              <w:br/>
              <w:t>(55)</w:t>
            </w:r>
          </w:p>
        </w:tc>
        <w:tc>
          <w:tcPr>
            <w:tcW w:w="423" w:type="pct"/>
            <w:shd w:val="clear" w:color="auto" w:fill="auto"/>
            <w:noWrap/>
            <w:vAlign w:val="center"/>
          </w:tcPr>
          <w:p w14:paraId="1A28DD59" w14:textId="77777777" w:rsidR="00315893" w:rsidRPr="00D85E09" w:rsidRDefault="00315893" w:rsidP="0043316B">
            <w:pPr>
              <w:pStyle w:val="Tabletext"/>
              <w:keepNext w:val="0"/>
              <w:widowControl w:val="0"/>
            </w:pPr>
            <w:r w:rsidRPr="00D85E09">
              <w:t xml:space="preserve">45/96 </w:t>
            </w:r>
            <w:r w:rsidRPr="00D85E09">
              <w:br/>
              <w:t>(47)</w:t>
            </w:r>
          </w:p>
        </w:tc>
      </w:tr>
      <w:tr w:rsidR="00315893" w:rsidRPr="00D85E09" w14:paraId="4D9565E1" w14:textId="77777777" w:rsidTr="00465778">
        <w:trPr>
          <w:trHeight w:val="20"/>
        </w:trPr>
        <w:tc>
          <w:tcPr>
            <w:tcW w:w="774" w:type="pct"/>
            <w:shd w:val="clear" w:color="auto" w:fill="auto"/>
            <w:noWrap/>
            <w:vAlign w:val="center"/>
          </w:tcPr>
          <w:p w14:paraId="6CD61719" w14:textId="77777777" w:rsidR="00315893" w:rsidRPr="00D85E09" w:rsidRDefault="00315893" w:rsidP="0043316B">
            <w:pPr>
              <w:pStyle w:val="Tabletext"/>
              <w:keepNext w:val="0"/>
              <w:widowControl w:val="0"/>
              <w:rPr>
                <w:bCs/>
              </w:rPr>
            </w:pPr>
            <w:r w:rsidRPr="00D85E09">
              <w:rPr>
                <w:bCs/>
              </w:rPr>
              <w:t xml:space="preserve">Pre-stroke mRS 0-1; </w:t>
            </w:r>
            <w:r w:rsidRPr="00D85E09">
              <w:t>n/N (%)</w:t>
            </w:r>
          </w:p>
        </w:tc>
        <w:tc>
          <w:tcPr>
            <w:tcW w:w="422" w:type="pct"/>
            <w:vAlign w:val="center"/>
          </w:tcPr>
          <w:p w14:paraId="6C40FF15" w14:textId="77777777" w:rsidR="00315893" w:rsidRPr="00D85E09" w:rsidRDefault="00315893" w:rsidP="0043316B">
            <w:pPr>
              <w:pStyle w:val="Tabletext"/>
              <w:keepNext w:val="0"/>
              <w:widowControl w:val="0"/>
            </w:pPr>
            <w:r w:rsidRPr="00D85E09">
              <w:t>NR</w:t>
            </w:r>
          </w:p>
        </w:tc>
        <w:tc>
          <w:tcPr>
            <w:tcW w:w="423" w:type="pct"/>
            <w:vAlign w:val="center"/>
          </w:tcPr>
          <w:p w14:paraId="1486C324" w14:textId="77777777" w:rsidR="00315893" w:rsidRPr="00D85E09" w:rsidRDefault="00315893" w:rsidP="0043316B">
            <w:pPr>
              <w:pStyle w:val="Tabletext"/>
              <w:keepNext w:val="0"/>
              <w:widowControl w:val="0"/>
            </w:pPr>
            <w:r w:rsidRPr="00D85E09">
              <w:t>NR</w:t>
            </w:r>
          </w:p>
        </w:tc>
        <w:tc>
          <w:tcPr>
            <w:tcW w:w="422" w:type="pct"/>
            <w:vAlign w:val="center"/>
          </w:tcPr>
          <w:p w14:paraId="10F8EEF5" w14:textId="77777777" w:rsidR="00315893" w:rsidRPr="00D85E09" w:rsidRDefault="00315893" w:rsidP="0043316B">
            <w:pPr>
              <w:pStyle w:val="Tabletext"/>
              <w:keepNext w:val="0"/>
              <w:widowControl w:val="0"/>
            </w:pPr>
            <w:r w:rsidRPr="00D85E09">
              <w:t>NR</w:t>
            </w:r>
          </w:p>
        </w:tc>
        <w:tc>
          <w:tcPr>
            <w:tcW w:w="423" w:type="pct"/>
            <w:vAlign w:val="center"/>
          </w:tcPr>
          <w:p w14:paraId="38F3ED4B" w14:textId="77777777" w:rsidR="00315893" w:rsidRPr="00D85E09" w:rsidRDefault="00315893" w:rsidP="0043316B">
            <w:pPr>
              <w:pStyle w:val="Tabletext"/>
              <w:keepNext w:val="0"/>
              <w:widowControl w:val="0"/>
            </w:pPr>
            <w:r w:rsidRPr="00D85E09">
              <w:t>NR</w:t>
            </w:r>
          </w:p>
        </w:tc>
        <w:tc>
          <w:tcPr>
            <w:tcW w:w="422" w:type="pct"/>
            <w:vAlign w:val="center"/>
          </w:tcPr>
          <w:p w14:paraId="00E32A3F" w14:textId="77777777" w:rsidR="00315893" w:rsidRPr="00D85E09" w:rsidRDefault="00315893" w:rsidP="0043316B">
            <w:pPr>
              <w:pStyle w:val="Tabletext"/>
              <w:keepNext w:val="0"/>
              <w:widowControl w:val="0"/>
            </w:pPr>
            <w:r w:rsidRPr="00D85E09">
              <w:t xml:space="preserve">211/233 </w:t>
            </w:r>
            <w:r w:rsidRPr="00D85E09">
              <w:br/>
              <w:t>(90.5)</w:t>
            </w:r>
          </w:p>
        </w:tc>
        <w:tc>
          <w:tcPr>
            <w:tcW w:w="423" w:type="pct"/>
            <w:vAlign w:val="center"/>
          </w:tcPr>
          <w:p w14:paraId="25D857C1" w14:textId="77777777" w:rsidR="00315893" w:rsidRPr="00D85E09" w:rsidRDefault="00315893" w:rsidP="0043316B">
            <w:pPr>
              <w:pStyle w:val="Tabletext"/>
              <w:keepNext w:val="0"/>
              <w:widowControl w:val="0"/>
            </w:pPr>
            <w:r w:rsidRPr="00D85E09">
              <w:t>243/267</w:t>
            </w:r>
            <w:r w:rsidRPr="00D85E09">
              <w:br/>
              <w:t>(91.0)</w:t>
            </w:r>
          </w:p>
        </w:tc>
        <w:tc>
          <w:tcPr>
            <w:tcW w:w="423" w:type="pct"/>
            <w:vAlign w:val="center"/>
          </w:tcPr>
          <w:p w14:paraId="77AB48AC" w14:textId="77777777" w:rsidR="00315893" w:rsidRPr="00D85E09" w:rsidRDefault="00315893" w:rsidP="0043316B">
            <w:pPr>
              <w:pStyle w:val="Tabletext"/>
              <w:keepNext w:val="0"/>
              <w:widowControl w:val="0"/>
            </w:pPr>
            <w:r w:rsidRPr="00D85E09">
              <w:t>86/103</w:t>
            </w:r>
            <w:r w:rsidRPr="00D85E09">
              <w:br/>
              <w:t>(83.5)</w:t>
            </w:r>
          </w:p>
        </w:tc>
        <w:tc>
          <w:tcPr>
            <w:tcW w:w="422" w:type="pct"/>
            <w:vAlign w:val="center"/>
          </w:tcPr>
          <w:p w14:paraId="010FF7B8" w14:textId="77777777" w:rsidR="00315893" w:rsidRPr="00D85E09" w:rsidRDefault="00315893" w:rsidP="0043316B">
            <w:pPr>
              <w:pStyle w:val="Tabletext"/>
              <w:keepNext w:val="0"/>
              <w:widowControl w:val="0"/>
            </w:pPr>
            <w:r w:rsidRPr="00D85E09">
              <w:t>83/103 (80.6)</w:t>
            </w:r>
          </w:p>
        </w:tc>
        <w:tc>
          <w:tcPr>
            <w:tcW w:w="422" w:type="pct"/>
            <w:shd w:val="clear" w:color="auto" w:fill="auto"/>
            <w:noWrap/>
            <w:vAlign w:val="center"/>
          </w:tcPr>
          <w:p w14:paraId="5C9F0810" w14:textId="77777777" w:rsidR="00315893" w:rsidRPr="00D85E09" w:rsidRDefault="00315893" w:rsidP="0043316B">
            <w:pPr>
              <w:pStyle w:val="Tabletext"/>
              <w:keepNext w:val="0"/>
              <w:widowControl w:val="0"/>
            </w:pPr>
            <w:r w:rsidRPr="00D85E09">
              <w:t xml:space="preserve">96/98 </w:t>
            </w:r>
            <w:r w:rsidRPr="00D85E09">
              <w:br/>
              <w:t>(98)</w:t>
            </w:r>
          </w:p>
        </w:tc>
        <w:tc>
          <w:tcPr>
            <w:tcW w:w="423" w:type="pct"/>
            <w:shd w:val="clear" w:color="auto" w:fill="auto"/>
            <w:noWrap/>
            <w:vAlign w:val="center"/>
          </w:tcPr>
          <w:p w14:paraId="5C052CD2" w14:textId="77777777" w:rsidR="00315893" w:rsidRPr="00D85E09" w:rsidRDefault="00315893" w:rsidP="0043316B">
            <w:pPr>
              <w:pStyle w:val="Tabletext"/>
              <w:keepNext w:val="0"/>
              <w:widowControl w:val="0"/>
            </w:pPr>
            <w:r w:rsidRPr="00D85E09">
              <w:t xml:space="preserve">93/94 </w:t>
            </w:r>
            <w:r w:rsidRPr="00D85E09">
              <w:br/>
              <w:t>(99)</w:t>
            </w:r>
          </w:p>
        </w:tc>
      </w:tr>
      <w:tr w:rsidR="00315893" w:rsidRPr="00D85E09" w14:paraId="6F796522" w14:textId="77777777" w:rsidTr="00465778">
        <w:trPr>
          <w:trHeight w:val="20"/>
        </w:trPr>
        <w:tc>
          <w:tcPr>
            <w:tcW w:w="774" w:type="pct"/>
            <w:shd w:val="clear" w:color="auto" w:fill="auto"/>
            <w:noWrap/>
            <w:vAlign w:val="center"/>
            <w:hideMark/>
          </w:tcPr>
          <w:p w14:paraId="777250A9" w14:textId="77777777" w:rsidR="00315893" w:rsidRPr="00D85E09" w:rsidRDefault="00315893" w:rsidP="0043316B">
            <w:pPr>
              <w:pStyle w:val="Tabletext"/>
              <w:keepNext w:val="0"/>
              <w:widowControl w:val="0"/>
              <w:rPr>
                <w:bCs/>
              </w:rPr>
            </w:pPr>
            <w:r w:rsidRPr="00D85E09">
              <w:rPr>
                <w:bCs/>
              </w:rPr>
              <w:t xml:space="preserve">NIHSS score; </w:t>
            </w:r>
            <w:r w:rsidRPr="00D85E09">
              <w:t>Median (IQR)</w:t>
            </w:r>
          </w:p>
        </w:tc>
        <w:tc>
          <w:tcPr>
            <w:tcW w:w="422" w:type="pct"/>
            <w:vAlign w:val="center"/>
          </w:tcPr>
          <w:p w14:paraId="778D611F" w14:textId="77777777" w:rsidR="00315893" w:rsidRPr="00D85E09" w:rsidRDefault="00315893" w:rsidP="0043316B">
            <w:pPr>
              <w:pStyle w:val="Tabletext"/>
              <w:keepNext w:val="0"/>
              <w:widowControl w:val="0"/>
            </w:pPr>
            <w:r w:rsidRPr="00D85E09">
              <w:t xml:space="preserve">16 </w:t>
            </w:r>
            <w:r w:rsidRPr="00D85E09">
              <w:br/>
              <w:t>(13-20)</w:t>
            </w:r>
          </w:p>
        </w:tc>
        <w:tc>
          <w:tcPr>
            <w:tcW w:w="423" w:type="pct"/>
            <w:vAlign w:val="center"/>
          </w:tcPr>
          <w:p w14:paraId="05D3DAAD" w14:textId="77777777" w:rsidR="00315893" w:rsidRPr="00D85E09" w:rsidRDefault="00315893" w:rsidP="0043316B">
            <w:pPr>
              <w:pStyle w:val="Tabletext"/>
              <w:keepNext w:val="0"/>
              <w:widowControl w:val="0"/>
            </w:pPr>
            <w:r w:rsidRPr="00D85E09">
              <w:t xml:space="preserve">17 </w:t>
            </w:r>
            <w:r w:rsidRPr="00D85E09">
              <w:br/>
              <w:t>(12-20)</w:t>
            </w:r>
          </w:p>
        </w:tc>
        <w:tc>
          <w:tcPr>
            <w:tcW w:w="422" w:type="pct"/>
            <w:vAlign w:val="center"/>
          </w:tcPr>
          <w:p w14:paraId="2B78CE6E" w14:textId="77777777" w:rsidR="00315893" w:rsidRPr="00D85E09" w:rsidRDefault="00315893" w:rsidP="0043316B">
            <w:pPr>
              <w:pStyle w:val="Tabletext"/>
              <w:keepNext w:val="0"/>
              <w:widowControl w:val="0"/>
            </w:pPr>
            <w:r w:rsidRPr="00D85E09">
              <w:t>17 (13-20)</w:t>
            </w:r>
          </w:p>
        </w:tc>
        <w:tc>
          <w:tcPr>
            <w:tcW w:w="423" w:type="pct"/>
            <w:vAlign w:val="center"/>
          </w:tcPr>
          <w:p w14:paraId="5494128C" w14:textId="77777777" w:rsidR="00315893" w:rsidRPr="00D85E09" w:rsidRDefault="00315893" w:rsidP="0043316B">
            <w:pPr>
              <w:pStyle w:val="Tabletext"/>
              <w:keepNext w:val="0"/>
              <w:widowControl w:val="0"/>
            </w:pPr>
            <w:r w:rsidRPr="00D85E09">
              <w:t>13 (9-19)</w:t>
            </w:r>
          </w:p>
        </w:tc>
        <w:tc>
          <w:tcPr>
            <w:tcW w:w="422" w:type="pct"/>
            <w:vAlign w:val="center"/>
          </w:tcPr>
          <w:p w14:paraId="4F9874BA" w14:textId="77777777" w:rsidR="00315893" w:rsidRPr="00D85E09" w:rsidRDefault="00315893" w:rsidP="0043316B">
            <w:pPr>
              <w:pStyle w:val="Tabletext"/>
              <w:keepNext w:val="0"/>
              <w:widowControl w:val="0"/>
            </w:pPr>
            <w:r w:rsidRPr="00D85E09">
              <w:t>17 (14-21)</w:t>
            </w:r>
          </w:p>
        </w:tc>
        <w:tc>
          <w:tcPr>
            <w:tcW w:w="423" w:type="pct"/>
            <w:vAlign w:val="center"/>
          </w:tcPr>
          <w:p w14:paraId="26C2E4AE" w14:textId="77777777" w:rsidR="00315893" w:rsidRPr="00D85E09" w:rsidRDefault="00315893" w:rsidP="0043316B">
            <w:pPr>
              <w:pStyle w:val="Tabletext"/>
              <w:keepNext w:val="0"/>
              <w:widowControl w:val="0"/>
            </w:pPr>
            <w:r w:rsidRPr="00D85E09">
              <w:t>18 (14-22)</w:t>
            </w:r>
          </w:p>
        </w:tc>
        <w:tc>
          <w:tcPr>
            <w:tcW w:w="423" w:type="pct"/>
            <w:vAlign w:val="center"/>
          </w:tcPr>
          <w:p w14:paraId="1DCBAA46" w14:textId="77777777" w:rsidR="00315893" w:rsidRPr="00D85E09" w:rsidRDefault="00315893" w:rsidP="0043316B">
            <w:pPr>
              <w:pStyle w:val="Tabletext"/>
              <w:keepNext w:val="0"/>
              <w:widowControl w:val="0"/>
            </w:pPr>
            <w:r w:rsidRPr="00D85E09">
              <w:t>17 (14-20)</w:t>
            </w:r>
          </w:p>
        </w:tc>
        <w:tc>
          <w:tcPr>
            <w:tcW w:w="422" w:type="pct"/>
            <w:vAlign w:val="center"/>
          </w:tcPr>
          <w:p w14:paraId="295008B6" w14:textId="77777777" w:rsidR="00315893" w:rsidRPr="00D85E09" w:rsidRDefault="00315893" w:rsidP="0043316B">
            <w:pPr>
              <w:pStyle w:val="Tabletext"/>
              <w:keepNext w:val="0"/>
              <w:widowControl w:val="0"/>
            </w:pPr>
            <w:r w:rsidRPr="00D85E09">
              <w:t>17 (12-19)</w:t>
            </w:r>
          </w:p>
        </w:tc>
        <w:tc>
          <w:tcPr>
            <w:tcW w:w="422" w:type="pct"/>
            <w:shd w:val="clear" w:color="auto" w:fill="auto"/>
            <w:noWrap/>
            <w:vAlign w:val="center"/>
            <w:hideMark/>
          </w:tcPr>
          <w:p w14:paraId="7E6AFA51" w14:textId="77777777" w:rsidR="00315893" w:rsidRPr="00D85E09" w:rsidRDefault="00315893" w:rsidP="0043316B">
            <w:pPr>
              <w:pStyle w:val="Tabletext"/>
              <w:keepNext w:val="0"/>
              <w:widowControl w:val="0"/>
            </w:pPr>
            <w:r w:rsidRPr="00D85E09">
              <w:t>17 (13-19)</w:t>
            </w:r>
          </w:p>
        </w:tc>
        <w:tc>
          <w:tcPr>
            <w:tcW w:w="423" w:type="pct"/>
            <w:shd w:val="clear" w:color="auto" w:fill="auto"/>
            <w:noWrap/>
            <w:vAlign w:val="center"/>
            <w:hideMark/>
          </w:tcPr>
          <w:p w14:paraId="6911EB36" w14:textId="77777777" w:rsidR="00315893" w:rsidRPr="00D85E09" w:rsidRDefault="00315893" w:rsidP="0043316B">
            <w:pPr>
              <w:pStyle w:val="Tabletext"/>
              <w:keepNext w:val="0"/>
              <w:widowControl w:val="0"/>
            </w:pPr>
            <w:r w:rsidRPr="00D85E09">
              <w:t>17 (13-20)</w:t>
            </w:r>
          </w:p>
        </w:tc>
      </w:tr>
      <w:tr w:rsidR="00315893" w:rsidRPr="00D85E09" w14:paraId="25880AE1" w14:textId="77777777" w:rsidTr="00465778">
        <w:trPr>
          <w:trHeight w:val="20"/>
        </w:trPr>
        <w:tc>
          <w:tcPr>
            <w:tcW w:w="774" w:type="pct"/>
            <w:shd w:val="clear" w:color="auto" w:fill="auto"/>
            <w:noWrap/>
            <w:vAlign w:val="center"/>
          </w:tcPr>
          <w:p w14:paraId="1F29C67C" w14:textId="77777777" w:rsidR="00315893" w:rsidRPr="00D85E09" w:rsidRDefault="00315893" w:rsidP="0043316B">
            <w:pPr>
              <w:pStyle w:val="Tabletext"/>
              <w:keepNext w:val="0"/>
              <w:widowControl w:val="0"/>
              <w:rPr>
                <w:bCs/>
              </w:rPr>
            </w:pPr>
            <w:r w:rsidRPr="00D85E09">
              <w:rPr>
                <w:bCs/>
              </w:rPr>
              <w:t xml:space="preserve">ASPECTS on CT; </w:t>
            </w:r>
            <w:r w:rsidRPr="00D85E09">
              <w:t>Median (IQR)</w:t>
            </w:r>
          </w:p>
        </w:tc>
        <w:tc>
          <w:tcPr>
            <w:tcW w:w="422" w:type="pct"/>
            <w:vAlign w:val="center"/>
          </w:tcPr>
          <w:p w14:paraId="20B043B6" w14:textId="77777777" w:rsidR="00315893" w:rsidRPr="00D85E09" w:rsidRDefault="00315893" w:rsidP="0043316B">
            <w:pPr>
              <w:pStyle w:val="Tabletext"/>
              <w:keepNext w:val="0"/>
              <w:widowControl w:val="0"/>
            </w:pPr>
            <w:r w:rsidRPr="00D85E09">
              <w:t xml:space="preserve">9 </w:t>
            </w:r>
            <w:r w:rsidRPr="00D85E09">
              <w:br/>
              <w:t>(8-10)</w:t>
            </w:r>
          </w:p>
        </w:tc>
        <w:tc>
          <w:tcPr>
            <w:tcW w:w="423" w:type="pct"/>
            <w:vAlign w:val="center"/>
          </w:tcPr>
          <w:p w14:paraId="25226D98" w14:textId="77777777" w:rsidR="00315893" w:rsidRPr="00D85E09" w:rsidRDefault="00315893" w:rsidP="0043316B">
            <w:pPr>
              <w:pStyle w:val="Tabletext"/>
              <w:keepNext w:val="0"/>
              <w:widowControl w:val="0"/>
            </w:pPr>
            <w:r w:rsidRPr="00D85E09">
              <w:t xml:space="preserve">9 </w:t>
            </w:r>
            <w:r w:rsidRPr="00D85E09">
              <w:br/>
              <w:t>(8-10)</w:t>
            </w:r>
          </w:p>
        </w:tc>
        <w:tc>
          <w:tcPr>
            <w:tcW w:w="422" w:type="pct"/>
            <w:vAlign w:val="center"/>
          </w:tcPr>
          <w:p w14:paraId="34D316D8" w14:textId="77777777" w:rsidR="00315893" w:rsidRPr="00D85E09" w:rsidRDefault="00315893" w:rsidP="0043316B">
            <w:pPr>
              <w:pStyle w:val="Tabletext"/>
              <w:keepNext w:val="0"/>
              <w:widowControl w:val="0"/>
            </w:pPr>
            <w:r w:rsidRPr="00D85E09">
              <w:t>NR</w:t>
            </w:r>
          </w:p>
        </w:tc>
        <w:tc>
          <w:tcPr>
            <w:tcW w:w="423" w:type="pct"/>
            <w:vAlign w:val="center"/>
          </w:tcPr>
          <w:p w14:paraId="21201FE8" w14:textId="77777777" w:rsidR="00315893" w:rsidRPr="00D85E09" w:rsidRDefault="00315893" w:rsidP="0043316B">
            <w:pPr>
              <w:pStyle w:val="Tabletext"/>
              <w:keepNext w:val="0"/>
              <w:widowControl w:val="0"/>
            </w:pPr>
            <w:r w:rsidRPr="00D85E09">
              <w:t>NR</w:t>
            </w:r>
          </w:p>
        </w:tc>
        <w:tc>
          <w:tcPr>
            <w:tcW w:w="422" w:type="pct"/>
            <w:vAlign w:val="center"/>
          </w:tcPr>
          <w:p w14:paraId="6874CD0A" w14:textId="77777777" w:rsidR="00315893" w:rsidRPr="00D85E09" w:rsidRDefault="00315893" w:rsidP="0043316B">
            <w:pPr>
              <w:pStyle w:val="Tabletext"/>
              <w:keepNext w:val="0"/>
              <w:widowControl w:val="0"/>
            </w:pPr>
            <w:r w:rsidRPr="00D85E09">
              <w:t>9 (7-10)</w:t>
            </w:r>
          </w:p>
        </w:tc>
        <w:tc>
          <w:tcPr>
            <w:tcW w:w="423" w:type="pct"/>
            <w:vAlign w:val="center"/>
          </w:tcPr>
          <w:p w14:paraId="63EAD697" w14:textId="77777777" w:rsidR="00315893" w:rsidRPr="00D85E09" w:rsidRDefault="00315893" w:rsidP="0043316B">
            <w:pPr>
              <w:pStyle w:val="Tabletext"/>
              <w:keepNext w:val="0"/>
              <w:widowControl w:val="0"/>
            </w:pPr>
            <w:r w:rsidRPr="00D85E09">
              <w:t>9 (8-10)</w:t>
            </w:r>
          </w:p>
        </w:tc>
        <w:tc>
          <w:tcPr>
            <w:tcW w:w="423" w:type="pct"/>
            <w:vAlign w:val="center"/>
          </w:tcPr>
          <w:p w14:paraId="43375684" w14:textId="77777777" w:rsidR="00315893" w:rsidRPr="00D85E09" w:rsidRDefault="00315893" w:rsidP="0043316B">
            <w:pPr>
              <w:pStyle w:val="Tabletext"/>
              <w:keepNext w:val="0"/>
              <w:widowControl w:val="0"/>
            </w:pPr>
            <w:r w:rsidRPr="00D85E09">
              <w:t>7 (6-9)</w:t>
            </w:r>
          </w:p>
        </w:tc>
        <w:tc>
          <w:tcPr>
            <w:tcW w:w="422" w:type="pct"/>
            <w:vAlign w:val="center"/>
          </w:tcPr>
          <w:p w14:paraId="3CFEE2DD" w14:textId="77777777" w:rsidR="00315893" w:rsidRPr="00D85E09" w:rsidRDefault="00315893" w:rsidP="0043316B">
            <w:pPr>
              <w:pStyle w:val="Tabletext"/>
              <w:keepNext w:val="0"/>
              <w:widowControl w:val="0"/>
            </w:pPr>
            <w:r w:rsidRPr="00D85E09">
              <w:t>8 (6-9)</w:t>
            </w:r>
          </w:p>
        </w:tc>
        <w:tc>
          <w:tcPr>
            <w:tcW w:w="422" w:type="pct"/>
            <w:shd w:val="clear" w:color="auto" w:fill="auto"/>
            <w:noWrap/>
            <w:vAlign w:val="center"/>
          </w:tcPr>
          <w:p w14:paraId="19521B1E" w14:textId="77777777" w:rsidR="00315893" w:rsidRPr="00D85E09" w:rsidRDefault="00315893" w:rsidP="0043316B">
            <w:pPr>
              <w:pStyle w:val="Tabletext"/>
              <w:keepNext w:val="0"/>
              <w:widowControl w:val="0"/>
            </w:pPr>
            <w:r w:rsidRPr="00D85E09">
              <w:t>9 (8-10)</w:t>
            </w:r>
          </w:p>
        </w:tc>
        <w:tc>
          <w:tcPr>
            <w:tcW w:w="423" w:type="pct"/>
            <w:shd w:val="clear" w:color="auto" w:fill="auto"/>
            <w:noWrap/>
            <w:vAlign w:val="center"/>
          </w:tcPr>
          <w:p w14:paraId="7DE717C6" w14:textId="77777777" w:rsidR="00315893" w:rsidRPr="00D85E09" w:rsidRDefault="00315893" w:rsidP="0043316B">
            <w:pPr>
              <w:pStyle w:val="Tabletext"/>
              <w:keepNext w:val="0"/>
              <w:widowControl w:val="0"/>
            </w:pPr>
            <w:r w:rsidRPr="00D85E09">
              <w:t>9 (7-10)</w:t>
            </w:r>
          </w:p>
        </w:tc>
      </w:tr>
      <w:tr w:rsidR="00315893" w:rsidRPr="00D85E09" w14:paraId="2F284CF5" w14:textId="77777777" w:rsidTr="00465778">
        <w:trPr>
          <w:trHeight w:val="20"/>
        </w:trPr>
        <w:tc>
          <w:tcPr>
            <w:tcW w:w="774" w:type="pct"/>
            <w:shd w:val="clear" w:color="auto" w:fill="auto"/>
            <w:noWrap/>
            <w:vAlign w:val="center"/>
          </w:tcPr>
          <w:p w14:paraId="6F162EA1" w14:textId="77777777" w:rsidR="00315893" w:rsidRPr="00D85E09" w:rsidRDefault="00315893" w:rsidP="0043316B">
            <w:pPr>
              <w:pStyle w:val="Tabletext"/>
              <w:keepNext w:val="0"/>
              <w:widowControl w:val="0"/>
              <w:rPr>
                <w:bCs/>
              </w:rPr>
            </w:pPr>
            <w:r w:rsidRPr="00D85E09">
              <w:rPr>
                <w:bCs/>
              </w:rPr>
              <w:t>Site of occlusion; n/N (%)</w:t>
            </w:r>
          </w:p>
        </w:tc>
        <w:tc>
          <w:tcPr>
            <w:tcW w:w="422" w:type="pct"/>
            <w:vAlign w:val="center"/>
          </w:tcPr>
          <w:p w14:paraId="4107CEF9" w14:textId="77777777" w:rsidR="00315893" w:rsidRPr="00D85E09" w:rsidRDefault="00315893" w:rsidP="0043316B">
            <w:pPr>
              <w:pStyle w:val="Tabletext"/>
              <w:keepNext w:val="0"/>
              <w:widowControl w:val="0"/>
            </w:pPr>
          </w:p>
        </w:tc>
        <w:tc>
          <w:tcPr>
            <w:tcW w:w="423" w:type="pct"/>
            <w:vAlign w:val="center"/>
          </w:tcPr>
          <w:p w14:paraId="639C034B" w14:textId="77777777" w:rsidR="00315893" w:rsidRPr="00D85E09" w:rsidRDefault="00315893" w:rsidP="0043316B">
            <w:pPr>
              <w:pStyle w:val="Tabletext"/>
              <w:keepNext w:val="0"/>
              <w:widowControl w:val="0"/>
            </w:pPr>
          </w:p>
        </w:tc>
        <w:tc>
          <w:tcPr>
            <w:tcW w:w="422" w:type="pct"/>
            <w:vAlign w:val="center"/>
          </w:tcPr>
          <w:p w14:paraId="7337301B" w14:textId="77777777" w:rsidR="00315893" w:rsidRPr="00D85E09" w:rsidRDefault="00315893" w:rsidP="0043316B">
            <w:pPr>
              <w:pStyle w:val="Tabletext"/>
              <w:keepNext w:val="0"/>
              <w:widowControl w:val="0"/>
            </w:pPr>
          </w:p>
        </w:tc>
        <w:tc>
          <w:tcPr>
            <w:tcW w:w="423" w:type="pct"/>
            <w:vAlign w:val="center"/>
          </w:tcPr>
          <w:p w14:paraId="273D702D" w14:textId="77777777" w:rsidR="00315893" w:rsidRPr="00D85E09" w:rsidRDefault="00315893" w:rsidP="0043316B">
            <w:pPr>
              <w:pStyle w:val="Tabletext"/>
              <w:keepNext w:val="0"/>
              <w:widowControl w:val="0"/>
            </w:pPr>
          </w:p>
        </w:tc>
        <w:tc>
          <w:tcPr>
            <w:tcW w:w="422" w:type="pct"/>
            <w:vAlign w:val="center"/>
          </w:tcPr>
          <w:p w14:paraId="7B052544" w14:textId="77777777" w:rsidR="00315893" w:rsidRPr="00D85E09" w:rsidRDefault="00315893" w:rsidP="0043316B">
            <w:pPr>
              <w:pStyle w:val="Tabletext"/>
              <w:keepNext w:val="0"/>
              <w:widowControl w:val="0"/>
            </w:pPr>
          </w:p>
        </w:tc>
        <w:tc>
          <w:tcPr>
            <w:tcW w:w="423" w:type="pct"/>
            <w:vAlign w:val="center"/>
          </w:tcPr>
          <w:p w14:paraId="0F73A761" w14:textId="77777777" w:rsidR="00315893" w:rsidRPr="00D85E09" w:rsidRDefault="00315893" w:rsidP="0043316B">
            <w:pPr>
              <w:pStyle w:val="Tabletext"/>
              <w:keepNext w:val="0"/>
              <w:widowControl w:val="0"/>
            </w:pPr>
          </w:p>
        </w:tc>
        <w:tc>
          <w:tcPr>
            <w:tcW w:w="423" w:type="pct"/>
            <w:vAlign w:val="center"/>
          </w:tcPr>
          <w:p w14:paraId="62E8E983" w14:textId="77777777" w:rsidR="00315893" w:rsidRPr="00D85E09" w:rsidRDefault="00315893" w:rsidP="0043316B">
            <w:pPr>
              <w:pStyle w:val="Tabletext"/>
              <w:keepNext w:val="0"/>
              <w:widowControl w:val="0"/>
            </w:pPr>
          </w:p>
        </w:tc>
        <w:tc>
          <w:tcPr>
            <w:tcW w:w="422" w:type="pct"/>
            <w:vAlign w:val="center"/>
          </w:tcPr>
          <w:p w14:paraId="1C53260D" w14:textId="77777777" w:rsidR="00315893" w:rsidRPr="00D85E09" w:rsidRDefault="00315893" w:rsidP="0043316B">
            <w:pPr>
              <w:pStyle w:val="Tabletext"/>
              <w:keepNext w:val="0"/>
              <w:widowControl w:val="0"/>
            </w:pPr>
          </w:p>
        </w:tc>
        <w:tc>
          <w:tcPr>
            <w:tcW w:w="422" w:type="pct"/>
            <w:shd w:val="clear" w:color="auto" w:fill="auto"/>
            <w:noWrap/>
            <w:vAlign w:val="center"/>
          </w:tcPr>
          <w:p w14:paraId="3CE783EF" w14:textId="77777777" w:rsidR="00315893" w:rsidRPr="00D85E09" w:rsidRDefault="00315893" w:rsidP="0043316B">
            <w:pPr>
              <w:pStyle w:val="Tabletext"/>
              <w:keepNext w:val="0"/>
              <w:widowControl w:val="0"/>
            </w:pPr>
          </w:p>
        </w:tc>
        <w:tc>
          <w:tcPr>
            <w:tcW w:w="423" w:type="pct"/>
            <w:shd w:val="clear" w:color="auto" w:fill="auto"/>
            <w:noWrap/>
            <w:vAlign w:val="center"/>
          </w:tcPr>
          <w:p w14:paraId="18BD3F0B" w14:textId="77777777" w:rsidR="00315893" w:rsidRPr="00D85E09" w:rsidRDefault="00315893" w:rsidP="0043316B">
            <w:pPr>
              <w:pStyle w:val="Tabletext"/>
              <w:keepNext w:val="0"/>
              <w:widowControl w:val="0"/>
            </w:pPr>
          </w:p>
        </w:tc>
      </w:tr>
      <w:tr w:rsidR="00315893" w:rsidRPr="00D85E09" w14:paraId="65C29CA4" w14:textId="77777777" w:rsidTr="00465778">
        <w:trPr>
          <w:trHeight w:val="20"/>
        </w:trPr>
        <w:tc>
          <w:tcPr>
            <w:tcW w:w="774" w:type="pct"/>
            <w:shd w:val="clear" w:color="auto" w:fill="auto"/>
            <w:noWrap/>
            <w:vAlign w:val="center"/>
          </w:tcPr>
          <w:p w14:paraId="381D232E" w14:textId="77777777" w:rsidR="00315893" w:rsidRPr="00D85E09" w:rsidRDefault="00315893" w:rsidP="0043316B">
            <w:pPr>
              <w:pStyle w:val="Tabletext"/>
              <w:keepNext w:val="0"/>
              <w:widowControl w:val="0"/>
              <w:rPr>
                <w:bCs/>
              </w:rPr>
            </w:pPr>
            <w:r w:rsidRPr="00D85E09">
              <w:rPr>
                <w:bCs/>
              </w:rPr>
              <w:t>Internal carotid artery</w:t>
            </w:r>
          </w:p>
        </w:tc>
        <w:tc>
          <w:tcPr>
            <w:tcW w:w="422" w:type="pct"/>
            <w:vAlign w:val="center"/>
          </w:tcPr>
          <w:p w14:paraId="50DB5CD3" w14:textId="77777777" w:rsidR="00315893" w:rsidRPr="00D85E09" w:rsidRDefault="00315893" w:rsidP="0043316B">
            <w:pPr>
              <w:pStyle w:val="Tabletext"/>
              <w:keepNext w:val="0"/>
              <w:widowControl w:val="0"/>
            </w:pPr>
            <w:r w:rsidRPr="00D85E09">
              <w:t>NR</w:t>
            </w:r>
          </w:p>
        </w:tc>
        <w:tc>
          <w:tcPr>
            <w:tcW w:w="423" w:type="pct"/>
            <w:vAlign w:val="center"/>
          </w:tcPr>
          <w:p w14:paraId="0A84DE93" w14:textId="77777777" w:rsidR="00315893" w:rsidRPr="00D85E09" w:rsidRDefault="00315893" w:rsidP="0043316B">
            <w:pPr>
              <w:pStyle w:val="Tabletext"/>
              <w:keepNext w:val="0"/>
              <w:widowControl w:val="0"/>
            </w:pPr>
            <w:r w:rsidRPr="00D85E09">
              <w:t>NR</w:t>
            </w:r>
          </w:p>
        </w:tc>
        <w:tc>
          <w:tcPr>
            <w:tcW w:w="422" w:type="pct"/>
            <w:vAlign w:val="center"/>
          </w:tcPr>
          <w:p w14:paraId="265B71AA" w14:textId="77777777" w:rsidR="00315893" w:rsidRPr="00D85E09" w:rsidRDefault="00315893" w:rsidP="0043316B">
            <w:pPr>
              <w:pStyle w:val="Tabletext"/>
              <w:keepNext w:val="0"/>
              <w:widowControl w:val="0"/>
            </w:pPr>
            <w:r w:rsidRPr="00D85E09">
              <w:t>11 (31)</w:t>
            </w:r>
          </w:p>
        </w:tc>
        <w:tc>
          <w:tcPr>
            <w:tcW w:w="423" w:type="pct"/>
            <w:vAlign w:val="center"/>
          </w:tcPr>
          <w:p w14:paraId="1D244C72" w14:textId="77777777" w:rsidR="00315893" w:rsidRPr="00D85E09" w:rsidRDefault="00315893" w:rsidP="0043316B">
            <w:pPr>
              <w:pStyle w:val="Tabletext"/>
              <w:keepNext w:val="0"/>
              <w:widowControl w:val="0"/>
            </w:pPr>
            <w:r w:rsidRPr="00D85E09">
              <w:t>11 (31)</w:t>
            </w:r>
          </w:p>
        </w:tc>
        <w:tc>
          <w:tcPr>
            <w:tcW w:w="422" w:type="pct"/>
            <w:vAlign w:val="center"/>
          </w:tcPr>
          <w:p w14:paraId="1495620C" w14:textId="77777777" w:rsidR="00315893" w:rsidRPr="00D85E09" w:rsidRDefault="00315893" w:rsidP="0043316B">
            <w:pPr>
              <w:pStyle w:val="Tabletext"/>
              <w:keepNext w:val="0"/>
              <w:widowControl w:val="0"/>
            </w:pPr>
            <w:r w:rsidRPr="00D85E09">
              <w:t>NR</w:t>
            </w:r>
          </w:p>
        </w:tc>
        <w:tc>
          <w:tcPr>
            <w:tcW w:w="423" w:type="pct"/>
            <w:vAlign w:val="center"/>
          </w:tcPr>
          <w:p w14:paraId="41DF156A" w14:textId="77777777" w:rsidR="00315893" w:rsidRPr="00D85E09" w:rsidRDefault="00315893" w:rsidP="0043316B">
            <w:pPr>
              <w:pStyle w:val="Tabletext"/>
              <w:keepNext w:val="0"/>
              <w:widowControl w:val="0"/>
            </w:pPr>
            <w:r w:rsidRPr="00D85E09">
              <w:t>NR</w:t>
            </w:r>
          </w:p>
        </w:tc>
        <w:tc>
          <w:tcPr>
            <w:tcW w:w="423" w:type="pct"/>
            <w:vAlign w:val="center"/>
          </w:tcPr>
          <w:p w14:paraId="2645600C" w14:textId="77777777" w:rsidR="00315893" w:rsidRPr="00D85E09" w:rsidRDefault="00315893" w:rsidP="0043316B">
            <w:pPr>
              <w:pStyle w:val="Tabletext"/>
              <w:keepNext w:val="0"/>
              <w:widowControl w:val="0"/>
            </w:pPr>
            <w:r w:rsidRPr="00D85E09">
              <w:t>NR</w:t>
            </w:r>
          </w:p>
        </w:tc>
        <w:tc>
          <w:tcPr>
            <w:tcW w:w="422" w:type="pct"/>
            <w:vAlign w:val="center"/>
          </w:tcPr>
          <w:p w14:paraId="4E826C59" w14:textId="77777777" w:rsidR="00315893" w:rsidRPr="00D85E09" w:rsidRDefault="00315893" w:rsidP="0043316B">
            <w:pPr>
              <w:pStyle w:val="Tabletext"/>
              <w:keepNext w:val="0"/>
              <w:widowControl w:val="0"/>
            </w:pPr>
            <w:r w:rsidRPr="00D85E09">
              <w:t>NR</w:t>
            </w:r>
          </w:p>
        </w:tc>
        <w:tc>
          <w:tcPr>
            <w:tcW w:w="422" w:type="pct"/>
            <w:shd w:val="clear" w:color="auto" w:fill="auto"/>
            <w:noWrap/>
            <w:vAlign w:val="center"/>
          </w:tcPr>
          <w:p w14:paraId="7C8370D0" w14:textId="77777777" w:rsidR="00315893" w:rsidRPr="00D85E09" w:rsidRDefault="00315893" w:rsidP="0043316B">
            <w:pPr>
              <w:pStyle w:val="Tabletext"/>
              <w:keepNext w:val="0"/>
              <w:widowControl w:val="0"/>
            </w:pPr>
            <w:r w:rsidRPr="00D85E09">
              <w:t>17/93 (18)</w:t>
            </w:r>
          </w:p>
        </w:tc>
        <w:tc>
          <w:tcPr>
            <w:tcW w:w="423" w:type="pct"/>
            <w:shd w:val="clear" w:color="auto" w:fill="auto"/>
            <w:noWrap/>
            <w:vAlign w:val="center"/>
          </w:tcPr>
          <w:p w14:paraId="598BDDA3" w14:textId="77777777" w:rsidR="00315893" w:rsidRPr="00D85E09" w:rsidRDefault="00315893" w:rsidP="0043316B">
            <w:pPr>
              <w:pStyle w:val="Tabletext"/>
              <w:keepNext w:val="0"/>
              <w:widowControl w:val="0"/>
            </w:pPr>
            <w:r w:rsidRPr="00D85E09">
              <w:t>15/94 (16)</w:t>
            </w:r>
          </w:p>
        </w:tc>
      </w:tr>
      <w:tr w:rsidR="00315893" w:rsidRPr="00D85E09" w14:paraId="52906F44" w14:textId="77777777" w:rsidTr="00465778">
        <w:trPr>
          <w:trHeight w:val="20"/>
        </w:trPr>
        <w:tc>
          <w:tcPr>
            <w:tcW w:w="774" w:type="pct"/>
            <w:shd w:val="clear" w:color="auto" w:fill="auto"/>
            <w:noWrap/>
            <w:vAlign w:val="center"/>
          </w:tcPr>
          <w:p w14:paraId="76002507" w14:textId="77777777" w:rsidR="00315893" w:rsidRPr="00D85E09" w:rsidRDefault="00315893" w:rsidP="0043316B">
            <w:pPr>
              <w:pStyle w:val="Tabletext"/>
              <w:keepNext w:val="0"/>
              <w:widowControl w:val="0"/>
              <w:rPr>
                <w:bCs/>
              </w:rPr>
            </w:pPr>
            <w:r w:rsidRPr="00D85E09">
              <w:rPr>
                <w:bCs/>
              </w:rPr>
              <w:t>Intra-cranial ICA</w:t>
            </w:r>
          </w:p>
        </w:tc>
        <w:tc>
          <w:tcPr>
            <w:tcW w:w="422" w:type="pct"/>
            <w:vAlign w:val="center"/>
          </w:tcPr>
          <w:p w14:paraId="7E997B7E" w14:textId="77777777" w:rsidR="00315893" w:rsidRPr="00D85E09" w:rsidRDefault="00315893" w:rsidP="0043316B">
            <w:pPr>
              <w:pStyle w:val="Tabletext"/>
              <w:keepNext w:val="0"/>
              <w:widowControl w:val="0"/>
            </w:pPr>
            <w:r w:rsidRPr="00D85E09">
              <w:t>NR</w:t>
            </w:r>
          </w:p>
        </w:tc>
        <w:tc>
          <w:tcPr>
            <w:tcW w:w="423" w:type="pct"/>
            <w:vAlign w:val="center"/>
          </w:tcPr>
          <w:p w14:paraId="61239E03" w14:textId="77777777" w:rsidR="00315893" w:rsidRPr="00D85E09" w:rsidRDefault="00315893" w:rsidP="0043316B">
            <w:pPr>
              <w:pStyle w:val="Tabletext"/>
              <w:keepNext w:val="0"/>
              <w:widowControl w:val="0"/>
            </w:pPr>
            <w:r w:rsidRPr="00D85E09">
              <w:t>NR</w:t>
            </w:r>
          </w:p>
        </w:tc>
        <w:tc>
          <w:tcPr>
            <w:tcW w:w="422" w:type="pct"/>
            <w:vAlign w:val="center"/>
          </w:tcPr>
          <w:p w14:paraId="2E71C211" w14:textId="77777777" w:rsidR="00315893" w:rsidRPr="00D85E09" w:rsidRDefault="00315893" w:rsidP="0043316B">
            <w:pPr>
              <w:pStyle w:val="Tabletext"/>
              <w:keepNext w:val="0"/>
              <w:widowControl w:val="0"/>
            </w:pPr>
            <w:r w:rsidRPr="00D85E09">
              <w:t>NR</w:t>
            </w:r>
          </w:p>
        </w:tc>
        <w:tc>
          <w:tcPr>
            <w:tcW w:w="423" w:type="pct"/>
            <w:vAlign w:val="center"/>
          </w:tcPr>
          <w:p w14:paraId="5D2ECC02" w14:textId="77777777" w:rsidR="00315893" w:rsidRPr="00D85E09" w:rsidRDefault="00315893" w:rsidP="0043316B">
            <w:pPr>
              <w:pStyle w:val="Tabletext"/>
              <w:keepNext w:val="0"/>
              <w:widowControl w:val="0"/>
            </w:pPr>
            <w:r w:rsidRPr="00D85E09">
              <w:t>NR</w:t>
            </w:r>
          </w:p>
        </w:tc>
        <w:tc>
          <w:tcPr>
            <w:tcW w:w="422" w:type="pct"/>
            <w:vAlign w:val="center"/>
          </w:tcPr>
          <w:p w14:paraId="67554DA7" w14:textId="77777777" w:rsidR="00315893" w:rsidRPr="00D85E09" w:rsidRDefault="00315893" w:rsidP="0043316B">
            <w:pPr>
              <w:pStyle w:val="Tabletext"/>
              <w:keepNext w:val="0"/>
              <w:widowControl w:val="0"/>
            </w:pPr>
            <w:r w:rsidRPr="00D85E09">
              <w:t xml:space="preserve">1/233 </w:t>
            </w:r>
            <w:r w:rsidRPr="00D85E09">
              <w:br/>
              <w:t>(0.4)</w:t>
            </w:r>
          </w:p>
        </w:tc>
        <w:tc>
          <w:tcPr>
            <w:tcW w:w="423" w:type="pct"/>
            <w:vAlign w:val="center"/>
          </w:tcPr>
          <w:p w14:paraId="4E90F335" w14:textId="77777777" w:rsidR="00315893" w:rsidRPr="00D85E09" w:rsidRDefault="00315893" w:rsidP="0043316B">
            <w:pPr>
              <w:pStyle w:val="Tabletext"/>
              <w:keepNext w:val="0"/>
              <w:widowControl w:val="0"/>
            </w:pPr>
            <w:r w:rsidRPr="00D85E09">
              <w:t xml:space="preserve">3/266 </w:t>
            </w:r>
            <w:r w:rsidRPr="00D85E09">
              <w:br/>
              <w:t>(1.1)</w:t>
            </w:r>
          </w:p>
        </w:tc>
        <w:tc>
          <w:tcPr>
            <w:tcW w:w="423" w:type="pct"/>
            <w:vAlign w:val="center"/>
          </w:tcPr>
          <w:p w14:paraId="29CF158B" w14:textId="77777777" w:rsidR="00315893" w:rsidRPr="00D85E09" w:rsidRDefault="00315893" w:rsidP="0043316B">
            <w:pPr>
              <w:pStyle w:val="Tabletext"/>
              <w:keepNext w:val="0"/>
              <w:widowControl w:val="0"/>
            </w:pPr>
            <w:r w:rsidRPr="00D85E09">
              <w:t>0</w:t>
            </w:r>
          </w:p>
        </w:tc>
        <w:tc>
          <w:tcPr>
            <w:tcW w:w="422" w:type="pct"/>
            <w:vAlign w:val="center"/>
          </w:tcPr>
          <w:p w14:paraId="087A2E72" w14:textId="77777777" w:rsidR="00315893" w:rsidRPr="00D85E09" w:rsidRDefault="00315893" w:rsidP="0043316B">
            <w:pPr>
              <w:pStyle w:val="Tabletext"/>
              <w:keepNext w:val="0"/>
              <w:widowControl w:val="0"/>
            </w:pPr>
            <w:r w:rsidRPr="00D85E09">
              <w:t>1/101 (1.0)</w:t>
            </w:r>
          </w:p>
        </w:tc>
        <w:tc>
          <w:tcPr>
            <w:tcW w:w="422" w:type="pct"/>
            <w:shd w:val="clear" w:color="auto" w:fill="auto"/>
            <w:noWrap/>
            <w:vAlign w:val="center"/>
          </w:tcPr>
          <w:p w14:paraId="525480B0"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0ED9BF66" w14:textId="77777777" w:rsidR="00315893" w:rsidRPr="00D85E09" w:rsidRDefault="00315893" w:rsidP="0043316B">
            <w:pPr>
              <w:pStyle w:val="Tabletext"/>
              <w:keepNext w:val="0"/>
              <w:widowControl w:val="0"/>
            </w:pPr>
            <w:r w:rsidRPr="00D85E09">
              <w:t>NR</w:t>
            </w:r>
          </w:p>
        </w:tc>
      </w:tr>
      <w:tr w:rsidR="00315893" w:rsidRPr="00D85E09" w14:paraId="3DCD4996" w14:textId="77777777" w:rsidTr="00465778">
        <w:trPr>
          <w:trHeight w:val="20"/>
        </w:trPr>
        <w:tc>
          <w:tcPr>
            <w:tcW w:w="774" w:type="pct"/>
            <w:shd w:val="clear" w:color="auto" w:fill="auto"/>
            <w:noWrap/>
            <w:vAlign w:val="center"/>
          </w:tcPr>
          <w:p w14:paraId="0A095AEC" w14:textId="77777777" w:rsidR="00315893" w:rsidRPr="00D85E09" w:rsidRDefault="00315893" w:rsidP="0043316B">
            <w:pPr>
              <w:pStyle w:val="Tabletext"/>
              <w:keepNext w:val="0"/>
              <w:widowControl w:val="0"/>
              <w:rPr>
                <w:bCs/>
              </w:rPr>
            </w:pPr>
            <w:r w:rsidRPr="00D85E09">
              <w:rPr>
                <w:bCs/>
              </w:rPr>
              <w:t>Extracranial ICA</w:t>
            </w:r>
          </w:p>
        </w:tc>
        <w:tc>
          <w:tcPr>
            <w:tcW w:w="422" w:type="pct"/>
            <w:vAlign w:val="center"/>
          </w:tcPr>
          <w:p w14:paraId="23F1D3B2" w14:textId="77777777" w:rsidR="00315893" w:rsidRPr="00D85E09" w:rsidRDefault="00315893" w:rsidP="0043316B">
            <w:pPr>
              <w:pStyle w:val="Tabletext"/>
              <w:keepNext w:val="0"/>
              <w:widowControl w:val="0"/>
            </w:pPr>
            <w:r w:rsidRPr="00D85E09">
              <w:t>NR</w:t>
            </w:r>
          </w:p>
        </w:tc>
        <w:tc>
          <w:tcPr>
            <w:tcW w:w="423" w:type="pct"/>
            <w:vAlign w:val="center"/>
          </w:tcPr>
          <w:p w14:paraId="0F5323D7" w14:textId="77777777" w:rsidR="00315893" w:rsidRPr="00D85E09" w:rsidRDefault="00315893" w:rsidP="0043316B">
            <w:pPr>
              <w:pStyle w:val="Tabletext"/>
              <w:keepNext w:val="0"/>
              <w:widowControl w:val="0"/>
            </w:pPr>
            <w:r w:rsidRPr="00D85E09">
              <w:t>NR</w:t>
            </w:r>
          </w:p>
        </w:tc>
        <w:tc>
          <w:tcPr>
            <w:tcW w:w="422" w:type="pct"/>
            <w:vAlign w:val="center"/>
          </w:tcPr>
          <w:p w14:paraId="0392B039" w14:textId="77777777" w:rsidR="00315893" w:rsidRPr="00D85E09" w:rsidRDefault="00315893" w:rsidP="0043316B">
            <w:pPr>
              <w:pStyle w:val="Tabletext"/>
              <w:keepNext w:val="0"/>
              <w:widowControl w:val="0"/>
            </w:pPr>
            <w:r w:rsidRPr="00D85E09">
              <w:t>NR</w:t>
            </w:r>
          </w:p>
        </w:tc>
        <w:tc>
          <w:tcPr>
            <w:tcW w:w="423" w:type="pct"/>
            <w:vAlign w:val="center"/>
          </w:tcPr>
          <w:p w14:paraId="2D7F2844" w14:textId="77777777" w:rsidR="00315893" w:rsidRPr="00D85E09" w:rsidRDefault="00315893" w:rsidP="0043316B">
            <w:pPr>
              <w:pStyle w:val="Tabletext"/>
              <w:keepNext w:val="0"/>
              <w:widowControl w:val="0"/>
            </w:pPr>
            <w:r w:rsidRPr="00D85E09">
              <w:t>NR</w:t>
            </w:r>
          </w:p>
        </w:tc>
        <w:tc>
          <w:tcPr>
            <w:tcW w:w="422" w:type="pct"/>
            <w:vAlign w:val="center"/>
          </w:tcPr>
          <w:p w14:paraId="02387CF8" w14:textId="77777777" w:rsidR="00315893" w:rsidRPr="00D85E09" w:rsidRDefault="00315893" w:rsidP="0043316B">
            <w:pPr>
              <w:pStyle w:val="Tabletext"/>
              <w:keepNext w:val="0"/>
              <w:widowControl w:val="0"/>
            </w:pPr>
            <w:r w:rsidRPr="00D85E09">
              <w:t>75/233 (32.2)</w:t>
            </w:r>
          </w:p>
        </w:tc>
        <w:tc>
          <w:tcPr>
            <w:tcW w:w="423" w:type="pct"/>
            <w:vAlign w:val="center"/>
          </w:tcPr>
          <w:p w14:paraId="4C1ED56A" w14:textId="77777777" w:rsidR="00315893" w:rsidRPr="00D85E09" w:rsidRDefault="00315893" w:rsidP="0043316B">
            <w:pPr>
              <w:pStyle w:val="Tabletext"/>
              <w:keepNext w:val="0"/>
              <w:widowControl w:val="0"/>
            </w:pPr>
            <w:r w:rsidRPr="00D85E09">
              <w:t>70/266 (26.3)</w:t>
            </w:r>
          </w:p>
        </w:tc>
        <w:tc>
          <w:tcPr>
            <w:tcW w:w="423" w:type="pct"/>
            <w:vAlign w:val="center"/>
          </w:tcPr>
          <w:p w14:paraId="55EE1A80" w14:textId="77777777" w:rsidR="00315893" w:rsidRPr="00D85E09" w:rsidRDefault="00315893" w:rsidP="0043316B">
            <w:pPr>
              <w:pStyle w:val="Tabletext"/>
              <w:keepNext w:val="0"/>
              <w:widowControl w:val="0"/>
            </w:pPr>
            <w:r w:rsidRPr="00D85E09">
              <w:t>NR</w:t>
            </w:r>
          </w:p>
        </w:tc>
        <w:tc>
          <w:tcPr>
            <w:tcW w:w="422" w:type="pct"/>
            <w:vAlign w:val="center"/>
          </w:tcPr>
          <w:p w14:paraId="2A7B8CEC" w14:textId="77777777" w:rsidR="00315893" w:rsidRPr="00D85E09" w:rsidRDefault="00315893" w:rsidP="0043316B">
            <w:pPr>
              <w:pStyle w:val="Tabletext"/>
              <w:keepNext w:val="0"/>
              <w:widowControl w:val="0"/>
            </w:pPr>
            <w:r w:rsidRPr="00D85E09">
              <w:t>NR</w:t>
            </w:r>
          </w:p>
        </w:tc>
        <w:tc>
          <w:tcPr>
            <w:tcW w:w="422" w:type="pct"/>
            <w:shd w:val="clear" w:color="auto" w:fill="auto"/>
            <w:noWrap/>
            <w:vAlign w:val="center"/>
          </w:tcPr>
          <w:p w14:paraId="60DA0D34"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28396B12" w14:textId="77777777" w:rsidR="00315893" w:rsidRPr="00D85E09" w:rsidRDefault="00315893" w:rsidP="0043316B">
            <w:pPr>
              <w:pStyle w:val="Tabletext"/>
              <w:keepNext w:val="0"/>
              <w:widowControl w:val="0"/>
            </w:pPr>
            <w:r w:rsidRPr="00D85E09">
              <w:t>NR</w:t>
            </w:r>
          </w:p>
        </w:tc>
      </w:tr>
      <w:tr w:rsidR="00315893" w:rsidRPr="00D85E09" w14:paraId="064328FD" w14:textId="77777777" w:rsidTr="00465778">
        <w:trPr>
          <w:trHeight w:val="20"/>
        </w:trPr>
        <w:tc>
          <w:tcPr>
            <w:tcW w:w="774" w:type="pct"/>
            <w:shd w:val="clear" w:color="auto" w:fill="auto"/>
            <w:noWrap/>
            <w:vAlign w:val="center"/>
          </w:tcPr>
          <w:p w14:paraId="078CD43D" w14:textId="77777777" w:rsidR="00315893" w:rsidRPr="00D85E09" w:rsidRDefault="00315893" w:rsidP="0043316B">
            <w:pPr>
              <w:pStyle w:val="Tabletext"/>
              <w:keepNext w:val="0"/>
              <w:widowControl w:val="0"/>
              <w:rPr>
                <w:bCs/>
              </w:rPr>
            </w:pPr>
            <w:r w:rsidRPr="00D85E09">
              <w:rPr>
                <w:bCs/>
              </w:rPr>
              <w:t>ICA with M1</w:t>
            </w:r>
          </w:p>
        </w:tc>
        <w:tc>
          <w:tcPr>
            <w:tcW w:w="422" w:type="pct"/>
            <w:vAlign w:val="center"/>
          </w:tcPr>
          <w:p w14:paraId="40B6EC58" w14:textId="77777777" w:rsidR="00315893" w:rsidRPr="00D85E09" w:rsidRDefault="00315893" w:rsidP="0043316B">
            <w:pPr>
              <w:pStyle w:val="Tabletext"/>
              <w:keepNext w:val="0"/>
              <w:widowControl w:val="0"/>
            </w:pPr>
            <w:r w:rsidRPr="00D85E09">
              <w:t>45/163 (27.6)</w:t>
            </w:r>
          </w:p>
        </w:tc>
        <w:tc>
          <w:tcPr>
            <w:tcW w:w="423" w:type="pct"/>
            <w:vAlign w:val="center"/>
          </w:tcPr>
          <w:p w14:paraId="4495D10C" w14:textId="77777777" w:rsidR="00315893" w:rsidRPr="00D85E09" w:rsidRDefault="00315893" w:rsidP="0043316B">
            <w:pPr>
              <w:pStyle w:val="Tabletext"/>
              <w:keepNext w:val="0"/>
              <w:widowControl w:val="0"/>
            </w:pPr>
            <w:r w:rsidRPr="00D85E09">
              <w:t>39/147 (26.5)</w:t>
            </w:r>
          </w:p>
        </w:tc>
        <w:tc>
          <w:tcPr>
            <w:tcW w:w="422" w:type="pct"/>
            <w:vAlign w:val="center"/>
          </w:tcPr>
          <w:p w14:paraId="42819479" w14:textId="77777777" w:rsidR="00315893" w:rsidRPr="00D85E09" w:rsidRDefault="00315893" w:rsidP="0043316B">
            <w:pPr>
              <w:pStyle w:val="Tabletext"/>
              <w:keepNext w:val="0"/>
              <w:widowControl w:val="0"/>
            </w:pPr>
            <w:r w:rsidRPr="00D85E09">
              <w:t>NR</w:t>
            </w:r>
          </w:p>
        </w:tc>
        <w:tc>
          <w:tcPr>
            <w:tcW w:w="423" w:type="pct"/>
            <w:vAlign w:val="center"/>
          </w:tcPr>
          <w:p w14:paraId="0029BB01" w14:textId="77777777" w:rsidR="00315893" w:rsidRPr="00D85E09" w:rsidRDefault="00315893" w:rsidP="0043316B">
            <w:pPr>
              <w:pStyle w:val="Tabletext"/>
              <w:keepNext w:val="0"/>
              <w:widowControl w:val="0"/>
            </w:pPr>
            <w:r w:rsidRPr="00D85E09">
              <w:t>NR</w:t>
            </w:r>
          </w:p>
        </w:tc>
        <w:tc>
          <w:tcPr>
            <w:tcW w:w="422" w:type="pct"/>
            <w:vAlign w:val="center"/>
          </w:tcPr>
          <w:p w14:paraId="5BF7CF0F" w14:textId="77777777" w:rsidR="00315893" w:rsidRPr="00D85E09" w:rsidRDefault="00315893" w:rsidP="0043316B">
            <w:pPr>
              <w:pStyle w:val="Tabletext"/>
              <w:keepNext w:val="0"/>
              <w:widowControl w:val="0"/>
            </w:pPr>
            <w:r w:rsidRPr="00D85E09">
              <w:t>59/233 (25.3)</w:t>
            </w:r>
          </w:p>
        </w:tc>
        <w:tc>
          <w:tcPr>
            <w:tcW w:w="423" w:type="pct"/>
            <w:vAlign w:val="center"/>
          </w:tcPr>
          <w:p w14:paraId="4CCF470B" w14:textId="77777777" w:rsidR="00315893" w:rsidRPr="00D85E09" w:rsidRDefault="00315893" w:rsidP="0043316B">
            <w:pPr>
              <w:pStyle w:val="Tabletext"/>
              <w:keepNext w:val="0"/>
              <w:widowControl w:val="0"/>
            </w:pPr>
            <w:r w:rsidRPr="00D85E09">
              <w:t>75/266 (28.2)</w:t>
            </w:r>
          </w:p>
        </w:tc>
        <w:tc>
          <w:tcPr>
            <w:tcW w:w="423" w:type="pct"/>
            <w:vAlign w:val="center"/>
          </w:tcPr>
          <w:p w14:paraId="46E55BFE" w14:textId="77777777" w:rsidR="00315893" w:rsidRPr="00D85E09" w:rsidRDefault="00315893" w:rsidP="0043316B">
            <w:pPr>
              <w:pStyle w:val="Tabletext"/>
              <w:keepNext w:val="0"/>
              <w:widowControl w:val="0"/>
            </w:pPr>
            <w:r w:rsidRPr="00D85E09">
              <w:t>26/102 (64.7)</w:t>
            </w:r>
          </w:p>
        </w:tc>
        <w:tc>
          <w:tcPr>
            <w:tcW w:w="422" w:type="pct"/>
            <w:vAlign w:val="center"/>
          </w:tcPr>
          <w:p w14:paraId="680707CC" w14:textId="77777777" w:rsidR="00315893" w:rsidRPr="00D85E09" w:rsidRDefault="00315893" w:rsidP="0043316B">
            <w:pPr>
              <w:pStyle w:val="Tabletext"/>
              <w:keepNext w:val="0"/>
              <w:widowControl w:val="0"/>
            </w:pPr>
            <w:r w:rsidRPr="00D85E09">
              <w:t>27/101 (26.7)</w:t>
            </w:r>
          </w:p>
        </w:tc>
        <w:tc>
          <w:tcPr>
            <w:tcW w:w="422" w:type="pct"/>
            <w:shd w:val="clear" w:color="auto" w:fill="auto"/>
            <w:noWrap/>
            <w:vAlign w:val="center"/>
          </w:tcPr>
          <w:p w14:paraId="70C305DB"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04C4A038" w14:textId="77777777" w:rsidR="00315893" w:rsidRPr="00D85E09" w:rsidRDefault="00315893" w:rsidP="0043316B">
            <w:pPr>
              <w:pStyle w:val="Tabletext"/>
              <w:keepNext w:val="0"/>
              <w:widowControl w:val="0"/>
            </w:pPr>
            <w:r w:rsidRPr="00D85E09">
              <w:t>NR</w:t>
            </w:r>
          </w:p>
        </w:tc>
      </w:tr>
      <w:tr w:rsidR="00315893" w:rsidRPr="00D85E09" w14:paraId="76AE9BA8" w14:textId="77777777" w:rsidTr="00465778">
        <w:trPr>
          <w:trHeight w:val="20"/>
        </w:trPr>
        <w:tc>
          <w:tcPr>
            <w:tcW w:w="774" w:type="pct"/>
            <w:shd w:val="clear" w:color="auto" w:fill="auto"/>
            <w:noWrap/>
            <w:vAlign w:val="center"/>
          </w:tcPr>
          <w:p w14:paraId="59881E91" w14:textId="77777777" w:rsidR="00315893" w:rsidRPr="00D85E09" w:rsidRDefault="00315893" w:rsidP="0043316B">
            <w:pPr>
              <w:pStyle w:val="Tabletext"/>
              <w:keepNext w:val="0"/>
              <w:widowControl w:val="0"/>
              <w:rPr>
                <w:bCs/>
              </w:rPr>
            </w:pPr>
            <w:r w:rsidRPr="00D85E09">
              <w:rPr>
                <w:bCs/>
              </w:rPr>
              <w:t>Middle cerebral artery</w:t>
            </w:r>
          </w:p>
        </w:tc>
        <w:tc>
          <w:tcPr>
            <w:tcW w:w="422" w:type="pct"/>
            <w:vAlign w:val="center"/>
          </w:tcPr>
          <w:p w14:paraId="56098468" w14:textId="77777777" w:rsidR="00315893" w:rsidRPr="00D85E09" w:rsidRDefault="00315893" w:rsidP="0043316B">
            <w:pPr>
              <w:pStyle w:val="Tabletext"/>
              <w:keepNext w:val="0"/>
              <w:widowControl w:val="0"/>
            </w:pPr>
          </w:p>
        </w:tc>
        <w:tc>
          <w:tcPr>
            <w:tcW w:w="423" w:type="pct"/>
            <w:vAlign w:val="center"/>
          </w:tcPr>
          <w:p w14:paraId="46295A8E" w14:textId="77777777" w:rsidR="00315893" w:rsidRPr="00D85E09" w:rsidRDefault="00315893" w:rsidP="0043316B">
            <w:pPr>
              <w:pStyle w:val="Tabletext"/>
              <w:keepNext w:val="0"/>
              <w:widowControl w:val="0"/>
            </w:pPr>
          </w:p>
        </w:tc>
        <w:tc>
          <w:tcPr>
            <w:tcW w:w="422" w:type="pct"/>
            <w:vAlign w:val="center"/>
          </w:tcPr>
          <w:p w14:paraId="3B83CC15" w14:textId="77777777" w:rsidR="00315893" w:rsidRPr="00D85E09" w:rsidRDefault="00315893" w:rsidP="0043316B">
            <w:pPr>
              <w:pStyle w:val="Tabletext"/>
              <w:keepNext w:val="0"/>
              <w:widowControl w:val="0"/>
            </w:pPr>
          </w:p>
        </w:tc>
        <w:tc>
          <w:tcPr>
            <w:tcW w:w="423" w:type="pct"/>
            <w:vAlign w:val="center"/>
          </w:tcPr>
          <w:p w14:paraId="4A391AF1" w14:textId="77777777" w:rsidR="00315893" w:rsidRPr="00D85E09" w:rsidRDefault="00315893" w:rsidP="0043316B">
            <w:pPr>
              <w:pStyle w:val="Tabletext"/>
              <w:keepNext w:val="0"/>
              <w:widowControl w:val="0"/>
            </w:pPr>
          </w:p>
        </w:tc>
        <w:tc>
          <w:tcPr>
            <w:tcW w:w="422" w:type="pct"/>
            <w:vAlign w:val="center"/>
          </w:tcPr>
          <w:p w14:paraId="0BCB7D2D" w14:textId="77777777" w:rsidR="00315893" w:rsidRPr="00D85E09" w:rsidRDefault="00315893" w:rsidP="0043316B">
            <w:pPr>
              <w:pStyle w:val="Tabletext"/>
              <w:keepNext w:val="0"/>
              <w:widowControl w:val="0"/>
            </w:pPr>
          </w:p>
        </w:tc>
        <w:tc>
          <w:tcPr>
            <w:tcW w:w="423" w:type="pct"/>
            <w:vAlign w:val="center"/>
          </w:tcPr>
          <w:p w14:paraId="188DD0DC" w14:textId="77777777" w:rsidR="00315893" w:rsidRPr="00D85E09" w:rsidRDefault="00315893" w:rsidP="0043316B">
            <w:pPr>
              <w:pStyle w:val="Tabletext"/>
              <w:keepNext w:val="0"/>
              <w:widowControl w:val="0"/>
            </w:pPr>
          </w:p>
        </w:tc>
        <w:tc>
          <w:tcPr>
            <w:tcW w:w="423" w:type="pct"/>
            <w:vAlign w:val="center"/>
          </w:tcPr>
          <w:p w14:paraId="13925387" w14:textId="77777777" w:rsidR="00315893" w:rsidRPr="00D85E09" w:rsidRDefault="00315893" w:rsidP="0043316B">
            <w:pPr>
              <w:pStyle w:val="Tabletext"/>
              <w:keepNext w:val="0"/>
              <w:widowControl w:val="0"/>
            </w:pPr>
          </w:p>
        </w:tc>
        <w:tc>
          <w:tcPr>
            <w:tcW w:w="422" w:type="pct"/>
            <w:vAlign w:val="center"/>
          </w:tcPr>
          <w:p w14:paraId="6F9B2015" w14:textId="77777777" w:rsidR="00315893" w:rsidRPr="00D85E09" w:rsidRDefault="00315893" w:rsidP="0043316B">
            <w:pPr>
              <w:pStyle w:val="Tabletext"/>
              <w:keepNext w:val="0"/>
              <w:widowControl w:val="0"/>
            </w:pPr>
          </w:p>
        </w:tc>
        <w:tc>
          <w:tcPr>
            <w:tcW w:w="422" w:type="pct"/>
            <w:shd w:val="clear" w:color="auto" w:fill="auto"/>
            <w:noWrap/>
            <w:vAlign w:val="center"/>
          </w:tcPr>
          <w:p w14:paraId="2D2AAEC1" w14:textId="77777777" w:rsidR="00315893" w:rsidRPr="00D85E09" w:rsidRDefault="00315893" w:rsidP="0043316B">
            <w:pPr>
              <w:pStyle w:val="Tabletext"/>
              <w:keepNext w:val="0"/>
              <w:widowControl w:val="0"/>
            </w:pPr>
          </w:p>
        </w:tc>
        <w:tc>
          <w:tcPr>
            <w:tcW w:w="423" w:type="pct"/>
            <w:shd w:val="clear" w:color="auto" w:fill="auto"/>
            <w:noWrap/>
            <w:vAlign w:val="center"/>
          </w:tcPr>
          <w:p w14:paraId="597EF5F5" w14:textId="77777777" w:rsidR="00315893" w:rsidRPr="00D85E09" w:rsidRDefault="00315893" w:rsidP="0043316B">
            <w:pPr>
              <w:pStyle w:val="Tabletext"/>
              <w:keepNext w:val="0"/>
              <w:widowControl w:val="0"/>
            </w:pPr>
          </w:p>
        </w:tc>
      </w:tr>
      <w:tr w:rsidR="00315893" w:rsidRPr="00D85E09" w14:paraId="30353596" w14:textId="77777777" w:rsidTr="00465778">
        <w:trPr>
          <w:trHeight w:val="20"/>
        </w:trPr>
        <w:tc>
          <w:tcPr>
            <w:tcW w:w="774" w:type="pct"/>
            <w:shd w:val="clear" w:color="auto" w:fill="auto"/>
            <w:noWrap/>
            <w:vAlign w:val="center"/>
          </w:tcPr>
          <w:p w14:paraId="23966C33" w14:textId="77777777" w:rsidR="00315893" w:rsidRPr="00D85E09" w:rsidRDefault="00315893" w:rsidP="0043316B">
            <w:pPr>
              <w:pStyle w:val="Tabletext"/>
              <w:keepNext w:val="0"/>
              <w:widowControl w:val="0"/>
              <w:rPr>
                <w:bCs/>
              </w:rPr>
            </w:pPr>
            <w:r w:rsidRPr="00D85E09">
              <w:rPr>
                <w:bCs/>
              </w:rPr>
              <w:t>M1</w:t>
            </w:r>
          </w:p>
        </w:tc>
        <w:tc>
          <w:tcPr>
            <w:tcW w:w="422" w:type="pct"/>
            <w:vAlign w:val="center"/>
          </w:tcPr>
          <w:p w14:paraId="5CC1B738" w14:textId="77777777" w:rsidR="00315893" w:rsidRPr="00D85E09" w:rsidRDefault="00315893" w:rsidP="0043316B">
            <w:pPr>
              <w:pStyle w:val="Tabletext"/>
              <w:keepNext w:val="0"/>
              <w:widowControl w:val="0"/>
            </w:pPr>
            <w:r w:rsidRPr="00D85E09">
              <w:t>111/163 (68.1)</w:t>
            </w:r>
          </w:p>
        </w:tc>
        <w:tc>
          <w:tcPr>
            <w:tcW w:w="423" w:type="pct"/>
            <w:vAlign w:val="center"/>
          </w:tcPr>
          <w:p w14:paraId="0E9EBF41" w14:textId="77777777" w:rsidR="00315893" w:rsidRPr="00D85E09" w:rsidRDefault="00315893" w:rsidP="0043316B">
            <w:pPr>
              <w:pStyle w:val="Tabletext"/>
              <w:keepNext w:val="0"/>
              <w:widowControl w:val="0"/>
            </w:pPr>
            <w:r w:rsidRPr="00D85E09">
              <w:t>105/147 (71.4)</w:t>
            </w:r>
          </w:p>
        </w:tc>
        <w:tc>
          <w:tcPr>
            <w:tcW w:w="422" w:type="pct"/>
            <w:vAlign w:val="center"/>
          </w:tcPr>
          <w:p w14:paraId="7B1BE744" w14:textId="77777777" w:rsidR="00315893" w:rsidRPr="00D85E09" w:rsidRDefault="00315893" w:rsidP="0043316B">
            <w:pPr>
              <w:pStyle w:val="Tabletext"/>
              <w:keepNext w:val="0"/>
              <w:widowControl w:val="0"/>
            </w:pPr>
            <w:r w:rsidRPr="00D85E09">
              <w:t>20 (57)</w:t>
            </w:r>
          </w:p>
        </w:tc>
        <w:tc>
          <w:tcPr>
            <w:tcW w:w="423" w:type="pct"/>
            <w:vAlign w:val="center"/>
          </w:tcPr>
          <w:p w14:paraId="788426EB" w14:textId="77777777" w:rsidR="00315893" w:rsidRPr="00D85E09" w:rsidRDefault="00315893" w:rsidP="0043316B">
            <w:pPr>
              <w:pStyle w:val="Tabletext"/>
              <w:keepNext w:val="0"/>
              <w:widowControl w:val="0"/>
            </w:pPr>
            <w:r w:rsidRPr="00D85E09">
              <w:t>18 (51)</w:t>
            </w:r>
          </w:p>
        </w:tc>
        <w:tc>
          <w:tcPr>
            <w:tcW w:w="422" w:type="pct"/>
            <w:vAlign w:val="center"/>
          </w:tcPr>
          <w:p w14:paraId="00D5F219" w14:textId="77777777" w:rsidR="00315893" w:rsidRPr="00D85E09" w:rsidRDefault="00315893" w:rsidP="0043316B">
            <w:pPr>
              <w:pStyle w:val="Tabletext"/>
              <w:keepNext w:val="0"/>
              <w:widowControl w:val="0"/>
            </w:pPr>
            <w:r w:rsidRPr="00D85E09">
              <w:t>154/233 (66.1)</w:t>
            </w:r>
          </w:p>
        </w:tc>
        <w:tc>
          <w:tcPr>
            <w:tcW w:w="423" w:type="pct"/>
            <w:vAlign w:val="center"/>
          </w:tcPr>
          <w:p w14:paraId="2AB54BC7" w14:textId="77777777" w:rsidR="00315893" w:rsidRPr="00D85E09" w:rsidRDefault="00315893" w:rsidP="0043316B">
            <w:pPr>
              <w:pStyle w:val="Tabletext"/>
              <w:keepNext w:val="0"/>
              <w:widowControl w:val="0"/>
            </w:pPr>
            <w:r w:rsidRPr="00D85E09">
              <w:t>165/266 (62.0)</w:t>
            </w:r>
          </w:p>
        </w:tc>
        <w:tc>
          <w:tcPr>
            <w:tcW w:w="423" w:type="pct"/>
            <w:vAlign w:val="center"/>
          </w:tcPr>
          <w:p w14:paraId="0828C898" w14:textId="77777777" w:rsidR="00315893" w:rsidRPr="00D85E09" w:rsidRDefault="00315893" w:rsidP="0043316B">
            <w:pPr>
              <w:pStyle w:val="Tabletext"/>
              <w:keepNext w:val="0"/>
              <w:widowControl w:val="0"/>
            </w:pPr>
            <w:r w:rsidRPr="00D85E09">
              <w:t>66/102 (64.7)</w:t>
            </w:r>
          </w:p>
        </w:tc>
        <w:tc>
          <w:tcPr>
            <w:tcW w:w="422" w:type="pct"/>
            <w:vAlign w:val="center"/>
          </w:tcPr>
          <w:p w14:paraId="1FA43025" w14:textId="77777777" w:rsidR="00315893" w:rsidRPr="00D85E09" w:rsidRDefault="00315893" w:rsidP="0043316B">
            <w:pPr>
              <w:pStyle w:val="Tabletext"/>
              <w:keepNext w:val="0"/>
              <w:widowControl w:val="0"/>
            </w:pPr>
            <w:r w:rsidRPr="00D85E09">
              <w:t>65/101 (64.4)</w:t>
            </w:r>
          </w:p>
        </w:tc>
        <w:tc>
          <w:tcPr>
            <w:tcW w:w="422" w:type="pct"/>
            <w:shd w:val="clear" w:color="auto" w:fill="auto"/>
            <w:noWrap/>
            <w:vAlign w:val="center"/>
          </w:tcPr>
          <w:p w14:paraId="78D7D11E" w14:textId="77777777" w:rsidR="00315893" w:rsidRPr="00D85E09" w:rsidRDefault="00315893" w:rsidP="0043316B">
            <w:pPr>
              <w:pStyle w:val="Tabletext"/>
              <w:keepNext w:val="0"/>
              <w:widowControl w:val="0"/>
            </w:pPr>
            <w:r w:rsidRPr="00D85E09">
              <w:t>72/94 (77)</w:t>
            </w:r>
          </w:p>
        </w:tc>
        <w:tc>
          <w:tcPr>
            <w:tcW w:w="423" w:type="pct"/>
            <w:shd w:val="clear" w:color="auto" w:fill="auto"/>
            <w:noWrap/>
            <w:vAlign w:val="center"/>
          </w:tcPr>
          <w:p w14:paraId="0A7E7402" w14:textId="77777777" w:rsidR="00315893" w:rsidRPr="00D85E09" w:rsidRDefault="00315893" w:rsidP="0043316B">
            <w:pPr>
              <w:pStyle w:val="Tabletext"/>
              <w:keepNext w:val="0"/>
              <w:widowControl w:val="0"/>
            </w:pPr>
            <w:r w:rsidRPr="00D85E09">
              <w:t>62/93 (67)</w:t>
            </w:r>
          </w:p>
        </w:tc>
      </w:tr>
      <w:tr w:rsidR="00315893" w:rsidRPr="00D85E09" w14:paraId="3019698C" w14:textId="77777777" w:rsidTr="00465778">
        <w:trPr>
          <w:trHeight w:val="20"/>
        </w:trPr>
        <w:tc>
          <w:tcPr>
            <w:tcW w:w="774" w:type="pct"/>
            <w:shd w:val="clear" w:color="auto" w:fill="auto"/>
            <w:noWrap/>
            <w:vAlign w:val="center"/>
          </w:tcPr>
          <w:p w14:paraId="04559290" w14:textId="77777777" w:rsidR="00315893" w:rsidRPr="00D85E09" w:rsidRDefault="00315893" w:rsidP="0043316B">
            <w:pPr>
              <w:pStyle w:val="Tabletext"/>
              <w:keepNext w:val="0"/>
              <w:widowControl w:val="0"/>
              <w:rPr>
                <w:bCs/>
              </w:rPr>
            </w:pPr>
            <w:r w:rsidRPr="00D85E09">
              <w:rPr>
                <w:bCs/>
              </w:rPr>
              <w:t>M2</w:t>
            </w:r>
          </w:p>
        </w:tc>
        <w:tc>
          <w:tcPr>
            <w:tcW w:w="422" w:type="pct"/>
            <w:vAlign w:val="center"/>
          </w:tcPr>
          <w:p w14:paraId="61E45456" w14:textId="77777777" w:rsidR="00315893" w:rsidRPr="00D85E09" w:rsidRDefault="00315893" w:rsidP="0043316B">
            <w:pPr>
              <w:pStyle w:val="Tabletext"/>
              <w:keepNext w:val="0"/>
              <w:widowControl w:val="0"/>
            </w:pPr>
            <w:r w:rsidRPr="00D85E09">
              <w:t xml:space="preserve">6/163 </w:t>
            </w:r>
            <w:r w:rsidRPr="00D85E09">
              <w:br/>
              <w:t>(3.7)</w:t>
            </w:r>
          </w:p>
        </w:tc>
        <w:tc>
          <w:tcPr>
            <w:tcW w:w="423" w:type="pct"/>
            <w:vAlign w:val="center"/>
          </w:tcPr>
          <w:p w14:paraId="0F843FA9" w14:textId="77777777" w:rsidR="00315893" w:rsidRPr="00D85E09" w:rsidRDefault="00315893" w:rsidP="0043316B">
            <w:pPr>
              <w:pStyle w:val="Tabletext"/>
              <w:keepNext w:val="0"/>
              <w:widowControl w:val="0"/>
            </w:pPr>
            <w:r w:rsidRPr="00D85E09">
              <w:t xml:space="preserve">3/147 </w:t>
            </w:r>
            <w:r w:rsidRPr="00D85E09">
              <w:br/>
              <w:t>(2.0)</w:t>
            </w:r>
          </w:p>
        </w:tc>
        <w:tc>
          <w:tcPr>
            <w:tcW w:w="422" w:type="pct"/>
            <w:vAlign w:val="center"/>
          </w:tcPr>
          <w:p w14:paraId="5F8AF6C2" w14:textId="77777777" w:rsidR="00315893" w:rsidRPr="00D85E09" w:rsidRDefault="00315893" w:rsidP="0043316B">
            <w:pPr>
              <w:pStyle w:val="Tabletext"/>
              <w:keepNext w:val="0"/>
              <w:widowControl w:val="0"/>
            </w:pPr>
            <w:r w:rsidRPr="00D85E09">
              <w:t>4 (11)</w:t>
            </w:r>
          </w:p>
        </w:tc>
        <w:tc>
          <w:tcPr>
            <w:tcW w:w="423" w:type="pct"/>
            <w:vAlign w:val="center"/>
          </w:tcPr>
          <w:p w14:paraId="71294B70" w14:textId="77777777" w:rsidR="00315893" w:rsidRPr="00D85E09" w:rsidRDefault="00315893" w:rsidP="0043316B">
            <w:pPr>
              <w:pStyle w:val="Tabletext"/>
              <w:keepNext w:val="0"/>
              <w:widowControl w:val="0"/>
            </w:pPr>
            <w:r w:rsidRPr="00D85E09">
              <w:t>6 (17)</w:t>
            </w:r>
          </w:p>
        </w:tc>
        <w:tc>
          <w:tcPr>
            <w:tcW w:w="422" w:type="pct"/>
            <w:vAlign w:val="center"/>
          </w:tcPr>
          <w:p w14:paraId="583FF528" w14:textId="77777777" w:rsidR="00315893" w:rsidRPr="00D85E09" w:rsidRDefault="00315893" w:rsidP="0043316B">
            <w:pPr>
              <w:pStyle w:val="Tabletext"/>
              <w:keepNext w:val="0"/>
              <w:widowControl w:val="0"/>
            </w:pPr>
            <w:r w:rsidRPr="00D85E09">
              <w:t xml:space="preserve">18/233 </w:t>
            </w:r>
            <w:r w:rsidRPr="00D85E09">
              <w:br/>
              <w:t>(7.7)</w:t>
            </w:r>
          </w:p>
        </w:tc>
        <w:tc>
          <w:tcPr>
            <w:tcW w:w="423" w:type="pct"/>
            <w:vAlign w:val="center"/>
          </w:tcPr>
          <w:p w14:paraId="28ACE7E8" w14:textId="77777777" w:rsidR="00315893" w:rsidRPr="00D85E09" w:rsidRDefault="00315893" w:rsidP="0043316B">
            <w:pPr>
              <w:pStyle w:val="Tabletext"/>
              <w:keepNext w:val="0"/>
              <w:widowControl w:val="0"/>
            </w:pPr>
            <w:r w:rsidRPr="00D85E09">
              <w:t xml:space="preserve">21/266 </w:t>
            </w:r>
            <w:r w:rsidRPr="00D85E09">
              <w:br/>
              <w:t>(7.9)</w:t>
            </w:r>
          </w:p>
        </w:tc>
        <w:tc>
          <w:tcPr>
            <w:tcW w:w="423" w:type="pct"/>
            <w:vAlign w:val="center"/>
          </w:tcPr>
          <w:p w14:paraId="0C498A19" w14:textId="77777777" w:rsidR="00315893" w:rsidRPr="00D85E09" w:rsidRDefault="00315893" w:rsidP="0043316B">
            <w:pPr>
              <w:pStyle w:val="Tabletext"/>
              <w:keepNext w:val="0"/>
              <w:widowControl w:val="0"/>
            </w:pPr>
            <w:r w:rsidRPr="00D85E09">
              <w:t xml:space="preserve">10/102 </w:t>
            </w:r>
            <w:r w:rsidRPr="00D85E09">
              <w:br/>
              <w:t>(9.8)</w:t>
            </w:r>
          </w:p>
        </w:tc>
        <w:tc>
          <w:tcPr>
            <w:tcW w:w="422" w:type="pct"/>
            <w:vAlign w:val="center"/>
          </w:tcPr>
          <w:p w14:paraId="7C439A40" w14:textId="77777777" w:rsidR="00315893" w:rsidRPr="00D85E09" w:rsidRDefault="00315893" w:rsidP="0043316B">
            <w:pPr>
              <w:pStyle w:val="Tabletext"/>
              <w:keepNext w:val="0"/>
              <w:widowControl w:val="0"/>
            </w:pPr>
            <w:r w:rsidRPr="00D85E09">
              <w:t xml:space="preserve">8/101 </w:t>
            </w:r>
            <w:r w:rsidRPr="00D85E09">
              <w:br/>
              <w:t>(7.9)</w:t>
            </w:r>
          </w:p>
        </w:tc>
        <w:tc>
          <w:tcPr>
            <w:tcW w:w="422" w:type="pct"/>
            <w:shd w:val="clear" w:color="auto" w:fill="auto"/>
            <w:noWrap/>
            <w:vAlign w:val="center"/>
          </w:tcPr>
          <w:p w14:paraId="488179CB" w14:textId="77777777" w:rsidR="00315893" w:rsidRPr="00D85E09" w:rsidRDefault="00315893" w:rsidP="0043316B">
            <w:pPr>
              <w:pStyle w:val="Tabletext"/>
              <w:keepNext w:val="0"/>
              <w:widowControl w:val="0"/>
            </w:pPr>
            <w:r w:rsidRPr="00D85E09">
              <w:t>6/94 (6)</w:t>
            </w:r>
          </w:p>
        </w:tc>
        <w:tc>
          <w:tcPr>
            <w:tcW w:w="423" w:type="pct"/>
            <w:shd w:val="clear" w:color="auto" w:fill="auto"/>
            <w:noWrap/>
            <w:vAlign w:val="center"/>
          </w:tcPr>
          <w:p w14:paraId="2A2A33FE" w14:textId="77777777" w:rsidR="00315893" w:rsidRPr="00D85E09" w:rsidRDefault="00315893" w:rsidP="0043316B">
            <w:pPr>
              <w:pStyle w:val="Tabletext"/>
              <w:keepNext w:val="0"/>
              <w:widowControl w:val="0"/>
            </w:pPr>
            <w:r w:rsidRPr="00D85E09">
              <w:t>13/93 (14)</w:t>
            </w:r>
          </w:p>
        </w:tc>
      </w:tr>
      <w:tr w:rsidR="00315893" w:rsidRPr="00D85E09" w14:paraId="1AA7C47C" w14:textId="77777777" w:rsidTr="00465778">
        <w:trPr>
          <w:trHeight w:val="20"/>
        </w:trPr>
        <w:tc>
          <w:tcPr>
            <w:tcW w:w="774" w:type="pct"/>
            <w:shd w:val="clear" w:color="auto" w:fill="auto"/>
            <w:noWrap/>
            <w:vAlign w:val="center"/>
          </w:tcPr>
          <w:p w14:paraId="59F2E445" w14:textId="77777777" w:rsidR="00315893" w:rsidRPr="00D85E09" w:rsidRDefault="00315893" w:rsidP="0043316B">
            <w:pPr>
              <w:pStyle w:val="Tabletext"/>
              <w:keepNext w:val="0"/>
              <w:widowControl w:val="0"/>
              <w:rPr>
                <w:bCs/>
              </w:rPr>
            </w:pPr>
            <w:r w:rsidRPr="00D85E09">
              <w:rPr>
                <w:bCs/>
              </w:rPr>
              <w:lastRenderedPageBreak/>
              <w:t>A1 or A2</w:t>
            </w:r>
          </w:p>
        </w:tc>
        <w:tc>
          <w:tcPr>
            <w:tcW w:w="422" w:type="pct"/>
            <w:vAlign w:val="center"/>
          </w:tcPr>
          <w:p w14:paraId="562BFEAF" w14:textId="77777777" w:rsidR="00315893" w:rsidRPr="00D85E09" w:rsidRDefault="00315893" w:rsidP="0043316B">
            <w:pPr>
              <w:pStyle w:val="Tabletext"/>
              <w:keepNext w:val="0"/>
              <w:widowControl w:val="0"/>
            </w:pPr>
            <w:r w:rsidRPr="00D85E09">
              <w:t>NR</w:t>
            </w:r>
          </w:p>
        </w:tc>
        <w:tc>
          <w:tcPr>
            <w:tcW w:w="423" w:type="pct"/>
            <w:vAlign w:val="center"/>
          </w:tcPr>
          <w:p w14:paraId="70D674AF" w14:textId="77777777" w:rsidR="00315893" w:rsidRPr="00D85E09" w:rsidRDefault="00315893" w:rsidP="0043316B">
            <w:pPr>
              <w:pStyle w:val="Tabletext"/>
              <w:keepNext w:val="0"/>
              <w:widowControl w:val="0"/>
            </w:pPr>
            <w:r w:rsidRPr="00D85E09">
              <w:t>NR</w:t>
            </w:r>
          </w:p>
        </w:tc>
        <w:tc>
          <w:tcPr>
            <w:tcW w:w="422" w:type="pct"/>
            <w:vAlign w:val="center"/>
          </w:tcPr>
          <w:p w14:paraId="6E475A1A" w14:textId="77777777" w:rsidR="00315893" w:rsidRPr="00D85E09" w:rsidRDefault="00315893" w:rsidP="0043316B">
            <w:pPr>
              <w:pStyle w:val="Tabletext"/>
              <w:keepNext w:val="0"/>
              <w:widowControl w:val="0"/>
            </w:pPr>
            <w:r w:rsidRPr="00D85E09">
              <w:t>NR</w:t>
            </w:r>
          </w:p>
        </w:tc>
        <w:tc>
          <w:tcPr>
            <w:tcW w:w="423" w:type="pct"/>
            <w:vAlign w:val="center"/>
          </w:tcPr>
          <w:p w14:paraId="42589374" w14:textId="77777777" w:rsidR="00315893" w:rsidRPr="00D85E09" w:rsidRDefault="00315893" w:rsidP="0043316B">
            <w:pPr>
              <w:pStyle w:val="Tabletext"/>
              <w:keepNext w:val="0"/>
              <w:widowControl w:val="0"/>
            </w:pPr>
            <w:r w:rsidRPr="00D85E09">
              <w:t>NR</w:t>
            </w:r>
          </w:p>
        </w:tc>
        <w:tc>
          <w:tcPr>
            <w:tcW w:w="422" w:type="pct"/>
            <w:vAlign w:val="center"/>
          </w:tcPr>
          <w:p w14:paraId="5B1D944B" w14:textId="77777777" w:rsidR="00315893" w:rsidRPr="00D85E09" w:rsidRDefault="00315893" w:rsidP="0043316B">
            <w:pPr>
              <w:pStyle w:val="Tabletext"/>
              <w:keepNext w:val="0"/>
              <w:widowControl w:val="0"/>
            </w:pPr>
            <w:r w:rsidRPr="00D85E09">
              <w:t xml:space="preserve">1/233 </w:t>
            </w:r>
            <w:r w:rsidRPr="00D85E09">
              <w:br/>
              <w:t>(0.4)</w:t>
            </w:r>
          </w:p>
        </w:tc>
        <w:tc>
          <w:tcPr>
            <w:tcW w:w="423" w:type="pct"/>
            <w:vAlign w:val="center"/>
          </w:tcPr>
          <w:p w14:paraId="18CEE235" w14:textId="77777777" w:rsidR="00315893" w:rsidRPr="00D85E09" w:rsidRDefault="00315893" w:rsidP="0043316B">
            <w:pPr>
              <w:pStyle w:val="Tabletext"/>
              <w:keepNext w:val="0"/>
              <w:widowControl w:val="0"/>
            </w:pPr>
            <w:r w:rsidRPr="00D85E09">
              <w:t xml:space="preserve">2/266 </w:t>
            </w:r>
            <w:r w:rsidRPr="00D85E09">
              <w:br/>
              <w:t>(0.8)</w:t>
            </w:r>
          </w:p>
        </w:tc>
        <w:tc>
          <w:tcPr>
            <w:tcW w:w="423" w:type="pct"/>
            <w:vAlign w:val="center"/>
          </w:tcPr>
          <w:p w14:paraId="53C8C061" w14:textId="77777777" w:rsidR="00315893" w:rsidRPr="00D85E09" w:rsidRDefault="00315893" w:rsidP="0043316B">
            <w:pPr>
              <w:pStyle w:val="Tabletext"/>
              <w:keepNext w:val="0"/>
              <w:widowControl w:val="0"/>
            </w:pPr>
            <w:r w:rsidRPr="00D85E09">
              <w:t>NR</w:t>
            </w:r>
          </w:p>
        </w:tc>
        <w:tc>
          <w:tcPr>
            <w:tcW w:w="422" w:type="pct"/>
            <w:vAlign w:val="center"/>
          </w:tcPr>
          <w:p w14:paraId="57891AC2" w14:textId="77777777" w:rsidR="00315893" w:rsidRPr="00D85E09" w:rsidRDefault="00315893" w:rsidP="0043316B">
            <w:pPr>
              <w:pStyle w:val="Tabletext"/>
              <w:keepNext w:val="0"/>
              <w:widowControl w:val="0"/>
            </w:pPr>
            <w:r w:rsidRPr="00D85E09">
              <w:t>NR</w:t>
            </w:r>
          </w:p>
        </w:tc>
        <w:tc>
          <w:tcPr>
            <w:tcW w:w="422" w:type="pct"/>
            <w:shd w:val="clear" w:color="auto" w:fill="auto"/>
            <w:noWrap/>
            <w:vAlign w:val="center"/>
          </w:tcPr>
          <w:p w14:paraId="41D4764B"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0ECAF1B7" w14:textId="77777777" w:rsidR="00315893" w:rsidRPr="00D85E09" w:rsidRDefault="00315893" w:rsidP="0043316B">
            <w:pPr>
              <w:pStyle w:val="Tabletext"/>
              <w:keepNext w:val="0"/>
              <w:widowControl w:val="0"/>
            </w:pPr>
            <w:r w:rsidRPr="00D85E09">
              <w:t>NR</w:t>
            </w:r>
          </w:p>
        </w:tc>
      </w:tr>
      <w:tr w:rsidR="00315893" w:rsidRPr="00D85E09" w14:paraId="1A296C5C" w14:textId="77777777" w:rsidTr="00465778">
        <w:trPr>
          <w:trHeight w:val="20"/>
        </w:trPr>
        <w:tc>
          <w:tcPr>
            <w:tcW w:w="774" w:type="pct"/>
            <w:shd w:val="clear" w:color="auto" w:fill="auto"/>
            <w:noWrap/>
            <w:vAlign w:val="center"/>
          </w:tcPr>
          <w:p w14:paraId="31299C12" w14:textId="77777777" w:rsidR="00315893" w:rsidRPr="00D85E09" w:rsidRDefault="00315893" w:rsidP="0043316B">
            <w:pPr>
              <w:pStyle w:val="Tabletext"/>
              <w:keepNext w:val="0"/>
              <w:widowControl w:val="0"/>
              <w:rPr>
                <w:bCs/>
              </w:rPr>
            </w:pPr>
            <w:r w:rsidRPr="00D85E09">
              <w:rPr>
                <w:bCs/>
              </w:rPr>
              <w:t>Ipsilateral cervical carotid occlusion</w:t>
            </w:r>
          </w:p>
        </w:tc>
        <w:tc>
          <w:tcPr>
            <w:tcW w:w="422" w:type="pct"/>
            <w:vAlign w:val="center"/>
          </w:tcPr>
          <w:p w14:paraId="24551BE8" w14:textId="77777777" w:rsidR="00315893" w:rsidRPr="00D85E09" w:rsidRDefault="00315893" w:rsidP="0043316B">
            <w:pPr>
              <w:pStyle w:val="Tabletext"/>
              <w:keepNext w:val="0"/>
              <w:widowControl w:val="0"/>
            </w:pPr>
            <w:r w:rsidRPr="00D85E09">
              <w:t>NR</w:t>
            </w:r>
          </w:p>
        </w:tc>
        <w:tc>
          <w:tcPr>
            <w:tcW w:w="423" w:type="pct"/>
            <w:vAlign w:val="center"/>
          </w:tcPr>
          <w:p w14:paraId="701C640D" w14:textId="77777777" w:rsidR="00315893" w:rsidRPr="00D85E09" w:rsidRDefault="00315893" w:rsidP="0043316B">
            <w:pPr>
              <w:pStyle w:val="Tabletext"/>
              <w:keepNext w:val="0"/>
              <w:widowControl w:val="0"/>
            </w:pPr>
            <w:r w:rsidRPr="00D85E09">
              <w:t>NR</w:t>
            </w:r>
          </w:p>
        </w:tc>
        <w:tc>
          <w:tcPr>
            <w:tcW w:w="422" w:type="pct"/>
            <w:vAlign w:val="center"/>
          </w:tcPr>
          <w:p w14:paraId="0C373F96" w14:textId="77777777" w:rsidR="00315893" w:rsidRPr="00D85E09" w:rsidRDefault="00315893" w:rsidP="0043316B">
            <w:pPr>
              <w:pStyle w:val="Tabletext"/>
              <w:keepNext w:val="0"/>
              <w:widowControl w:val="0"/>
            </w:pPr>
            <w:r w:rsidRPr="00D85E09">
              <w:t>NR</w:t>
            </w:r>
          </w:p>
        </w:tc>
        <w:tc>
          <w:tcPr>
            <w:tcW w:w="423" w:type="pct"/>
            <w:vAlign w:val="center"/>
          </w:tcPr>
          <w:p w14:paraId="3E8F1085" w14:textId="77777777" w:rsidR="00315893" w:rsidRPr="00D85E09" w:rsidRDefault="00315893" w:rsidP="0043316B">
            <w:pPr>
              <w:pStyle w:val="Tabletext"/>
              <w:keepNext w:val="0"/>
              <w:widowControl w:val="0"/>
            </w:pPr>
            <w:r w:rsidRPr="00D85E09">
              <w:t>NR</w:t>
            </w:r>
          </w:p>
        </w:tc>
        <w:tc>
          <w:tcPr>
            <w:tcW w:w="422" w:type="pct"/>
            <w:vAlign w:val="center"/>
          </w:tcPr>
          <w:p w14:paraId="11798C8B" w14:textId="77777777" w:rsidR="00315893" w:rsidRPr="00D85E09" w:rsidRDefault="00315893" w:rsidP="0043316B">
            <w:pPr>
              <w:pStyle w:val="Tabletext"/>
              <w:keepNext w:val="0"/>
              <w:widowControl w:val="0"/>
            </w:pPr>
            <w:r w:rsidRPr="00D85E09">
              <w:t>NR</w:t>
            </w:r>
          </w:p>
        </w:tc>
        <w:tc>
          <w:tcPr>
            <w:tcW w:w="423" w:type="pct"/>
            <w:vAlign w:val="center"/>
          </w:tcPr>
          <w:p w14:paraId="7F117C3F" w14:textId="77777777" w:rsidR="00315893" w:rsidRPr="00D85E09" w:rsidRDefault="00315893" w:rsidP="0043316B">
            <w:pPr>
              <w:pStyle w:val="Tabletext"/>
              <w:keepNext w:val="0"/>
              <w:widowControl w:val="0"/>
            </w:pPr>
            <w:r w:rsidRPr="00D85E09">
              <w:t>NR</w:t>
            </w:r>
          </w:p>
        </w:tc>
        <w:tc>
          <w:tcPr>
            <w:tcW w:w="423" w:type="pct"/>
            <w:vAlign w:val="center"/>
          </w:tcPr>
          <w:p w14:paraId="5CD86F3A" w14:textId="77777777" w:rsidR="00315893" w:rsidRPr="00D85E09" w:rsidRDefault="00315893" w:rsidP="0043316B">
            <w:pPr>
              <w:pStyle w:val="Tabletext"/>
              <w:keepNext w:val="0"/>
              <w:widowControl w:val="0"/>
            </w:pPr>
            <w:r w:rsidRPr="00D85E09">
              <w:t>19/102 (18.6)</w:t>
            </w:r>
          </w:p>
        </w:tc>
        <w:tc>
          <w:tcPr>
            <w:tcW w:w="422" w:type="pct"/>
            <w:vAlign w:val="center"/>
          </w:tcPr>
          <w:p w14:paraId="762FE519" w14:textId="77777777" w:rsidR="00315893" w:rsidRPr="00D85E09" w:rsidRDefault="00315893" w:rsidP="0043316B">
            <w:pPr>
              <w:pStyle w:val="Tabletext"/>
              <w:keepNext w:val="0"/>
              <w:widowControl w:val="0"/>
            </w:pPr>
            <w:r w:rsidRPr="00D85E09">
              <w:t>13/101 (12.9)</w:t>
            </w:r>
          </w:p>
        </w:tc>
        <w:tc>
          <w:tcPr>
            <w:tcW w:w="422" w:type="pct"/>
            <w:shd w:val="clear" w:color="auto" w:fill="auto"/>
            <w:noWrap/>
            <w:vAlign w:val="center"/>
          </w:tcPr>
          <w:p w14:paraId="2674F8E7"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707D8377" w14:textId="77777777" w:rsidR="00315893" w:rsidRPr="00D85E09" w:rsidRDefault="00315893" w:rsidP="0043316B">
            <w:pPr>
              <w:pStyle w:val="Tabletext"/>
              <w:keepNext w:val="0"/>
              <w:widowControl w:val="0"/>
            </w:pPr>
            <w:r w:rsidRPr="00D85E09">
              <w:t>NR</w:t>
            </w:r>
          </w:p>
        </w:tc>
      </w:tr>
      <w:tr w:rsidR="00315893" w:rsidRPr="00D85E09" w14:paraId="6CA1C378" w14:textId="77777777" w:rsidTr="00465778">
        <w:trPr>
          <w:trHeight w:val="20"/>
        </w:trPr>
        <w:tc>
          <w:tcPr>
            <w:tcW w:w="774" w:type="pct"/>
            <w:shd w:val="clear" w:color="auto" w:fill="auto"/>
            <w:noWrap/>
            <w:vAlign w:val="center"/>
          </w:tcPr>
          <w:p w14:paraId="422ED047" w14:textId="77777777" w:rsidR="00315893" w:rsidRPr="00D85E09" w:rsidRDefault="00315893" w:rsidP="0043316B">
            <w:pPr>
              <w:pStyle w:val="Tabletext"/>
              <w:keepNext w:val="0"/>
              <w:widowControl w:val="0"/>
            </w:pPr>
            <w:r w:rsidRPr="00D85E09">
              <w:t>Treatment with IV-tPA; n/N (%)</w:t>
            </w:r>
          </w:p>
        </w:tc>
        <w:tc>
          <w:tcPr>
            <w:tcW w:w="422" w:type="pct"/>
            <w:vAlign w:val="center"/>
          </w:tcPr>
          <w:p w14:paraId="18F8F8E1" w14:textId="77777777" w:rsidR="00315893" w:rsidRPr="00D85E09" w:rsidRDefault="00315893" w:rsidP="0043316B">
            <w:pPr>
              <w:pStyle w:val="Tabletext"/>
              <w:keepNext w:val="0"/>
              <w:widowControl w:val="0"/>
            </w:pPr>
            <w:r w:rsidRPr="00D85E09">
              <w:t>120/165 (72.7)</w:t>
            </w:r>
          </w:p>
        </w:tc>
        <w:tc>
          <w:tcPr>
            <w:tcW w:w="423" w:type="pct"/>
            <w:vAlign w:val="center"/>
          </w:tcPr>
          <w:p w14:paraId="22709559" w14:textId="77777777" w:rsidR="00315893" w:rsidRPr="00D85E09" w:rsidRDefault="00315893" w:rsidP="0043316B">
            <w:pPr>
              <w:pStyle w:val="Tabletext"/>
              <w:keepNext w:val="0"/>
              <w:widowControl w:val="0"/>
            </w:pPr>
            <w:r w:rsidRPr="00D85E09">
              <w:t>118/150 (78.7)</w:t>
            </w:r>
          </w:p>
        </w:tc>
        <w:tc>
          <w:tcPr>
            <w:tcW w:w="422" w:type="pct"/>
            <w:vAlign w:val="center"/>
          </w:tcPr>
          <w:p w14:paraId="541E475B" w14:textId="77777777" w:rsidR="00315893" w:rsidRPr="00D85E09" w:rsidRDefault="00315893" w:rsidP="0043316B">
            <w:pPr>
              <w:pStyle w:val="Tabletext"/>
              <w:keepNext w:val="0"/>
              <w:widowControl w:val="0"/>
            </w:pPr>
            <w:r w:rsidRPr="00D85E09">
              <w:t>100%</w:t>
            </w:r>
          </w:p>
        </w:tc>
        <w:tc>
          <w:tcPr>
            <w:tcW w:w="423" w:type="pct"/>
            <w:vAlign w:val="center"/>
          </w:tcPr>
          <w:p w14:paraId="28A4479A" w14:textId="77777777" w:rsidR="00315893" w:rsidRPr="00D85E09" w:rsidRDefault="00315893" w:rsidP="0043316B">
            <w:pPr>
              <w:pStyle w:val="Tabletext"/>
              <w:keepNext w:val="0"/>
              <w:widowControl w:val="0"/>
            </w:pPr>
            <w:r w:rsidRPr="00D85E09">
              <w:t>100%</w:t>
            </w:r>
          </w:p>
        </w:tc>
        <w:tc>
          <w:tcPr>
            <w:tcW w:w="422" w:type="pct"/>
            <w:vAlign w:val="center"/>
          </w:tcPr>
          <w:p w14:paraId="415B94BE" w14:textId="77777777" w:rsidR="00315893" w:rsidRPr="00D85E09" w:rsidRDefault="00315893" w:rsidP="0043316B">
            <w:pPr>
              <w:pStyle w:val="Tabletext"/>
              <w:keepNext w:val="0"/>
              <w:widowControl w:val="0"/>
            </w:pPr>
            <w:r w:rsidRPr="00D85E09">
              <w:t>203/233 (87.1)</w:t>
            </w:r>
          </w:p>
        </w:tc>
        <w:tc>
          <w:tcPr>
            <w:tcW w:w="423" w:type="pct"/>
            <w:vAlign w:val="center"/>
          </w:tcPr>
          <w:p w14:paraId="716626E5" w14:textId="77777777" w:rsidR="00315893" w:rsidRPr="00D85E09" w:rsidRDefault="00315893" w:rsidP="0043316B">
            <w:pPr>
              <w:pStyle w:val="Tabletext"/>
              <w:keepNext w:val="0"/>
              <w:widowControl w:val="0"/>
            </w:pPr>
            <w:r w:rsidRPr="00D85E09">
              <w:t>242/267 (90.6)</w:t>
            </w:r>
          </w:p>
        </w:tc>
        <w:tc>
          <w:tcPr>
            <w:tcW w:w="423" w:type="pct"/>
            <w:vAlign w:val="center"/>
          </w:tcPr>
          <w:p w14:paraId="76EF1247" w14:textId="77777777" w:rsidR="00315893" w:rsidRPr="00D85E09" w:rsidRDefault="00315893" w:rsidP="0043316B">
            <w:pPr>
              <w:pStyle w:val="Tabletext"/>
              <w:keepNext w:val="0"/>
              <w:widowControl w:val="0"/>
            </w:pPr>
            <w:r w:rsidRPr="00D85E09">
              <w:t>70 (68.0)</w:t>
            </w:r>
          </w:p>
        </w:tc>
        <w:tc>
          <w:tcPr>
            <w:tcW w:w="422" w:type="pct"/>
            <w:vAlign w:val="center"/>
          </w:tcPr>
          <w:p w14:paraId="4C9D2DFF" w14:textId="77777777" w:rsidR="00315893" w:rsidRPr="00D85E09" w:rsidRDefault="00315893" w:rsidP="0043316B">
            <w:pPr>
              <w:pStyle w:val="Tabletext"/>
              <w:keepNext w:val="0"/>
              <w:widowControl w:val="0"/>
            </w:pPr>
            <w:r w:rsidRPr="00D85E09">
              <w:t>80 (77.7)</w:t>
            </w:r>
          </w:p>
        </w:tc>
        <w:tc>
          <w:tcPr>
            <w:tcW w:w="422" w:type="pct"/>
            <w:shd w:val="clear" w:color="auto" w:fill="auto"/>
            <w:noWrap/>
            <w:vAlign w:val="center"/>
          </w:tcPr>
          <w:p w14:paraId="44FA6162" w14:textId="77777777" w:rsidR="00315893" w:rsidRPr="00D85E09" w:rsidRDefault="00315893" w:rsidP="0043316B">
            <w:pPr>
              <w:pStyle w:val="Tabletext"/>
              <w:keepNext w:val="0"/>
              <w:widowControl w:val="0"/>
            </w:pPr>
            <w:r w:rsidRPr="00D85E09">
              <w:t>100%</w:t>
            </w:r>
          </w:p>
        </w:tc>
        <w:tc>
          <w:tcPr>
            <w:tcW w:w="423" w:type="pct"/>
            <w:shd w:val="clear" w:color="auto" w:fill="auto"/>
            <w:noWrap/>
            <w:vAlign w:val="center"/>
          </w:tcPr>
          <w:p w14:paraId="5476CCF5" w14:textId="77777777" w:rsidR="00315893" w:rsidRPr="00D85E09" w:rsidRDefault="00315893" w:rsidP="0043316B">
            <w:pPr>
              <w:pStyle w:val="Tabletext"/>
              <w:keepNext w:val="0"/>
              <w:widowControl w:val="0"/>
            </w:pPr>
            <w:r w:rsidRPr="00D85E09">
              <w:t>100%</w:t>
            </w:r>
          </w:p>
        </w:tc>
      </w:tr>
      <w:tr w:rsidR="00315893" w:rsidRPr="00D85E09" w14:paraId="782ACDC6" w14:textId="77777777" w:rsidTr="00465778">
        <w:trPr>
          <w:trHeight w:val="20"/>
        </w:trPr>
        <w:tc>
          <w:tcPr>
            <w:tcW w:w="774" w:type="pct"/>
            <w:shd w:val="clear" w:color="auto" w:fill="auto"/>
            <w:noWrap/>
            <w:vAlign w:val="center"/>
          </w:tcPr>
          <w:p w14:paraId="14D4C516" w14:textId="77777777" w:rsidR="00315893" w:rsidRPr="00D85E09" w:rsidRDefault="00315893" w:rsidP="0043316B">
            <w:pPr>
              <w:pStyle w:val="Tabletext"/>
              <w:keepNext w:val="0"/>
              <w:widowControl w:val="0"/>
            </w:pPr>
            <w:r w:rsidRPr="00D85E09">
              <w:t>Median time from stroke onset to IV-tPA; min (IQR)</w:t>
            </w:r>
          </w:p>
        </w:tc>
        <w:tc>
          <w:tcPr>
            <w:tcW w:w="422" w:type="pct"/>
            <w:vAlign w:val="center"/>
          </w:tcPr>
          <w:p w14:paraId="4199A573" w14:textId="77777777" w:rsidR="00315893" w:rsidRPr="00D85E09" w:rsidRDefault="00315893" w:rsidP="0043316B">
            <w:pPr>
              <w:pStyle w:val="Tabletext"/>
              <w:keepNext w:val="0"/>
              <w:widowControl w:val="0"/>
            </w:pPr>
            <w:r w:rsidRPr="00D85E09">
              <w:t xml:space="preserve">110 </w:t>
            </w:r>
            <w:r w:rsidRPr="00D85E09">
              <w:br/>
              <w:t>(80-142)</w:t>
            </w:r>
          </w:p>
        </w:tc>
        <w:tc>
          <w:tcPr>
            <w:tcW w:w="423" w:type="pct"/>
            <w:vAlign w:val="center"/>
          </w:tcPr>
          <w:p w14:paraId="3E6CF90E" w14:textId="77777777" w:rsidR="00315893" w:rsidRPr="00D85E09" w:rsidRDefault="00315893" w:rsidP="0043316B">
            <w:pPr>
              <w:pStyle w:val="Tabletext"/>
              <w:keepNext w:val="0"/>
              <w:widowControl w:val="0"/>
            </w:pPr>
            <w:r w:rsidRPr="00D85E09">
              <w:t>125</w:t>
            </w:r>
            <w:r w:rsidRPr="00D85E09">
              <w:br/>
              <w:t>(89-183)</w:t>
            </w:r>
          </w:p>
        </w:tc>
        <w:tc>
          <w:tcPr>
            <w:tcW w:w="422" w:type="pct"/>
            <w:vAlign w:val="center"/>
          </w:tcPr>
          <w:p w14:paraId="759B647A" w14:textId="77777777" w:rsidR="00315893" w:rsidRPr="00D85E09" w:rsidRDefault="00315893" w:rsidP="0043316B">
            <w:pPr>
              <w:pStyle w:val="Tabletext"/>
              <w:keepNext w:val="0"/>
              <w:widowControl w:val="0"/>
            </w:pPr>
            <w:r w:rsidRPr="00D85E09">
              <w:t xml:space="preserve">127 </w:t>
            </w:r>
            <w:r w:rsidRPr="00D85E09">
              <w:br/>
              <w:t>(93-162)</w:t>
            </w:r>
          </w:p>
        </w:tc>
        <w:tc>
          <w:tcPr>
            <w:tcW w:w="423" w:type="pct"/>
            <w:vAlign w:val="center"/>
          </w:tcPr>
          <w:p w14:paraId="656A86B7" w14:textId="77777777" w:rsidR="00315893" w:rsidRPr="00D85E09" w:rsidRDefault="00315893" w:rsidP="0043316B">
            <w:pPr>
              <w:pStyle w:val="Tabletext"/>
              <w:keepNext w:val="0"/>
              <w:widowControl w:val="0"/>
            </w:pPr>
            <w:r w:rsidRPr="00D85E09">
              <w:t xml:space="preserve">145 </w:t>
            </w:r>
            <w:r w:rsidRPr="00D85E09">
              <w:br/>
              <w:t>(105-180)</w:t>
            </w:r>
          </w:p>
        </w:tc>
        <w:tc>
          <w:tcPr>
            <w:tcW w:w="422" w:type="pct"/>
            <w:vAlign w:val="center"/>
          </w:tcPr>
          <w:p w14:paraId="42BF17FC" w14:textId="77777777" w:rsidR="00315893" w:rsidRPr="00D85E09" w:rsidRDefault="00315893" w:rsidP="0043316B">
            <w:pPr>
              <w:pStyle w:val="Tabletext"/>
              <w:keepNext w:val="0"/>
              <w:widowControl w:val="0"/>
            </w:pPr>
            <w:r w:rsidRPr="00D85E09">
              <w:t>NR</w:t>
            </w:r>
          </w:p>
        </w:tc>
        <w:tc>
          <w:tcPr>
            <w:tcW w:w="423" w:type="pct"/>
            <w:vAlign w:val="center"/>
          </w:tcPr>
          <w:p w14:paraId="380801E7" w14:textId="77777777" w:rsidR="00315893" w:rsidRPr="00D85E09" w:rsidRDefault="00315893" w:rsidP="0043316B">
            <w:pPr>
              <w:pStyle w:val="Tabletext"/>
              <w:keepNext w:val="0"/>
              <w:widowControl w:val="0"/>
            </w:pPr>
            <w:r w:rsidRPr="00D85E09">
              <w:t>NR</w:t>
            </w:r>
          </w:p>
        </w:tc>
        <w:tc>
          <w:tcPr>
            <w:tcW w:w="423" w:type="pct"/>
            <w:vAlign w:val="center"/>
          </w:tcPr>
          <w:p w14:paraId="263DCF37" w14:textId="77777777" w:rsidR="00315893" w:rsidRPr="00D85E09" w:rsidRDefault="00315893" w:rsidP="0043316B">
            <w:pPr>
              <w:pStyle w:val="Tabletext"/>
              <w:keepNext w:val="0"/>
              <w:widowControl w:val="0"/>
            </w:pPr>
            <w:r w:rsidRPr="00D85E09">
              <w:t xml:space="preserve">117.5 </w:t>
            </w:r>
            <w:r w:rsidRPr="00D85E09">
              <w:br/>
              <w:t>(90-150)</w:t>
            </w:r>
          </w:p>
        </w:tc>
        <w:tc>
          <w:tcPr>
            <w:tcW w:w="422" w:type="pct"/>
            <w:vAlign w:val="center"/>
          </w:tcPr>
          <w:p w14:paraId="2C4331B8" w14:textId="77777777" w:rsidR="00315893" w:rsidRPr="00D85E09" w:rsidRDefault="00315893" w:rsidP="0043316B">
            <w:pPr>
              <w:pStyle w:val="Tabletext"/>
              <w:keepNext w:val="0"/>
              <w:widowControl w:val="0"/>
            </w:pPr>
            <w:r w:rsidRPr="00D85E09">
              <w:t xml:space="preserve">105 </w:t>
            </w:r>
            <w:r w:rsidRPr="00D85E09">
              <w:br/>
              <w:t>(86-137.5)</w:t>
            </w:r>
          </w:p>
        </w:tc>
        <w:tc>
          <w:tcPr>
            <w:tcW w:w="422" w:type="pct"/>
            <w:shd w:val="clear" w:color="auto" w:fill="auto"/>
            <w:noWrap/>
            <w:vAlign w:val="center"/>
          </w:tcPr>
          <w:p w14:paraId="28D73749" w14:textId="77777777" w:rsidR="00315893" w:rsidRPr="00D85E09" w:rsidRDefault="00315893" w:rsidP="0043316B">
            <w:pPr>
              <w:pStyle w:val="Tabletext"/>
              <w:keepNext w:val="0"/>
              <w:widowControl w:val="0"/>
            </w:pPr>
            <w:r w:rsidRPr="00D85E09">
              <w:t xml:space="preserve">110.5 </w:t>
            </w:r>
            <w:r w:rsidRPr="00D85E09">
              <w:br/>
              <w:t>(85-156)</w:t>
            </w:r>
          </w:p>
        </w:tc>
        <w:tc>
          <w:tcPr>
            <w:tcW w:w="423" w:type="pct"/>
            <w:shd w:val="clear" w:color="auto" w:fill="auto"/>
            <w:noWrap/>
            <w:vAlign w:val="center"/>
          </w:tcPr>
          <w:p w14:paraId="6370C462" w14:textId="77777777" w:rsidR="00315893" w:rsidRPr="00D85E09" w:rsidRDefault="00315893" w:rsidP="0043316B">
            <w:pPr>
              <w:pStyle w:val="Tabletext"/>
              <w:keepNext w:val="0"/>
              <w:widowControl w:val="0"/>
            </w:pPr>
            <w:r w:rsidRPr="00D85E09">
              <w:t xml:space="preserve">117 </w:t>
            </w:r>
            <w:r w:rsidRPr="00D85E09">
              <w:br/>
              <w:t>(80-155)</w:t>
            </w:r>
          </w:p>
        </w:tc>
      </w:tr>
      <w:tr w:rsidR="00315893" w:rsidRPr="00D85E09" w14:paraId="3E4AC853" w14:textId="77777777" w:rsidTr="00465778">
        <w:trPr>
          <w:trHeight w:val="20"/>
        </w:trPr>
        <w:tc>
          <w:tcPr>
            <w:tcW w:w="774" w:type="pct"/>
            <w:shd w:val="clear" w:color="auto" w:fill="auto"/>
            <w:noWrap/>
            <w:vAlign w:val="center"/>
          </w:tcPr>
          <w:p w14:paraId="1D250D88" w14:textId="77777777" w:rsidR="00315893" w:rsidRPr="00D85E09" w:rsidRDefault="00315893" w:rsidP="0043316B">
            <w:pPr>
              <w:pStyle w:val="Tabletext"/>
              <w:keepNext w:val="0"/>
              <w:widowControl w:val="0"/>
            </w:pPr>
            <w:r w:rsidRPr="00D85E09">
              <w:t>Median time from stroke onset to imaging; min (IQR)</w:t>
            </w:r>
          </w:p>
        </w:tc>
        <w:tc>
          <w:tcPr>
            <w:tcW w:w="422" w:type="pct"/>
            <w:vAlign w:val="center"/>
          </w:tcPr>
          <w:p w14:paraId="3184E3C3" w14:textId="77777777" w:rsidR="00315893" w:rsidRPr="00D85E09" w:rsidRDefault="00315893" w:rsidP="0043316B">
            <w:pPr>
              <w:pStyle w:val="Tabletext"/>
              <w:keepNext w:val="0"/>
              <w:widowControl w:val="0"/>
            </w:pPr>
            <w:r w:rsidRPr="00D85E09">
              <w:t xml:space="preserve">134 </w:t>
            </w:r>
            <w:r w:rsidRPr="00D85E09">
              <w:br/>
              <w:t>(77-247)</w:t>
            </w:r>
          </w:p>
        </w:tc>
        <w:tc>
          <w:tcPr>
            <w:tcW w:w="423" w:type="pct"/>
            <w:vAlign w:val="center"/>
          </w:tcPr>
          <w:p w14:paraId="52228302" w14:textId="77777777" w:rsidR="00315893" w:rsidRPr="00D85E09" w:rsidRDefault="00315893" w:rsidP="0043316B">
            <w:pPr>
              <w:pStyle w:val="Tabletext"/>
              <w:keepNext w:val="0"/>
              <w:widowControl w:val="0"/>
            </w:pPr>
            <w:r w:rsidRPr="00D85E09">
              <w:t xml:space="preserve">136 </w:t>
            </w:r>
            <w:r w:rsidRPr="00D85E09">
              <w:br/>
              <w:t>(76-238)</w:t>
            </w:r>
          </w:p>
        </w:tc>
        <w:tc>
          <w:tcPr>
            <w:tcW w:w="422" w:type="pct"/>
            <w:vAlign w:val="center"/>
          </w:tcPr>
          <w:p w14:paraId="1108D565" w14:textId="77777777" w:rsidR="00315893" w:rsidRPr="00D85E09" w:rsidRDefault="00315893" w:rsidP="0043316B">
            <w:pPr>
              <w:pStyle w:val="Tabletext"/>
              <w:keepNext w:val="0"/>
              <w:widowControl w:val="0"/>
            </w:pPr>
            <w:r w:rsidRPr="00D85E09">
              <w:t>NR</w:t>
            </w:r>
          </w:p>
        </w:tc>
        <w:tc>
          <w:tcPr>
            <w:tcW w:w="423" w:type="pct"/>
            <w:vAlign w:val="center"/>
          </w:tcPr>
          <w:p w14:paraId="1AEF4C39" w14:textId="77777777" w:rsidR="00315893" w:rsidRPr="00D85E09" w:rsidRDefault="00315893" w:rsidP="0043316B">
            <w:pPr>
              <w:pStyle w:val="Tabletext"/>
              <w:keepNext w:val="0"/>
              <w:widowControl w:val="0"/>
            </w:pPr>
            <w:r w:rsidRPr="00D85E09">
              <w:t>NR</w:t>
            </w:r>
          </w:p>
        </w:tc>
        <w:tc>
          <w:tcPr>
            <w:tcW w:w="422" w:type="pct"/>
            <w:vAlign w:val="center"/>
          </w:tcPr>
          <w:p w14:paraId="694BF9F3" w14:textId="77777777" w:rsidR="00315893" w:rsidRPr="00D85E09" w:rsidRDefault="00315893" w:rsidP="0043316B">
            <w:pPr>
              <w:pStyle w:val="Tabletext"/>
              <w:keepNext w:val="0"/>
              <w:widowControl w:val="0"/>
            </w:pPr>
            <w:r w:rsidRPr="00D85E09">
              <w:t>NR</w:t>
            </w:r>
          </w:p>
        </w:tc>
        <w:tc>
          <w:tcPr>
            <w:tcW w:w="423" w:type="pct"/>
            <w:vAlign w:val="center"/>
          </w:tcPr>
          <w:p w14:paraId="22C0D7EA" w14:textId="77777777" w:rsidR="00315893" w:rsidRPr="00D85E09" w:rsidRDefault="00315893" w:rsidP="0043316B">
            <w:pPr>
              <w:pStyle w:val="Tabletext"/>
              <w:keepNext w:val="0"/>
              <w:widowControl w:val="0"/>
            </w:pPr>
            <w:r w:rsidRPr="00D85E09">
              <w:t>NR</w:t>
            </w:r>
          </w:p>
        </w:tc>
        <w:tc>
          <w:tcPr>
            <w:tcW w:w="423" w:type="pct"/>
            <w:vAlign w:val="center"/>
          </w:tcPr>
          <w:p w14:paraId="5B27F06A" w14:textId="77777777" w:rsidR="00315893" w:rsidRPr="00D85E09" w:rsidRDefault="00315893" w:rsidP="0043316B">
            <w:pPr>
              <w:pStyle w:val="Tabletext"/>
              <w:keepNext w:val="0"/>
              <w:widowControl w:val="0"/>
            </w:pPr>
            <w:r w:rsidRPr="00D85E09">
              <w:t xml:space="preserve">192 </w:t>
            </w:r>
            <w:r w:rsidRPr="00D85E09">
              <w:br/>
              <w:t>(129-272)</w:t>
            </w:r>
          </w:p>
        </w:tc>
        <w:tc>
          <w:tcPr>
            <w:tcW w:w="422" w:type="pct"/>
            <w:vAlign w:val="center"/>
          </w:tcPr>
          <w:p w14:paraId="263F0C7E" w14:textId="77777777" w:rsidR="00315893" w:rsidRPr="00D85E09" w:rsidRDefault="00315893" w:rsidP="0043316B">
            <w:pPr>
              <w:pStyle w:val="Tabletext"/>
              <w:keepNext w:val="0"/>
              <w:widowControl w:val="0"/>
            </w:pPr>
            <w:r w:rsidRPr="00D85E09">
              <w:t xml:space="preserve">183 </w:t>
            </w:r>
            <w:r w:rsidRPr="00D85E09">
              <w:br/>
              <w:t>(132-263)</w:t>
            </w:r>
          </w:p>
        </w:tc>
        <w:tc>
          <w:tcPr>
            <w:tcW w:w="422" w:type="pct"/>
            <w:shd w:val="clear" w:color="auto" w:fill="auto"/>
            <w:noWrap/>
            <w:vAlign w:val="center"/>
          </w:tcPr>
          <w:p w14:paraId="5BCF0C86"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312046D9" w14:textId="77777777" w:rsidR="00315893" w:rsidRPr="00D85E09" w:rsidRDefault="00315893" w:rsidP="0043316B">
            <w:pPr>
              <w:pStyle w:val="Tabletext"/>
              <w:keepNext w:val="0"/>
              <w:widowControl w:val="0"/>
            </w:pPr>
            <w:r w:rsidRPr="00D85E09">
              <w:t>NR</w:t>
            </w:r>
          </w:p>
        </w:tc>
      </w:tr>
      <w:tr w:rsidR="00315893" w:rsidRPr="00D85E09" w14:paraId="1D62AC3D" w14:textId="77777777" w:rsidTr="00465778">
        <w:trPr>
          <w:trHeight w:val="20"/>
        </w:trPr>
        <w:tc>
          <w:tcPr>
            <w:tcW w:w="774" w:type="pct"/>
            <w:shd w:val="clear" w:color="auto" w:fill="auto"/>
            <w:noWrap/>
            <w:vAlign w:val="center"/>
          </w:tcPr>
          <w:p w14:paraId="55F3FBA8" w14:textId="77777777" w:rsidR="00315893" w:rsidRPr="00D85E09" w:rsidRDefault="00315893" w:rsidP="0043316B">
            <w:pPr>
              <w:pStyle w:val="Tabletext"/>
              <w:keepNext w:val="0"/>
              <w:widowControl w:val="0"/>
            </w:pPr>
            <w:r w:rsidRPr="00D85E09">
              <w:t>Median time from stroke onset to randomisation; min (IQR)</w:t>
            </w:r>
          </w:p>
        </w:tc>
        <w:tc>
          <w:tcPr>
            <w:tcW w:w="422" w:type="pct"/>
            <w:vAlign w:val="center"/>
          </w:tcPr>
          <w:p w14:paraId="0C0A3E44" w14:textId="77777777" w:rsidR="00315893" w:rsidRPr="00D85E09" w:rsidRDefault="00315893" w:rsidP="0043316B">
            <w:pPr>
              <w:pStyle w:val="Tabletext"/>
              <w:keepNext w:val="0"/>
              <w:widowControl w:val="0"/>
            </w:pPr>
            <w:r w:rsidRPr="00D85E09">
              <w:t xml:space="preserve">169 </w:t>
            </w:r>
            <w:r w:rsidRPr="00D85E09">
              <w:br/>
              <w:t>(117-285)</w:t>
            </w:r>
          </w:p>
        </w:tc>
        <w:tc>
          <w:tcPr>
            <w:tcW w:w="423" w:type="pct"/>
            <w:vAlign w:val="center"/>
          </w:tcPr>
          <w:p w14:paraId="00036F34" w14:textId="77777777" w:rsidR="00315893" w:rsidRPr="00D85E09" w:rsidRDefault="00315893" w:rsidP="0043316B">
            <w:pPr>
              <w:pStyle w:val="Tabletext"/>
              <w:keepNext w:val="0"/>
              <w:widowControl w:val="0"/>
            </w:pPr>
            <w:r w:rsidRPr="00D85E09">
              <w:t xml:space="preserve">172 </w:t>
            </w:r>
            <w:r w:rsidRPr="00D85E09">
              <w:br/>
              <w:t>(119-284)</w:t>
            </w:r>
          </w:p>
        </w:tc>
        <w:tc>
          <w:tcPr>
            <w:tcW w:w="422" w:type="pct"/>
            <w:vAlign w:val="center"/>
          </w:tcPr>
          <w:p w14:paraId="1ECDCFB8" w14:textId="77777777" w:rsidR="00315893" w:rsidRPr="00D85E09" w:rsidRDefault="00315893" w:rsidP="0043316B">
            <w:pPr>
              <w:pStyle w:val="Tabletext"/>
              <w:keepNext w:val="0"/>
              <w:widowControl w:val="0"/>
            </w:pPr>
            <w:r w:rsidRPr="00D85E09">
              <w:t>NR</w:t>
            </w:r>
          </w:p>
        </w:tc>
        <w:tc>
          <w:tcPr>
            <w:tcW w:w="423" w:type="pct"/>
            <w:vAlign w:val="center"/>
          </w:tcPr>
          <w:p w14:paraId="58A697AA" w14:textId="77777777" w:rsidR="00315893" w:rsidRPr="00D85E09" w:rsidRDefault="00315893" w:rsidP="0043316B">
            <w:pPr>
              <w:pStyle w:val="Tabletext"/>
              <w:keepNext w:val="0"/>
              <w:widowControl w:val="0"/>
            </w:pPr>
            <w:r w:rsidRPr="00D85E09">
              <w:t>NR</w:t>
            </w:r>
          </w:p>
        </w:tc>
        <w:tc>
          <w:tcPr>
            <w:tcW w:w="422" w:type="pct"/>
            <w:vAlign w:val="center"/>
          </w:tcPr>
          <w:p w14:paraId="0A1549E9" w14:textId="77777777" w:rsidR="00315893" w:rsidRPr="00D85E09" w:rsidRDefault="00315893" w:rsidP="0043316B">
            <w:pPr>
              <w:pStyle w:val="Tabletext"/>
              <w:keepNext w:val="0"/>
              <w:widowControl w:val="0"/>
            </w:pPr>
            <w:r w:rsidRPr="00D85E09">
              <w:t xml:space="preserve">204 </w:t>
            </w:r>
            <w:r w:rsidRPr="00D85E09">
              <w:br/>
              <w:t>(152-251)</w:t>
            </w:r>
          </w:p>
        </w:tc>
        <w:tc>
          <w:tcPr>
            <w:tcW w:w="423" w:type="pct"/>
            <w:vAlign w:val="center"/>
          </w:tcPr>
          <w:p w14:paraId="6DC13613" w14:textId="77777777" w:rsidR="00315893" w:rsidRPr="00D85E09" w:rsidRDefault="00315893" w:rsidP="0043316B">
            <w:pPr>
              <w:pStyle w:val="Tabletext"/>
              <w:keepNext w:val="0"/>
              <w:widowControl w:val="0"/>
            </w:pPr>
            <w:r w:rsidRPr="00D85E09">
              <w:t xml:space="preserve">196 </w:t>
            </w:r>
            <w:r w:rsidRPr="00D85E09">
              <w:br/>
              <w:t>(149-266)</w:t>
            </w:r>
          </w:p>
        </w:tc>
        <w:tc>
          <w:tcPr>
            <w:tcW w:w="423" w:type="pct"/>
            <w:vAlign w:val="center"/>
          </w:tcPr>
          <w:p w14:paraId="28446D37" w14:textId="77777777" w:rsidR="00315893" w:rsidRPr="00D85E09" w:rsidRDefault="00315893" w:rsidP="0043316B">
            <w:pPr>
              <w:pStyle w:val="Tabletext"/>
              <w:keepNext w:val="0"/>
              <w:widowControl w:val="0"/>
            </w:pPr>
            <w:r w:rsidRPr="00D85E09">
              <w:t xml:space="preserve">223 </w:t>
            </w:r>
            <w:r w:rsidRPr="00D85E09">
              <w:br/>
              <w:t>(170-312)</w:t>
            </w:r>
          </w:p>
        </w:tc>
        <w:tc>
          <w:tcPr>
            <w:tcW w:w="422" w:type="pct"/>
            <w:vAlign w:val="center"/>
          </w:tcPr>
          <w:p w14:paraId="641EA9A0" w14:textId="77777777" w:rsidR="00315893" w:rsidRPr="00D85E09" w:rsidRDefault="00315893" w:rsidP="0043316B">
            <w:pPr>
              <w:pStyle w:val="Tabletext"/>
              <w:keepNext w:val="0"/>
              <w:widowControl w:val="0"/>
            </w:pPr>
            <w:r w:rsidRPr="00D85E09">
              <w:t xml:space="preserve">226 </w:t>
            </w:r>
            <w:r w:rsidRPr="00D85E09">
              <w:br/>
              <w:t>(168-308)</w:t>
            </w:r>
          </w:p>
        </w:tc>
        <w:tc>
          <w:tcPr>
            <w:tcW w:w="422" w:type="pct"/>
            <w:shd w:val="clear" w:color="auto" w:fill="auto"/>
            <w:noWrap/>
            <w:vAlign w:val="center"/>
          </w:tcPr>
          <w:p w14:paraId="075E4661" w14:textId="77777777" w:rsidR="00315893" w:rsidRPr="00D85E09" w:rsidRDefault="00315893" w:rsidP="0043316B">
            <w:pPr>
              <w:pStyle w:val="Tabletext"/>
              <w:keepNext w:val="0"/>
              <w:widowControl w:val="0"/>
            </w:pPr>
            <w:r w:rsidRPr="00D85E09">
              <w:t xml:space="preserve">190.5 </w:t>
            </w:r>
            <w:r w:rsidRPr="00D85E09">
              <w:br/>
              <w:t>(141-249)</w:t>
            </w:r>
          </w:p>
        </w:tc>
        <w:tc>
          <w:tcPr>
            <w:tcW w:w="423" w:type="pct"/>
            <w:shd w:val="clear" w:color="auto" w:fill="auto"/>
            <w:noWrap/>
            <w:vAlign w:val="center"/>
          </w:tcPr>
          <w:p w14:paraId="46BEB641" w14:textId="77777777" w:rsidR="00315893" w:rsidRPr="00D85E09" w:rsidRDefault="00315893" w:rsidP="0043316B">
            <w:pPr>
              <w:pStyle w:val="Tabletext"/>
              <w:keepNext w:val="0"/>
              <w:widowControl w:val="0"/>
            </w:pPr>
            <w:r w:rsidRPr="00D85E09">
              <w:t xml:space="preserve">188 </w:t>
            </w:r>
            <w:r w:rsidRPr="00D85E09">
              <w:br/>
              <w:t>(130-268)</w:t>
            </w:r>
          </w:p>
        </w:tc>
      </w:tr>
      <w:tr w:rsidR="00315893" w:rsidRPr="00D85E09" w14:paraId="78730E62" w14:textId="77777777" w:rsidTr="00465778">
        <w:trPr>
          <w:trHeight w:val="20"/>
        </w:trPr>
        <w:tc>
          <w:tcPr>
            <w:tcW w:w="774" w:type="pct"/>
            <w:shd w:val="clear" w:color="auto" w:fill="auto"/>
            <w:noWrap/>
            <w:vAlign w:val="center"/>
          </w:tcPr>
          <w:p w14:paraId="6D7664B8" w14:textId="77777777" w:rsidR="00315893" w:rsidRPr="00D85E09" w:rsidRDefault="00315893" w:rsidP="0043316B">
            <w:pPr>
              <w:pStyle w:val="Tabletext"/>
              <w:keepNext w:val="0"/>
              <w:widowControl w:val="0"/>
            </w:pPr>
            <w:r w:rsidRPr="00D85E09">
              <w:t>Median time from stroke onset to groin puncture; min (IQR)</w:t>
            </w:r>
          </w:p>
        </w:tc>
        <w:tc>
          <w:tcPr>
            <w:tcW w:w="422" w:type="pct"/>
            <w:vAlign w:val="center"/>
          </w:tcPr>
          <w:p w14:paraId="7202C866" w14:textId="77777777" w:rsidR="00315893" w:rsidRPr="00D85E09" w:rsidRDefault="00315893" w:rsidP="0043316B">
            <w:pPr>
              <w:pStyle w:val="Tabletext"/>
              <w:keepNext w:val="0"/>
              <w:widowControl w:val="0"/>
            </w:pPr>
            <w:r w:rsidRPr="00D85E09">
              <w:t>NR</w:t>
            </w:r>
          </w:p>
        </w:tc>
        <w:tc>
          <w:tcPr>
            <w:tcW w:w="423" w:type="pct"/>
            <w:vAlign w:val="center"/>
          </w:tcPr>
          <w:p w14:paraId="6FCEDE13" w14:textId="77777777" w:rsidR="00315893" w:rsidRPr="00D85E09" w:rsidRDefault="00315893" w:rsidP="0043316B">
            <w:pPr>
              <w:pStyle w:val="Tabletext"/>
              <w:keepNext w:val="0"/>
              <w:widowControl w:val="0"/>
            </w:pPr>
            <w:r w:rsidRPr="00D85E09">
              <w:t>NR</w:t>
            </w:r>
          </w:p>
        </w:tc>
        <w:tc>
          <w:tcPr>
            <w:tcW w:w="422" w:type="pct"/>
            <w:vAlign w:val="center"/>
          </w:tcPr>
          <w:p w14:paraId="6E2A63D4" w14:textId="77777777" w:rsidR="00315893" w:rsidRPr="00D85E09" w:rsidRDefault="00315893" w:rsidP="0043316B">
            <w:pPr>
              <w:pStyle w:val="Tabletext"/>
              <w:keepNext w:val="0"/>
              <w:widowControl w:val="0"/>
            </w:pPr>
            <w:r w:rsidRPr="00D85E09">
              <w:t>NR</w:t>
            </w:r>
          </w:p>
        </w:tc>
        <w:tc>
          <w:tcPr>
            <w:tcW w:w="423" w:type="pct"/>
            <w:vAlign w:val="center"/>
          </w:tcPr>
          <w:p w14:paraId="6B44AFA1" w14:textId="77777777" w:rsidR="00315893" w:rsidRPr="00D85E09" w:rsidRDefault="00315893" w:rsidP="0043316B">
            <w:pPr>
              <w:pStyle w:val="Tabletext"/>
              <w:keepNext w:val="0"/>
              <w:widowControl w:val="0"/>
            </w:pPr>
            <w:r w:rsidRPr="00D85E09">
              <w:t>NR</w:t>
            </w:r>
          </w:p>
        </w:tc>
        <w:tc>
          <w:tcPr>
            <w:tcW w:w="422" w:type="pct"/>
            <w:vAlign w:val="center"/>
          </w:tcPr>
          <w:p w14:paraId="451297D1" w14:textId="77777777" w:rsidR="00315893" w:rsidRPr="00D85E09" w:rsidRDefault="00315893" w:rsidP="0043316B">
            <w:pPr>
              <w:pStyle w:val="Tabletext"/>
              <w:keepNext w:val="0"/>
              <w:widowControl w:val="0"/>
            </w:pPr>
            <w:r w:rsidRPr="00D85E09">
              <w:t xml:space="preserve">260 </w:t>
            </w:r>
            <w:r w:rsidRPr="00D85E09">
              <w:br/>
              <w:t>(210-313)</w:t>
            </w:r>
          </w:p>
        </w:tc>
        <w:tc>
          <w:tcPr>
            <w:tcW w:w="423" w:type="pct"/>
            <w:vAlign w:val="center"/>
          </w:tcPr>
          <w:p w14:paraId="75570F27" w14:textId="77777777" w:rsidR="00315893" w:rsidRPr="00D85E09" w:rsidRDefault="00315893" w:rsidP="0043316B">
            <w:pPr>
              <w:pStyle w:val="Tabletext"/>
              <w:keepNext w:val="0"/>
              <w:widowControl w:val="0"/>
            </w:pPr>
            <w:r w:rsidRPr="00D85E09">
              <w:t>NA</w:t>
            </w:r>
          </w:p>
        </w:tc>
        <w:tc>
          <w:tcPr>
            <w:tcW w:w="423" w:type="pct"/>
            <w:vAlign w:val="center"/>
          </w:tcPr>
          <w:p w14:paraId="27ED5064" w14:textId="77777777" w:rsidR="00315893" w:rsidRPr="00D85E09" w:rsidRDefault="00315893" w:rsidP="0043316B">
            <w:pPr>
              <w:pStyle w:val="Tabletext"/>
              <w:keepNext w:val="0"/>
              <w:widowControl w:val="0"/>
            </w:pPr>
            <w:r w:rsidRPr="00D85E09">
              <w:t xml:space="preserve">269 </w:t>
            </w:r>
            <w:r w:rsidRPr="00D85E09">
              <w:br/>
              <w:t>(201-340)</w:t>
            </w:r>
          </w:p>
        </w:tc>
        <w:tc>
          <w:tcPr>
            <w:tcW w:w="422" w:type="pct"/>
            <w:vAlign w:val="center"/>
          </w:tcPr>
          <w:p w14:paraId="5631E4AB" w14:textId="77777777" w:rsidR="00315893" w:rsidRPr="00D85E09" w:rsidRDefault="00315893" w:rsidP="0043316B">
            <w:pPr>
              <w:pStyle w:val="Tabletext"/>
              <w:keepNext w:val="0"/>
              <w:widowControl w:val="0"/>
            </w:pPr>
            <w:r w:rsidRPr="00D85E09">
              <w:t>NA</w:t>
            </w:r>
          </w:p>
        </w:tc>
        <w:tc>
          <w:tcPr>
            <w:tcW w:w="422" w:type="pct"/>
            <w:shd w:val="clear" w:color="auto" w:fill="auto"/>
            <w:noWrap/>
            <w:vAlign w:val="center"/>
          </w:tcPr>
          <w:p w14:paraId="531E53E1" w14:textId="77777777" w:rsidR="00315893" w:rsidRPr="00D85E09" w:rsidRDefault="00315893" w:rsidP="0043316B">
            <w:pPr>
              <w:pStyle w:val="Tabletext"/>
              <w:keepNext w:val="0"/>
              <w:widowControl w:val="0"/>
            </w:pPr>
            <w:r w:rsidRPr="00D85E09">
              <w:t>NR</w:t>
            </w:r>
          </w:p>
        </w:tc>
        <w:tc>
          <w:tcPr>
            <w:tcW w:w="423" w:type="pct"/>
            <w:shd w:val="clear" w:color="auto" w:fill="auto"/>
            <w:noWrap/>
            <w:vAlign w:val="center"/>
          </w:tcPr>
          <w:p w14:paraId="4D84BDD2" w14:textId="77777777" w:rsidR="00315893" w:rsidRPr="00D85E09" w:rsidRDefault="00315893" w:rsidP="0043316B">
            <w:pPr>
              <w:pStyle w:val="Tabletext"/>
              <w:keepNext w:val="0"/>
              <w:widowControl w:val="0"/>
            </w:pPr>
            <w:r w:rsidRPr="00D85E09">
              <w:t>NR</w:t>
            </w:r>
          </w:p>
        </w:tc>
      </w:tr>
    </w:tbl>
    <w:p w14:paraId="70FBB16C" w14:textId="77777777" w:rsidR="00315893" w:rsidRPr="00D85E09" w:rsidRDefault="00315893" w:rsidP="0043316B">
      <w:pPr>
        <w:pStyle w:val="Tablefooter"/>
        <w:widowControl w:val="0"/>
      </w:pPr>
    </w:p>
    <w:p w14:paraId="02D264C3" w14:textId="77777777" w:rsidR="00315893" w:rsidRPr="00D85E09" w:rsidRDefault="00315893" w:rsidP="0043316B">
      <w:pPr>
        <w:pStyle w:val="Tablefooter"/>
        <w:widowControl w:val="0"/>
        <w:sectPr w:rsidR="00315893" w:rsidRPr="00D85E09" w:rsidSect="0040506E">
          <w:pgSz w:w="16834" w:h="11907" w:orient="landscape" w:code="9"/>
          <w:pgMar w:top="1701" w:right="1701" w:bottom="1418" w:left="1418" w:header="720" w:footer="720" w:gutter="0"/>
          <w:cols w:space="720"/>
          <w:noEndnote/>
          <w:docGrid w:linePitch="299"/>
        </w:sectPr>
      </w:pPr>
    </w:p>
    <w:p w14:paraId="5C704F4D" w14:textId="77777777" w:rsidR="00315893" w:rsidRPr="00D85E09" w:rsidRDefault="00315893" w:rsidP="0043316B">
      <w:pPr>
        <w:pStyle w:val="Heading3"/>
        <w:keepNext w:val="0"/>
        <w:widowControl w:val="0"/>
        <w:spacing w:before="240"/>
        <w:ind w:left="851" w:hanging="851"/>
        <w:jc w:val="both"/>
        <w:rPr>
          <w:lang w:val="en-AU"/>
        </w:rPr>
      </w:pPr>
      <w:bookmarkStart w:id="205" w:name="_Ref365990372"/>
      <w:bookmarkStart w:id="206" w:name="_Toc367090352"/>
      <w:bookmarkStart w:id="207" w:name="_Toc453065266"/>
      <w:r w:rsidRPr="00D85E09">
        <w:rPr>
          <w:lang w:val="en-AU"/>
        </w:rPr>
        <w:lastRenderedPageBreak/>
        <w:t>Interventions compared by the randomised trials</w:t>
      </w:r>
      <w:bookmarkEnd w:id="205"/>
      <w:bookmarkEnd w:id="206"/>
      <w:bookmarkEnd w:id="207"/>
    </w:p>
    <w:p w14:paraId="5B9F1B3C" w14:textId="77777777" w:rsidR="00315893" w:rsidRPr="00D85E09" w:rsidRDefault="00315893" w:rsidP="0043316B">
      <w:pPr>
        <w:widowControl w:val="0"/>
      </w:pPr>
      <w:bookmarkStart w:id="208" w:name="_Ref364758437"/>
      <w:r w:rsidRPr="00D85E09">
        <w:t>Four of the five trials compared MT plus standard care (which either had to include IV-tPA or included IV-tPA where appropriate) versus standard care. The other trial (MR CLEAN) studied a broader intervention – any intra-arterial treatment which could include MT and/or intra-arterial thrombolysis. However, the majority of patients in the active treatment arm of this trial were treated with MT (84% of patients), and almost all these patients were treated with stent retrievers (82% of patients in the active treatment arm). One trial only enrolled patients who either were contraindicated to IV-tPA, or who received IV-tPA but were not revascularised after 30 minutes (REVASCAT). The interventions used for each trial are described below.</w:t>
      </w:r>
    </w:p>
    <w:p w14:paraId="01E4AA9C" w14:textId="77777777" w:rsidR="00315893" w:rsidRPr="00D85E09" w:rsidRDefault="00315893" w:rsidP="0043316B">
      <w:pPr>
        <w:pStyle w:val="Heading5"/>
        <w:widowControl w:val="0"/>
        <w:rPr>
          <w:lang w:val="en-AU"/>
        </w:rPr>
      </w:pPr>
      <w:r w:rsidRPr="00D85E09">
        <w:rPr>
          <w:lang w:val="en-AU"/>
        </w:rPr>
        <w:t>ESCAPE</w:t>
      </w:r>
    </w:p>
    <w:p w14:paraId="3C71E608" w14:textId="1DFAEAC4" w:rsidR="00315893" w:rsidRPr="00D85E09" w:rsidRDefault="00315893" w:rsidP="0043316B">
      <w:pPr>
        <w:widowControl w:val="0"/>
      </w:pPr>
      <w:r w:rsidRPr="00D85E09">
        <w:t xml:space="preserve">Participants in both treatment groups received IV </w:t>
      </w:r>
      <w:r w:rsidR="005B7DCE">
        <w:t>tPA</w:t>
      </w:r>
      <w:r w:rsidRPr="00D85E09">
        <w:t xml:space="preserve"> within 4.5 hours after the onset of stroke symptoms if they met accepted local guidelines for IV </w:t>
      </w:r>
      <w:r w:rsidR="005B7DCE">
        <w:t>tPA</w:t>
      </w:r>
      <w:r w:rsidRPr="00D85E09">
        <w:t xml:space="preserve"> treatment. The control group received the current standard of care as described in the Canadian or local guidelines for the management of acute stroke. Whilst standard of care was not defined in the study reports, it usually involves medical management with anti-thrombotic treatment only such as aspirin or anticoagulants.</w:t>
      </w:r>
    </w:p>
    <w:p w14:paraId="7892A60F" w14:textId="77777777" w:rsidR="00315893" w:rsidRPr="00D85E09" w:rsidRDefault="00315893" w:rsidP="0043316B">
      <w:pPr>
        <w:widowControl w:val="0"/>
      </w:pPr>
      <w:r w:rsidRPr="00D85E09">
        <w:t>Subjects in the intervention group received emergency endovascular mechanical revascularisation. Endovascular mechanical revascularisation was undertaken with any currently available and approved device or paradigm and used according to the manufacturers specifications for use. The use of stent retrievers was recommended. Approximately 86% (130/151) of patients received endovascular therapy with a stent retriever; 77% (100/130) had received Solitaire. A cerebral angiogram was obtained. During thrombus retrieval, suction through a balloon guide catheter in the relevant internal carotid artery was also recommended.</w:t>
      </w:r>
    </w:p>
    <w:p w14:paraId="2CF98689" w14:textId="7B5AA024" w:rsidR="00315893" w:rsidRPr="00D85E09" w:rsidRDefault="005B7DCE" w:rsidP="0043316B">
      <w:pPr>
        <w:pStyle w:val="Heading5"/>
        <w:widowControl w:val="0"/>
        <w:rPr>
          <w:lang w:val="en-AU"/>
        </w:rPr>
      </w:pPr>
      <w:r>
        <w:rPr>
          <w:lang w:val="en-AU"/>
        </w:rPr>
        <w:t>EXTEND-I</w:t>
      </w:r>
      <w:r w:rsidR="00315893" w:rsidRPr="00D85E09">
        <w:rPr>
          <w:lang w:val="en-AU"/>
        </w:rPr>
        <w:t>A</w:t>
      </w:r>
    </w:p>
    <w:p w14:paraId="7BAAFD9F" w14:textId="20100196" w:rsidR="00315893" w:rsidRPr="00D85E09" w:rsidRDefault="005B7DCE" w:rsidP="0043316B">
      <w:pPr>
        <w:widowControl w:val="0"/>
      </w:pPr>
      <w:r>
        <w:t>All participants in the EXTEND-I</w:t>
      </w:r>
      <w:r w:rsidR="00315893" w:rsidRPr="00D85E09">
        <w:t xml:space="preserve">A trial received alteplase at a dose of 0.9 mg per kilogram as standard care. Those that were randomised to the control arm of the study received no further treatment (alteplase-group only). Participants randomised to receive endovascular therapy, went on to receive treatment with Solitaire FR. The Solitaire FR device is a retrievable stent delivered at the site of intra-cranial vessel occlusion and then removed while negative pressure aspiration is applied. The use of conscious sedation or general anaesthesia for the procedure was at the discretion of the individual site </w:t>
      </w:r>
      <w:r w:rsidR="00315893" w:rsidRPr="00D85E09">
        <w:lastRenderedPageBreak/>
        <w:t>neurointerventionalist. Before deploying the Solitaire device, the site of vessel occlusion was confirmed using digital subtraction angiography. Endovascular therapy had to be initiated (groin puncture) within 6 hours after stroke onset and completed within 8 hours after onset.</w:t>
      </w:r>
    </w:p>
    <w:p w14:paraId="69D0C461" w14:textId="77777777" w:rsidR="00315893" w:rsidRPr="00D85E09" w:rsidRDefault="00315893" w:rsidP="0043316B">
      <w:pPr>
        <w:widowControl w:val="0"/>
      </w:pPr>
      <w:r w:rsidRPr="00D85E09">
        <w:t>The Solitaire FR retrievable stent was deployed at the site of intra-cranial vessel occlusion and then removed while negative pressure aspiration was applied. Up to 2 passes were permitted with a second device used for further passes up to a maximum of 3 per arterial segment. An angiogram was performed after each pass of the device. Proximal balloon occlusion was recommended as per manufacturer’s instructions. During the procedure, catheters were flushed with heparinised saline (1000units/l heparin). Use of other devices, lytic agents, angioplasty or intra-cranial stenting was not permitted within the protocol.</w:t>
      </w:r>
    </w:p>
    <w:p w14:paraId="090AB4C1" w14:textId="77777777" w:rsidR="00315893" w:rsidRPr="00D85E09" w:rsidRDefault="00315893" w:rsidP="0043316B">
      <w:pPr>
        <w:pStyle w:val="Heading5"/>
        <w:widowControl w:val="0"/>
        <w:rPr>
          <w:lang w:val="en-AU"/>
        </w:rPr>
      </w:pPr>
      <w:r w:rsidRPr="00D85E09">
        <w:rPr>
          <w:lang w:val="en-AU"/>
        </w:rPr>
        <w:t>MR CLEAN</w:t>
      </w:r>
    </w:p>
    <w:p w14:paraId="7AC4F8B9" w14:textId="77777777" w:rsidR="00315893" w:rsidRPr="00D85E09" w:rsidRDefault="00315893" w:rsidP="0043316B">
      <w:pPr>
        <w:widowControl w:val="0"/>
      </w:pPr>
      <w:r w:rsidRPr="00D85E09">
        <w:t>Intra-arterial treatment consisted of delivery of a thrombolytic agent, MT, or both. The method of intra-arterial treatment was left to the discretion of the local interventionist.</w:t>
      </w:r>
    </w:p>
    <w:p w14:paraId="7186BC47" w14:textId="77777777" w:rsidR="00315893" w:rsidRPr="00D85E09" w:rsidRDefault="00315893" w:rsidP="0043316B">
      <w:pPr>
        <w:widowControl w:val="0"/>
      </w:pPr>
      <w:r w:rsidRPr="00D85E09">
        <w:t>The use of alteplase or urokinase for intra-arterial thrombolysis was allowed in this trial, with a maximum dose of 90 mg of alteplase or 1,200,000 IU of urokinase. The dose was restricted to 30 mg of alteplase or 400,000 IU of urokinase if intravenous alteplase was given. Actual intra-arterial therapy (with or without MT) was performed in 196 of the 233 patients in the intervention group (84.1%). Intra-arterial thrombolytic agents were used as monotherapy in 1 of the 233 patients (0.4%). No intervention was given in 37 patients (15.9%)</w:t>
      </w:r>
    </w:p>
    <w:p w14:paraId="58F1DF5C" w14:textId="77777777" w:rsidR="00315893" w:rsidRPr="00D85E09" w:rsidRDefault="00315893" w:rsidP="0043316B">
      <w:pPr>
        <w:widowControl w:val="0"/>
      </w:pPr>
      <w:r w:rsidRPr="00D85E09">
        <w:t>Only devices that had received U.S. Food and Drug Administration approval and were approved by the steering committee could be used in the trial. One or more members of each intervention team had to have completed at least five full procedures with a particular type of device. Mechanical treatment could involve thrombus retraction, aspiration, wire disruption, or use of a retrievable stent. Mechanical treatment was performed in 195 of the 233 patients (83.7%). Retrievable stents were used in 190 patients (81.5%), and other devices were used in 5 patients (2.1%).</w:t>
      </w:r>
    </w:p>
    <w:p w14:paraId="5212B818" w14:textId="77777777" w:rsidR="00315893" w:rsidRPr="00D85E09" w:rsidRDefault="00315893" w:rsidP="0043316B">
      <w:pPr>
        <w:pStyle w:val="Heading5"/>
        <w:widowControl w:val="0"/>
        <w:rPr>
          <w:lang w:val="en-AU"/>
        </w:rPr>
      </w:pPr>
      <w:r w:rsidRPr="00D85E09">
        <w:rPr>
          <w:lang w:val="en-AU"/>
        </w:rPr>
        <w:t>REVASCAT</w:t>
      </w:r>
    </w:p>
    <w:p w14:paraId="332D4B3C" w14:textId="184678B8" w:rsidR="00315893" w:rsidRPr="00D85E09" w:rsidRDefault="00315893" w:rsidP="0043316B">
      <w:pPr>
        <w:widowControl w:val="0"/>
      </w:pPr>
      <w:r w:rsidRPr="00D85E09">
        <w:t xml:space="preserve">Patients who had received IV </w:t>
      </w:r>
      <w:r w:rsidR="005B7DCE">
        <w:t>tPA</w:t>
      </w:r>
      <w:r w:rsidRPr="00D85E09">
        <w:t xml:space="preserve"> (alteplase) within 4.5 hours after the onset of symptoms without revascularisation after 30 minutes of alteplase infusion or who had a contraindication to intravenous alteplase were eligible for participation in REVASCAT. Participants randomised to medical management received no further no intra-arterial </w:t>
      </w:r>
      <w:r w:rsidRPr="00D85E09">
        <w:lastRenderedPageBreak/>
        <w:t>intervention with drugs or devices. Furthermore, after randomisation, a subject could not be placed on intravenous thrombolytic therapy.</w:t>
      </w:r>
    </w:p>
    <w:p w14:paraId="6BAC0074" w14:textId="77777777" w:rsidR="00315893" w:rsidRPr="00D85E09" w:rsidRDefault="00315893" w:rsidP="0043316B">
      <w:pPr>
        <w:widowControl w:val="0"/>
      </w:pPr>
      <w:r w:rsidRPr="00D85E09">
        <w:t>Participants randomised to endovascular therapy received treatment with the Solitaire FR device. All interventional therapy started earlier than eight hours relative to the time the subject was last seen well. Treatment initiation was defined as groin puncture. The duration of the interventional procedure could not exceed three hours. Study sites consisted of certified comprehensive stroke centres that treat more than 500 patients with acute stroke and perform more than 60 mechanical stroke thrombectomy procedures annually and are staffed by trained neurointerventionalists who are required to have performed at least 20 thrombectomies with the Solitaire FR device.</w:t>
      </w:r>
    </w:p>
    <w:p w14:paraId="409A632B" w14:textId="77777777" w:rsidR="00315893" w:rsidRPr="00D85E09" w:rsidRDefault="00315893" w:rsidP="0043316B">
      <w:pPr>
        <w:pStyle w:val="Heading5"/>
        <w:widowControl w:val="0"/>
        <w:rPr>
          <w:lang w:val="en-AU"/>
        </w:rPr>
      </w:pPr>
      <w:r w:rsidRPr="00D85E09">
        <w:rPr>
          <w:lang w:val="en-AU"/>
        </w:rPr>
        <w:t>SWIFT PRIME</w:t>
      </w:r>
    </w:p>
    <w:p w14:paraId="7DDB3A5D" w14:textId="1443BC59" w:rsidR="00315893" w:rsidRPr="00D85E09" w:rsidRDefault="00315893" w:rsidP="0043316B">
      <w:pPr>
        <w:widowControl w:val="0"/>
      </w:pPr>
      <w:r w:rsidRPr="00D85E09">
        <w:t xml:space="preserve">Entry criteria for SWIFT PRIME required that all participants were receiving or had received IV </w:t>
      </w:r>
      <w:r w:rsidR="005B7DCE">
        <w:t>tPA</w:t>
      </w:r>
      <w:r w:rsidRPr="00D85E09">
        <w:t>. Participants randomised to usual care received no further treatment.</w:t>
      </w:r>
    </w:p>
    <w:p w14:paraId="5E5B0881" w14:textId="77777777" w:rsidR="00315893" w:rsidRPr="00D85E09" w:rsidRDefault="00315893" w:rsidP="0043316B">
      <w:pPr>
        <w:widowControl w:val="0"/>
      </w:pPr>
      <w:r w:rsidRPr="00D85E09">
        <w:t>Participants who were randomised to receive further intervention proceeded to be treated with MT, performed with the use of Solitaire FR or Solitaire 2 device. Participants were required to be able to undergo initiation of treatment within 6 hours after the time that they were last known to be well before the onset of acute stroke symptoms. All study centres were required to have performed at least 40 MT procedures, including at least 20 procedures with the Solitaire FR stent retriever annually.</w:t>
      </w:r>
    </w:p>
    <w:p w14:paraId="03CF8AC3" w14:textId="7123BFD3" w:rsidR="00315893" w:rsidRPr="00D85E09" w:rsidRDefault="00315893" w:rsidP="0043316B">
      <w:pPr>
        <w:pStyle w:val="Heading2"/>
        <w:widowControl w:val="0"/>
        <w:spacing w:before="240"/>
        <w:ind w:left="851" w:hanging="851"/>
        <w:jc w:val="both"/>
        <w:rPr>
          <w:lang w:val="en-AU"/>
        </w:rPr>
      </w:pPr>
      <w:bookmarkStart w:id="209" w:name="_Toc191822159"/>
      <w:bookmarkStart w:id="210" w:name="_Toc191822209"/>
      <w:bookmarkStart w:id="211" w:name="_Toc191822259"/>
      <w:bookmarkStart w:id="212" w:name="_Toc258501780"/>
      <w:bookmarkStart w:id="213" w:name="_Toc273301462"/>
      <w:bookmarkStart w:id="214" w:name="_Ref365989058"/>
      <w:bookmarkStart w:id="215" w:name="_Ref365989167"/>
      <w:bookmarkStart w:id="216" w:name="_Toc367090353"/>
      <w:bookmarkStart w:id="217" w:name="_Toc453065267"/>
      <w:bookmarkEnd w:id="208"/>
      <w:r w:rsidRPr="00D85E09">
        <w:rPr>
          <w:lang w:val="en-AU"/>
        </w:rPr>
        <w:t>O</w:t>
      </w:r>
      <w:bookmarkEnd w:id="209"/>
      <w:bookmarkEnd w:id="210"/>
      <w:bookmarkEnd w:id="211"/>
      <w:bookmarkEnd w:id="212"/>
      <w:bookmarkEnd w:id="213"/>
      <w:bookmarkEnd w:id="214"/>
      <w:bookmarkEnd w:id="215"/>
      <w:bookmarkEnd w:id="216"/>
      <w:r w:rsidR="00465778" w:rsidRPr="00D85E09">
        <w:rPr>
          <w:lang w:val="en-AU"/>
        </w:rPr>
        <w:t>utcome measures and analysis</w:t>
      </w:r>
      <w:bookmarkEnd w:id="217"/>
    </w:p>
    <w:p w14:paraId="4C0B1AD4" w14:textId="77777777" w:rsidR="00315893" w:rsidRPr="00D85E09" w:rsidRDefault="00315893" w:rsidP="0043316B">
      <w:pPr>
        <w:pStyle w:val="Heading3"/>
        <w:keepNext w:val="0"/>
        <w:widowControl w:val="0"/>
        <w:spacing w:before="240"/>
        <w:ind w:left="851" w:hanging="851"/>
        <w:jc w:val="both"/>
        <w:rPr>
          <w:lang w:val="en-AU"/>
        </w:rPr>
      </w:pPr>
      <w:bookmarkStart w:id="218" w:name="_Toc170017614"/>
      <w:bookmarkStart w:id="219" w:name="_Toc191822160"/>
      <w:bookmarkStart w:id="220" w:name="_Toc191822210"/>
      <w:bookmarkStart w:id="221" w:name="_Toc191822260"/>
      <w:bookmarkStart w:id="222" w:name="_Toc258501781"/>
      <w:bookmarkStart w:id="223" w:name="_Toc273301463"/>
      <w:bookmarkStart w:id="224" w:name="_Ref362876082"/>
      <w:bookmarkStart w:id="225" w:name="_Ref363466048"/>
      <w:bookmarkStart w:id="226" w:name="_Toc367090354"/>
      <w:bookmarkStart w:id="227" w:name="_Toc453065268"/>
      <w:r w:rsidRPr="00D85E09">
        <w:rPr>
          <w:lang w:val="en-AU"/>
        </w:rPr>
        <w:t>Primary</w:t>
      </w:r>
      <w:bookmarkEnd w:id="218"/>
      <w:bookmarkEnd w:id="219"/>
      <w:bookmarkEnd w:id="220"/>
      <w:bookmarkEnd w:id="221"/>
      <w:bookmarkEnd w:id="222"/>
      <w:bookmarkEnd w:id="223"/>
      <w:bookmarkEnd w:id="224"/>
      <w:bookmarkEnd w:id="225"/>
      <w:bookmarkEnd w:id="226"/>
      <w:r w:rsidRPr="00D85E09">
        <w:rPr>
          <w:lang w:val="en-AU"/>
        </w:rPr>
        <w:t xml:space="preserve"> outcome</w:t>
      </w:r>
      <w:bookmarkEnd w:id="227"/>
    </w:p>
    <w:p w14:paraId="61111580" w14:textId="7CD5A4C0" w:rsidR="00315893" w:rsidRPr="00D85E09" w:rsidRDefault="00315893" w:rsidP="0043316B">
      <w:pPr>
        <w:widowControl w:val="0"/>
      </w:pPr>
      <w:r w:rsidRPr="00D85E09">
        <w:t xml:space="preserve">The primary outcomes and the associated statistical analyses in each of the trials included in the comparison are summarised in </w:t>
      </w:r>
      <w:r w:rsidRPr="00D85E09">
        <w:fldChar w:fldCharType="begin"/>
      </w:r>
      <w:r w:rsidRPr="00D85E09">
        <w:instrText xml:space="preserve"> REF _Ref368318233 \h  \* MERGEFORMAT </w:instrText>
      </w:r>
      <w:r w:rsidRPr="00D85E09">
        <w:fldChar w:fldCharType="separate"/>
      </w:r>
      <w:r w:rsidR="00A456ED" w:rsidRPr="00D85E09">
        <w:t xml:space="preserve">Table </w:t>
      </w:r>
      <w:r w:rsidR="00A456ED">
        <w:rPr>
          <w:noProof/>
        </w:rPr>
        <w:t>21</w:t>
      </w:r>
      <w:r w:rsidRPr="00D85E09">
        <w:fldChar w:fldCharType="end"/>
      </w:r>
      <w:r w:rsidRPr="00D85E09">
        <w:t>. All trials followed</w:t>
      </w:r>
      <w:r w:rsidR="00D32933" w:rsidRPr="00D85E09">
        <w:t>-</w:t>
      </w:r>
      <w:r w:rsidRPr="00D85E09">
        <w:t>up patients for a minimum of 90 days. In four of the five trials (ESCAPE, MR CLEAN, REVASCAT and SWIFT PRIME), the primary outcome was the modified Rankin scale (mRS) at 90 days, which is a measure of functional independence. This was a secondary outcome i</w:t>
      </w:r>
      <w:r w:rsidR="005B7DCE">
        <w:t>n the remaining trial - EXTEND-I</w:t>
      </w:r>
      <w:r w:rsidRPr="00D85E09">
        <w:t>A.</w:t>
      </w:r>
    </w:p>
    <w:p w14:paraId="6772AB36" w14:textId="77777777" w:rsidR="00315893" w:rsidRPr="00D85E09" w:rsidRDefault="00315893" w:rsidP="0043316B">
      <w:pPr>
        <w:widowControl w:val="0"/>
      </w:pPr>
      <w:r w:rsidRPr="00D85E09">
        <w:t>For all studies that reported the 90-day mRS score, the primary outcome was assessed as a median score, and as a “shift analysis” of disability scores. While there were some differences in the statistical approaches taken to perform this calculation, all analyses aimed to determine the likelihood (odds ratio) that endovascular treatment would lead to lower mRS values compared to usual care alone.</w:t>
      </w:r>
    </w:p>
    <w:p w14:paraId="351F1D0C" w14:textId="0C45AB2B" w:rsidR="00315893" w:rsidRPr="00D85E09" w:rsidRDefault="00315893" w:rsidP="0043316B">
      <w:pPr>
        <w:pStyle w:val="Caption"/>
        <w:keepNext w:val="0"/>
        <w:widowControl w:val="0"/>
        <w:rPr>
          <w:lang w:val="en-AU"/>
        </w:rPr>
      </w:pPr>
      <w:bookmarkStart w:id="228" w:name="_Ref368318233"/>
      <w:bookmarkStart w:id="229" w:name="_Toc192319858"/>
      <w:bookmarkStart w:id="230" w:name="_Toc273301537"/>
      <w:bookmarkStart w:id="231" w:name="_Toc367090378"/>
      <w:bookmarkStart w:id="232" w:name="_Toc453065357"/>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21</w:t>
      </w:r>
      <w:r w:rsidRPr="00D85E09">
        <w:rPr>
          <w:lang w:val="en-AU"/>
        </w:rPr>
        <w:fldChar w:fldCharType="end"/>
      </w:r>
      <w:bookmarkEnd w:id="228"/>
      <w:r w:rsidRPr="00D85E09">
        <w:rPr>
          <w:lang w:val="en-AU"/>
        </w:rPr>
        <w:tab/>
        <w:t>Primary outcomes and statistical analyses of the direct randomised trials</w:t>
      </w:r>
      <w:bookmarkEnd w:id="229"/>
      <w:bookmarkEnd w:id="230"/>
      <w:bookmarkEnd w:id="231"/>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21. Primary outcomes and statistical analyses ofthe direct randomised trials"/>
      </w:tblPr>
      <w:tblGrid>
        <w:gridCol w:w="1016"/>
        <w:gridCol w:w="1887"/>
        <w:gridCol w:w="4943"/>
        <w:gridCol w:w="1158"/>
      </w:tblGrid>
      <w:tr w:rsidR="00315893" w:rsidRPr="00D85E09" w14:paraId="42D6059A" w14:textId="77777777" w:rsidTr="001922F3">
        <w:trPr>
          <w:cantSplit/>
          <w:trHeight w:val="336"/>
          <w:tblHeader/>
        </w:trPr>
        <w:tc>
          <w:tcPr>
            <w:tcW w:w="564" w:type="pct"/>
            <w:shd w:val="clear" w:color="auto" w:fill="auto"/>
          </w:tcPr>
          <w:p w14:paraId="05AA1474" w14:textId="77777777" w:rsidR="00315893" w:rsidRPr="00D85E09" w:rsidRDefault="00315893" w:rsidP="0043316B">
            <w:pPr>
              <w:pStyle w:val="Tabletext"/>
              <w:keepNext w:val="0"/>
              <w:widowControl w:val="0"/>
              <w:rPr>
                <w:b/>
              </w:rPr>
            </w:pPr>
            <w:r w:rsidRPr="00D85E09">
              <w:rPr>
                <w:b/>
              </w:rPr>
              <w:t>Trial ID</w:t>
            </w:r>
          </w:p>
        </w:tc>
        <w:tc>
          <w:tcPr>
            <w:tcW w:w="1048" w:type="pct"/>
            <w:shd w:val="clear" w:color="auto" w:fill="auto"/>
          </w:tcPr>
          <w:p w14:paraId="68DF575E" w14:textId="77777777" w:rsidR="00315893" w:rsidRPr="00D85E09" w:rsidRDefault="00315893" w:rsidP="0043316B">
            <w:pPr>
              <w:pStyle w:val="Tabletext"/>
              <w:keepNext w:val="0"/>
              <w:widowControl w:val="0"/>
              <w:rPr>
                <w:b/>
              </w:rPr>
            </w:pPr>
            <w:r w:rsidRPr="00D85E09">
              <w:rPr>
                <w:b/>
              </w:rPr>
              <w:t>Primary outcome</w:t>
            </w:r>
          </w:p>
        </w:tc>
        <w:tc>
          <w:tcPr>
            <w:tcW w:w="2745" w:type="pct"/>
            <w:shd w:val="clear" w:color="auto" w:fill="auto"/>
          </w:tcPr>
          <w:p w14:paraId="5B2797F3" w14:textId="77777777" w:rsidR="00315893" w:rsidRPr="00D85E09" w:rsidRDefault="00315893" w:rsidP="0043316B">
            <w:pPr>
              <w:pStyle w:val="Tabletext"/>
              <w:keepNext w:val="0"/>
              <w:widowControl w:val="0"/>
              <w:rPr>
                <w:b/>
              </w:rPr>
            </w:pPr>
            <w:r w:rsidRPr="00D85E09">
              <w:rPr>
                <w:b/>
              </w:rPr>
              <w:t>Method of primary statistical analysis</w:t>
            </w:r>
          </w:p>
        </w:tc>
        <w:tc>
          <w:tcPr>
            <w:tcW w:w="643" w:type="pct"/>
            <w:shd w:val="clear" w:color="auto" w:fill="auto"/>
          </w:tcPr>
          <w:p w14:paraId="18FD2736" w14:textId="77777777" w:rsidR="00315893" w:rsidRPr="00D85E09" w:rsidRDefault="00315893" w:rsidP="0043316B">
            <w:pPr>
              <w:pStyle w:val="Tabletext"/>
              <w:keepNext w:val="0"/>
              <w:widowControl w:val="0"/>
              <w:rPr>
                <w:b/>
              </w:rPr>
            </w:pPr>
            <w:r w:rsidRPr="00D85E09">
              <w:rPr>
                <w:b/>
              </w:rPr>
              <w:t>Source</w:t>
            </w:r>
          </w:p>
        </w:tc>
      </w:tr>
      <w:tr w:rsidR="00315893" w:rsidRPr="00D85E09" w14:paraId="4EA86C3D" w14:textId="77777777" w:rsidTr="00465778">
        <w:trPr>
          <w:cantSplit/>
          <w:trHeight w:val="342"/>
        </w:trPr>
        <w:tc>
          <w:tcPr>
            <w:tcW w:w="564" w:type="pct"/>
          </w:tcPr>
          <w:p w14:paraId="27A1CD9F" w14:textId="77777777" w:rsidR="00315893" w:rsidRPr="00D85E09" w:rsidRDefault="00315893" w:rsidP="0043316B">
            <w:pPr>
              <w:pStyle w:val="Tabletext"/>
              <w:keepNext w:val="0"/>
              <w:widowControl w:val="0"/>
            </w:pPr>
            <w:r w:rsidRPr="00D85E09">
              <w:t>ESCAPE</w:t>
            </w:r>
          </w:p>
        </w:tc>
        <w:tc>
          <w:tcPr>
            <w:tcW w:w="1048" w:type="pct"/>
          </w:tcPr>
          <w:p w14:paraId="055A1D17" w14:textId="77777777" w:rsidR="00315893" w:rsidRPr="00D85E09" w:rsidRDefault="00315893" w:rsidP="0043316B">
            <w:pPr>
              <w:pStyle w:val="Tabletext"/>
              <w:keepNext w:val="0"/>
              <w:widowControl w:val="0"/>
            </w:pPr>
            <w:r w:rsidRPr="00D85E09">
              <w:t>NIHSS score of 0</w:t>
            </w:r>
            <w:r w:rsidRPr="00D85E09">
              <w:rPr>
                <w:rFonts w:ascii="Cambria Math" w:hAnsi="Cambria Math" w:cs="Cambria Math"/>
              </w:rPr>
              <w:t>‐</w:t>
            </w:r>
            <w:r w:rsidRPr="00D85E09">
              <w:t>2 OR mRS score of 0</w:t>
            </w:r>
            <w:r w:rsidRPr="00D85E09">
              <w:rPr>
                <w:rFonts w:ascii="Cambria Math" w:hAnsi="Cambria Math" w:cs="Cambria Math"/>
              </w:rPr>
              <w:t>‐</w:t>
            </w:r>
            <w:r w:rsidRPr="00D85E09">
              <w:t>2 at 90 days after randomisation.</w:t>
            </w:r>
          </w:p>
        </w:tc>
        <w:tc>
          <w:tcPr>
            <w:tcW w:w="2745" w:type="pct"/>
          </w:tcPr>
          <w:p w14:paraId="6D1AA40A" w14:textId="77777777" w:rsidR="00315893" w:rsidRPr="00D85E09" w:rsidRDefault="00315893" w:rsidP="0043316B">
            <w:pPr>
              <w:pStyle w:val="Tabletext"/>
              <w:keepNext w:val="0"/>
              <w:widowControl w:val="0"/>
            </w:pPr>
            <w:r w:rsidRPr="00D85E09">
              <w:t>The primary analysis was unadjusted and was performed in the intention-to-treat population. P-values of less than 0.05 were considered to indicate statistical significance, and all tests of hypotheses were two-sided. No adjustments were made for multiple comparisons.</w:t>
            </w:r>
          </w:p>
          <w:p w14:paraId="321405AD" w14:textId="77777777" w:rsidR="00315893" w:rsidRPr="00D85E09" w:rsidRDefault="00315893" w:rsidP="0043316B">
            <w:pPr>
              <w:pStyle w:val="Tabletext"/>
              <w:keepNext w:val="0"/>
              <w:widowControl w:val="0"/>
            </w:pPr>
            <w:r w:rsidRPr="00D85E09">
              <w:t>Adjusted estimates of effect were calculated, with adjustment for age, sex, baseline NIHSS score, baseline ASPECTS, location of occlusion (internal carotid artery plus middle cerebral artery vs. middle cerebral artery only), and status with respect to intravenous alteplase treatment (yes vs. no).</w:t>
            </w:r>
          </w:p>
          <w:p w14:paraId="452A8302" w14:textId="77777777" w:rsidR="00315893" w:rsidRPr="00D85E09" w:rsidRDefault="00315893" w:rsidP="0043316B">
            <w:pPr>
              <w:pStyle w:val="Tabletext"/>
              <w:keepNext w:val="0"/>
              <w:widowControl w:val="0"/>
            </w:pPr>
            <w:r w:rsidRPr="00D85E09">
              <w:t xml:space="preserve">The assessment of effect modification (heterogeneity of treatment effect) was performed with the inclusion of multiplicative interaction terms. </w:t>
            </w:r>
          </w:p>
        </w:tc>
        <w:tc>
          <w:tcPr>
            <w:tcW w:w="643" w:type="pct"/>
          </w:tcPr>
          <w:p w14:paraId="0AF0B04F" w14:textId="77777777" w:rsidR="00315893" w:rsidRPr="00D85E09" w:rsidRDefault="00315893" w:rsidP="0043316B">
            <w:pPr>
              <w:pStyle w:val="Tabletext"/>
              <w:keepNext w:val="0"/>
              <w:widowControl w:val="0"/>
            </w:pPr>
            <w:r w:rsidRPr="00D85E09">
              <w:t>Goyal 2015; Goyal 2015 Protocol</w:t>
            </w:r>
          </w:p>
        </w:tc>
      </w:tr>
      <w:tr w:rsidR="00315893" w:rsidRPr="00D85E09" w14:paraId="77E92438" w14:textId="77777777" w:rsidTr="00465778">
        <w:trPr>
          <w:cantSplit/>
          <w:trHeight w:val="342"/>
        </w:trPr>
        <w:tc>
          <w:tcPr>
            <w:tcW w:w="564" w:type="pct"/>
          </w:tcPr>
          <w:p w14:paraId="2E4D3A13" w14:textId="0FBB052F" w:rsidR="00315893" w:rsidRPr="00D85E09" w:rsidRDefault="005B7DCE" w:rsidP="0043316B">
            <w:pPr>
              <w:pStyle w:val="Tabletext"/>
              <w:keepNext w:val="0"/>
              <w:widowControl w:val="0"/>
            </w:pPr>
            <w:r>
              <w:t>EXTEND-I</w:t>
            </w:r>
            <w:r w:rsidR="00315893" w:rsidRPr="00D85E09">
              <w:t>A</w:t>
            </w:r>
          </w:p>
        </w:tc>
        <w:tc>
          <w:tcPr>
            <w:tcW w:w="1048" w:type="pct"/>
          </w:tcPr>
          <w:p w14:paraId="63B9C38A" w14:textId="576A2A90" w:rsidR="00315893" w:rsidRPr="00D85E09" w:rsidRDefault="00315893" w:rsidP="0043316B">
            <w:pPr>
              <w:pStyle w:val="Tabletext"/>
              <w:keepNext w:val="0"/>
              <w:widowControl w:val="0"/>
              <w:numPr>
                <w:ilvl w:val="0"/>
                <w:numId w:val="42"/>
              </w:numPr>
              <w:ind w:left="314" w:hanging="314"/>
            </w:pPr>
            <w:r w:rsidRPr="00D85E09">
              <w:t>Median percentage reperfusion at 24 h post</w:t>
            </w:r>
            <w:r w:rsidR="00300BB6" w:rsidRPr="00D85E09">
              <w:t>-</w:t>
            </w:r>
            <w:r w:rsidRPr="00D85E09">
              <w:t>stroke, adjusted for site of arterial occlusion.</w:t>
            </w:r>
          </w:p>
          <w:p w14:paraId="688F80C3" w14:textId="77777777" w:rsidR="00315893" w:rsidRPr="00D85E09" w:rsidRDefault="00315893" w:rsidP="0043316B">
            <w:pPr>
              <w:pStyle w:val="Tabletext"/>
              <w:keepNext w:val="0"/>
              <w:widowControl w:val="0"/>
              <w:numPr>
                <w:ilvl w:val="0"/>
                <w:numId w:val="42"/>
              </w:numPr>
              <w:ind w:left="314" w:hanging="314"/>
            </w:pPr>
            <w:r w:rsidRPr="00D85E09">
              <w:t>NIHSS reduction ≥8 points or reaching 0–1 at 3 days (favourable clinical response) adjusted for baseline NIHSS and age.</w:t>
            </w:r>
          </w:p>
        </w:tc>
        <w:tc>
          <w:tcPr>
            <w:tcW w:w="2745" w:type="pct"/>
          </w:tcPr>
          <w:p w14:paraId="644BADCD" w14:textId="77777777" w:rsidR="00315893" w:rsidRPr="00D85E09" w:rsidRDefault="00315893" w:rsidP="0043316B">
            <w:pPr>
              <w:pStyle w:val="Tabletext"/>
              <w:keepNext w:val="0"/>
              <w:widowControl w:val="0"/>
            </w:pPr>
            <w:r w:rsidRPr="00D85E09">
              <w:t>The primary efficacy analysis was based on an intention-to-treat basis. Two co-primary outcomes were compared using two-sided significance tests. Statistical significance level adjustment was made using the Bonferroni–Holm step-down procedure.</w:t>
            </w:r>
          </w:p>
          <w:p w14:paraId="46578011" w14:textId="77777777" w:rsidR="00315893" w:rsidRPr="00D85E09" w:rsidRDefault="00315893" w:rsidP="0043316B">
            <w:pPr>
              <w:pStyle w:val="Tabletext"/>
              <w:keepNext w:val="0"/>
              <w:widowControl w:val="0"/>
            </w:pPr>
            <w:r w:rsidRPr="00D85E09">
              <w:t>For the co-primary outcome analysis:</w:t>
            </w:r>
          </w:p>
          <w:p w14:paraId="25D8E9EA" w14:textId="77777777" w:rsidR="00315893" w:rsidRPr="00D85E09" w:rsidRDefault="00315893" w:rsidP="0043316B">
            <w:pPr>
              <w:pStyle w:val="Tabletext"/>
              <w:keepNext w:val="0"/>
              <w:widowControl w:val="0"/>
              <w:numPr>
                <w:ilvl w:val="0"/>
                <w:numId w:val="43"/>
              </w:numPr>
              <w:ind w:left="318" w:hanging="318"/>
            </w:pPr>
            <w:r w:rsidRPr="00D85E09">
              <w:t>the reperfusion outcomes were compared between treatment and control arms of the trial adjusted for site of baseline arterial occlusion (all three strata) using the van Elteren test (a stratified version of the Wilcoxon rank-sum test); and</w:t>
            </w:r>
          </w:p>
          <w:p w14:paraId="0D927267" w14:textId="77777777" w:rsidR="00315893" w:rsidRPr="00D85E09" w:rsidRDefault="00315893" w:rsidP="0043316B">
            <w:pPr>
              <w:pStyle w:val="Tabletext"/>
              <w:keepNext w:val="0"/>
              <w:widowControl w:val="0"/>
              <w:numPr>
                <w:ilvl w:val="0"/>
                <w:numId w:val="43"/>
              </w:numPr>
              <w:ind w:left="318" w:hanging="318"/>
            </w:pPr>
            <w:r w:rsidRPr="00D85E09">
              <w:t>the proportion of patients with a favourable clinical response indicated by an NIHSS reduction ≥8 points or reaching 0–1 at three-days was compared between treatment and control arms of the trial adjusted for age and baseline NIHSS score using binary logistic regression.</w:t>
            </w:r>
          </w:p>
        </w:tc>
        <w:tc>
          <w:tcPr>
            <w:tcW w:w="643" w:type="pct"/>
          </w:tcPr>
          <w:p w14:paraId="463B9C54" w14:textId="77777777" w:rsidR="00315893" w:rsidRPr="00D85E09" w:rsidRDefault="00315893" w:rsidP="0043316B">
            <w:pPr>
              <w:pStyle w:val="Tabletext"/>
              <w:keepNext w:val="0"/>
              <w:widowControl w:val="0"/>
            </w:pPr>
            <w:r w:rsidRPr="00D85E09">
              <w:t xml:space="preserve">Campbell 2015 Protocol </w:t>
            </w:r>
          </w:p>
        </w:tc>
      </w:tr>
      <w:tr w:rsidR="00315893" w:rsidRPr="00D85E09" w14:paraId="7223C5B3" w14:textId="77777777" w:rsidTr="00465778">
        <w:trPr>
          <w:cantSplit/>
          <w:trHeight w:val="342"/>
        </w:trPr>
        <w:tc>
          <w:tcPr>
            <w:tcW w:w="564" w:type="pct"/>
          </w:tcPr>
          <w:p w14:paraId="461F7327" w14:textId="77777777" w:rsidR="00315893" w:rsidRPr="00D85E09" w:rsidRDefault="00315893" w:rsidP="0043316B">
            <w:pPr>
              <w:pStyle w:val="Tabletext"/>
              <w:keepNext w:val="0"/>
              <w:widowControl w:val="0"/>
            </w:pPr>
            <w:r w:rsidRPr="00D85E09">
              <w:t>MR CLEAN</w:t>
            </w:r>
          </w:p>
        </w:tc>
        <w:tc>
          <w:tcPr>
            <w:tcW w:w="1048" w:type="pct"/>
          </w:tcPr>
          <w:p w14:paraId="3F916DEB" w14:textId="54B9AB01" w:rsidR="00315893" w:rsidRPr="00D85E09" w:rsidRDefault="00315893" w:rsidP="0043316B">
            <w:pPr>
              <w:pStyle w:val="Tabletext"/>
              <w:keepNext w:val="0"/>
              <w:widowControl w:val="0"/>
            </w:pPr>
            <w:r w:rsidRPr="00D85E09">
              <w:t>mRS score at 90 days</w:t>
            </w:r>
            <w:r w:rsidR="00AB4BBF" w:rsidRPr="00D85E09">
              <w:t>.</w:t>
            </w:r>
          </w:p>
        </w:tc>
        <w:tc>
          <w:tcPr>
            <w:tcW w:w="2745" w:type="pct"/>
          </w:tcPr>
          <w:p w14:paraId="4932A68A" w14:textId="77777777" w:rsidR="00315893" w:rsidRPr="00D85E09" w:rsidRDefault="00315893" w:rsidP="0043316B">
            <w:pPr>
              <w:pStyle w:val="Tabletext"/>
              <w:keepNext w:val="0"/>
              <w:widowControl w:val="0"/>
            </w:pPr>
            <w:r w:rsidRPr="00D85E09">
              <w:t>All analyses were based on the intention-to-treat principle. The primary effect variable was the adjusted common odds ratio for a shift in the direction of a better outcome on the modified Rankin scale; this ratio was estimated with multivariable ordinal logistic regression.</w:t>
            </w:r>
          </w:p>
          <w:p w14:paraId="372BD1A0" w14:textId="77777777" w:rsidR="00315893" w:rsidRPr="00D85E09" w:rsidRDefault="00315893" w:rsidP="0043316B">
            <w:pPr>
              <w:pStyle w:val="Tabletext"/>
              <w:keepNext w:val="0"/>
              <w:widowControl w:val="0"/>
            </w:pPr>
            <w:r w:rsidRPr="00D85E09">
              <w:t>An adjusted odds ratio was calculated for all possible cut-off values on the modified Rankin scale to assess the consistency of effect and the plausibility of proportionality of the odds ratio.</w:t>
            </w:r>
          </w:p>
          <w:p w14:paraId="2715CAA2" w14:textId="77777777" w:rsidR="00315893" w:rsidRPr="00D85E09" w:rsidRDefault="00315893" w:rsidP="0043316B">
            <w:pPr>
              <w:pStyle w:val="Tabletext"/>
              <w:keepNext w:val="0"/>
              <w:widowControl w:val="0"/>
            </w:pPr>
            <w:r w:rsidRPr="00D85E09">
              <w:t xml:space="preserve">Multivariable regression analysis was used to adjust for chance imbalances in main prognostic variables between intervention and control group. </w:t>
            </w:r>
          </w:p>
        </w:tc>
        <w:tc>
          <w:tcPr>
            <w:tcW w:w="643" w:type="pct"/>
          </w:tcPr>
          <w:p w14:paraId="0A0B64B9" w14:textId="77777777" w:rsidR="00315893" w:rsidRPr="00D85E09" w:rsidRDefault="00315893" w:rsidP="0043316B">
            <w:pPr>
              <w:pStyle w:val="Tabletext"/>
              <w:keepNext w:val="0"/>
              <w:widowControl w:val="0"/>
            </w:pPr>
            <w:r w:rsidRPr="00D85E09">
              <w:t>Berkhemer 2015; Berkhemer 2015 Protocol</w:t>
            </w:r>
          </w:p>
        </w:tc>
      </w:tr>
      <w:tr w:rsidR="00315893" w:rsidRPr="00D85E09" w14:paraId="0B558185" w14:textId="77777777" w:rsidTr="00465778">
        <w:trPr>
          <w:cantSplit/>
          <w:trHeight w:val="342"/>
        </w:trPr>
        <w:tc>
          <w:tcPr>
            <w:tcW w:w="564" w:type="pct"/>
          </w:tcPr>
          <w:p w14:paraId="61646294" w14:textId="77777777" w:rsidR="00315893" w:rsidRPr="00D85E09" w:rsidRDefault="00315893" w:rsidP="0043316B">
            <w:pPr>
              <w:pStyle w:val="Tabletext"/>
              <w:keepNext w:val="0"/>
              <w:widowControl w:val="0"/>
            </w:pPr>
            <w:r w:rsidRPr="00D85E09">
              <w:lastRenderedPageBreak/>
              <w:t>REVSACT</w:t>
            </w:r>
          </w:p>
        </w:tc>
        <w:tc>
          <w:tcPr>
            <w:tcW w:w="1048" w:type="pct"/>
          </w:tcPr>
          <w:p w14:paraId="6326C006" w14:textId="77777777" w:rsidR="00315893" w:rsidRPr="00D85E09" w:rsidRDefault="00315893" w:rsidP="0043316B">
            <w:pPr>
              <w:pStyle w:val="Tabletext"/>
              <w:keepNext w:val="0"/>
              <w:widowControl w:val="0"/>
            </w:pPr>
            <w:r w:rsidRPr="00D85E09">
              <w:t>Severity of disability at 90 days, according to the distribution of scores on mRS.</w:t>
            </w:r>
          </w:p>
        </w:tc>
        <w:tc>
          <w:tcPr>
            <w:tcW w:w="2745" w:type="pct"/>
          </w:tcPr>
          <w:p w14:paraId="60A19479" w14:textId="77777777" w:rsidR="00315893" w:rsidRPr="00D85E09" w:rsidRDefault="00315893" w:rsidP="0043316B">
            <w:pPr>
              <w:pStyle w:val="Tabletext"/>
              <w:keepNext w:val="0"/>
              <w:widowControl w:val="0"/>
            </w:pPr>
            <w:r w:rsidRPr="00D85E09">
              <w:t>All analyses were performed in the intention-to-treat population. The measure of effect size was a cumulative odds ratio as calculated by logistic regression (shift analysis). This analysis relies on the assumption of an odds ratio behind any cut-off point, which has been shown to be robust to minor deviations.</w:t>
            </w:r>
          </w:p>
          <w:p w14:paraId="31C9CE2F" w14:textId="77777777" w:rsidR="00315893" w:rsidRPr="00D85E09" w:rsidRDefault="00315893" w:rsidP="0043316B">
            <w:pPr>
              <w:pStyle w:val="Tabletext"/>
              <w:keepNext w:val="0"/>
              <w:widowControl w:val="0"/>
            </w:pPr>
            <w:r w:rsidRPr="00D85E09">
              <w:t>The primary analysis was conducted using an ordered logistic regression in order to control for minimisation factors (centre, baseline NIHSS, therapeutic window, age and occlusion site). In addition, r-TPA administration will be included in this model.</w:t>
            </w:r>
          </w:p>
          <w:p w14:paraId="25F7ADF4" w14:textId="77777777" w:rsidR="00315893" w:rsidRPr="00D85E09" w:rsidRDefault="00315893" w:rsidP="0043316B">
            <w:pPr>
              <w:pStyle w:val="Tabletext"/>
              <w:keepNext w:val="0"/>
              <w:widowControl w:val="0"/>
            </w:pPr>
            <w:r w:rsidRPr="00D85E09">
              <w:t>The statistical significance of the coefficients (β’s) were tested using the Wald test. The effect of Solitaire therapy as compared to control therapy (reference therapy) was measured by estimating the odds ratio corresponding to the therapy effect and its 95% confidence intervals by means of the model coefficient and the corresponding Standard Error derived from the ordered logistic regression model.</w:t>
            </w:r>
          </w:p>
        </w:tc>
        <w:tc>
          <w:tcPr>
            <w:tcW w:w="643" w:type="pct"/>
          </w:tcPr>
          <w:p w14:paraId="29D92B0E" w14:textId="77777777" w:rsidR="00315893" w:rsidRPr="00D85E09" w:rsidRDefault="00315893" w:rsidP="0043316B">
            <w:pPr>
              <w:pStyle w:val="Tabletext"/>
              <w:keepNext w:val="0"/>
              <w:widowControl w:val="0"/>
            </w:pPr>
            <w:r w:rsidRPr="00D85E09">
              <w:t>Jovin 2015; Jovin 2015 Protocol</w:t>
            </w:r>
          </w:p>
        </w:tc>
      </w:tr>
      <w:tr w:rsidR="00315893" w:rsidRPr="00D85E09" w14:paraId="2F1F7691" w14:textId="77777777" w:rsidTr="00465778">
        <w:trPr>
          <w:cantSplit/>
          <w:trHeight w:val="342"/>
        </w:trPr>
        <w:tc>
          <w:tcPr>
            <w:tcW w:w="564" w:type="pct"/>
          </w:tcPr>
          <w:p w14:paraId="6A567F17" w14:textId="77777777" w:rsidR="00315893" w:rsidRPr="00D85E09" w:rsidRDefault="00315893" w:rsidP="0043316B">
            <w:pPr>
              <w:pStyle w:val="Tabletext"/>
              <w:keepNext w:val="0"/>
              <w:widowControl w:val="0"/>
            </w:pPr>
            <w:r w:rsidRPr="00D85E09">
              <w:t>SWIFT PRIME</w:t>
            </w:r>
          </w:p>
        </w:tc>
        <w:tc>
          <w:tcPr>
            <w:tcW w:w="1048" w:type="pct"/>
          </w:tcPr>
          <w:p w14:paraId="135682E7" w14:textId="77777777" w:rsidR="00315893" w:rsidRPr="00D85E09" w:rsidRDefault="00315893" w:rsidP="0043316B">
            <w:pPr>
              <w:pStyle w:val="Tabletext"/>
              <w:keepNext w:val="0"/>
              <w:widowControl w:val="0"/>
            </w:pPr>
            <w:r w:rsidRPr="00D85E09">
              <w:t>Disability at 90 days, according to the distribution of scores on mRS.</w:t>
            </w:r>
          </w:p>
        </w:tc>
        <w:tc>
          <w:tcPr>
            <w:tcW w:w="2745" w:type="pct"/>
          </w:tcPr>
          <w:p w14:paraId="78E8A0D2" w14:textId="77777777" w:rsidR="00315893" w:rsidRPr="00D85E09" w:rsidRDefault="00315893" w:rsidP="0043316B">
            <w:pPr>
              <w:pStyle w:val="Tabletext"/>
              <w:keepNext w:val="0"/>
              <w:widowControl w:val="0"/>
            </w:pPr>
            <w:r w:rsidRPr="00D85E09">
              <w:t>For the primary outcome, the score on the modified Rankin scale at 90 days was analysed using simultaneous success criteria of the overall distribution of the score (shift in disability levels) and the proportion of patients who were functionally independent. Both criteria needed to be met in order for the study to be declared positive.</w:t>
            </w:r>
          </w:p>
          <w:p w14:paraId="0F6E8E61" w14:textId="77777777" w:rsidR="00315893" w:rsidRPr="00D85E09" w:rsidRDefault="00315893" w:rsidP="0043316B">
            <w:pPr>
              <w:pStyle w:val="Tabletext"/>
              <w:keepNext w:val="0"/>
              <w:widowControl w:val="0"/>
            </w:pPr>
            <w:r w:rsidRPr="00D85E09">
              <w:t>The statistical hypothesis on the scale shift was that the distribution over the entire range of scores (except for scores of 5 or 6, which were collapsed into a single group) among patients in the intervention group would be more favourable than the distribution in the control group, as analysed by means of the Cochran–Mantel–Haenszel test. Type I and Type II error will be computed via simulation and overall alpha will be controlled at a one-sided level of 0.025.</w:t>
            </w:r>
          </w:p>
        </w:tc>
        <w:tc>
          <w:tcPr>
            <w:tcW w:w="643" w:type="pct"/>
          </w:tcPr>
          <w:p w14:paraId="1F58DCE8" w14:textId="405BB27E" w:rsidR="00315893" w:rsidRPr="00D85E09" w:rsidRDefault="00315893" w:rsidP="00AB4BBF">
            <w:pPr>
              <w:pStyle w:val="Tabletext"/>
              <w:keepNext w:val="0"/>
              <w:widowControl w:val="0"/>
            </w:pPr>
            <w:r w:rsidRPr="00D85E09">
              <w:t>Saver 2015; Saver 2015 Protocol</w:t>
            </w:r>
          </w:p>
        </w:tc>
      </w:tr>
    </w:tbl>
    <w:p w14:paraId="35A9F686" w14:textId="77777777" w:rsidR="00785404" w:rsidRPr="00D85E09" w:rsidRDefault="00785404" w:rsidP="0043316B">
      <w:pPr>
        <w:widowControl w:val="0"/>
      </w:pPr>
      <w:bookmarkStart w:id="233" w:name="_Ref408308711"/>
      <w:bookmarkStart w:id="234" w:name="_Toc412109175"/>
      <w:bookmarkStart w:id="235" w:name="_Toc422313058"/>
      <w:bookmarkStart w:id="236" w:name="_Toc422922435"/>
      <w:bookmarkStart w:id="237" w:name="_Ref169665907"/>
      <w:bookmarkStart w:id="238" w:name="_Toc192319859"/>
      <w:bookmarkStart w:id="239" w:name="_Toc273301538"/>
      <w:bookmarkStart w:id="240" w:name="_Toc367090379"/>
    </w:p>
    <w:p w14:paraId="65145AB0" w14:textId="299E12AD" w:rsidR="00315893" w:rsidRPr="00D85E09" w:rsidRDefault="00315893" w:rsidP="0043316B">
      <w:pPr>
        <w:widowControl w:val="0"/>
      </w:pPr>
      <w:r w:rsidRPr="00D85E09">
        <w:fldChar w:fldCharType="begin"/>
      </w:r>
      <w:r w:rsidRPr="00D85E09">
        <w:instrText xml:space="preserve"> REF _Ref450823115 \h </w:instrText>
      </w:r>
      <w:r w:rsidRPr="00D85E09">
        <w:fldChar w:fldCharType="separate"/>
      </w:r>
      <w:r w:rsidR="00A456ED" w:rsidRPr="00D85E09">
        <w:t xml:space="preserve">Table </w:t>
      </w:r>
      <w:r w:rsidR="00A456ED">
        <w:rPr>
          <w:noProof/>
        </w:rPr>
        <w:t>22</w:t>
      </w:r>
      <w:r w:rsidRPr="00D85E09">
        <w:fldChar w:fldCharType="end"/>
      </w:r>
      <w:r w:rsidRPr="00D85E09">
        <w:t xml:space="preserve"> provides a description of the statistical power and sample size calculations for the primary endpoint(s).</w:t>
      </w:r>
    </w:p>
    <w:p w14:paraId="58E7ECC0" w14:textId="7922B151" w:rsidR="00315893" w:rsidRPr="00D85E09" w:rsidRDefault="00315893" w:rsidP="0043316B">
      <w:pPr>
        <w:pStyle w:val="Caption"/>
        <w:keepNext w:val="0"/>
        <w:widowControl w:val="0"/>
        <w:rPr>
          <w:lang w:val="en-AU"/>
        </w:rPr>
      </w:pPr>
      <w:bookmarkStart w:id="241" w:name="_Ref450823115"/>
      <w:bookmarkStart w:id="242" w:name="_Toc45306535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22</w:t>
      </w:r>
      <w:r w:rsidRPr="00D85E09">
        <w:rPr>
          <w:noProof/>
          <w:lang w:val="en-AU"/>
        </w:rPr>
        <w:fldChar w:fldCharType="end"/>
      </w:r>
      <w:bookmarkEnd w:id="233"/>
      <w:bookmarkEnd w:id="241"/>
      <w:r w:rsidRPr="00D85E09">
        <w:rPr>
          <w:lang w:val="en-AU"/>
        </w:rPr>
        <w:tab/>
        <w:t>Description of statistical power calculations</w:t>
      </w:r>
      <w:bookmarkEnd w:id="234"/>
      <w:bookmarkEnd w:id="235"/>
      <w:bookmarkEnd w:id="236"/>
      <w:r w:rsidRPr="00D85E09">
        <w:rPr>
          <w:lang w:val="en-AU"/>
        </w:rPr>
        <w:t xml:space="preserve"> for the primary outcome</w:t>
      </w:r>
      <w:bookmarkEnd w:id="242"/>
    </w:p>
    <w:tbl>
      <w:tblPr>
        <w:tblStyle w:val="TableGridbeth1"/>
        <w:tblW w:w="0" w:type="auto"/>
        <w:tblLook w:val="04A0" w:firstRow="1" w:lastRow="0" w:firstColumn="1" w:lastColumn="0" w:noHBand="0" w:noVBand="1"/>
        <w:tblDescription w:val="Table 22. Description of statistical power calculations fo rthe primary outcome"/>
      </w:tblPr>
      <w:tblGrid>
        <w:gridCol w:w="1001"/>
        <w:gridCol w:w="6637"/>
        <w:gridCol w:w="1140"/>
      </w:tblGrid>
      <w:tr w:rsidR="00315893" w:rsidRPr="00D85E09" w14:paraId="6013CCF5" w14:textId="77777777" w:rsidTr="001922F3">
        <w:trPr>
          <w:tblHeader/>
        </w:trPr>
        <w:tc>
          <w:tcPr>
            <w:tcW w:w="1001" w:type="dxa"/>
            <w:shd w:val="clear" w:color="auto" w:fill="auto"/>
          </w:tcPr>
          <w:p w14:paraId="54726148" w14:textId="77777777" w:rsidR="00315893" w:rsidRPr="00D85E09" w:rsidRDefault="00315893" w:rsidP="0043316B">
            <w:pPr>
              <w:pStyle w:val="TableText1"/>
              <w:keepNext w:val="0"/>
              <w:widowControl w:val="0"/>
              <w:spacing w:before="60" w:after="40"/>
              <w:rPr>
                <w:rFonts w:ascii="Arial Narrow" w:hAnsi="Arial Narrow"/>
                <w:b/>
                <w:sz w:val="20"/>
                <w:szCs w:val="20"/>
              </w:rPr>
            </w:pPr>
            <w:r w:rsidRPr="00D85E09">
              <w:rPr>
                <w:rFonts w:ascii="Arial Narrow" w:hAnsi="Arial Narrow"/>
                <w:b/>
                <w:sz w:val="20"/>
                <w:szCs w:val="20"/>
              </w:rPr>
              <w:t>Trial</w:t>
            </w:r>
          </w:p>
        </w:tc>
        <w:tc>
          <w:tcPr>
            <w:tcW w:w="6637" w:type="dxa"/>
            <w:shd w:val="clear" w:color="auto" w:fill="auto"/>
          </w:tcPr>
          <w:p w14:paraId="430AF7B3" w14:textId="77777777" w:rsidR="00315893" w:rsidRPr="00D85E09" w:rsidRDefault="00315893" w:rsidP="0043316B">
            <w:pPr>
              <w:pStyle w:val="TableText1"/>
              <w:keepNext w:val="0"/>
              <w:widowControl w:val="0"/>
              <w:spacing w:before="60" w:after="40"/>
              <w:rPr>
                <w:rFonts w:ascii="Arial Narrow" w:hAnsi="Arial Narrow"/>
                <w:b/>
                <w:sz w:val="20"/>
                <w:szCs w:val="20"/>
              </w:rPr>
            </w:pPr>
            <w:r w:rsidRPr="00D85E09">
              <w:rPr>
                <w:rFonts w:ascii="Arial Narrow" w:hAnsi="Arial Narrow"/>
                <w:b/>
                <w:sz w:val="20"/>
                <w:szCs w:val="20"/>
              </w:rPr>
              <w:t>Description of statistical power calculation for the primary outcome</w:t>
            </w:r>
          </w:p>
        </w:tc>
        <w:tc>
          <w:tcPr>
            <w:tcW w:w="1140" w:type="dxa"/>
            <w:shd w:val="clear" w:color="auto" w:fill="auto"/>
          </w:tcPr>
          <w:p w14:paraId="16CD6120" w14:textId="77777777" w:rsidR="00315893" w:rsidRPr="00D85E09" w:rsidRDefault="00315893" w:rsidP="0043316B">
            <w:pPr>
              <w:pStyle w:val="TableText1"/>
              <w:keepNext w:val="0"/>
              <w:widowControl w:val="0"/>
              <w:spacing w:before="60" w:after="40"/>
              <w:rPr>
                <w:rFonts w:ascii="Arial Narrow" w:hAnsi="Arial Narrow"/>
                <w:b/>
                <w:sz w:val="20"/>
                <w:szCs w:val="20"/>
              </w:rPr>
            </w:pPr>
            <w:r w:rsidRPr="00D85E09">
              <w:rPr>
                <w:rFonts w:ascii="Arial Narrow" w:hAnsi="Arial Narrow"/>
                <w:b/>
                <w:sz w:val="20"/>
                <w:szCs w:val="20"/>
              </w:rPr>
              <w:t>Source</w:t>
            </w:r>
          </w:p>
        </w:tc>
      </w:tr>
      <w:tr w:rsidR="00315893" w:rsidRPr="00D85E09" w14:paraId="3BED09F2" w14:textId="77777777" w:rsidTr="00465778">
        <w:trPr>
          <w:trHeight w:val="337"/>
        </w:trPr>
        <w:tc>
          <w:tcPr>
            <w:tcW w:w="1001" w:type="dxa"/>
            <w:shd w:val="clear" w:color="auto" w:fill="FFFFFF" w:themeFill="background1"/>
          </w:tcPr>
          <w:p w14:paraId="72AAC604"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ESCAPE</w:t>
            </w:r>
          </w:p>
        </w:tc>
        <w:tc>
          <w:tcPr>
            <w:tcW w:w="6637" w:type="dxa"/>
            <w:shd w:val="clear" w:color="auto" w:fill="FFFFFF" w:themeFill="background1"/>
          </w:tcPr>
          <w:p w14:paraId="1C7B80B1" w14:textId="2523BC06"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The sample size, at 85% power and conventional alpha =0.05, will be 242 evaluable patients (121 in each arm). This provides adequate power to identify a relative risk</w:t>
            </w:r>
            <w:r w:rsidR="00300BB6" w:rsidRPr="00D85E09">
              <w:rPr>
                <w:rFonts w:ascii="Arial Narrow" w:hAnsi="Arial Narrow"/>
                <w:sz w:val="20"/>
                <w:szCs w:val="20"/>
              </w:rPr>
              <w:t>-</w:t>
            </w:r>
            <w:r w:rsidRPr="00D85E09">
              <w:rPr>
                <w:rFonts w:ascii="Arial Narrow" w:hAnsi="Arial Narrow"/>
                <w:sz w:val="20"/>
                <w:szCs w:val="20"/>
              </w:rPr>
              <w:t>benefit of 1.5 and an absolute risk difference of 20%. This would translate to an NNT of 5.</w:t>
            </w:r>
          </w:p>
          <w:p w14:paraId="4904B5E1"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The trial was powered to detect a shift in the distribution of scores on the modified Rankin scale at 90 days between the intervention and control groups, with scores of 5 (bed bound with severe disability) and 6 (death) combined, with the assumption that the differential effect would lead to a common odds ratio (indicating the odds of improvement of 1 point on the modified Rankin scale) of 1.8. A total required sample of 500 participants was anticipated.</w:t>
            </w:r>
          </w:p>
          <w:p w14:paraId="54C25FB0"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One formal interim analysis after the enrolment of 300 participants was planned. The stopping rule for efficacy was defined with the use of O’Brien–Fleming boundaries on the binary outcome of a modified Rankin score at 90 days of 0 to 2 versus 3 to 6.</w:t>
            </w:r>
          </w:p>
        </w:tc>
        <w:tc>
          <w:tcPr>
            <w:tcW w:w="1140" w:type="dxa"/>
            <w:shd w:val="clear" w:color="auto" w:fill="FFFFFF" w:themeFill="background1"/>
          </w:tcPr>
          <w:p w14:paraId="3FDDD2CE"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Goyal 2015; Goyal 2015 Protocol</w:t>
            </w:r>
          </w:p>
        </w:tc>
      </w:tr>
      <w:tr w:rsidR="00315893" w:rsidRPr="00D85E09" w14:paraId="7AE2AA1F" w14:textId="77777777" w:rsidTr="00465778">
        <w:trPr>
          <w:trHeight w:val="337"/>
        </w:trPr>
        <w:tc>
          <w:tcPr>
            <w:tcW w:w="1001" w:type="dxa"/>
            <w:shd w:val="clear" w:color="auto" w:fill="FFFFFF" w:themeFill="background1"/>
          </w:tcPr>
          <w:p w14:paraId="0FA34BFA" w14:textId="2046A314"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EXTEND-</w:t>
            </w:r>
            <w:r w:rsidR="005B7DCE">
              <w:rPr>
                <w:rFonts w:ascii="Arial Narrow" w:hAnsi="Arial Narrow"/>
                <w:sz w:val="20"/>
                <w:szCs w:val="20"/>
              </w:rPr>
              <w:t>I</w:t>
            </w:r>
            <w:r w:rsidRPr="00D85E09">
              <w:rPr>
                <w:rFonts w:ascii="Arial Narrow" w:hAnsi="Arial Narrow"/>
                <w:sz w:val="20"/>
                <w:szCs w:val="20"/>
              </w:rPr>
              <w:t>A</w:t>
            </w:r>
          </w:p>
        </w:tc>
        <w:tc>
          <w:tcPr>
            <w:tcW w:w="6637" w:type="dxa"/>
            <w:shd w:val="clear" w:color="auto" w:fill="FFFFFF" w:themeFill="background1"/>
          </w:tcPr>
          <w:p w14:paraId="06A67F1B"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 xml:space="preserve">The original sample size estimation is based on the assumption that the patient mix is broadly reflective of population-wide prevalence (i.e. ICA: 30%, M1: 50%, M2:20%). An </w:t>
            </w:r>
            <w:r w:rsidRPr="00D85E09">
              <w:rPr>
                <w:rFonts w:ascii="Arial Narrow" w:hAnsi="Arial Narrow"/>
                <w:sz w:val="20"/>
                <w:szCs w:val="20"/>
              </w:rPr>
              <w:lastRenderedPageBreak/>
              <w:t>estimated total sample size of 100 patients (with 50 patients in each of treatment and control arms) should yield 80% power to detect both:</w:t>
            </w:r>
          </w:p>
          <w:p w14:paraId="3C66D4A6" w14:textId="77777777" w:rsidR="00315893" w:rsidRPr="00D85E09" w:rsidRDefault="00315893" w:rsidP="0043316B">
            <w:pPr>
              <w:pStyle w:val="Tabletext"/>
              <w:keepNext w:val="0"/>
              <w:widowControl w:val="0"/>
              <w:numPr>
                <w:ilvl w:val="0"/>
                <w:numId w:val="44"/>
              </w:numPr>
              <w:ind w:left="284" w:hanging="284"/>
            </w:pPr>
            <w:r w:rsidRPr="00D85E09">
              <w:t>a significant difference of 24% in strata-weighted median reperfusion at 24 h (80% in treatment vs. 56% in control arm) at two-sided statistical significance threshold of P = 0·025; and</w:t>
            </w:r>
          </w:p>
          <w:p w14:paraId="4FF8B3BA" w14:textId="2579B498" w:rsidR="00315893" w:rsidRPr="00D85E09" w:rsidRDefault="00315893" w:rsidP="0043316B">
            <w:pPr>
              <w:pStyle w:val="Tabletext"/>
              <w:keepNext w:val="0"/>
              <w:widowControl w:val="0"/>
              <w:numPr>
                <w:ilvl w:val="0"/>
                <w:numId w:val="44"/>
              </w:numPr>
              <w:ind w:left="284" w:hanging="284"/>
            </w:pPr>
            <w:r w:rsidRPr="00D85E09">
              <w:t>a significant difference of 33% (63% in treatment vs. 30% in control arm) in the proportion of patients with ≥8-point reduction in NIHSS or reaching 0–1 at three-days (favourable clinical response) adjusted for baseline NIHSS and age at two-sided statistical significance threshold of P = 0·</w:t>
            </w:r>
            <w:r w:rsidR="00AB4BBF" w:rsidRPr="00D85E09">
              <w:t>025.</w:t>
            </w:r>
          </w:p>
        </w:tc>
        <w:tc>
          <w:tcPr>
            <w:tcW w:w="1140" w:type="dxa"/>
            <w:shd w:val="clear" w:color="auto" w:fill="FFFFFF" w:themeFill="background1"/>
          </w:tcPr>
          <w:p w14:paraId="1313D518"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lastRenderedPageBreak/>
              <w:t xml:space="preserve">Campbell 2015 </w:t>
            </w:r>
            <w:r w:rsidRPr="00D85E09">
              <w:rPr>
                <w:rFonts w:ascii="Arial Narrow" w:hAnsi="Arial Narrow"/>
                <w:sz w:val="20"/>
                <w:szCs w:val="20"/>
              </w:rPr>
              <w:lastRenderedPageBreak/>
              <w:t xml:space="preserve">Protocol </w:t>
            </w:r>
          </w:p>
        </w:tc>
      </w:tr>
      <w:tr w:rsidR="00315893" w:rsidRPr="00D85E09" w14:paraId="74D6BE47" w14:textId="77777777" w:rsidTr="00465778">
        <w:trPr>
          <w:trHeight w:val="337"/>
        </w:trPr>
        <w:tc>
          <w:tcPr>
            <w:tcW w:w="1001" w:type="dxa"/>
            <w:shd w:val="clear" w:color="auto" w:fill="FFFFFF" w:themeFill="background1"/>
          </w:tcPr>
          <w:p w14:paraId="64A54E23"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lastRenderedPageBreak/>
              <w:t>MR CLEAN</w:t>
            </w:r>
          </w:p>
        </w:tc>
        <w:tc>
          <w:tcPr>
            <w:tcW w:w="6637" w:type="dxa"/>
            <w:shd w:val="clear" w:color="auto" w:fill="FFFFFF" w:themeFill="background1"/>
          </w:tcPr>
          <w:p w14:paraId="34B37DB1"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Assuming a 10% crossover rate, a sample of 500 patients (250 patients in each group) would yield a power of 82%, at a significance level of 0.05, to detect a treatment effect that resulted in an absolute increase of 10 percentage points in the proportion of patients with a modified Rankin score of 0 to 3 in the intervention group as compared with the proportion in the control group.</w:t>
            </w:r>
          </w:p>
        </w:tc>
        <w:tc>
          <w:tcPr>
            <w:tcW w:w="1140" w:type="dxa"/>
            <w:shd w:val="clear" w:color="auto" w:fill="FFFFFF" w:themeFill="background1"/>
          </w:tcPr>
          <w:p w14:paraId="64E9B522" w14:textId="7A4F95ED" w:rsidR="00315893" w:rsidRPr="00D85E09" w:rsidRDefault="00AB4BBF"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Berkhemer 2015</w:t>
            </w:r>
          </w:p>
        </w:tc>
      </w:tr>
      <w:tr w:rsidR="00315893" w:rsidRPr="00D85E09" w14:paraId="51AAD7B9" w14:textId="77777777" w:rsidTr="00465778">
        <w:trPr>
          <w:trHeight w:val="337"/>
        </w:trPr>
        <w:tc>
          <w:tcPr>
            <w:tcW w:w="1001" w:type="dxa"/>
            <w:shd w:val="clear" w:color="auto" w:fill="FFFFFF" w:themeFill="background1"/>
          </w:tcPr>
          <w:p w14:paraId="6D4E9D54"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REVSACT</w:t>
            </w:r>
          </w:p>
        </w:tc>
        <w:tc>
          <w:tcPr>
            <w:tcW w:w="6637" w:type="dxa"/>
            <w:shd w:val="clear" w:color="auto" w:fill="FFFFFF" w:themeFill="background1"/>
          </w:tcPr>
          <w:p w14:paraId="7BF6A350"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Enrolment of 690 patients would provide a power of 90% to detect a difference in the distribution of scores on the modified Rankin scale with a one-sided significance level of 0.025 in the analysis of the primary outcome, assuming an expected result of an odds ratio of 1.615. Because of the uncertainty about the size of the treatment effect for the primary outcome, REVASCAT was designed as a sequential study.</w:t>
            </w:r>
          </w:p>
          <w:p w14:paraId="3FE42162"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On the basis of stopping boundaries for the Whitehead triangular test, it was planned to conduct a maximum of four equally spaced reviews when enrolment had reached approximately 25%, 50%, 75%, and 100% of the sample size.</w:t>
            </w:r>
          </w:p>
          <w:p w14:paraId="2DE1870B"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We assigned lower individual limits of significance to the four analyses in order to achieve an overall shared one-sided alpha level of 0.025.</w:t>
            </w:r>
          </w:p>
        </w:tc>
        <w:tc>
          <w:tcPr>
            <w:tcW w:w="1140" w:type="dxa"/>
            <w:shd w:val="clear" w:color="auto" w:fill="FFFFFF" w:themeFill="background1"/>
          </w:tcPr>
          <w:p w14:paraId="40066DB0" w14:textId="09B71FD9" w:rsidR="00315893" w:rsidRPr="00D85E09" w:rsidRDefault="00AB4BBF"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Jovin 2015</w:t>
            </w:r>
          </w:p>
        </w:tc>
      </w:tr>
      <w:tr w:rsidR="00315893" w:rsidRPr="00D85E09" w14:paraId="216FFA85" w14:textId="77777777" w:rsidTr="00465778">
        <w:trPr>
          <w:trHeight w:val="337"/>
        </w:trPr>
        <w:tc>
          <w:tcPr>
            <w:tcW w:w="1001" w:type="dxa"/>
            <w:shd w:val="clear" w:color="auto" w:fill="FFFFFF" w:themeFill="background1"/>
          </w:tcPr>
          <w:p w14:paraId="2222A56E"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SWIFT PRIME</w:t>
            </w:r>
          </w:p>
        </w:tc>
        <w:tc>
          <w:tcPr>
            <w:tcW w:w="6637" w:type="dxa"/>
            <w:shd w:val="clear" w:color="auto" w:fill="FFFFFF" w:themeFill="background1"/>
          </w:tcPr>
          <w:p w14:paraId="263142E8" w14:textId="77777777" w:rsidR="00315893" w:rsidRPr="00D85E09" w:rsidRDefault="00315893" w:rsidP="0043316B">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With a one-sided alpha level of 0.025, 750 evaluable subjects for this endpoint (i.e., 750 subjects with evaluable mRS) provides 80% power for testing the study’s primary effectiveness hypothesis; assuming attrition of 10% for the primary endpoint, the total randomised sample size is up to 833 while the expected randomised sample size under the alternative hypothesis is approximately 522.</w:t>
            </w:r>
          </w:p>
        </w:tc>
        <w:tc>
          <w:tcPr>
            <w:tcW w:w="1140" w:type="dxa"/>
            <w:shd w:val="clear" w:color="auto" w:fill="FFFFFF" w:themeFill="background1"/>
          </w:tcPr>
          <w:p w14:paraId="4AE07EDE" w14:textId="5448418D" w:rsidR="00315893" w:rsidRPr="00D85E09" w:rsidRDefault="00315893" w:rsidP="00AB4BBF">
            <w:pPr>
              <w:pStyle w:val="TableText1"/>
              <w:keepNext w:val="0"/>
              <w:widowControl w:val="0"/>
              <w:spacing w:before="60" w:after="40"/>
              <w:rPr>
                <w:rFonts w:ascii="Arial Narrow" w:hAnsi="Arial Narrow"/>
                <w:sz w:val="20"/>
                <w:szCs w:val="20"/>
              </w:rPr>
            </w:pPr>
            <w:r w:rsidRPr="00D85E09">
              <w:rPr>
                <w:rFonts w:ascii="Arial Narrow" w:hAnsi="Arial Narrow"/>
                <w:sz w:val="20"/>
                <w:szCs w:val="20"/>
              </w:rPr>
              <w:t>Saver 2015 Protocol</w:t>
            </w:r>
          </w:p>
        </w:tc>
      </w:tr>
    </w:tbl>
    <w:p w14:paraId="5FEA7B0F" w14:textId="77777777" w:rsidR="00315893" w:rsidRPr="00D85E09" w:rsidRDefault="00315893" w:rsidP="0043316B">
      <w:pPr>
        <w:pStyle w:val="Heading3"/>
        <w:keepNext w:val="0"/>
        <w:widowControl w:val="0"/>
        <w:spacing w:before="240"/>
        <w:ind w:left="851" w:hanging="851"/>
        <w:jc w:val="both"/>
        <w:rPr>
          <w:lang w:val="en-AU"/>
        </w:rPr>
      </w:pPr>
      <w:bookmarkStart w:id="243" w:name="_Toc453065269"/>
      <w:r w:rsidRPr="00D85E09">
        <w:rPr>
          <w:lang w:val="en-AU"/>
        </w:rPr>
        <w:t>Secondary outcomes</w:t>
      </w:r>
      <w:bookmarkEnd w:id="243"/>
    </w:p>
    <w:p w14:paraId="417FD7E0" w14:textId="02439BD6" w:rsidR="00315893" w:rsidRPr="00D85E09" w:rsidRDefault="00315893" w:rsidP="0043316B">
      <w:pPr>
        <w:widowControl w:val="0"/>
      </w:pPr>
      <w:r w:rsidRPr="00D85E09">
        <w:fldChar w:fldCharType="begin"/>
      </w:r>
      <w:r w:rsidRPr="00D85E09">
        <w:instrText xml:space="preserve"> REF _Ref368318221 \h  \* MERGEFORMAT </w:instrText>
      </w:r>
      <w:r w:rsidRPr="00D85E09">
        <w:fldChar w:fldCharType="separate"/>
      </w:r>
      <w:r w:rsidR="00A456ED" w:rsidRPr="00D85E09">
        <w:t xml:space="preserve">Table </w:t>
      </w:r>
      <w:r w:rsidR="00A456ED">
        <w:rPr>
          <w:noProof/>
        </w:rPr>
        <w:t>23</w:t>
      </w:r>
      <w:r w:rsidRPr="00D85E09">
        <w:fldChar w:fldCharType="end"/>
      </w:r>
      <w:r w:rsidRPr="00D85E09">
        <w:t xml:space="preserve"> describes and provides and explanation of the primary method of statistical analysis for secondary outcomes in the included trials.</w:t>
      </w:r>
    </w:p>
    <w:p w14:paraId="042B95DE" w14:textId="27424A23" w:rsidR="00315893" w:rsidRPr="00D85E09" w:rsidRDefault="00315893" w:rsidP="0043316B">
      <w:pPr>
        <w:pStyle w:val="Caption"/>
        <w:keepNext w:val="0"/>
        <w:widowControl w:val="0"/>
        <w:rPr>
          <w:lang w:val="en-AU"/>
        </w:rPr>
      </w:pPr>
      <w:bookmarkStart w:id="244" w:name="_Ref368318221"/>
      <w:bookmarkStart w:id="245" w:name="_Toc453065359"/>
      <w:bookmarkEnd w:id="23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23</w:t>
      </w:r>
      <w:r w:rsidRPr="00D85E09">
        <w:rPr>
          <w:lang w:val="en-AU"/>
        </w:rPr>
        <w:fldChar w:fldCharType="end"/>
      </w:r>
      <w:bookmarkEnd w:id="244"/>
      <w:r w:rsidRPr="00D85E09">
        <w:rPr>
          <w:lang w:val="en-AU"/>
        </w:rPr>
        <w:tab/>
      </w:r>
      <w:bookmarkEnd w:id="238"/>
      <w:bookmarkEnd w:id="239"/>
      <w:bookmarkEnd w:id="240"/>
      <w:r w:rsidRPr="00D85E09">
        <w:rPr>
          <w:lang w:val="en-AU"/>
        </w:rPr>
        <w:t>Secondary outcomes and statistical analyses of the direct randomised trials</w:t>
      </w:r>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23. Secondary outcomes and statistical analyses of the direct randomised trials"/>
      </w:tblPr>
      <w:tblGrid>
        <w:gridCol w:w="1017"/>
        <w:gridCol w:w="3409"/>
        <w:gridCol w:w="3409"/>
        <w:gridCol w:w="1169"/>
      </w:tblGrid>
      <w:tr w:rsidR="00315893" w:rsidRPr="00D85E09" w14:paraId="77B333B1" w14:textId="77777777" w:rsidTr="001922F3">
        <w:trPr>
          <w:cantSplit/>
          <w:trHeight w:val="336"/>
          <w:tblHeader/>
        </w:trPr>
        <w:tc>
          <w:tcPr>
            <w:tcW w:w="565" w:type="pct"/>
            <w:shd w:val="clear" w:color="auto" w:fill="auto"/>
          </w:tcPr>
          <w:p w14:paraId="1721160E" w14:textId="77777777" w:rsidR="00315893" w:rsidRPr="00D85E09" w:rsidRDefault="00315893" w:rsidP="0043316B">
            <w:pPr>
              <w:pStyle w:val="Tabletext"/>
              <w:keepNext w:val="0"/>
              <w:widowControl w:val="0"/>
              <w:rPr>
                <w:b/>
              </w:rPr>
            </w:pPr>
            <w:r w:rsidRPr="00D85E09">
              <w:rPr>
                <w:b/>
              </w:rPr>
              <w:t>Trial ID</w:t>
            </w:r>
          </w:p>
        </w:tc>
        <w:tc>
          <w:tcPr>
            <w:tcW w:w="1893" w:type="pct"/>
            <w:shd w:val="clear" w:color="auto" w:fill="auto"/>
          </w:tcPr>
          <w:p w14:paraId="6B57D799" w14:textId="77777777" w:rsidR="00315893" w:rsidRPr="00D85E09" w:rsidRDefault="00315893" w:rsidP="0043316B">
            <w:pPr>
              <w:pStyle w:val="Tabletext"/>
              <w:keepNext w:val="0"/>
              <w:widowControl w:val="0"/>
              <w:rPr>
                <w:b/>
              </w:rPr>
            </w:pPr>
            <w:r w:rsidRPr="00D85E09">
              <w:rPr>
                <w:b/>
              </w:rPr>
              <w:t>Secondary outcomes</w:t>
            </w:r>
          </w:p>
        </w:tc>
        <w:tc>
          <w:tcPr>
            <w:tcW w:w="1893" w:type="pct"/>
            <w:shd w:val="clear" w:color="auto" w:fill="auto"/>
          </w:tcPr>
          <w:p w14:paraId="23F6F17C" w14:textId="77777777" w:rsidR="00315893" w:rsidRPr="00D85E09" w:rsidRDefault="00315893" w:rsidP="0043316B">
            <w:pPr>
              <w:pStyle w:val="Tabletext"/>
              <w:keepNext w:val="0"/>
              <w:widowControl w:val="0"/>
              <w:rPr>
                <w:b/>
              </w:rPr>
            </w:pPr>
            <w:r w:rsidRPr="00D85E09">
              <w:rPr>
                <w:b/>
              </w:rPr>
              <w:t>Method of primary statistical analysis</w:t>
            </w:r>
          </w:p>
        </w:tc>
        <w:tc>
          <w:tcPr>
            <w:tcW w:w="649" w:type="pct"/>
            <w:shd w:val="clear" w:color="auto" w:fill="auto"/>
          </w:tcPr>
          <w:p w14:paraId="539AE0E9" w14:textId="77777777" w:rsidR="00315893" w:rsidRPr="00D85E09" w:rsidRDefault="00315893" w:rsidP="0043316B">
            <w:pPr>
              <w:pStyle w:val="Tabletext"/>
              <w:keepNext w:val="0"/>
              <w:widowControl w:val="0"/>
              <w:rPr>
                <w:b/>
              </w:rPr>
            </w:pPr>
            <w:r w:rsidRPr="00D85E09">
              <w:rPr>
                <w:b/>
              </w:rPr>
              <w:t>Source</w:t>
            </w:r>
          </w:p>
        </w:tc>
      </w:tr>
      <w:tr w:rsidR="00315893" w:rsidRPr="00D85E09" w14:paraId="71AB2A02" w14:textId="77777777" w:rsidTr="00465778">
        <w:trPr>
          <w:cantSplit/>
          <w:trHeight w:val="342"/>
        </w:trPr>
        <w:tc>
          <w:tcPr>
            <w:tcW w:w="565" w:type="pct"/>
          </w:tcPr>
          <w:p w14:paraId="30D30078" w14:textId="77777777" w:rsidR="00315893" w:rsidRPr="00D85E09" w:rsidRDefault="00315893" w:rsidP="0043316B">
            <w:pPr>
              <w:pStyle w:val="Tabletext"/>
              <w:keepNext w:val="0"/>
              <w:widowControl w:val="0"/>
            </w:pPr>
            <w:r w:rsidRPr="00D85E09">
              <w:t>ESCAPE</w:t>
            </w:r>
          </w:p>
        </w:tc>
        <w:tc>
          <w:tcPr>
            <w:tcW w:w="1893" w:type="pct"/>
          </w:tcPr>
          <w:p w14:paraId="29C5B61D" w14:textId="77777777" w:rsidR="00315893" w:rsidRPr="00D85E09" w:rsidRDefault="00315893" w:rsidP="0043316B">
            <w:pPr>
              <w:pStyle w:val="Tabletext"/>
              <w:keepNext w:val="0"/>
              <w:widowControl w:val="0"/>
            </w:pPr>
            <w:r w:rsidRPr="00D85E09">
              <w:t>Secondary outcomes included early recanalisation and reperfusion, intra-cranial haemorrhage, angiographic complications, neurologic disability at 90 days, and death.</w:t>
            </w:r>
          </w:p>
        </w:tc>
        <w:tc>
          <w:tcPr>
            <w:tcW w:w="1893" w:type="pct"/>
          </w:tcPr>
          <w:p w14:paraId="20E84B0E" w14:textId="77777777" w:rsidR="00315893" w:rsidRPr="00D85E09" w:rsidRDefault="00315893" w:rsidP="0043316B">
            <w:pPr>
              <w:pStyle w:val="Tabletext"/>
              <w:keepNext w:val="0"/>
              <w:widowControl w:val="0"/>
            </w:pPr>
            <w:r w:rsidRPr="00D85E09">
              <w:t>All secondary outcomes were considered exploratory. Post</w:t>
            </w:r>
            <w:r w:rsidRPr="00D85E09">
              <w:rPr>
                <w:rFonts w:ascii="Cambria Math" w:hAnsi="Cambria Math" w:cs="Cambria Math"/>
              </w:rPr>
              <w:t>‐</w:t>
            </w:r>
            <w:r w:rsidRPr="00D85E09">
              <w:t xml:space="preserve">hoc analyses were conducted. Outcomes were assessed as the proportion of patents who achieved each score. Raw score comparisons were also examined. </w:t>
            </w:r>
          </w:p>
        </w:tc>
        <w:tc>
          <w:tcPr>
            <w:tcW w:w="649" w:type="pct"/>
          </w:tcPr>
          <w:p w14:paraId="0A942DBC" w14:textId="77777777" w:rsidR="00315893" w:rsidRPr="00D85E09" w:rsidRDefault="00315893" w:rsidP="0043316B">
            <w:pPr>
              <w:pStyle w:val="Tabletext"/>
              <w:keepNext w:val="0"/>
              <w:widowControl w:val="0"/>
            </w:pPr>
            <w:r w:rsidRPr="00D85E09">
              <w:t>Goyal 2015 Protocol</w:t>
            </w:r>
          </w:p>
        </w:tc>
      </w:tr>
      <w:tr w:rsidR="00315893" w:rsidRPr="00D85E09" w14:paraId="551152E0" w14:textId="77777777" w:rsidTr="00465778">
        <w:trPr>
          <w:cantSplit/>
          <w:trHeight w:val="342"/>
        </w:trPr>
        <w:tc>
          <w:tcPr>
            <w:tcW w:w="565" w:type="pct"/>
          </w:tcPr>
          <w:p w14:paraId="4E778F14" w14:textId="3CD19572" w:rsidR="00315893" w:rsidRPr="00D85E09" w:rsidRDefault="005B7DCE" w:rsidP="0043316B">
            <w:pPr>
              <w:pStyle w:val="Tabletext"/>
              <w:keepNext w:val="0"/>
              <w:widowControl w:val="0"/>
            </w:pPr>
            <w:r>
              <w:lastRenderedPageBreak/>
              <w:t>EXTEND-I</w:t>
            </w:r>
            <w:r w:rsidR="00315893" w:rsidRPr="00D85E09">
              <w:t>A</w:t>
            </w:r>
          </w:p>
        </w:tc>
        <w:tc>
          <w:tcPr>
            <w:tcW w:w="1893" w:type="pct"/>
          </w:tcPr>
          <w:p w14:paraId="5BB8D1F3" w14:textId="77777777" w:rsidR="00315893" w:rsidRPr="00D85E09" w:rsidRDefault="00315893" w:rsidP="0043316B">
            <w:pPr>
              <w:pStyle w:val="Tabletext"/>
              <w:keepNext w:val="0"/>
              <w:widowControl w:val="0"/>
              <w:numPr>
                <w:ilvl w:val="0"/>
                <w:numId w:val="49"/>
              </w:numPr>
              <w:ind w:left="172" w:hanging="172"/>
            </w:pPr>
            <w:r w:rsidRPr="00D85E09">
              <w:t>mRS at 3 months – ordinal full scale analysis</w:t>
            </w:r>
          </w:p>
          <w:p w14:paraId="5C5B2F64" w14:textId="77777777" w:rsidR="00315893" w:rsidRPr="00D85E09" w:rsidRDefault="00315893" w:rsidP="0043316B">
            <w:pPr>
              <w:pStyle w:val="Tabletext"/>
              <w:keepNext w:val="0"/>
              <w:widowControl w:val="0"/>
              <w:numPr>
                <w:ilvl w:val="0"/>
                <w:numId w:val="49"/>
              </w:numPr>
              <w:ind w:left="172" w:hanging="172"/>
            </w:pPr>
            <w:r w:rsidRPr="00D85E09">
              <w:t>mRS 0–1 and mRS 0–2</w:t>
            </w:r>
          </w:p>
          <w:p w14:paraId="3136008C" w14:textId="77777777" w:rsidR="00315893" w:rsidRPr="00D85E09" w:rsidRDefault="00315893" w:rsidP="0043316B">
            <w:pPr>
              <w:pStyle w:val="Tabletext"/>
              <w:keepNext w:val="0"/>
              <w:widowControl w:val="0"/>
              <w:numPr>
                <w:ilvl w:val="0"/>
                <w:numId w:val="49"/>
              </w:numPr>
              <w:ind w:left="172" w:hanging="172"/>
            </w:pPr>
            <w:r w:rsidRPr="00D85E09">
              <w:t>symptomatic intra-cranial haemorrhage [symptomatic intra-cranial haemorrhage includes any subarachnoid bleeding associated with clinical symptoms and symptomatic intracerebral haemorrhage (SICH). SICH is defined as parenchymal hematoma type 2 (PH2) within 36 h of treatment combined with ≥4 point increase in NIHSS from baseline, or the lowest NIHSS value between baseline and 24 h (37)]</w:t>
            </w:r>
          </w:p>
          <w:p w14:paraId="7FBFBFF1" w14:textId="77777777" w:rsidR="00315893" w:rsidRPr="00D85E09" w:rsidRDefault="00315893" w:rsidP="0043316B">
            <w:pPr>
              <w:pStyle w:val="Tabletext"/>
              <w:keepNext w:val="0"/>
              <w:widowControl w:val="0"/>
              <w:numPr>
                <w:ilvl w:val="0"/>
                <w:numId w:val="49"/>
              </w:numPr>
              <w:ind w:left="172" w:hanging="172"/>
            </w:pPr>
            <w:r w:rsidRPr="00D85E09">
              <w:t>death due to any cause</w:t>
            </w:r>
          </w:p>
        </w:tc>
        <w:tc>
          <w:tcPr>
            <w:tcW w:w="1893" w:type="pct"/>
          </w:tcPr>
          <w:p w14:paraId="7A336C85" w14:textId="77777777" w:rsidR="00315893" w:rsidRPr="00D85E09" w:rsidRDefault="00315893" w:rsidP="0043316B">
            <w:pPr>
              <w:pStyle w:val="Tabletext"/>
              <w:keepNext w:val="0"/>
              <w:widowControl w:val="0"/>
            </w:pPr>
            <w:r w:rsidRPr="00D85E09">
              <w:t>For the secondary outcome analysis, assumption-free, ordinal analysis of mRS was undertaken on the full range (0–6) of the mRS. The proportions of mRS 0–1 and mRS 0–2 outcomes will also be compared between IV-IA and IV only arms of the trial adjusted for age and baseline NIHSS score using a binary logistic regression model.</w:t>
            </w:r>
          </w:p>
        </w:tc>
        <w:tc>
          <w:tcPr>
            <w:tcW w:w="649" w:type="pct"/>
          </w:tcPr>
          <w:p w14:paraId="21D720C8" w14:textId="77777777" w:rsidR="00315893" w:rsidRPr="00D85E09" w:rsidRDefault="00315893" w:rsidP="0043316B">
            <w:pPr>
              <w:pStyle w:val="Tabletext"/>
              <w:keepNext w:val="0"/>
              <w:widowControl w:val="0"/>
            </w:pPr>
            <w:r w:rsidRPr="00D85E09">
              <w:t xml:space="preserve">Campbell 2015 Protocol </w:t>
            </w:r>
          </w:p>
        </w:tc>
      </w:tr>
      <w:tr w:rsidR="00315893" w:rsidRPr="00D85E09" w14:paraId="115CB547" w14:textId="77777777" w:rsidTr="00465778">
        <w:trPr>
          <w:cantSplit/>
          <w:trHeight w:val="342"/>
        </w:trPr>
        <w:tc>
          <w:tcPr>
            <w:tcW w:w="565" w:type="pct"/>
          </w:tcPr>
          <w:p w14:paraId="14A53A63" w14:textId="77777777" w:rsidR="00315893" w:rsidRPr="00D85E09" w:rsidRDefault="00315893" w:rsidP="0043316B">
            <w:pPr>
              <w:pStyle w:val="Tabletext"/>
              <w:keepNext w:val="0"/>
              <w:widowControl w:val="0"/>
            </w:pPr>
            <w:r w:rsidRPr="00D85E09">
              <w:t>MR CLEAN</w:t>
            </w:r>
          </w:p>
        </w:tc>
        <w:tc>
          <w:tcPr>
            <w:tcW w:w="1893" w:type="pct"/>
          </w:tcPr>
          <w:p w14:paraId="21BDA7BB" w14:textId="3C323CD5" w:rsidR="00315893" w:rsidRPr="00D85E09" w:rsidRDefault="00315893" w:rsidP="0043316B">
            <w:pPr>
              <w:pStyle w:val="Tabletext"/>
              <w:keepNext w:val="0"/>
              <w:widowControl w:val="0"/>
            </w:pPr>
            <w:r w:rsidRPr="00D85E09">
              <w:t>Secondary outcomes included the NIHSS score at 24 hours and at 5 to 7 days or discharge if earlier, activities of daily living measured with the Barthel Index, and the health-related quality of life measured with the EuroQo</w:t>
            </w:r>
            <w:r w:rsidR="00A8075A" w:rsidRPr="00D85E09">
              <w:t>L</w:t>
            </w:r>
            <w:r w:rsidRPr="00D85E09">
              <w:t xml:space="preserve"> Group 5-Dimension Self-Report Questionnaire at 90 days.</w:t>
            </w:r>
          </w:p>
          <w:p w14:paraId="03D87A84" w14:textId="77777777" w:rsidR="00315893" w:rsidRPr="00D85E09" w:rsidRDefault="00315893" w:rsidP="0043316B">
            <w:pPr>
              <w:pStyle w:val="Tabletext"/>
              <w:keepNext w:val="0"/>
              <w:widowControl w:val="0"/>
            </w:pPr>
            <w:r w:rsidRPr="00D85E09">
              <w:t>We examined the following pre-specified dichotomisations of the modified Rankin score: 0 or 1 versus 2 to 6, 0 to 2 versus 3 to 6, and 0 to 3 versus 4 to 6.</w:t>
            </w:r>
          </w:p>
        </w:tc>
        <w:tc>
          <w:tcPr>
            <w:tcW w:w="1893" w:type="pct"/>
          </w:tcPr>
          <w:p w14:paraId="22E0DBAB" w14:textId="77777777" w:rsidR="00315893" w:rsidRPr="00D85E09" w:rsidRDefault="00315893" w:rsidP="0043316B">
            <w:pPr>
              <w:pStyle w:val="Tabletext"/>
              <w:keepNext w:val="0"/>
              <w:widowControl w:val="0"/>
            </w:pPr>
            <w:r w:rsidRPr="00D85E09">
              <w:t>Secondary effect parameters</w:t>
            </w:r>
            <w:r w:rsidRPr="00D85E09">
              <w:tab/>
              <w:t>will be the improvement according to the classical dichotomisations of the modified Rankin scale at 0-1 vs 2-6 and 0-2 vs 3-6, the presence</w:t>
            </w:r>
            <w:r w:rsidRPr="00D85E09">
              <w:tab/>
              <w:t>of vessel</w:t>
            </w:r>
            <w:r w:rsidRPr="00D85E09">
              <w:tab/>
              <w:t>patency on CTA, MRA or DSA at 24 hours, and the score on the NIHSS at 24 hours and 1 week or discharge.</w:t>
            </w:r>
          </w:p>
          <w:p w14:paraId="2757EE10" w14:textId="77777777" w:rsidR="00315893" w:rsidRPr="00D85E09" w:rsidRDefault="00315893" w:rsidP="0043316B">
            <w:pPr>
              <w:pStyle w:val="Tabletext"/>
              <w:keepNext w:val="0"/>
              <w:widowControl w:val="0"/>
            </w:pPr>
            <w:r w:rsidRPr="00D85E09">
              <w:t>With regard to the range of secondary outcome</w:t>
            </w:r>
            <w:r w:rsidRPr="00D85E09">
              <w:tab/>
              <w:t>parameters we will use simple 2x2 tables, two-group t-tests, Mann-Whitney</w:t>
            </w:r>
            <w:r w:rsidRPr="00D85E09">
              <w:tab/>
              <w:t>tests, and</w:t>
            </w:r>
            <w:r w:rsidRPr="00D85E09">
              <w:tab/>
              <w:t>multivariable linear and logistic regression models, where appropriate. In all analyses, statistical uncertainty will be quantified by means</w:t>
            </w:r>
            <w:r w:rsidRPr="00D85E09">
              <w:tab/>
              <w:t>of 95%confidence intervals.</w:t>
            </w:r>
          </w:p>
        </w:tc>
        <w:tc>
          <w:tcPr>
            <w:tcW w:w="649" w:type="pct"/>
          </w:tcPr>
          <w:p w14:paraId="7354A577" w14:textId="374D31E6" w:rsidR="00315893" w:rsidRPr="00D85E09" w:rsidRDefault="00315893" w:rsidP="0043316B">
            <w:pPr>
              <w:pStyle w:val="Tabletext"/>
              <w:keepNext w:val="0"/>
              <w:widowControl w:val="0"/>
            </w:pPr>
            <w:r w:rsidRPr="00D85E09">
              <w:t xml:space="preserve">Berkhemer 2015; Protocol p </w:t>
            </w:r>
            <w:r w:rsidR="00AB4BBF" w:rsidRPr="00D85E09">
              <w:t>82</w:t>
            </w:r>
          </w:p>
        </w:tc>
      </w:tr>
      <w:tr w:rsidR="00315893" w:rsidRPr="00D85E09" w14:paraId="5D06F520" w14:textId="77777777" w:rsidTr="00465778">
        <w:trPr>
          <w:cantSplit/>
          <w:trHeight w:val="342"/>
        </w:trPr>
        <w:tc>
          <w:tcPr>
            <w:tcW w:w="565" w:type="pct"/>
          </w:tcPr>
          <w:p w14:paraId="2CA31FC3" w14:textId="77777777" w:rsidR="00315893" w:rsidRPr="00D85E09" w:rsidRDefault="00315893" w:rsidP="0043316B">
            <w:pPr>
              <w:pStyle w:val="Tabletext"/>
              <w:keepNext w:val="0"/>
              <w:widowControl w:val="0"/>
            </w:pPr>
            <w:r w:rsidRPr="00D85E09">
              <w:t>REVSACT</w:t>
            </w:r>
          </w:p>
        </w:tc>
        <w:tc>
          <w:tcPr>
            <w:tcW w:w="1893" w:type="pct"/>
          </w:tcPr>
          <w:p w14:paraId="090653CF" w14:textId="77777777" w:rsidR="00315893" w:rsidRPr="00D85E09" w:rsidRDefault="00315893" w:rsidP="0043316B">
            <w:pPr>
              <w:pStyle w:val="Tabletext"/>
              <w:keepNext w:val="0"/>
              <w:widowControl w:val="0"/>
              <w:numPr>
                <w:ilvl w:val="0"/>
                <w:numId w:val="49"/>
              </w:numPr>
              <w:ind w:left="172" w:hanging="172"/>
            </w:pPr>
            <w:r w:rsidRPr="00D85E09">
              <w:t>Early response to treatment as determined by a NIHSS drop of ≥8 or NIHSS 0-2 at 24 (-2/12) hours from randomisation or before discharge if patient is discharged prior to the above time limit</w:t>
            </w:r>
          </w:p>
          <w:p w14:paraId="52C9E91D" w14:textId="77777777" w:rsidR="00315893" w:rsidRPr="00D85E09" w:rsidRDefault="00315893" w:rsidP="0043316B">
            <w:pPr>
              <w:pStyle w:val="Tabletext"/>
              <w:keepNext w:val="0"/>
              <w:widowControl w:val="0"/>
              <w:numPr>
                <w:ilvl w:val="0"/>
                <w:numId w:val="49"/>
              </w:numPr>
              <w:ind w:left="172" w:hanging="172"/>
            </w:pPr>
            <w:r w:rsidRPr="00D85E09">
              <w:t>MRS shift analysis at 90 days</w:t>
            </w:r>
          </w:p>
          <w:p w14:paraId="2700F13A" w14:textId="77777777" w:rsidR="00315893" w:rsidRPr="00D85E09" w:rsidRDefault="00315893" w:rsidP="0043316B">
            <w:pPr>
              <w:pStyle w:val="Tabletext"/>
              <w:keepNext w:val="0"/>
              <w:widowControl w:val="0"/>
              <w:numPr>
                <w:ilvl w:val="0"/>
                <w:numId w:val="49"/>
              </w:numPr>
              <w:ind w:left="172" w:hanging="172"/>
            </w:pPr>
            <w:r w:rsidRPr="00D85E09">
              <w:t>Dichotomised mRS SCORE (0-3 versus 4-6) at 90 days</w:t>
            </w:r>
          </w:p>
          <w:p w14:paraId="6A3302ED" w14:textId="77777777" w:rsidR="00315893" w:rsidRPr="00D85E09" w:rsidRDefault="00315893" w:rsidP="0043316B">
            <w:pPr>
              <w:pStyle w:val="Tabletext"/>
              <w:keepNext w:val="0"/>
              <w:widowControl w:val="0"/>
              <w:numPr>
                <w:ilvl w:val="0"/>
                <w:numId w:val="49"/>
              </w:numPr>
              <w:ind w:left="172" w:hanging="172"/>
            </w:pPr>
            <w:r w:rsidRPr="00D85E09">
              <w:t>NIHSS at 90 days</w:t>
            </w:r>
          </w:p>
          <w:p w14:paraId="42043B87" w14:textId="77777777" w:rsidR="00315893" w:rsidRPr="00D85E09" w:rsidRDefault="00315893" w:rsidP="0043316B">
            <w:pPr>
              <w:pStyle w:val="Tabletext"/>
              <w:keepNext w:val="0"/>
              <w:widowControl w:val="0"/>
              <w:numPr>
                <w:ilvl w:val="0"/>
                <w:numId w:val="49"/>
              </w:numPr>
              <w:ind w:left="172" w:hanging="172"/>
            </w:pPr>
            <w:r w:rsidRPr="00D85E09">
              <w:t>Dichotomised mRS score (0-2 versus 3-6) at 12 months</w:t>
            </w:r>
          </w:p>
          <w:p w14:paraId="376C866E" w14:textId="77777777" w:rsidR="00315893" w:rsidRPr="00D85E09" w:rsidRDefault="00315893" w:rsidP="0043316B">
            <w:pPr>
              <w:pStyle w:val="Tabletext"/>
              <w:keepNext w:val="0"/>
              <w:widowControl w:val="0"/>
              <w:numPr>
                <w:ilvl w:val="0"/>
                <w:numId w:val="49"/>
              </w:numPr>
              <w:ind w:left="172" w:hanging="172"/>
            </w:pPr>
            <w:r w:rsidRPr="00D85E09">
              <w:t>Trial Making Test at 90 days</w:t>
            </w:r>
          </w:p>
          <w:p w14:paraId="596E0260" w14:textId="77777777" w:rsidR="00315893" w:rsidRPr="00D85E09" w:rsidRDefault="00315893" w:rsidP="0043316B">
            <w:pPr>
              <w:pStyle w:val="Tabletext"/>
              <w:keepNext w:val="0"/>
              <w:widowControl w:val="0"/>
              <w:numPr>
                <w:ilvl w:val="0"/>
                <w:numId w:val="49"/>
              </w:numPr>
              <w:ind w:left="172" w:hanging="172"/>
            </w:pPr>
            <w:r w:rsidRPr="00D85E09">
              <w:t>Quality of life measured by EuroQol EQ-5D</w:t>
            </w:r>
          </w:p>
          <w:p w14:paraId="6C5E0399" w14:textId="77777777" w:rsidR="00315893" w:rsidRPr="00D85E09" w:rsidRDefault="00315893" w:rsidP="0043316B">
            <w:pPr>
              <w:pStyle w:val="Tabletext"/>
              <w:keepNext w:val="0"/>
              <w:widowControl w:val="0"/>
              <w:numPr>
                <w:ilvl w:val="0"/>
                <w:numId w:val="49"/>
              </w:numPr>
              <w:ind w:left="172" w:hanging="172"/>
            </w:pPr>
            <w:r w:rsidRPr="00D85E09">
              <w:t>Final infarct volume defined as CT lesion volume at 24 hours</w:t>
            </w:r>
          </w:p>
          <w:p w14:paraId="6DBD05E8" w14:textId="77777777" w:rsidR="00315893" w:rsidRPr="00D85E09" w:rsidRDefault="00315893" w:rsidP="0043316B">
            <w:pPr>
              <w:pStyle w:val="Tabletext"/>
              <w:keepNext w:val="0"/>
              <w:widowControl w:val="0"/>
              <w:numPr>
                <w:ilvl w:val="0"/>
                <w:numId w:val="49"/>
              </w:numPr>
              <w:ind w:left="172" w:hanging="172"/>
            </w:pPr>
            <w:r w:rsidRPr="00D85E09">
              <w:t>Recanalisation status at 24 (-2/+12) hours</w:t>
            </w:r>
          </w:p>
        </w:tc>
        <w:tc>
          <w:tcPr>
            <w:tcW w:w="1893" w:type="pct"/>
          </w:tcPr>
          <w:p w14:paraId="079882E8" w14:textId="77777777" w:rsidR="00315893" w:rsidRPr="00D85E09" w:rsidRDefault="00315893" w:rsidP="0043316B">
            <w:pPr>
              <w:pStyle w:val="Tabletext"/>
              <w:keepNext w:val="0"/>
              <w:widowControl w:val="0"/>
            </w:pPr>
            <w:r w:rsidRPr="00D85E09">
              <w:t>Functional independence defined as mRS ≤ 2 at 90 days was analysed via a logistic regression adjusted by minimisation factors. Along with treatment group, the baseline covariates considered in the minimisation process as well as the interventionist will be included in the logistic regression.</w:t>
            </w:r>
          </w:p>
          <w:p w14:paraId="00E2A7DF" w14:textId="77777777" w:rsidR="00315893" w:rsidRPr="00D85E09" w:rsidRDefault="00315893" w:rsidP="0043316B">
            <w:pPr>
              <w:pStyle w:val="Tabletext"/>
              <w:keepNext w:val="0"/>
              <w:widowControl w:val="0"/>
            </w:pPr>
            <w:r w:rsidRPr="00D85E09">
              <w:t>Recanalisation status will be evaluated at 24 (-2 /+12) hours on CTA/MRA in both and expressed as occluded or patent according to the patency of the initially occluded vessel.</w:t>
            </w:r>
          </w:p>
          <w:p w14:paraId="124EC239" w14:textId="77777777" w:rsidR="00315893" w:rsidRPr="00D85E09" w:rsidRDefault="00315893" w:rsidP="0043316B">
            <w:pPr>
              <w:pStyle w:val="Tabletext"/>
              <w:keepNext w:val="0"/>
              <w:widowControl w:val="0"/>
            </w:pPr>
          </w:p>
        </w:tc>
        <w:tc>
          <w:tcPr>
            <w:tcW w:w="649" w:type="pct"/>
          </w:tcPr>
          <w:p w14:paraId="727DBEA0" w14:textId="77777777" w:rsidR="00315893" w:rsidRPr="00D85E09" w:rsidRDefault="00315893" w:rsidP="0043316B">
            <w:pPr>
              <w:pStyle w:val="Tabletext"/>
              <w:keepNext w:val="0"/>
              <w:widowControl w:val="0"/>
            </w:pPr>
            <w:r w:rsidRPr="00D85E09">
              <w:t xml:space="preserve">Jovin 2015 Protocol, p. 22-23; </w:t>
            </w:r>
          </w:p>
        </w:tc>
      </w:tr>
      <w:tr w:rsidR="00315893" w:rsidRPr="00D85E09" w14:paraId="6B48AEB2" w14:textId="77777777" w:rsidTr="00465778">
        <w:trPr>
          <w:cantSplit/>
          <w:trHeight w:val="342"/>
        </w:trPr>
        <w:tc>
          <w:tcPr>
            <w:tcW w:w="565" w:type="pct"/>
          </w:tcPr>
          <w:p w14:paraId="6EF6AB8E" w14:textId="77777777" w:rsidR="00315893" w:rsidRPr="00D85E09" w:rsidRDefault="00315893" w:rsidP="0043316B">
            <w:pPr>
              <w:pStyle w:val="Tabletext"/>
              <w:keepNext w:val="0"/>
              <w:widowControl w:val="0"/>
            </w:pPr>
            <w:r w:rsidRPr="00D85E09">
              <w:lastRenderedPageBreak/>
              <w:t>SWIFT PRIME</w:t>
            </w:r>
          </w:p>
        </w:tc>
        <w:tc>
          <w:tcPr>
            <w:tcW w:w="1893" w:type="pct"/>
          </w:tcPr>
          <w:p w14:paraId="08206C1D" w14:textId="77777777" w:rsidR="00315893" w:rsidRPr="00D85E09" w:rsidRDefault="00315893" w:rsidP="0043316B">
            <w:pPr>
              <w:pStyle w:val="Tabletext"/>
              <w:keepNext w:val="0"/>
              <w:widowControl w:val="0"/>
              <w:numPr>
                <w:ilvl w:val="0"/>
                <w:numId w:val="49"/>
              </w:numPr>
              <w:ind w:left="172" w:hanging="172"/>
            </w:pPr>
            <w:r w:rsidRPr="00D85E09">
              <w:t>Death due to any cause at 90 days</w:t>
            </w:r>
          </w:p>
          <w:p w14:paraId="5EE03C05" w14:textId="19CC1933" w:rsidR="00315893" w:rsidRPr="00D85E09" w:rsidRDefault="00315893" w:rsidP="0043316B">
            <w:pPr>
              <w:pStyle w:val="Tabletext"/>
              <w:keepNext w:val="0"/>
              <w:widowControl w:val="0"/>
              <w:numPr>
                <w:ilvl w:val="0"/>
                <w:numId w:val="49"/>
              </w:numPr>
              <w:ind w:left="172" w:hanging="172"/>
            </w:pPr>
            <w:r w:rsidRPr="00D85E09">
              <w:t>Good neurological outcome at 90 days (defined as mRS score of 0-2, or equal to the pre-stroke mRS, or NIH stroke scale improvement of 10 points or more from presenting NIHSS</w:t>
            </w:r>
            <w:r w:rsidR="00902135" w:rsidRPr="00D85E09">
              <w:t>)</w:t>
            </w:r>
          </w:p>
          <w:p w14:paraId="5B6B8174" w14:textId="77777777" w:rsidR="00315893" w:rsidRPr="00D85E09" w:rsidRDefault="00315893" w:rsidP="0043316B">
            <w:pPr>
              <w:pStyle w:val="Tabletext"/>
              <w:keepNext w:val="0"/>
              <w:widowControl w:val="0"/>
              <w:numPr>
                <w:ilvl w:val="0"/>
                <w:numId w:val="49"/>
              </w:numPr>
              <w:ind w:left="172" w:hanging="172"/>
            </w:pPr>
            <w:r w:rsidRPr="00D85E09">
              <w:t>Change in NIH Stroke Scale score at 27± 3 hours post randomisation</w:t>
            </w:r>
          </w:p>
          <w:p w14:paraId="46521FB9" w14:textId="77777777" w:rsidR="00315893" w:rsidRPr="00D85E09" w:rsidRDefault="00315893" w:rsidP="0043316B">
            <w:pPr>
              <w:pStyle w:val="Tabletext"/>
              <w:keepNext w:val="0"/>
              <w:widowControl w:val="0"/>
              <w:numPr>
                <w:ilvl w:val="0"/>
                <w:numId w:val="49"/>
              </w:numPr>
              <w:ind w:left="172" w:hanging="172"/>
            </w:pPr>
            <w:r w:rsidRPr="00D85E09">
              <w:t>Volume of cerebral infarction as measured by a CT or MRI scan 27± 3 hours post randomisation</w:t>
            </w:r>
          </w:p>
          <w:p w14:paraId="5797DB37" w14:textId="77777777" w:rsidR="00315893" w:rsidRPr="00D85E09" w:rsidRDefault="00315893" w:rsidP="0043316B">
            <w:pPr>
              <w:pStyle w:val="Tabletext"/>
              <w:keepNext w:val="0"/>
              <w:widowControl w:val="0"/>
              <w:numPr>
                <w:ilvl w:val="0"/>
                <w:numId w:val="49"/>
              </w:numPr>
              <w:ind w:left="172" w:hanging="172"/>
            </w:pPr>
            <w:r w:rsidRPr="00D85E09">
              <w:t>Arterial reperfusion measured by reperfusion ratio on CT or MRI scan 27± 3 hours post randomisation</w:t>
            </w:r>
          </w:p>
          <w:p w14:paraId="77C1B31B" w14:textId="77777777" w:rsidR="00315893" w:rsidRPr="00D85E09" w:rsidRDefault="00315893" w:rsidP="0043316B">
            <w:pPr>
              <w:pStyle w:val="Tabletext"/>
              <w:keepNext w:val="0"/>
              <w:widowControl w:val="0"/>
              <w:numPr>
                <w:ilvl w:val="0"/>
                <w:numId w:val="49"/>
              </w:numPr>
              <w:ind w:left="172" w:hanging="172"/>
            </w:pPr>
            <w:r w:rsidRPr="00D85E09">
              <w:t>Arterial revascularisation measured by TICI 2b or 3 following device use</w:t>
            </w:r>
          </w:p>
        </w:tc>
        <w:tc>
          <w:tcPr>
            <w:tcW w:w="1893" w:type="pct"/>
          </w:tcPr>
          <w:p w14:paraId="5D0102C0" w14:textId="77777777" w:rsidR="00315893" w:rsidRPr="00D85E09" w:rsidRDefault="00315893" w:rsidP="0043316B">
            <w:pPr>
              <w:pStyle w:val="Tabletext"/>
              <w:keepNext w:val="0"/>
              <w:widowControl w:val="0"/>
            </w:pPr>
            <w:r w:rsidRPr="00D85E09">
              <w:t xml:space="preserve">These endpoints will be presented descriptively. Labelling claims will not be made with reference to these endpoints and multiplicity adjustments will therefore not be performed in statistical analyses. </w:t>
            </w:r>
          </w:p>
        </w:tc>
        <w:tc>
          <w:tcPr>
            <w:tcW w:w="649" w:type="pct"/>
          </w:tcPr>
          <w:p w14:paraId="0AD367FB" w14:textId="77777777" w:rsidR="00315893" w:rsidRPr="00D85E09" w:rsidRDefault="00315893" w:rsidP="0043316B">
            <w:pPr>
              <w:pStyle w:val="Tabletext"/>
              <w:keepNext w:val="0"/>
              <w:widowControl w:val="0"/>
            </w:pPr>
            <w:r w:rsidRPr="00D85E09">
              <w:t xml:space="preserve">Saver 2015 Protocol. p.58 </w:t>
            </w:r>
          </w:p>
        </w:tc>
      </w:tr>
    </w:tbl>
    <w:p w14:paraId="0EFD1A8F" w14:textId="77777777" w:rsidR="00315893" w:rsidRPr="00D85E09" w:rsidRDefault="00315893" w:rsidP="0043316B">
      <w:pPr>
        <w:pStyle w:val="Heading3"/>
        <w:keepNext w:val="0"/>
        <w:widowControl w:val="0"/>
        <w:spacing w:before="240"/>
        <w:ind w:left="851" w:hanging="851"/>
        <w:jc w:val="both"/>
        <w:rPr>
          <w:lang w:val="en-AU"/>
        </w:rPr>
      </w:pPr>
      <w:bookmarkStart w:id="246" w:name="_Toc170017615"/>
      <w:bookmarkStart w:id="247" w:name="_Ref191442198"/>
      <w:bookmarkStart w:id="248" w:name="_Toc191822161"/>
      <w:bookmarkStart w:id="249" w:name="_Toc191822211"/>
      <w:bookmarkStart w:id="250" w:name="_Toc191822261"/>
      <w:bookmarkStart w:id="251" w:name="_Toc258501782"/>
      <w:bookmarkStart w:id="252" w:name="_Toc273301464"/>
      <w:bookmarkStart w:id="253" w:name="_Toc367090355"/>
      <w:bookmarkStart w:id="254" w:name="_Toc453065270"/>
      <w:r w:rsidRPr="00D85E09">
        <w:rPr>
          <w:lang w:val="en-AU"/>
        </w:rPr>
        <w:t>Outcomes presented in the submission</w:t>
      </w:r>
      <w:bookmarkEnd w:id="246"/>
      <w:bookmarkEnd w:id="247"/>
      <w:bookmarkEnd w:id="248"/>
      <w:bookmarkEnd w:id="249"/>
      <w:bookmarkEnd w:id="250"/>
      <w:bookmarkEnd w:id="251"/>
      <w:bookmarkEnd w:id="252"/>
      <w:bookmarkEnd w:id="253"/>
      <w:bookmarkEnd w:id="254"/>
    </w:p>
    <w:p w14:paraId="1EF09AB2" w14:textId="39BA1179" w:rsidR="00315893" w:rsidRPr="00D85E09" w:rsidRDefault="00315893" w:rsidP="0043316B">
      <w:pPr>
        <w:widowControl w:val="0"/>
      </w:pPr>
      <w:r w:rsidRPr="00D85E09">
        <w:t xml:space="preserve">A summary of outcomes presented in the included trials and included in this submission is presented in </w:t>
      </w:r>
      <w:r w:rsidRPr="00D85E09">
        <w:fldChar w:fldCharType="begin"/>
      </w:r>
      <w:r w:rsidRPr="00D85E09">
        <w:instrText xml:space="preserve"> REF _Ref363030282 \h </w:instrText>
      </w:r>
      <w:r w:rsidRPr="00D85E09">
        <w:fldChar w:fldCharType="separate"/>
      </w:r>
      <w:r w:rsidR="00A456ED" w:rsidRPr="00D85E09">
        <w:t xml:space="preserve">Table </w:t>
      </w:r>
      <w:r w:rsidR="00A456ED">
        <w:rPr>
          <w:noProof/>
        </w:rPr>
        <w:t>24</w:t>
      </w:r>
      <w:r w:rsidRPr="00D85E09">
        <w:fldChar w:fldCharType="end"/>
      </w:r>
      <w:r w:rsidRPr="00D85E09">
        <w:t>. Descriptions of each of the outcomes follow.</w:t>
      </w:r>
    </w:p>
    <w:p w14:paraId="0F6B61BA" w14:textId="6D9EE160" w:rsidR="00315893" w:rsidRPr="00D85E09" w:rsidRDefault="00315893" w:rsidP="0043316B">
      <w:pPr>
        <w:pStyle w:val="Caption"/>
        <w:keepNext w:val="0"/>
        <w:widowControl w:val="0"/>
        <w:rPr>
          <w:lang w:val="en-AU" w:eastAsia="en-AU"/>
        </w:rPr>
      </w:pPr>
      <w:bookmarkStart w:id="255" w:name="_Ref363030282"/>
      <w:bookmarkStart w:id="256" w:name="_Toc367090380"/>
      <w:bookmarkStart w:id="257" w:name="_Toc45306536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24</w:t>
      </w:r>
      <w:r w:rsidRPr="00D85E09">
        <w:rPr>
          <w:lang w:val="en-AU"/>
        </w:rPr>
        <w:fldChar w:fldCharType="end"/>
      </w:r>
      <w:bookmarkEnd w:id="255"/>
      <w:r w:rsidRPr="00D85E09">
        <w:rPr>
          <w:lang w:val="en-AU"/>
        </w:rPr>
        <w:tab/>
        <w:t>Outcomes analysed for the purposes of this submission</w:t>
      </w:r>
      <w:bookmarkEnd w:id="256"/>
      <w:bookmarkEnd w:id="2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Description w:val="Table 24. Outcomes analysed for the purposes of this submission"/>
      </w:tblPr>
      <w:tblGrid>
        <w:gridCol w:w="2367"/>
        <w:gridCol w:w="1327"/>
        <w:gridCol w:w="1327"/>
        <w:gridCol w:w="1329"/>
        <w:gridCol w:w="1327"/>
        <w:gridCol w:w="1327"/>
      </w:tblGrid>
      <w:tr w:rsidR="00315893" w:rsidRPr="00D85E09" w14:paraId="0ED9461C" w14:textId="77777777" w:rsidTr="001922F3">
        <w:trPr>
          <w:trHeight w:val="20"/>
          <w:tblHeader/>
        </w:trPr>
        <w:tc>
          <w:tcPr>
            <w:tcW w:w="1314" w:type="pct"/>
            <w:shd w:val="clear" w:color="auto" w:fill="auto"/>
          </w:tcPr>
          <w:p w14:paraId="2590E5DA" w14:textId="77777777" w:rsidR="00315893" w:rsidRPr="00D85E09" w:rsidRDefault="00315893" w:rsidP="0043316B">
            <w:pPr>
              <w:pStyle w:val="Tabletext"/>
              <w:keepNext w:val="0"/>
              <w:widowControl w:val="0"/>
              <w:rPr>
                <w:b/>
              </w:rPr>
            </w:pPr>
          </w:p>
        </w:tc>
        <w:tc>
          <w:tcPr>
            <w:tcW w:w="737" w:type="pct"/>
            <w:shd w:val="clear" w:color="auto" w:fill="auto"/>
          </w:tcPr>
          <w:p w14:paraId="42CEA866" w14:textId="77777777" w:rsidR="00315893" w:rsidRPr="00D85E09" w:rsidRDefault="00315893" w:rsidP="0043316B">
            <w:pPr>
              <w:pStyle w:val="Tabletext"/>
              <w:keepNext w:val="0"/>
              <w:widowControl w:val="0"/>
              <w:jc w:val="center"/>
              <w:rPr>
                <w:b/>
              </w:rPr>
            </w:pPr>
            <w:r w:rsidRPr="00D85E09">
              <w:rPr>
                <w:b/>
              </w:rPr>
              <w:t>ESCAPE</w:t>
            </w:r>
          </w:p>
        </w:tc>
        <w:tc>
          <w:tcPr>
            <w:tcW w:w="737" w:type="pct"/>
            <w:shd w:val="clear" w:color="auto" w:fill="auto"/>
          </w:tcPr>
          <w:p w14:paraId="0D1F207B" w14:textId="3B4D9A2B" w:rsidR="00315893" w:rsidRPr="00D85E09" w:rsidRDefault="005B7DCE" w:rsidP="0043316B">
            <w:pPr>
              <w:pStyle w:val="Tabletext"/>
              <w:keepNext w:val="0"/>
              <w:widowControl w:val="0"/>
              <w:jc w:val="center"/>
              <w:rPr>
                <w:b/>
              </w:rPr>
            </w:pPr>
            <w:r>
              <w:rPr>
                <w:b/>
              </w:rPr>
              <w:t>EXTEND-I</w:t>
            </w:r>
            <w:r w:rsidR="00315893" w:rsidRPr="00D85E09">
              <w:rPr>
                <w:b/>
              </w:rPr>
              <w:t>A</w:t>
            </w:r>
          </w:p>
        </w:tc>
        <w:tc>
          <w:tcPr>
            <w:tcW w:w="738" w:type="pct"/>
            <w:shd w:val="clear" w:color="auto" w:fill="auto"/>
          </w:tcPr>
          <w:p w14:paraId="7E2DD6D6" w14:textId="77777777" w:rsidR="00315893" w:rsidRPr="00D85E09" w:rsidRDefault="00315893" w:rsidP="0043316B">
            <w:pPr>
              <w:pStyle w:val="Tabletext"/>
              <w:keepNext w:val="0"/>
              <w:widowControl w:val="0"/>
              <w:jc w:val="center"/>
              <w:rPr>
                <w:b/>
              </w:rPr>
            </w:pPr>
            <w:r w:rsidRPr="00D85E09">
              <w:rPr>
                <w:b/>
              </w:rPr>
              <w:t>MR CLEAN</w:t>
            </w:r>
          </w:p>
        </w:tc>
        <w:tc>
          <w:tcPr>
            <w:tcW w:w="737" w:type="pct"/>
            <w:shd w:val="clear" w:color="auto" w:fill="auto"/>
          </w:tcPr>
          <w:p w14:paraId="3F97CCDF" w14:textId="77777777" w:rsidR="00315893" w:rsidRPr="00D85E09" w:rsidRDefault="00315893" w:rsidP="0043316B">
            <w:pPr>
              <w:pStyle w:val="Tabletext"/>
              <w:keepNext w:val="0"/>
              <w:widowControl w:val="0"/>
              <w:jc w:val="center"/>
              <w:rPr>
                <w:b/>
              </w:rPr>
            </w:pPr>
            <w:r w:rsidRPr="00D85E09">
              <w:rPr>
                <w:b/>
              </w:rPr>
              <w:t>REVASCAT</w:t>
            </w:r>
          </w:p>
        </w:tc>
        <w:tc>
          <w:tcPr>
            <w:tcW w:w="737" w:type="pct"/>
            <w:shd w:val="clear" w:color="auto" w:fill="auto"/>
          </w:tcPr>
          <w:p w14:paraId="3D9B6E0A" w14:textId="77777777" w:rsidR="00315893" w:rsidRPr="00D85E09" w:rsidRDefault="00315893" w:rsidP="0043316B">
            <w:pPr>
              <w:pStyle w:val="Tabletext"/>
              <w:keepNext w:val="0"/>
              <w:widowControl w:val="0"/>
              <w:jc w:val="center"/>
              <w:rPr>
                <w:b/>
              </w:rPr>
            </w:pPr>
            <w:r w:rsidRPr="00D85E09">
              <w:rPr>
                <w:b/>
              </w:rPr>
              <w:t>SWIFT PRIME</w:t>
            </w:r>
          </w:p>
        </w:tc>
      </w:tr>
      <w:tr w:rsidR="00315893" w:rsidRPr="00D85E09" w14:paraId="3E05938C" w14:textId="77777777" w:rsidTr="00465778">
        <w:trPr>
          <w:trHeight w:val="20"/>
        </w:trPr>
        <w:tc>
          <w:tcPr>
            <w:tcW w:w="5000" w:type="pct"/>
            <w:gridSpan w:val="6"/>
          </w:tcPr>
          <w:p w14:paraId="406356CB" w14:textId="77777777" w:rsidR="00315893" w:rsidRPr="00D85E09" w:rsidRDefault="00315893" w:rsidP="0043316B">
            <w:pPr>
              <w:pStyle w:val="Tabletext"/>
              <w:keepNext w:val="0"/>
              <w:widowControl w:val="0"/>
              <w:rPr>
                <w:b/>
                <w:i/>
              </w:rPr>
            </w:pPr>
            <w:r w:rsidRPr="00D85E09">
              <w:rPr>
                <w:b/>
                <w:i/>
              </w:rPr>
              <w:t>Primary outcome (mRS score at 90 days)</w:t>
            </w:r>
          </w:p>
        </w:tc>
      </w:tr>
      <w:tr w:rsidR="00315893" w:rsidRPr="00D85E09" w14:paraId="79982258" w14:textId="77777777" w:rsidTr="00465778">
        <w:trPr>
          <w:trHeight w:val="20"/>
        </w:trPr>
        <w:tc>
          <w:tcPr>
            <w:tcW w:w="1314" w:type="pct"/>
          </w:tcPr>
          <w:p w14:paraId="76FA279D" w14:textId="77777777" w:rsidR="00315893" w:rsidRPr="00D85E09" w:rsidRDefault="00315893" w:rsidP="0043316B">
            <w:pPr>
              <w:pStyle w:val="Tabletext"/>
              <w:keepNext w:val="0"/>
              <w:widowControl w:val="0"/>
            </w:pPr>
            <w:r w:rsidRPr="00D85E09">
              <w:t>Median mRS score</w:t>
            </w:r>
            <w:r w:rsidRPr="00D85E09">
              <w:rPr>
                <w:rFonts w:eastAsia="OTNEJMScalaSansLF"/>
              </w:rPr>
              <w:t xml:space="preserve"> (odds of improvement of 1 point)</w:t>
            </w:r>
          </w:p>
        </w:tc>
        <w:tc>
          <w:tcPr>
            <w:tcW w:w="737" w:type="pct"/>
            <w:vAlign w:val="center"/>
          </w:tcPr>
          <w:p w14:paraId="75CEB65B" w14:textId="77777777" w:rsidR="00315893" w:rsidRPr="00D85E09" w:rsidRDefault="00315893" w:rsidP="0043316B">
            <w:pPr>
              <w:pStyle w:val="Tabletext"/>
              <w:keepNext w:val="0"/>
              <w:widowControl w:val="0"/>
              <w:jc w:val="center"/>
            </w:pPr>
            <w:r w:rsidRPr="00D85E09">
              <w:sym w:font="Wingdings" w:char="F0FC"/>
            </w:r>
          </w:p>
        </w:tc>
        <w:tc>
          <w:tcPr>
            <w:tcW w:w="737" w:type="pct"/>
            <w:vAlign w:val="center"/>
          </w:tcPr>
          <w:p w14:paraId="1636B8DF" w14:textId="77777777" w:rsidR="00315893" w:rsidRPr="00D85E09" w:rsidRDefault="00315893" w:rsidP="0043316B">
            <w:pPr>
              <w:pStyle w:val="Tabletext"/>
              <w:keepNext w:val="0"/>
              <w:widowControl w:val="0"/>
              <w:jc w:val="center"/>
            </w:pPr>
            <w:r w:rsidRPr="00D85E09">
              <w:sym w:font="Wingdings" w:char="F0FC"/>
            </w:r>
          </w:p>
        </w:tc>
        <w:tc>
          <w:tcPr>
            <w:tcW w:w="738" w:type="pct"/>
            <w:vAlign w:val="center"/>
          </w:tcPr>
          <w:p w14:paraId="4C5F0792" w14:textId="77777777" w:rsidR="00315893" w:rsidRPr="00D85E09" w:rsidRDefault="00315893" w:rsidP="0043316B">
            <w:pPr>
              <w:pStyle w:val="Tabletext"/>
              <w:keepNext w:val="0"/>
              <w:widowControl w:val="0"/>
              <w:jc w:val="center"/>
            </w:pPr>
            <w:r w:rsidRPr="00D85E09">
              <w:sym w:font="Wingdings" w:char="F0FC"/>
            </w:r>
          </w:p>
        </w:tc>
        <w:tc>
          <w:tcPr>
            <w:tcW w:w="737" w:type="pct"/>
            <w:vAlign w:val="center"/>
          </w:tcPr>
          <w:p w14:paraId="74B24D98" w14:textId="77777777" w:rsidR="00315893" w:rsidRPr="00D85E09" w:rsidRDefault="00315893" w:rsidP="0043316B">
            <w:pPr>
              <w:pStyle w:val="Tabletext"/>
              <w:keepNext w:val="0"/>
              <w:widowControl w:val="0"/>
              <w:jc w:val="center"/>
            </w:pPr>
            <w:r w:rsidRPr="00D85E09">
              <w:sym w:font="Wingdings" w:char="F0FC"/>
            </w:r>
          </w:p>
        </w:tc>
        <w:tc>
          <w:tcPr>
            <w:tcW w:w="737" w:type="pct"/>
            <w:vAlign w:val="center"/>
          </w:tcPr>
          <w:p w14:paraId="7757AD16" w14:textId="77777777" w:rsidR="00315893" w:rsidRPr="00D85E09" w:rsidRDefault="00315893" w:rsidP="0043316B">
            <w:pPr>
              <w:pStyle w:val="Tabletext"/>
              <w:keepNext w:val="0"/>
              <w:widowControl w:val="0"/>
              <w:jc w:val="center"/>
            </w:pPr>
            <w:r w:rsidRPr="00D85E09">
              <w:sym w:font="Wingdings" w:char="F0FC"/>
            </w:r>
          </w:p>
        </w:tc>
      </w:tr>
      <w:tr w:rsidR="00315893" w:rsidRPr="00D85E09" w14:paraId="010D0C1C" w14:textId="77777777" w:rsidTr="00465778">
        <w:trPr>
          <w:trHeight w:val="20"/>
        </w:trPr>
        <w:tc>
          <w:tcPr>
            <w:tcW w:w="1314" w:type="pct"/>
          </w:tcPr>
          <w:p w14:paraId="5C6A85D3" w14:textId="77777777" w:rsidR="00315893" w:rsidRPr="00D85E09" w:rsidRDefault="00315893" w:rsidP="0043316B">
            <w:pPr>
              <w:pStyle w:val="Tabletext"/>
              <w:keepNext w:val="0"/>
              <w:widowControl w:val="0"/>
              <w:rPr>
                <w:color w:val="000000"/>
              </w:rPr>
            </w:pPr>
            <w:r w:rsidRPr="00D85E09">
              <w:t>Distribution of mRS scores (0-6) at 90 days</w:t>
            </w:r>
          </w:p>
        </w:tc>
        <w:tc>
          <w:tcPr>
            <w:tcW w:w="737" w:type="pct"/>
            <w:vAlign w:val="center"/>
          </w:tcPr>
          <w:p w14:paraId="7D9CD33B"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046067A3" w14:textId="77777777" w:rsidR="00315893" w:rsidRPr="00D85E09" w:rsidRDefault="00315893" w:rsidP="0043316B">
            <w:pPr>
              <w:pStyle w:val="Tabletext"/>
              <w:keepNext w:val="0"/>
              <w:widowControl w:val="0"/>
              <w:jc w:val="center"/>
              <w:rPr>
                <w:color w:val="000000"/>
              </w:rPr>
            </w:pPr>
            <w:r w:rsidRPr="00D85E09">
              <w:sym w:font="Wingdings" w:char="F0FC"/>
            </w:r>
          </w:p>
        </w:tc>
        <w:tc>
          <w:tcPr>
            <w:tcW w:w="738" w:type="pct"/>
            <w:vAlign w:val="center"/>
          </w:tcPr>
          <w:p w14:paraId="01748C98"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6F42556B"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5ED3DE89" w14:textId="77777777" w:rsidR="00315893" w:rsidRPr="00D85E09" w:rsidRDefault="00315893" w:rsidP="0043316B">
            <w:pPr>
              <w:pStyle w:val="Tabletext"/>
              <w:keepNext w:val="0"/>
              <w:widowControl w:val="0"/>
              <w:jc w:val="center"/>
              <w:rPr>
                <w:color w:val="000000"/>
              </w:rPr>
            </w:pPr>
            <w:r w:rsidRPr="00D85E09">
              <w:sym w:font="Wingdings" w:char="F0FC"/>
            </w:r>
          </w:p>
        </w:tc>
      </w:tr>
      <w:tr w:rsidR="00315893" w:rsidRPr="00D85E09" w14:paraId="599283CC" w14:textId="77777777" w:rsidTr="00465778">
        <w:trPr>
          <w:trHeight w:val="20"/>
        </w:trPr>
        <w:tc>
          <w:tcPr>
            <w:tcW w:w="5000" w:type="pct"/>
            <w:gridSpan w:val="6"/>
          </w:tcPr>
          <w:p w14:paraId="6C963595" w14:textId="77777777" w:rsidR="00315893" w:rsidRPr="00D85E09" w:rsidRDefault="00315893" w:rsidP="0043316B">
            <w:pPr>
              <w:pStyle w:val="Tabletext"/>
              <w:keepNext w:val="0"/>
              <w:widowControl w:val="0"/>
              <w:rPr>
                <w:b/>
                <w:i/>
              </w:rPr>
            </w:pPr>
            <w:r w:rsidRPr="00D85E09">
              <w:rPr>
                <w:b/>
                <w:i/>
              </w:rPr>
              <w:t>Secondary outcome</w:t>
            </w:r>
          </w:p>
        </w:tc>
      </w:tr>
      <w:tr w:rsidR="00315893" w:rsidRPr="00D85E09" w14:paraId="1FCAD030" w14:textId="77777777" w:rsidTr="00465778">
        <w:trPr>
          <w:trHeight w:val="20"/>
        </w:trPr>
        <w:tc>
          <w:tcPr>
            <w:tcW w:w="1314" w:type="pct"/>
          </w:tcPr>
          <w:p w14:paraId="64D7196D" w14:textId="77777777" w:rsidR="00315893" w:rsidRPr="00D85E09" w:rsidRDefault="00315893" w:rsidP="0043316B">
            <w:pPr>
              <w:pStyle w:val="Tabletext"/>
              <w:keepNext w:val="0"/>
              <w:widowControl w:val="0"/>
              <w:rPr>
                <w:color w:val="000000"/>
              </w:rPr>
            </w:pPr>
            <w:r w:rsidRPr="00D85E09">
              <w:t>mRS score 0-2 at 90 days</w:t>
            </w:r>
          </w:p>
        </w:tc>
        <w:tc>
          <w:tcPr>
            <w:tcW w:w="737" w:type="pct"/>
            <w:vAlign w:val="center"/>
          </w:tcPr>
          <w:p w14:paraId="2AF74F27"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6CA45BDD" w14:textId="77777777" w:rsidR="00315893" w:rsidRPr="00D85E09" w:rsidRDefault="00315893" w:rsidP="0043316B">
            <w:pPr>
              <w:pStyle w:val="Tabletext"/>
              <w:keepNext w:val="0"/>
              <w:widowControl w:val="0"/>
              <w:jc w:val="center"/>
              <w:rPr>
                <w:color w:val="000000"/>
              </w:rPr>
            </w:pPr>
            <w:r w:rsidRPr="00D85E09">
              <w:sym w:font="Wingdings" w:char="F0FC"/>
            </w:r>
          </w:p>
        </w:tc>
        <w:tc>
          <w:tcPr>
            <w:tcW w:w="738" w:type="pct"/>
            <w:vAlign w:val="center"/>
          </w:tcPr>
          <w:p w14:paraId="78651F2C"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5A69DEC8"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2A948BFA" w14:textId="77777777" w:rsidR="00315893" w:rsidRPr="00D85E09" w:rsidRDefault="00315893" w:rsidP="0043316B">
            <w:pPr>
              <w:pStyle w:val="Tabletext"/>
              <w:keepNext w:val="0"/>
              <w:widowControl w:val="0"/>
              <w:jc w:val="center"/>
              <w:rPr>
                <w:color w:val="000000"/>
              </w:rPr>
            </w:pPr>
            <w:r w:rsidRPr="00D85E09">
              <w:sym w:font="Wingdings" w:char="F0FC"/>
            </w:r>
          </w:p>
        </w:tc>
      </w:tr>
      <w:tr w:rsidR="00315893" w:rsidRPr="00D85E09" w14:paraId="7E98F799" w14:textId="77777777" w:rsidTr="00465778">
        <w:trPr>
          <w:trHeight w:val="20"/>
        </w:trPr>
        <w:tc>
          <w:tcPr>
            <w:tcW w:w="1314" w:type="pct"/>
          </w:tcPr>
          <w:p w14:paraId="42A17729" w14:textId="77777777" w:rsidR="00315893" w:rsidRPr="00D85E09" w:rsidRDefault="00315893" w:rsidP="0043316B">
            <w:pPr>
              <w:pStyle w:val="Tabletext"/>
              <w:keepNext w:val="0"/>
              <w:widowControl w:val="0"/>
              <w:rPr>
                <w:color w:val="000000"/>
              </w:rPr>
            </w:pPr>
            <w:r w:rsidRPr="00D85E09">
              <w:t>NIHSS</w:t>
            </w:r>
          </w:p>
        </w:tc>
        <w:tc>
          <w:tcPr>
            <w:tcW w:w="737" w:type="pct"/>
            <w:vAlign w:val="center"/>
          </w:tcPr>
          <w:p w14:paraId="476542CD"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12C08353" w14:textId="77777777" w:rsidR="00315893" w:rsidRPr="00D85E09" w:rsidRDefault="00315893" w:rsidP="0043316B">
            <w:pPr>
              <w:pStyle w:val="Tabletext"/>
              <w:keepNext w:val="0"/>
              <w:widowControl w:val="0"/>
              <w:jc w:val="center"/>
              <w:rPr>
                <w:color w:val="000000"/>
              </w:rPr>
            </w:pPr>
            <w:r w:rsidRPr="00D85E09">
              <w:sym w:font="Wingdings" w:char="F0FC"/>
            </w:r>
          </w:p>
        </w:tc>
        <w:tc>
          <w:tcPr>
            <w:tcW w:w="738" w:type="pct"/>
            <w:vAlign w:val="center"/>
          </w:tcPr>
          <w:p w14:paraId="7E7ABA40"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454824CF"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7BB8E0E7" w14:textId="77777777" w:rsidR="00315893" w:rsidRPr="00D85E09" w:rsidRDefault="00315893" w:rsidP="0043316B">
            <w:pPr>
              <w:pStyle w:val="Tabletext"/>
              <w:keepNext w:val="0"/>
              <w:widowControl w:val="0"/>
              <w:jc w:val="center"/>
              <w:rPr>
                <w:color w:val="000000"/>
              </w:rPr>
            </w:pPr>
            <w:r w:rsidRPr="00D85E09">
              <w:sym w:font="Wingdings" w:char="F0FC"/>
            </w:r>
          </w:p>
        </w:tc>
      </w:tr>
      <w:tr w:rsidR="00315893" w:rsidRPr="00D85E09" w14:paraId="3F7B159F" w14:textId="77777777" w:rsidTr="00465778">
        <w:trPr>
          <w:trHeight w:val="20"/>
        </w:trPr>
        <w:tc>
          <w:tcPr>
            <w:tcW w:w="1314" w:type="pct"/>
          </w:tcPr>
          <w:p w14:paraId="4D5FA82F" w14:textId="77777777" w:rsidR="00315893" w:rsidRPr="00D85E09" w:rsidRDefault="00315893" w:rsidP="0043316B">
            <w:pPr>
              <w:pStyle w:val="Tabletext"/>
              <w:keepNext w:val="0"/>
              <w:widowControl w:val="0"/>
              <w:rPr>
                <w:color w:val="000000"/>
              </w:rPr>
            </w:pPr>
            <w:r w:rsidRPr="00D85E09">
              <w:t>Barthel Index</w:t>
            </w:r>
          </w:p>
        </w:tc>
        <w:tc>
          <w:tcPr>
            <w:tcW w:w="737" w:type="pct"/>
            <w:vAlign w:val="center"/>
          </w:tcPr>
          <w:p w14:paraId="69C3F9CC"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1E530870" w14:textId="77777777" w:rsidR="00315893" w:rsidRPr="00D85E09" w:rsidRDefault="00315893" w:rsidP="0043316B">
            <w:pPr>
              <w:pStyle w:val="Tabletext"/>
              <w:keepNext w:val="0"/>
              <w:widowControl w:val="0"/>
              <w:jc w:val="center"/>
              <w:rPr>
                <w:color w:val="000000"/>
              </w:rPr>
            </w:pPr>
            <w:r w:rsidRPr="00D85E09">
              <w:sym w:font="Wingdings" w:char="F0FB"/>
            </w:r>
          </w:p>
        </w:tc>
        <w:tc>
          <w:tcPr>
            <w:tcW w:w="738" w:type="pct"/>
            <w:vAlign w:val="center"/>
          </w:tcPr>
          <w:p w14:paraId="727777CB"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6C3B8F0B"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43EB9334" w14:textId="77777777" w:rsidR="00315893" w:rsidRPr="00D85E09" w:rsidRDefault="00315893" w:rsidP="0043316B">
            <w:pPr>
              <w:pStyle w:val="Tabletext"/>
              <w:keepNext w:val="0"/>
              <w:widowControl w:val="0"/>
              <w:jc w:val="center"/>
              <w:rPr>
                <w:color w:val="000000"/>
              </w:rPr>
            </w:pPr>
            <w:r w:rsidRPr="00D85E09">
              <w:sym w:font="Wingdings" w:char="F0FB"/>
            </w:r>
          </w:p>
        </w:tc>
      </w:tr>
      <w:tr w:rsidR="00315893" w:rsidRPr="00D85E09" w14:paraId="12DCD9F8" w14:textId="77777777" w:rsidTr="00465778">
        <w:trPr>
          <w:trHeight w:val="20"/>
        </w:trPr>
        <w:tc>
          <w:tcPr>
            <w:tcW w:w="1314" w:type="pct"/>
          </w:tcPr>
          <w:p w14:paraId="6FF94588" w14:textId="77777777" w:rsidR="00315893" w:rsidRPr="00D85E09" w:rsidRDefault="00315893" w:rsidP="0043316B">
            <w:pPr>
              <w:pStyle w:val="Tabletext"/>
              <w:keepNext w:val="0"/>
              <w:widowControl w:val="0"/>
              <w:rPr>
                <w:color w:val="000000"/>
              </w:rPr>
            </w:pPr>
            <w:r w:rsidRPr="00D85E09">
              <w:rPr>
                <w:rFonts w:eastAsia="OTNEJMScalaSansLF"/>
              </w:rPr>
              <w:t>TICI score</w:t>
            </w:r>
          </w:p>
        </w:tc>
        <w:tc>
          <w:tcPr>
            <w:tcW w:w="737" w:type="pct"/>
            <w:vAlign w:val="center"/>
          </w:tcPr>
          <w:p w14:paraId="48ED6B44"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5738E917" w14:textId="77777777" w:rsidR="00315893" w:rsidRPr="00D85E09" w:rsidRDefault="00315893" w:rsidP="0043316B">
            <w:pPr>
              <w:pStyle w:val="Tabletext"/>
              <w:keepNext w:val="0"/>
              <w:widowControl w:val="0"/>
              <w:jc w:val="center"/>
              <w:rPr>
                <w:color w:val="000000"/>
              </w:rPr>
            </w:pPr>
            <w:r w:rsidRPr="00D85E09">
              <w:sym w:font="Wingdings" w:char="F0FC"/>
            </w:r>
          </w:p>
        </w:tc>
        <w:tc>
          <w:tcPr>
            <w:tcW w:w="738" w:type="pct"/>
            <w:vAlign w:val="center"/>
          </w:tcPr>
          <w:p w14:paraId="3D530BF2"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35FE0EAB"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6E858219" w14:textId="77777777" w:rsidR="00315893" w:rsidRPr="00D85E09" w:rsidRDefault="00315893" w:rsidP="0043316B">
            <w:pPr>
              <w:pStyle w:val="Tabletext"/>
              <w:keepNext w:val="0"/>
              <w:widowControl w:val="0"/>
              <w:jc w:val="center"/>
              <w:rPr>
                <w:color w:val="000000"/>
              </w:rPr>
            </w:pPr>
            <w:r w:rsidRPr="00D85E09">
              <w:sym w:font="Wingdings" w:char="F0FC"/>
            </w:r>
          </w:p>
        </w:tc>
      </w:tr>
      <w:tr w:rsidR="00315893" w:rsidRPr="00D85E09" w14:paraId="57FA8DB1" w14:textId="77777777" w:rsidTr="00465778">
        <w:trPr>
          <w:trHeight w:val="20"/>
        </w:trPr>
        <w:tc>
          <w:tcPr>
            <w:tcW w:w="1314" w:type="pct"/>
          </w:tcPr>
          <w:p w14:paraId="3DA2AD53" w14:textId="77777777" w:rsidR="00315893" w:rsidRPr="00D85E09" w:rsidRDefault="00315893" w:rsidP="0043316B">
            <w:pPr>
              <w:pStyle w:val="Tabletext"/>
              <w:keepNext w:val="0"/>
              <w:widowControl w:val="0"/>
              <w:rPr>
                <w:color w:val="000000"/>
              </w:rPr>
            </w:pPr>
            <w:r w:rsidRPr="00D85E09">
              <w:t>EQ-5D</w:t>
            </w:r>
          </w:p>
        </w:tc>
        <w:tc>
          <w:tcPr>
            <w:tcW w:w="737" w:type="pct"/>
            <w:vAlign w:val="center"/>
          </w:tcPr>
          <w:p w14:paraId="24E025C4"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46159729" w14:textId="77777777" w:rsidR="00315893" w:rsidRPr="00D85E09" w:rsidRDefault="00315893" w:rsidP="0043316B">
            <w:pPr>
              <w:pStyle w:val="Tabletext"/>
              <w:keepNext w:val="0"/>
              <w:widowControl w:val="0"/>
              <w:jc w:val="center"/>
              <w:rPr>
                <w:color w:val="000000"/>
              </w:rPr>
            </w:pPr>
            <w:r w:rsidRPr="00D85E09">
              <w:sym w:font="Wingdings" w:char="F0FB"/>
            </w:r>
          </w:p>
        </w:tc>
        <w:tc>
          <w:tcPr>
            <w:tcW w:w="738" w:type="pct"/>
            <w:vAlign w:val="center"/>
          </w:tcPr>
          <w:p w14:paraId="4554DA42"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6345F210"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0D6432B9" w14:textId="77777777" w:rsidR="00315893" w:rsidRPr="00D85E09" w:rsidRDefault="00315893" w:rsidP="0043316B">
            <w:pPr>
              <w:pStyle w:val="Tabletext"/>
              <w:keepNext w:val="0"/>
              <w:widowControl w:val="0"/>
              <w:jc w:val="center"/>
              <w:rPr>
                <w:color w:val="000000"/>
              </w:rPr>
            </w:pPr>
            <w:r w:rsidRPr="00D85E09">
              <w:sym w:font="Wingdings" w:char="F0FB"/>
            </w:r>
          </w:p>
        </w:tc>
      </w:tr>
      <w:tr w:rsidR="00315893" w:rsidRPr="00D85E09" w14:paraId="15257BFE" w14:textId="77777777" w:rsidTr="00465778">
        <w:trPr>
          <w:trHeight w:val="20"/>
        </w:trPr>
        <w:tc>
          <w:tcPr>
            <w:tcW w:w="1314" w:type="pct"/>
          </w:tcPr>
          <w:p w14:paraId="421A98C4" w14:textId="77777777" w:rsidR="00315893" w:rsidRPr="00D85E09" w:rsidRDefault="00315893" w:rsidP="0043316B">
            <w:pPr>
              <w:pStyle w:val="Tabletext"/>
              <w:keepNext w:val="0"/>
              <w:widowControl w:val="0"/>
              <w:rPr>
                <w:color w:val="000000"/>
              </w:rPr>
            </w:pPr>
            <w:r w:rsidRPr="00D85E09">
              <w:t>Mortality at 90 days</w:t>
            </w:r>
          </w:p>
        </w:tc>
        <w:tc>
          <w:tcPr>
            <w:tcW w:w="737" w:type="pct"/>
            <w:vAlign w:val="center"/>
          </w:tcPr>
          <w:p w14:paraId="11636C66"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2E424CB0" w14:textId="77777777" w:rsidR="00315893" w:rsidRPr="00D85E09" w:rsidRDefault="00315893" w:rsidP="0043316B">
            <w:pPr>
              <w:pStyle w:val="Tabletext"/>
              <w:keepNext w:val="0"/>
              <w:widowControl w:val="0"/>
              <w:jc w:val="center"/>
              <w:rPr>
                <w:color w:val="000000"/>
              </w:rPr>
            </w:pPr>
            <w:r w:rsidRPr="00D85E09">
              <w:sym w:font="Wingdings" w:char="F0FC"/>
            </w:r>
          </w:p>
        </w:tc>
        <w:tc>
          <w:tcPr>
            <w:tcW w:w="738" w:type="pct"/>
            <w:vAlign w:val="center"/>
          </w:tcPr>
          <w:p w14:paraId="4084C84A"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41049C3E" w14:textId="77777777" w:rsidR="00315893" w:rsidRPr="00D85E09" w:rsidRDefault="00315893" w:rsidP="0043316B">
            <w:pPr>
              <w:pStyle w:val="Tabletext"/>
              <w:keepNext w:val="0"/>
              <w:widowControl w:val="0"/>
              <w:jc w:val="center"/>
              <w:rPr>
                <w:color w:val="000000"/>
              </w:rPr>
            </w:pPr>
            <w:r w:rsidRPr="00D85E09">
              <w:sym w:font="Wingdings" w:char="F0FC"/>
            </w:r>
          </w:p>
        </w:tc>
        <w:tc>
          <w:tcPr>
            <w:tcW w:w="737" w:type="pct"/>
            <w:vAlign w:val="center"/>
          </w:tcPr>
          <w:p w14:paraId="68EADCCC" w14:textId="77777777" w:rsidR="00315893" w:rsidRPr="00D85E09" w:rsidRDefault="00315893" w:rsidP="0043316B">
            <w:pPr>
              <w:pStyle w:val="Tabletext"/>
              <w:keepNext w:val="0"/>
              <w:widowControl w:val="0"/>
              <w:jc w:val="center"/>
              <w:rPr>
                <w:color w:val="000000"/>
              </w:rPr>
            </w:pPr>
            <w:r w:rsidRPr="00D85E09">
              <w:sym w:font="Wingdings" w:char="F0FC"/>
            </w:r>
          </w:p>
        </w:tc>
      </w:tr>
      <w:tr w:rsidR="00742F62" w:rsidRPr="00D85E09" w14:paraId="1F1BF8A9" w14:textId="77777777" w:rsidTr="004E6CDE">
        <w:trPr>
          <w:trHeight w:val="20"/>
        </w:trPr>
        <w:tc>
          <w:tcPr>
            <w:tcW w:w="5000" w:type="pct"/>
            <w:gridSpan w:val="6"/>
          </w:tcPr>
          <w:p w14:paraId="18AC2534" w14:textId="6E4695F3" w:rsidR="00742F62" w:rsidRPr="00D85E09" w:rsidRDefault="00742F62" w:rsidP="0043316B">
            <w:pPr>
              <w:pStyle w:val="Tabletext"/>
              <w:keepNext w:val="0"/>
              <w:widowControl w:val="0"/>
              <w:rPr>
                <w:b/>
                <w:i/>
              </w:rPr>
            </w:pPr>
            <w:r w:rsidRPr="00D85E09">
              <w:rPr>
                <w:b/>
                <w:i/>
              </w:rPr>
              <w:t>Safety outcomes</w:t>
            </w:r>
          </w:p>
        </w:tc>
      </w:tr>
      <w:tr w:rsidR="00660BD5" w:rsidRPr="00D85E09" w14:paraId="1EB09495" w14:textId="77777777" w:rsidTr="008C7DB5">
        <w:trPr>
          <w:trHeight w:val="20"/>
        </w:trPr>
        <w:tc>
          <w:tcPr>
            <w:tcW w:w="1314" w:type="pct"/>
          </w:tcPr>
          <w:p w14:paraId="0F1F2ACA" w14:textId="5F0D8AA4" w:rsidR="00660BD5" w:rsidRPr="00D85E09" w:rsidRDefault="00660BD5" w:rsidP="0043316B">
            <w:pPr>
              <w:pStyle w:val="Tabletext"/>
              <w:keepNext w:val="0"/>
              <w:widowControl w:val="0"/>
              <w:rPr>
                <w:color w:val="000000"/>
              </w:rPr>
            </w:pPr>
            <w:r w:rsidRPr="00D85E09">
              <w:t>Any serious adverse events</w:t>
            </w:r>
          </w:p>
        </w:tc>
        <w:tc>
          <w:tcPr>
            <w:tcW w:w="737" w:type="pct"/>
          </w:tcPr>
          <w:p w14:paraId="39B92E1F" w14:textId="122A51E3" w:rsidR="00660BD5" w:rsidRPr="00D85E09" w:rsidRDefault="00660BD5" w:rsidP="0043316B">
            <w:pPr>
              <w:pStyle w:val="Tabletext"/>
              <w:keepNext w:val="0"/>
              <w:widowControl w:val="0"/>
              <w:jc w:val="center"/>
              <w:rPr>
                <w:color w:val="000000"/>
              </w:rPr>
            </w:pPr>
            <w:r w:rsidRPr="00D85E09">
              <w:sym w:font="Wingdings" w:char="F0FB"/>
            </w:r>
          </w:p>
        </w:tc>
        <w:tc>
          <w:tcPr>
            <w:tcW w:w="737" w:type="pct"/>
          </w:tcPr>
          <w:p w14:paraId="102B3195" w14:textId="5DE93A3A" w:rsidR="00660BD5" w:rsidRPr="00D85E09" w:rsidRDefault="00660BD5" w:rsidP="0043316B">
            <w:pPr>
              <w:pStyle w:val="Tabletext"/>
              <w:keepNext w:val="0"/>
              <w:widowControl w:val="0"/>
              <w:jc w:val="center"/>
              <w:rPr>
                <w:color w:val="000000"/>
              </w:rPr>
            </w:pPr>
            <w:r w:rsidRPr="00D85E09">
              <w:sym w:font="Wingdings" w:char="F0FB"/>
            </w:r>
          </w:p>
        </w:tc>
        <w:tc>
          <w:tcPr>
            <w:tcW w:w="738" w:type="pct"/>
            <w:vAlign w:val="center"/>
          </w:tcPr>
          <w:p w14:paraId="6419DE32" w14:textId="77777777" w:rsidR="00660BD5" w:rsidRPr="00D85E09" w:rsidRDefault="00660BD5" w:rsidP="0043316B">
            <w:pPr>
              <w:pStyle w:val="Tabletext"/>
              <w:keepNext w:val="0"/>
              <w:widowControl w:val="0"/>
              <w:jc w:val="center"/>
              <w:rPr>
                <w:color w:val="000000"/>
              </w:rPr>
            </w:pPr>
            <w:r w:rsidRPr="00D85E09">
              <w:sym w:font="Wingdings" w:char="F0FC"/>
            </w:r>
          </w:p>
        </w:tc>
        <w:tc>
          <w:tcPr>
            <w:tcW w:w="737" w:type="pct"/>
            <w:vAlign w:val="center"/>
          </w:tcPr>
          <w:p w14:paraId="4F6DFF6D" w14:textId="2A451CF2" w:rsidR="00660BD5" w:rsidRPr="00D85E09" w:rsidRDefault="00660BD5" w:rsidP="0043316B">
            <w:pPr>
              <w:pStyle w:val="Tabletext"/>
              <w:keepNext w:val="0"/>
              <w:widowControl w:val="0"/>
              <w:jc w:val="center"/>
              <w:rPr>
                <w:color w:val="000000"/>
              </w:rPr>
            </w:pPr>
            <w:r w:rsidRPr="00D85E09">
              <w:sym w:font="Wingdings" w:char="F0FB"/>
            </w:r>
          </w:p>
        </w:tc>
        <w:tc>
          <w:tcPr>
            <w:tcW w:w="737" w:type="pct"/>
            <w:vAlign w:val="center"/>
          </w:tcPr>
          <w:p w14:paraId="49ECDB94" w14:textId="77777777" w:rsidR="00660BD5" w:rsidRPr="00D85E09" w:rsidRDefault="00660BD5" w:rsidP="0043316B">
            <w:pPr>
              <w:pStyle w:val="Tabletext"/>
              <w:keepNext w:val="0"/>
              <w:widowControl w:val="0"/>
              <w:jc w:val="center"/>
              <w:rPr>
                <w:color w:val="000000"/>
              </w:rPr>
            </w:pPr>
            <w:r w:rsidRPr="00D85E09">
              <w:sym w:font="Wingdings" w:char="F0FC"/>
            </w:r>
          </w:p>
        </w:tc>
      </w:tr>
      <w:tr w:rsidR="00742F62" w:rsidRPr="00D85E09" w14:paraId="7C8DA2B6" w14:textId="77777777" w:rsidTr="004E6CDE">
        <w:trPr>
          <w:trHeight w:val="20"/>
        </w:trPr>
        <w:tc>
          <w:tcPr>
            <w:tcW w:w="1314" w:type="pct"/>
          </w:tcPr>
          <w:p w14:paraId="7740ED78" w14:textId="1CB0C6DC" w:rsidR="00742F62" w:rsidRPr="00D85E09" w:rsidRDefault="00660BD5" w:rsidP="0043316B">
            <w:pPr>
              <w:pStyle w:val="Tabletext"/>
              <w:keepNext w:val="0"/>
              <w:widowControl w:val="0"/>
              <w:rPr>
                <w:color w:val="000000"/>
              </w:rPr>
            </w:pPr>
            <w:r w:rsidRPr="00D85E09">
              <w:t>SICH</w:t>
            </w:r>
          </w:p>
        </w:tc>
        <w:tc>
          <w:tcPr>
            <w:tcW w:w="737" w:type="pct"/>
            <w:vAlign w:val="center"/>
          </w:tcPr>
          <w:p w14:paraId="10E31087" w14:textId="77777777" w:rsidR="00742F62" w:rsidRPr="00D85E09" w:rsidRDefault="00742F62" w:rsidP="0043316B">
            <w:pPr>
              <w:pStyle w:val="Tabletext"/>
              <w:keepNext w:val="0"/>
              <w:widowControl w:val="0"/>
              <w:jc w:val="center"/>
              <w:rPr>
                <w:color w:val="000000"/>
              </w:rPr>
            </w:pPr>
            <w:r w:rsidRPr="00D85E09">
              <w:sym w:font="Wingdings" w:char="F0FC"/>
            </w:r>
          </w:p>
        </w:tc>
        <w:tc>
          <w:tcPr>
            <w:tcW w:w="737" w:type="pct"/>
            <w:vAlign w:val="center"/>
          </w:tcPr>
          <w:p w14:paraId="71FDCF4D" w14:textId="77777777" w:rsidR="00742F62" w:rsidRPr="00D85E09" w:rsidRDefault="00742F62" w:rsidP="0043316B">
            <w:pPr>
              <w:pStyle w:val="Tabletext"/>
              <w:keepNext w:val="0"/>
              <w:widowControl w:val="0"/>
              <w:jc w:val="center"/>
              <w:rPr>
                <w:color w:val="000000"/>
              </w:rPr>
            </w:pPr>
            <w:r w:rsidRPr="00D85E09">
              <w:sym w:font="Wingdings" w:char="F0FC"/>
            </w:r>
          </w:p>
        </w:tc>
        <w:tc>
          <w:tcPr>
            <w:tcW w:w="738" w:type="pct"/>
            <w:vAlign w:val="center"/>
          </w:tcPr>
          <w:p w14:paraId="3106A905" w14:textId="77777777" w:rsidR="00742F62" w:rsidRPr="00D85E09" w:rsidRDefault="00742F62" w:rsidP="0043316B">
            <w:pPr>
              <w:pStyle w:val="Tabletext"/>
              <w:keepNext w:val="0"/>
              <w:widowControl w:val="0"/>
              <w:jc w:val="center"/>
              <w:rPr>
                <w:color w:val="000000"/>
              </w:rPr>
            </w:pPr>
            <w:r w:rsidRPr="00D85E09">
              <w:sym w:font="Wingdings" w:char="F0FC"/>
            </w:r>
          </w:p>
        </w:tc>
        <w:tc>
          <w:tcPr>
            <w:tcW w:w="737" w:type="pct"/>
            <w:vAlign w:val="center"/>
          </w:tcPr>
          <w:p w14:paraId="678EFBF5" w14:textId="77777777" w:rsidR="00742F62" w:rsidRPr="00D85E09" w:rsidRDefault="00742F62" w:rsidP="0043316B">
            <w:pPr>
              <w:pStyle w:val="Tabletext"/>
              <w:keepNext w:val="0"/>
              <w:widowControl w:val="0"/>
              <w:jc w:val="center"/>
              <w:rPr>
                <w:color w:val="000000"/>
              </w:rPr>
            </w:pPr>
            <w:r w:rsidRPr="00D85E09">
              <w:sym w:font="Wingdings" w:char="F0FC"/>
            </w:r>
          </w:p>
        </w:tc>
        <w:tc>
          <w:tcPr>
            <w:tcW w:w="737" w:type="pct"/>
            <w:vAlign w:val="center"/>
          </w:tcPr>
          <w:p w14:paraId="7364C95B" w14:textId="77777777" w:rsidR="00742F62" w:rsidRPr="00D85E09" w:rsidRDefault="00742F62" w:rsidP="0043316B">
            <w:pPr>
              <w:pStyle w:val="Tabletext"/>
              <w:keepNext w:val="0"/>
              <w:widowControl w:val="0"/>
              <w:jc w:val="center"/>
              <w:rPr>
                <w:color w:val="000000"/>
              </w:rPr>
            </w:pPr>
            <w:r w:rsidRPr="00D85E09">
              <w:sym w:font="Wingdings" w:char="F0FC"/>
            </w:r>
          </w:p>
        </w:tc>
      </w:tr>
      <w:tr w:rsidR="00660BD5" w:rsidRPr="00D85E09" w14:paraId="4DFEA911" w14:textId="77777777" w:rsidTr="004E6CDE">
        <w:trPr>
          <w:trHeight w:val="20"/>
        </w:trPr>
        <w:tc>
          <w:tcPr>
            <w:tcW w:w="1314" w:type="pct"/>
          </w:tcPr>
          <w:p w14:paraId="4AC6B074" w14:textId="0DA3DB7C" w:rsidR="00660BD5" w:rsidRPr="00D85E09" w:rsidRDefault="00660BD5" w:rsidP="0043316B">
            <w:pPr>
              <w:pStyle w:val="Tabletext"/>
              <w:keepNext w:val="0"/>
              <w:widowControl w:val="0"/>
            </w:pPr>
            <w:r w:rsidRPr="00D85E09">
              <w:t>Haematoma at access site</w:t>
            </w:r>
          </w:p>
        </w:tc>
        <w:tc>
          <w:tcPr>
            <w:tcW w:w="737" w:type="pct"/>
            <w:vAlign w:val="center"/>
          </w:tcPr>
          <w:p w14:paraId="436C2D07" w14:textId="061E59AF"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28084C0C" w14:textId="5563305E" w:rsidR="00660BD5" w:rsidRPr="00D85E09" w:rsidRDefault="00660BD5" w:rsidP="0043316B">
            <w:pPr>
              <w:pStyle w:val="Tabletext"/>
              <w:keepNext w:val="0"/>
              <w:widowControl w:val="0"/>
              <w:jc w:val="center"/>
            </w:pPr>
            <w:r w:rsidRPr="00D85E09">
              <w:sym w:font="Wingdings" w:char="F0FC"/>
            </w:r>
          </w:p>
        </w:tc>
        <w:tc>
          <w:tcPr>
            <w:tcW w:w="738" w:type="pct"/>
            <w:vAlign w:val="center"/>
          </w:tcPr>
          <w:p w14:paraId="615A2E6A" w14:textId="4A556794" w:rsidR="00660BD5" w:rsidRPr="00D85E09" w:rsidRDefault="00660BD5" w:rsidP="0043316B">
            <w:pPr>
              <w:pStyle w:val="Tabletext"/>
              <w:keepNext w:val="0"/>
              <w:widowControl w:val="0"/>
              <w:jc w:val="center"/>
            </w:pPr>
            <w:r w:rsidRPr="00D85E09">
              <w:sym w:font="Wingdings" w:char="F0FB"/>
            </w:r>
          </w:p>
        </w:tc>
        <w:tc>
          <w:tcPr>
            <w:tcW w:w="737" w:type="pct"/>
            <w:vAlign w:val="center"/>
          </w:tcPr>
          <w:p w14:paraId="5BB39257" w14:textId="085063E3"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1301FAC9" w14:textId="78866B21" w:rsidR="00660BD5" w:rsidRPr="00D85E09" w:rsidRDefault="00660BD5" w:rsidP="0043316B">
            <w:pPr>
              <w:pStyle w:val="Tabletext"/>
              <w:keepNext w:val="0"/>
              <w:widowControl w:val="0"/>
              <w:jc w:val="center"/>
            </w:pPr>
            <w:r w:rsidRPr="00D85E09">
              <w:sym w:font="Wingdings" w:char="F0FB"/>
            </w:r>
          </w:p>
        </w:tc>
      </w:tr>
      <w:tr w:rsidR="00660BD5" w:rsidRPr="00D85E09" w14:paraId="3DE6A045" w14:textId="77777777" w:rsidTr="004E6CDE">
        <w:trPr>
          <w:trHeight w:val="20"/>
        </w:trPr>
        <w:tc>
          <w:tcPr>
            <w:tcW w:w="1314" w:type="pct"/>
          </w:tcPr>
          <w:p w14:paraId="7F542F58" w14:textId="0852217A" w:rsidR="00660BD5" w:rsidRPr="00D85E09" w:rsidRDefault="00660BD5" w:rsidP="0043316B">
            <w:pPr>
              <w:pStyle w:val="Tabletext"/>
              <w:keepNext w:val="0"/>
              <w:widowControl w:val="0"/>
            </w:pPr>
            <w:r w:rsidRPr="00D85E09">
              <w:t>Procedural complications</w:t>
            </w:r>
          </w:p>
        </w:tc>
        <w:tc>
          <w:tcPr>
            <w:tcW w:w="737" w:type="pct"/>
            <w:vAlign w:val="center"/>
          </w:tcPr>
          <w:p w14:paraId="5BA94258" w14:textId="29C9EB3B"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07632215" w14:textId="4251F91F" w:rsidR="00660BD5" w:rsidRPr="00D85E09" w:rsidRDefault="00660BD5" w:rsidP="0043316B">
            <w:pPr>
              <w:pStyle w:val="Tabletext"/>
              <w:keepNext w:val="0"/>
              <w:widowControl w:val="0"/>
              <w:jc w:val="center"/>
            </w:pPr>
            <w:r w:rsidRPr="00D85E09">
              <w:sym w:font="Wingdings" w:char="F0FC"/>
            </w:r>
          </w:p>
        </w:tc>
        <w:tc>
          <w:tcPr>
            <w:tcW w:w="738" w:type="pct"/>
            <w:vAlign w:val="center"/>
          </w:tcPr>
          <w:p w14:paraId="011F39A1" w14:textId="5DCEE710"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25F2793B" w14:textId="6583319E"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6221988F" w14:textId="75136E4F" w:rsidR="00660BD5" w:rsidRPr="00D85E09" w:rsidRDefault="00660BD5" w:rsidP="0043316B">
            <w:pPr>
              <w:pStyle w:val="Tabletext"/>
              <w:keepNext w:val="0"/>
              <w:widowControl w:val="0"/>
              <w:jc w:val="center"/>
            </w:pPr>
            <w:r w:rsidRPr="00D85E09">
              <w:sym w:font="Wingdings" w:char="F0FC"/>
            </w:r>
          </w:p>
        </w:tc>
      </w:tr>
      <w:tr w:rsidR="00660BD5" w:rsidRPr="00D85E09" w14:paraId="114B1602" w14:textId="77777777" w:rsidTr="004E6CDE">
        <w:trPr>
          <w:trHeight w:val="20"/>
        </w:trPr>
        <w:tc>
          <w:tcPr>
            <w:tcW w:w="1314" w:type="pct"/>
          </w:tcPr>
          <w:p w14:paraId="36C207FE" w14:textId="2F4A9E53" w:rsidR="00660BD5" w:rsidRPr="00D85E09" w:rsidRDefault="00660BD5" w:rsidP="0043316B">
            <w:pPr>
              <w:pStyle w:val="Tabletext"/>
              <w:keepNext w:val="0"/>
              <w:widowControl w:val="0"/>
            </w:pPr>
            <w:r w:rsidRPr="00D85E09">
              <w:t>Parenchymal haematoma</w:t>
            </w:r>
          </w:p>
        </w:tc>
        <w:tc>
          <w:tcPr>
            <w:tcW w:w="737" w:type="pct"/>
            <w:vAlign w:val="center"/>
          </w:tcPr>
          <w:p w14:paraId="4CB95CE9" w14:textId="7681CCA6" w:rsidR="00660BD5" w:rsidRPr="00D85E09" w:rsidRDefault="00660BD5" w:rsidP="0043316B">
            <w:pPr>
              <w:pStyle w:val="Tabletext"/>
              <w:keepNext w:val="0"/>
              <w:widowControl w:val="0"/>
              <w:jc w:val="center"/>
            </w:pPr>
            <w:r w:rsidRPr="00D85E09">
              <w:sym w:font="Wingdings" w:char="F0FB"/>
            </w:r>
          </w:p>
        </w:tc>
        <w:tc>
          <w:tcPr>
            <w:tcW w:w="737" w:type="pct"/>
            <w:vAlign w:val="center"/>
          </w:tcPr>
          <w:p w14:paraId="7E2E34FA" w14:textId="796DABDE" w:rsidR="00660BD5" w:rsidRPr="00D85E09" w:rsidRDefault="00660BD5" w:rsidP="0043316B">
            <w:pPr>
              <w:pStyle w:val="Tabletext"/>
              <w:keepNext w:val="0"/>
              <w:widowControl w:val="0"/>
              <w:jc w:val="center"/>
            </w:pPr>
            <w:r w:rsidRPr="00D85E09">
              <w:sym w:font="Wingdings" w:char="F0FC"/>
            </w:r>
          </w:p>
        </w:tc>
        <w:tc>
          <w:tcPr>
            <w:tcW w:w="738" w:type="pct"/>
            <w:vAlign w:val="center"/>
          </w:tcPr>
          <w:p w14:paraId="4DB34EF5" w14:textId="7F674F18"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72E8FBD2" w14:textId="395237D7"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6F1199ED" w14:textId="22351125" w:rsidR="00660BD5" w:rsidRPr="00D85E09" w:rsidRDefault="00660BD5" w:rsidP="0043316B">
            <w:pPr>
              <w:pStyle w:val="Tabletext"/>
              <w:keepNext w:val="0"/>
              <w:widowControl w:val="0"/>
              <w:jc w:val="center"/>
            </w:pPr>
            <w:r w:rsidRPr="00D85E09">
              <w:sym w:font="Wingdings" w:char="F0FC"/>
            </w:r>
          </w:p>
        </w:tc>
      </w:tr>
      <w:tr w:rsidR="00660BD5" w:rsidRPr="00D85E09" w14:paraId="28029170" w14:textId="77777777" w:rsidTr="008C7DB5">
        <w:trPr>
          <w:trHeight w:val="20"/>
        </w:trPr>
        <w:tc>
          <w:tcPr>
            <w:tcW w:w="1314" w:type="pct"/>
          </w:tcPr>
          <w:p w14:paraId="4A2386FB" w14:textId="677687E3" w:rsidR="00660BD5" w:rsidRPr="00D85E09" w:rsidRDefault="00660BD5" w:rsidP="0043316B">
            <w:pPr>
              <w:pStyle w:val="Tabletext"/>
              <w:keepNext w:val="0"/>
              <w:widowControl w:val="0"/>
            </w:pPr>
            <w:r w:rsidRPr="00D85E09">
              <w:t>Subarachnoid haemorrhage</w:t>
            </w:r>
          </w:p>
        </w:tc>
        <w:tc>
          <w:tcPr>
            <w:tcW w:w="737" w:type="pct"/>
          </w:tcPr>
          <w:p w14:paraId="4FFE343B" w14:textId="2AEDE20C" w:rsidR="00660BD5" w:rsidRPr="00D85E09" w:rsidRDefault="00660BD5" w:rsidP="0043316B">
            <w:pPr>
              <w:pStyle w:val="Tabletext"/>
              <w:keepNext w:val="0"/>
              <w:widowControl w:val="0"/>
              <w:jc w:val="center"/>
            </w:pPr>
            <w:r w:rsidRPr="00D85E09">
              <w:sym w:font="Wingdings" w:char="F0FB"/>
            </w:r>
          </w:p>
        </w:tc>
        <w:tc>
          <w:tcPr>
            <w:tcW w:w="737" w:type="pct"/>
          </w:tcPr>
          <w:p w14:paraId="6626AE99" w14:textId="0DE1FF41" w:rsidR="00660BD5" w:rsidRPr="00D85E09" w:rsidRDefault="00660BD5" w:rsidP="0043316B">
            <w:pPr>
              <w:pStyle w:val="Tabletext"/>
              <w:keepNext w:val="0"/>
              <w:widowControl w:val="0"/>
              <w:jc w:val="center"/>
            </w:pPr>
            <w:r w:rsidRPr="00D85E09">
              <w:sym w:font="Wingdings" w:char="F0FB"/>
            </w:r>
          </w:p>
        </w:tc>
        <w:tc>
          <w:tcPr>
            <w:tcW w:w="738" w:type="pct"/>
            <w:vAlign w:val="center"/>
          </w:tcPr>
          <w:p w14:paraId="75050463" w14:textId="2F7B17AF"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5C863DE1" w14:textId="20485AEF"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2500BA94" w14:textId="12D54BCF" w:rsidR="00660BD5" w:rsidRPr="00D85E09" w:rsidRDefault="00660BD5" w:rsidP="0043316B">
            <w:pPr>
              <w:pStyle w:val="Tabletext"/>
              <w:keepNext w:val="0"/>
              <w:widowControl w:val="0"/>
              <w:jc w:val="center"/>
            </w:pPr>
            <w:r w:rsidRPr="00D85E09">
              <w:sym w:font="Wingdings" w:char="F0FC"/>
            </w:r>
          </w:p>
        </w:tc>
      </w:tr>
      <w:tr w:rsidR="00660BD5" w:rsidRPr="00D85E09" w14:paraId="01853F87" w14:textId="77777777" w:rsidTr="008C7DB5">
        <w:trPr>
          <w:trHeight w:val="20"/>
        </w:trPr>
        <w:tc>
          <w:tcPr>
            <w:tcW w:w="1314" w:type="pct"/>
          </w:tcPr>
          <w:p w14:paraId="27B00D87" w14:textId="1D6CF10A" w:rsidR="00660BD5" w:rsidRPr="00D85E09" w:rsidRDefault="00660BD5" w:rsidP="0043316B">
            <w:pPr>
              <w:pStyle w:val="Tabletext"/>
              <w:keepNext w:val="0"/>
              <w:widowControl w:val="0"/>
            </w:pPr>
            <w:r w:rsidRPr="00D85E09">
              <w:t>New ischaemic stroke</w:t>
            </w:r>
          </w:p>
        </w:tc>
        <w:tc>
          <w:tcPr>
            <w:tcW w:w="737" w:type="pct"/>
          </w:tcPr>
          <w:p w14:paraId="2803BA8E" w14:textId="1268D594" w:rsidR="00660BD5" w:rsidRPr="00D85E09" w:rsidRDefault="00660BD5" w:rsidP="0043316B">
            <w:pPr>
              <w:pStyle w:val="Tabletext"/>
              <w:keepNext w:val="0"/>
              <w:widowControl w:val="0"/>
              <w:jc w:val="center"/>
            </w:pPr>
            <w:r w:rsidRPr="00D85E09">
              <w:sym w:font="Wingdings" w:char="F0FB"/>
            </w:r>
          </w:p>
        </w:tc>
        <w:tc>
          <w:tcPr>
            <w:tcW w:w="737" w:type="pct"/>
          </w:tcPr>
          <w:p w14:paraId="3218A125" w14:textId="687E98C8" w:rsidR="00660BD5" w:rsidRPr="00D85E09" w:rsidRDefault="00660BD5" w:rsidP="0043316B">
            <w:pPr>
              <w:pStyle w:val="Tabletext"/>
              <w:keepNext w:val="0"/>
              <w:widowControl w:val="0"/>
              <w:jc w:val="center"/>
            </w:pPr>
            <w:r w:rsidRPr="00D85E09">
              <w:sym w:font="Wingdings" w:char="F0FB"/>
            </w:r>
          </w:p>
        </w:tc>
        <w:tc>
          <w:tcPr>
            <w:tcW w:w="738" w:type="pct"/>
            <w:vAlign w:val="center"/>
          </w:tcPr>
          <w:p w14:paraId="75EACDD2" w14:textId="56C85D4C"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4BE6F922" w14:textId="5FB01176" w:rsidR="00660BD5" w:rsidRPr="00D85E09" w:rsidRDefault="00660BD5" w:rsidP="0043316B">
            <w:pPr>
              <w:pStyle w:val="Tabletext"/>
              <w:keepNext w:val="0"/>
              <w:widowControl w:val="0"/>
              <w:jc w:val="center"/>
            </w:pPr>
            <w:r w:rsidRPr="00D85E09">
              <w:sym w:font="Wingdings" w:char="F0FC"/>
            </w:r>
          </w:p>
        </w:tc>
        <w:tc>
          <w:tcPr>
            <w:tcW w:w="737" w:type="pct"/>
            <w:vAlign w:val="center"/>
          </w:tcPr>
          <w:p w14:paraId="76F07353" w14:textId="68EE2C1D" w:rsidR="00660BD5" w:rsidRPr="00D85E09" w:rsidRDefault="00660BD5" w:rsidP="0043316B">
            <w:pPr>
              <w:pStyle w:val="Tabletext"/>
              <w:keepNext w:val="0"/>
              <w:widowControl w:val="0"/>
              <w:jc w:val="center"/>
            </w:pPr>
            <w:r w:rsidRPr="00D85E09">
              <w:sym w:font="Wingdings" w:char="F0FB"/>
            </w:r>
          </w:p>
        </w:tc>
      </w:tr>
    </w:tbl>
    <w:p w14:paraId="5A1278BE" w14:textId="77777777" w:rsidR="00315893" w:rsidRPr="00D85E09" w:rsidRDefault="00315893" w:rsidP="0043316B">
      <w:pPr>
        <w:pStyle w:val="Heading5"/>
        <w:widowControl w:val="0"/>
        <w:rPr>
          <w:lang w:val="en-AU"/>
        </w:rPr>
      </w:pPr>
      <w:r w:rsidRPr="00D85E09">
        <w:rPr>
          <w:lang w:val="en-AU"/>
        </w:rPr>
        <w:lastRenderedPageBreak/>
        <w:t>Modified Rankin Scale (mRS)</w:t>
      </w:r>
    </w:p>
    <w:p w14:paraId="11AEF714" w14:textId="14C8B015" w:rsidR="00315893" w:rsidRPr="00D85E09" w:rsidRDefault="00315893" w:rsidP="0043316B">
      <w:pPr>
        <w:widowControl w:val="0"/>
        <w:rPr>
          <w:i/>
        </w:rPr>
      </w:pPr>
      <w:r w:rsidRPr="00D85E09">
        <w:t>mRS is a global measure of disability and dependence that categorises the level of functional independence with reference to pre-stroke activities. It is widely applied for evaluating stroke patient outcomes. The scale comprises of seven grades ranging from 0 (no symptoms) to 6 (death). The mRS has excellent test-re-test reliability (Κ= 0.95) in acute stroke (Wolfe 1991). A minimally clinically important difference has not been established however it is widely accepted that a score ≤2 indicates functional independence. Many AIS studies utilise the mRS dichotomised as 0-1 vs. 2-6 or 0-2 vs. 3-6 to determine treatment success versus failure (</w:t>
      </w:r>
      <w:r w:rsidRPr="00D85E09">
        <w:fldChar w:fldCharType="begin"/>
      </w:r>
      <w:r w:rsidRPr="00D85E09">
        <w:instrText xml:space="preserve"> REF _Ref449353739 \h </w:instrText>
      </w:r>
      <w:r w:rsidRPr="00D85E09">
        <w:fldChar w:fldCharType="separate"/>
      </w:r>
      <w:r w:rsidR="00A456ED" w:rsidRPr="00D85E09">
        <w:t xml:space="preserve">Table </w:t>
      </w:r>
      <w:r w:rsidR="00A456ED">
        <w:rPr>
          <w:noProof/>
        </w:rPr>
        <w:t>25</w:t>
      </w:r>
      <w:r w:rsidRPr="00D85E09">
        <w:fldChar w:fldCharType="end"/>
      </w:r>
      <w:r w:rsidRPr="00D85E09">
        <w:t>).</w:t>
      </w:r>
    </w:p>
    <w:p w14:paraId="00497CE2" w14:textId="55C837D3" w:rsidR="00315893" w:rsidRPr="00D85E09" w:rsidRDefault="00315893" w:rsidP="0043316B">
      <w:pPr>
        <w:pStyle w:val="Caption"/>
        <w:keepNext w:val="0"/>
        <w:widowControl w:val="0"/>
        <w:rPr>
          <w:lang w:val="en-AU"/>
        </w:rPr>
      </w:pPr>
      <w:bookmarkStart w:id="258" w:name="_Ref449353739"/>
      <w:bookmarkStart w:id="259" w:name="_Toc45306536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25</w:t>
      </w:r>
      <w:r w:rsidRPr="00D85E09">
        <w:rPr>
          <w:lang w:val="en-AU"/>
        </w:rPr>
        <w:fldChar w:fldCharType="end"/>
      </w:r>
      <w:bookmarkEnd w:id="258"/>
      <w:r w:rsidRPr="00D85E09">
        <w:rPr>
          <w:lang w:val="en-AU"/>
        </w:rPr>
        <w:tab/>
        <w:t>Modified Rankin Scale (mRS)</w:t>
      </w:r>
      <w:bookmarkEnd w:id="259"/>
    </w:p>
    <w:tbl>
      <w:tblPr>
        <w:tblStyle w:val="TableGrid"/>
        <w:tblW w:w="0" w:type="auto"/>
        <w:tblLook w:val="04A0" w:firstRow="1" w:lastRow="0" w:firstColumn="1" w:lastColumn="0" w:noHBand="0" w:noVBand="1"/>
        <w:tblDescription w:val="Table 25. This table shows the Modified Rankin Scale (mRS)"/>
      </w:tblPr>
      <w:tblGrid>
        <w:gridCol w:w="1254"/>
        <w:gridCol w:w="1254"/>
        <w:gridCol w:w="1254"/>
        <w:gridCol w:w="1254"/>
        <w:gridCol w:w="1254"/>
        <w:gridCol w:w="1254"/>
        <w:gridCol w:w="1254"/>
      </w:tblGrid>
      <w:tr w:rsidR="00315893" w:rsidRPr="00D85E09" w14:paraId="3FDE9A1D" w14:textId="77777777" w:rsidTr="00BE6331">
        <w:trPr>
          <w:tblHeader/>
        </w:trPr>
        <w:tc>
          <w:tcPr>
            <w:tcW w:w="1254" w:type="dxa"/>
          </w:tcPr>
          <w:p w14:paraId="1E488993" w14:textId="77777777" w:rsidR="00315893" w:rsidRPr="00D85E09" w:rsidRDefault="00315893" w:rsidP="0043316B">
            <w:pPr>
              <w:pStyle w:val="Tabletext"/>
              <w:keepNext w:val="0"/>
              <w:widowControl w:val="0"/>
              <w:rPr>
                <w:b/>
              </w:rPr>
            </w:pPr>
            <w:r w:rsidRPr="00D85E09">
              <w:rPr>
                <w:b/>
              </w:rPr>
              <w:t>0</w:t>
            </w:r>
          </w:p>
        </w:tc>
        <w:tc>
          <w:tcPr>
            <w:tcW w:w="1254" w:type="dxa"/>
          </w:tcPr>
          <w:p w14:paraId="5FD28AF8" w14:textId="77777777" w:rsidR="00315893" w:rsidRPr="00D85E09" w:rsidRDefault="00315893" w:rsidP="0043316B">
            <w:pPr>
              <w:pStyle w:val="Tabletext"/>
              <w:keepNext w:val="0"/>
              <w:widowControl w:val="0"/>
              <w:rPr>
                <w:b/>
              </w:rPr>
            </w:pPr>
            <w:r w:rsidRPr="00D85E09">
              <w:rPr>
                <w:b/>
              </w:rPr>
              <w:t>1</w:t>
            </w:r>
          </w:p>
        </w:tc>
        <w:tc>
          <w:tcPr>
            <w:tcW w:w="1254" w:type="dxa"/>
          </w:tcPr>
          <w:p w14:paraId="2B2A27A8" w14:textId="77777777" w:rsidR="00315893" w:rsidRPr="00D85E09" w:rsidRDefault="00315893" w:rsidP="0043316B">
            <w:pPr>
              <w:pStyle w:val="Tabletext"/>
              <w:keepNext w:val="0"/>
              <w:widowControl w:val="0"/>
              <w:rPr>
                <w:b/>
              </w:rPr>
            </w:pPr>
            <w:r w:rsidRPr="00D85E09">
              <w:rPr>
                <w:b/>
              </w:rPr>
              <w:t>2</w:t>
            </w:r>
          </w:p>
        </w:tc>
        <w:tc>
          <w:tcPr>
            <w:tcW w:w="1254" w:type="dxa"/>
          </w:tcPr>
          <w:p w14:paraId="0B403086" w14:textId="77777777" w:rsidR="00315893" w:rsidRPr="00D85E09" w:rsidRDefault="00315893" w:rsidP="0043316B">
            <w:pPr>
              <w:pStyle w:val="Tabletext"/>
              <w:keepNext w:val="0"/>
              <w:widowControl w:val="0"/>
              <w:rPr>
                <w:b/>
              </w:rPr>
            </w:pPr>
            <w:r w:rsidRPr="00D85E09">
              <w:rPr>
                <w:b/>
              </w:rPr>
              <w:t>3</w:t>
            </w:r>
          </w:p>
        </w:tc>
        <w:tc>
          <w:tcPr>
            <w:tcW w:w="1254" w:type="dxa"/>
          </w:tcPr>
          <w:p w14:paraId="38924C03" w14:textId="77777777" w:rsidR="00315893" w:rsidRPr="00D85E09" w:rsidRDefault="00315893" w:rsidP="0043316B">
            <w:pPr>
              <w:pStyle w:val="Tabletext"/>
              <w:keepNext w:val="0"/>
              <w:widowControl w:val="0"/>
              <w:rPr>
                <w:b/>
              </w:rPr>
            </w:pPr>
            <w:r w:rsidRPr="00D85E09">
              <w:rPr>
                <w:b/>
              </w:rPr>
              <w:t>4</w:t>
            </w:r>
          </w:p>
        </w:tc>
        <w:tc>
          <w:tcPr>
            <w:tcW w:w="1254" w:type="dxa"/>
          </w:tcPr>
          <w:p w14:paraId="5F7AE5EE" w14:textId="77777777" w:rsidR="00315893" w:rsidRPr="00D85E09" w:rsidRDefault="00315893" w:rsidP="0043316B">
            <w:pPr>
              <w:pStyle w:val="Tabletext"/>
              <w:keepNext w:val="0"/>
              <w:widowControl w:val="0"/>
              <w:rPr>
                <w:b/>
              </w:rPr>
            </w:pPr>
            <w:r w:rsidRPr="00D85E09">
              <w:rPr>
                <w:b/>
              </w:rPr>
              <w:t>5</w:t>
            </w:r>
          </w:p>
        </w:tc>
        <w:tc>
          <w:tcPr>
            <w:tcW w:w="1254" w:type="dxa"/>
          </w:tcPr>
          <w:p w14:paraId="08D3C94F" w14:textId="77777777" w:rsidR="00315893" w:rsidRPr="00D85E09" w:rsidRDefault="00315893" w:rsidP="0043316B">
            <w:pPr>
              <w:pStyle w:val="Tabletext"/>
              <w:keepNext w:val="0"/>
              <w:widowControl w:val="0"/>
              <w:rPr>
                <w:b/>
              </w:rPr>
            </w:pPr>
            <w:r w:rsidRPr="00D85E09">
              <w:rPr>
                <w:b/>
              </w:rPr>
              <w:t>6</w:t>
            </w:r>
          </w:p>
        </w:tc>
      </w:tr>
      <w:tr w:rsidR="00315893" w:rsidRPr="00D85E09" w14:paraId="03BD266A" w14:textId="77777777" w:rsidTr="00465778">
        <w:tc>
          <w:tcPr>
            <w:tcW w:w="1254" w:type="dxa"/>
          </w:tcPr>
          <w:p w14:paraId="59CB3023" w14:textId="77777777" w:rsidR="00315893" w:rsidRPr="00D85E09" w:rsidRDefault="00315893" w:rsidP="0043316B">
            <w:pPr>
              <w:pStyle w:val="Tabletext"/>
              <w:keepNext w:val="0"/>
              <w:widowControl w:val="0"/>
            </w:pPr>
            <w:r w:rsidRPr="00D85E09">
              <w:t>No symptoms</w:t>
            </w:r>
          </w:p>
        </w:tc>
        <w:tc>
          <w:tcPr>
            <w:tcW w:w="1254" w:type="dxa"/>
          </w:tcPr>
          <w:p w14:paraId="6302943E" w14:textId="77777777" w:rsidR="00315893" w:rsidRPr="00D85E09" w:rsidRDefault="00315893" w:rsidP="0043316B">
            <w:pPr>
              <w:pStyle w:val="Tabletext"/>
              <w:keepNext w:val="0"/>
              <w:widowControl w:val="0"/>
            </w:pPr>
            <w:r w:rsidRPr="00D85E09">
              <w:t>No significant disability</w:t>
            </w:r>
          </w:p>
        </w:tc>
        <w:tc>
          <w:tcPr>
            <w:tcW w:w="1254" w:type="dxa"/>
          </w:tcPr>
          <w:p w14:paraId="74FDED14" w14:textId="77777777" w:rsidR="00315893" w:rsidRPr="00D85E09" w:rsidRDefault="00315893" w:rsidP="0043316B">
            <w:pPr>
              <w:pStyle w:val="Tabletext"/>
              <w:keepNext w:val="0"/>
              <w:widowControl w:val="0"/>
            </w:pPr>
            <w:r w:rsidRPr="00D85E09">
              <w:t>Slight disability</w:t>
            </w:r>
          </w:p>
        </w:tc>
        <w:tc>
          <w:tcPr>
            <w:tcW w:w="1254" w:type="dxa"/>
          </w:tcPr>
          <w:p w14:paraId="4C7D214F" w14:textId="77777777" w:rsidR="00315893" w:rsidRPr="00D85E09" w:rsidRDefault="00315893" w:rsidP="0043316B">
            <w:pPr>
              <w:pStyle w:val="Tabletext"/>
              <w:keepNext w:val="0"/>
              <w:widowControl w:val="0"/>
            </w:pPr>
            <w:r w:rsidRPr="00D85E09">
              <w:t>Moderate disability</w:t>
            </w:r>
          </w:p>
        </w:tc>
        <w:tc>
          <w:tcPr>
            <w:tcW w:w="1254" w:type="dxa"/>
          </w:tcPr>
          <w:p w14:paraId="7773B614" w14:textId="77777777" w:rsidR="00315893" w:rsidRPr="00D85E09" w:rsidRDefault="00315893" w:rsidP="0043316B">
            <w:pPr>
              <w:pStyle w:val="Tabletext"/>
              <w:keepNext w:val="0"/>
              <w:widowControl w:val="0"/>
            </w:pPr>
            <w:r w:rsidRPr="00D85E09">
              <w:t>Moderately severe disability</w:t>
            </w:r>
          </w:p>
        </w:tc>
        <w:tc>
          <w:tcPr>
            <w:tcW w:w="1254" w:type="dxa"/>
          </w:tcPr>
          <w:p w14:paraId="2D1D0A10" w14:textId="77777777" w:rsidR="00315893" w:rsidRPr="00D85E09" w:rsidRDefault="00315893" w:rsidP="0043316B">
            <w:pPr>
              <w:pStyle w:val="Tabletext"/>
              <w:keepNext w:val="0"/>
              <w:widowControl w:val="0"/>
            </w:pPr>
            <w:r w:rsidRPr="00D85E09">
              <w:t>Severe disability</w:t>
            </w:r>
          </w:p>
        </w:tc>
        <w:tc>
          <w:tcPr>
            <w:tcW w:w="1254" w:type="dxa"/>
          </w:tcPr>
          <w:p w14:paraId="4E17D7C3" w14:textId="77777777" w:rsidR="00315893" w:rsidRPr="00D85E09" w:rsidRDefault="00315893" w:rsidP="0043316B">
            <w:pPr>
              <w:pStyle w:val="Tabletext"/>
              <w:keepNext w:val="0"/>
              <w:widowControl w:val="0"/>
            </w:pPr>
            <w:r w:rsidRPr="00D85E09">
              <w:t>Dead</w:t>
            </w:r>
          </w:p>
        </w:tc>
      </w:tr>
      <w:tr w:rsidR="00315893" w:rsidRPr="00D85E09" w14:paraId="1EDA3C8B" w14:textId="77777777" w:rsidTr="00465778">
        <w:tc>
          <w:tcPr>
            <w:tcW w:w="1254" w:type="dxa"/>
          </w:tcPr>
          <w:p w14:paraId="0A776A6E" w14:textId="77777777" w:rsidR="00315893" w:rsidRPr="00D85E09" w:rsidRDefault="00315893" w:rsidP="0043316B">
            <w:pPr>
              <w:pStyle w:val="Tabletext"/>
              <w:keepNext w:val="0"/>
              <w:widowControl w:val="0"/>
            </w:pPr>
          </w:p>
        </w:tc>
        <w:tc>
          <w:tcPr>
            <w:tcW w:w="1254" w:type="dxa"/>
          </w:tcPr>
          <w:p w14:paraId="223AC119" w14:textId="77777777" w:rsidR="00315893" w:rsidRPr="00D85E09" w:rsidRDefault="00315893" w:rsidP="0043316B">
            <w:pPr>
              <w:pStyle w:val="Tabletext"/>
              <w:keepNext w:val="0"/>
              <w:widowControl w:val="0"/>
            </w:pPr>
            <w:r w:rsidRPr="00D85E09">
              <w:t>Able to carry out all usual activities, despite some symptoms</w:t>
            </w:r>
          </w:p>
        </w:tc>
        <w:tc>
          <w:tcPr>
            <w:tcW w:w="1254" w:type="dxa"/>
          </w:tcPr>
          <w:p w14:paraId="430EAC55" w14:textId="77777777" w:rsidR="00315893" w:rsidRPr="00D85E09" w:rsidRDefault="00315893" w:rsidP="0043316B">
            <w:pPr>
              <w:pStyle w:val="Tabletext"/>
              <w:keepNext w:val="0"/>
              <w:widowControl w:val="0"/>
            </w:pPr>
            <w:r w:rsidRPr="00D85E09">
              <w:t>Able to look after own affairs without assistance, but unable to carry out all previous activities</w:t>
            </w:r>
          </w:p>
        </w:tc>
        <w:tc>
          <w:tcPr>
            <w:tcW w:w="1254" w:type="dxa"/>
          </w:tcPr>
          <w:p w14:paraId="24F600F6" w14:textId="77777777" w:rsidR="00315893" w:rsidRPr="00D85E09" w:rsidRDefault="00315893" w:rsidP="0043316B">
            <w:pPr>
              <w:pStyle w:val="Tabletext"/>
              <w:keepNext w:val="0"/>
              <w:widowControl w:val="0"/>
            </w:pPr>
            <w:r w:rsidRPr="00D85E09">
              <w:t>Requires some help, but able to walk unassisted</w:t>
            </w:r>
          </w:p>
        </w:tc>
        <w:tc>
          <w:tcPr>
            <w:tcW w:w="1254" w:type="dxa"/>
          </w:tcPr>
          <w:p w14:paraId="0C8FAD2B" w14:textId="77777777" w:rsidR="00315893" w:rsidRPr="00D85E09" w:rsidRDefault="00315893" w:rsidP="0043316B">
            <w:pPr>
              <w:pStyle w:val="Tabletext"/>
              <w:keepNext w:val="0"/>
              <w:widowControl w:val="0"/>
            </w:pPr>
            <w:r w:rsidRPr="00D85E09">
              <w:t>Unable to attend to own bodily needs without assistance, and unable to walk unassisted</w:t>
            </w:r>
          </w:p>
        </w:tc>
        <w:tc>
          <w:tcPr>
            <w:tcW w:w="1254" w:type="dxa"/>
          </w:tcPr>
          <w:p w14:paraId="7EF30F40" w14:textId="77777777" w:rsidR="00315893" w:rsidRPr="00D85E09" w:rsidRDefault="00315893" w:rsidP="0043316B">
            <w:pPr>
              <w:pStyle w:val="Tabletext"/>
              <w:keepNext w:val="0"/>
              <w:widowControl w:val="0"/>
            </w:pPr>
            <w:r w:rsidRPr="00D85E09">
              <w:t>Requires constant nursing care and attention, bedridden, incontinent</w:t>
            </w:r>
          </w:p>
        </w:tc>
        <w:tc>
          <w:tcPr>
            <w:tcW w:w="1254" w:type="dxa"/>
          </w:tcPr>
          <w:p w14:paraId="4D9D1923" w14:textId="77777777" w:rsidR="00315893" w:rsidRPr="00D85E09" w:rsidRDefault="00315893" w:rsidP="0043316B">
            <w:pPr>
              <w:pStyle w:val="Tabletext"/>
              <w:keepNext w:val="0"/>
              <w:widowControl w:val="0"/>
            </w:pPr>
          </w:p>
        </w:tc>
      </w:tr>
      <w:tr w:rsidR="00315893" w:rsidRPr="00D85E09" w14:paraId="2BAFB7EE" w14:textId="77777777" w:rsidTr="00465778">
        <w:tc>
          <w:tcPr>
            <w:tcW w:w="3762" w:type="dxa"/>
            <w:gridSpan w:val="3"/>
          </w:tcPr>
          <w:p w14:paraId="35515865" w14:textId="77777777" w:rsidR="00315893" w:rsidRPr="00D85E09" w:rsidRDefault="00315893" w:rsidP="0043316B">
            <w:pPr>
              <w:pStyle w:val="Tabletext"/>
              <w:keepNext w:val="0"/>
              <w:widowControl w:val="0"/>
              <w:jc w:val="center"/>
              <w:rPr>
                <w:b/>
              </w:rPr>
            </w:pPr>
            <w:r w:rsidRPr="00D85E09">
              <w:rPr>
                <w:rFonts w:cs="Calibri-Bold"/>
                <w:b/>
                <w:bCs/>
                <w:lang w:eastAsia="en-AU"/>
              </w:rPr>
              <w:t>SUCCESS</w:t>
            </w:r>
          </w:p>
        </w:tc>
        <w:tc>
          <w:tcPr>
            <w:tcW w:w="5016" w:type="dxa"/>
            <w:gridSpan w:val="4"/>
          </w:tcPr>
          <w:p w14:paraId="0CB8E181" w14:textId="77777777" w:rsidR="00315893" w:rsidRPr="00D85E09" w:rsidRDefault="00315893" w:rsidP="0043316B">
            <w:pPr>
              <w:pStyle w:val="Tabletext"/>
              <w:keepNext w:val="0"/>
              <w:widowControl w:val="0"/>
              <w:jc w:val="center"/>
              <w:rPr>
                <w:b/>
              </w:rPr>
            </w:pPr>
            <w:r w:rsidRPr="00D85E09">
              <w:rPr>
                <w:rFonts w:cs="Calibri-Bold"/>
                <w:b/>
                <w:bCs/>
                <w:lang w:eastAsia="en-AU"/>
              </w:rPr>
              <w:t>FAILURE</w:t>
            </w:r>
          </w:p>
        </w:tc>
      </w:tr>
    </w:tbl>
    <w:p w14:paraId="6F20FA00" w14:textId="77777777" w:rsidR="00315893" w:rsidRPr="00D85E09" w:rsidRDefault="00315893" w:rsidP="0043316B">
      <w:pPr>
        <w:pStyle w:val="Heading5"/>
        <w:widowControl w:val="0"/>
        <w:rPr>
          <w:lang w:val="en-AU"/>
        </w:rPr>
      </w:pPr>
      <w:r w:rsidRPr="00D85E09">
        <w:rPr>
          <w:lang w:val="en-AU"/>
        </w:rPr>
        <w:t>Mortality at 90 days</w:t>
      </w:r>
    </w:p>
    <w:p w14:paraId="5F23D4AC" w14:textId="77777777" w:rsidR="00315893" w:rsidRPr="00D85E09" w:rsidRDefault="00315893" w:rsidP="0043316B">
      <w:pPr>
        <w:widowControl w:val="0"/>
      </w:pPr>
      <w:r w:rsidRPr="00D85E09">
        <w:t>Mortality at 90 days is reported in all trials and is captured as an mRS score of 6. Mortality in general can occur as an outcome of stroke or as a side effect of treatment procedure complication (e.g. ICH).</w:t>
      </w:r>
    </w:p>
    <w:p w14:paraId="7CA2C24B" w14:textId="77777777" w:rsidR="00315893" w:rsidRPr="00D85E09" w:rsidRDefault="00315893" w:rsidP="0043316B">
      <w:pPr>
        <w:pStyle w:val="Heading5"/>
        <w:widowControl w:val="0"/>
        <w:rPr>
          <w:lang w:val="en-AU"/>
        </w:rPr>
      </w:pPr>
      <w:r w:rsidRPr="00D85E09">
        <w:rPr>
          <w:lang w:val="en-AU"/>
        </w:rPr>
        <w:t>National Institutues of Health Stroke Scale (NIHSS)</w:t>
      </w:r>
    </w:p>
    <w:p w14:paraId="0B04A219" w14:textId="78DEFA92" w:rsidR="00315893" w:rsidRPr="00D85E09" w:rsidRDefault="00315893" w:rsidP="0043316B">
      <w:pPr>
        <w:widowControl w:val="0"/>
      </w:pPr>
      <w:r w:rsidRPr="00D85E09">
        <w:t>The NIHSS is a reliable, valid and responsive tool that quantifies the severity of neurological impairment post</w:t>
      </w:r>
      <w:r w:rsidR="00300BB6" w:rsidRPr="00D85E09">
        <w:t>-</w:t>
      </w:r>
      <w:r w:rsidRPr="00D85E09">
        <w:t>stroke. It was originally developed in 1989 and is now a widely used outcome measure in stroke trials. In the current National Stroke Foundation guidelines, the NIHSS is recommended as a valid tool to assess stroke severity in emergency departments.</w:t>
      </w:r>
    </w:p>
    <w:p w14:paraId="4BCB4D75" w14:textId="36F40A5B" w:rsidR="00315893" w:rsidRPr="00D85E09" w:rsidRDefault="00315893" w:rsidP="0043316B">
      <w:pPr>
        <w:widowControl w:val="0"/>
      </w:pPr>
      <w:r w:rsidRPr="00D85E09">
        <w:t>The NIHSS is composed of 15-item impairment scale and assesses level of consciousness, extraocular movements, visual fields, facial muscle function, extremity strength, sensory function, coordination (ataxia), language (aphasia), speech (dysarthria), and hemi-inattention (neglect) (Lyden, Lu, &amp; Jackson, 1999).</w:t>
      </w:r>
    </w:p>
    <w:p w14:paraId="51675A12" w14:textId="65284B5A" w:rsidR="00315893" w:rsidRPr="00D85E09" w:rsidRDefault="00315893" w:rsidP="0043316B">
      <w:pPr>
        <w:widowControl w:val="0"/>
      </w:pPr>
      <w:r w:rsidRPr="00D85E09">
        <w:lastRenderedPageBreak/>
        <w:t xml:space="preserve">Each impairment is scored on an ordinal scale ranging from 0 to 2, 0 to 3, or 0 to 4. A score of 0 typically indicates normal function, while a higher score is indicative of some level of impairment. The individual scores from each item are summed in order to calculate a patient's total NIHSS score. The maximum possible score is 42, with the minimum score being a 0. The MCID of the NIHSS has not been established. Stroke severity may be stratified on the basis of NIHSS scores as shown in </w:t>
      </w:r>
      <w:r w:rsidRPr="00D85E09">
        <w:fldChar w:fldCharType="begin"/>
      </w:r>
      <w:r w:rsidRPr="00D85E09">
        <w:instrText xml:space="preserve"> REF _Ref450830747 \h </w:instrText>
      </w:r>
      <w:r w:rsidRPr="00D85E09">
        <w:fldChar w:fldCharType="separate"/>
      </w:r>
      <w:r w:rsidR="00A456ED" w:rsidRPr="00D85E09">
        <w:t xml:space="preserve">Table </w:t>
      </w:r>
      <w:r w:rsidR="00A456ED">
        <w:rPr>
          <w:noProof/>
        </w:rPr>
        <w:t>26</w:t>
      </w:r>
      <w:r w:rsidRPr="00D85E09">
        <w:fldChar w:fldCharType="end"/>
      </w:r>
      <w:r w:rsidRPr="00D85E09">
        <w:t xml:space="preserve"> (Brott et al, 1989).</w:t>
      </w:r>
    </w:p>
    <w:p w14:paraId="04F732D8" w14:textId="4BFD6328" w:rsidR="00315893" w:rsidRPr="00D85E09" w:rsidRDefault="00315893" w:rsidP="0043316B">
      <w:pPr>
        <w:pStyle w:val="Caption"/>
        <w:keepNext w:val="0"/>
        <w:widowControl w:val="0"/>
        <w:rPr>
          <w:lang w:val="en-AU"/>
        </w:rPr>
      </w:pPr>
      <w:bookmarkStart w:id="260" w:name="_Ref450830747"/>
      <w:bookmarkStart w:id="261" w:name="_Toc45306536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26</w:t>
      </w:r>
      <w:r w:rsidRPr="00D85E09">
        <w:rPr>
          <w:lang w:val="en-AU"/>
        </w:rPr>
        <w:fldChar w:fldCharType="end"/>
      </w:r>
      <w:bookmarkEnd w:id="260"/>
      <w:r w:rsidRPr="00D85E09">
        <w:rPr>
          <w:lang w:val="en-AU"/>
        </w:rPr>
        <w:tab/>
        <w:t>NIHSS scores</w:t>
      </w:r>
      <w:bookmarkEnd w:id="261"/>
    </w:p>
    <w:tbl>
      <w:tblPr>
        <w:tblStyle w:val="TableGrid"/>
        <w:tblW w:w="0" w:type="auto"/>
        <w:tblLook w:val="04A0" w:firstRow="1" w:lastRow="0" w:firstColumn="1" w:lastColumn="0" w:noHBand="0" w:noVBand="1"/>
        <w:tblDescription w:val="Table 26. National Institutues of Health Stroke Scale (NIHSS) scores"/>
      </w:tblPr>
      <w:tblGrid>
        <w:gridCol w:w="4389"/>
        <w:gridCol w:w="4389"/>
      </w:tblGrid>
      <w:tr w:rsidR="00315893" w:rsidRPr="00D85E09" w14:paraId="11C7FC46" w14:textId="77777777" w:rsidTr="00BE6331">
        <w:trPr>
          <w:tblHeader/>
        </w:trPr>
        <w:tc>
          <w:tcPr>
            <w:tcW w:w="4389" w:type="dxa"/>
          </w:tcPr>
          <w:p w14:paraId="1A6634D4"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 xml:space="preserve">Very Severe: </w:t>
            </w:r>
          </w:p>
        </w:tc>
        <w:tc>
          <w:tcPr>
            <w:tcW w:w="4389" w:type="dxa"/>
          </w:tcPr>
          <w:p w14:paraId="5E0570DF"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 xml:space="preserve">&gt;25 </w:t>
            </w:r>
          </w:p>
        </w:tc>
      </w:tr>
      <w:tr w:rsidR="00315893" w:rsidRPr="00D85E09" w14:paraId="349057EF" w14:textId="77777777" w:rsidTr="00465778">
        <w:tc>
          <w:tcPr>
            <w:tcW w:w="4389" w:type="dxa"/>
          </w:tcPr>
          <w:p w14:paraId="4025B410"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Severe:</w:t>
            </w:r>
          </w:p>
        </w:tc>
        <w:tc>
          <w:tcPr>
            <w:tcW w:w="4389" w:type="dxa"/>
          </w:tcPr>
          <w:p w14:paraId="0179B138"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15 – 24</w:t>
            </w:r>
          </w:p>
        </w:tc>
      </w:tr>
      <w:tr w:rsidR="00315893" w:rsidRPr="00D85E09" w14:paraId="674C9CF9" w14:textId="77777777" w:rsidTr="00465778">
        <w:tc>
          <w:tcPr>
            <w:tcW w:w="4389" w:type="dxa"/>
          </w:tcPr>
          <w:p w14:paraId="208A3435"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Mild to Moderately Severe:</w:t>
            </w:r>
          </w:p>
        </w:tc>
        <w:tc>
          <w:tcPr>
            <w:tcW w:w="4389" w:type="dxa"/>
          </w:tcPr>
          <w:p w14:paraId="7101A610"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 xml:space="preserve">5 – 14 </w:t>
            </w:r>
          </w:p>
        </w:tc>
      </w:tr>
      <w:tr w:rsidR="00315893" w:rsidRPr="00D85E09" w14:paraId="5794BE46" w14:textId="77777777" w:rsidTr="00465778">
        <w:tc>
          <w:tcPr>
            <w:tcW w:w="4389" w:type="dxa"/>
          </w:tcPr>
          <w:p w14:paraId="012EE6EF"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Mild:</w:t>
            </w:r>
          </w:p>
        </w:tc>
        <w:tc>
          <w:tcPr>
            <w:tcW w:w="4389" w:type="dxa"/>
          </w:tcPr>
          <w:p w14:paraId="7F5E1691"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1 – 5</w:t>
            </w:r>
          </w:p>
        </w:tc>
      </w:tr>
    </w:tbl>
    <w:p w14:paraId="005463B7" w14:textId="77777777" w:rsidR="00315893" w:rsidRPr="00D85E09" w:rsidRDefault="00315893" w:rsidP="0043316B">
      <w:pPr>
        <w:pStyle w:val="Heading5"/>
        <w:widowControl w:val="0"/>
        <w:rPr>
          <w:lang w:val="en-AU"/>
        </w:rPr>
      </w:pPr>
      <w:r w:rsidRPr="00D85E09">
        <w:rPr>
          <w:lang w:val="en-AU"/>
        </w:rPr>
        <w:t>Barthel Index</w:t>
      </w:r>
    </w:p>
    <w:p w14:paraId="4082269E" w14:textId="77777777" w:rsidR="00315893" w:rsidRPr="00D85E09" w:rsidRDefault="00315893" w:rsidP="0043316B">
      <w:pPr>
        <w:widowControl w:val="0"/>
        <w:rPr>
          <w:rFonts w:ascii="Verdana" w:hAnsi="Verdana" w:cs="Times New Roman"/>
          <w:color w:val="000000"/>
          <w:sz w:val="17"/>
          <w:szCs w:val="17"/>
          <w:lang w:eastAsia="en-AU"/>
        </w:rPr>
      </w:pPr>
      <w:r w:rsidRPr="00D85E09">
        <w:t>The Barthel Index assesses the ability of an individual with a neuromuscular or musculoskeletal disorder to care for him/herself by measuring the ability to perform the activities of daily living. There are 10 activities of daily living/mobility that the Barthel Index assesses: feeding, bathing, grooming, dressing, bowel control, bladder control, toileting, chair transfer, ambulation, and stair climbing. Items are rated based on the amount of assistance required to complete each activity. The index ranges from 0 (severe disability) to 100 (no disability) with a higher score indicating good performance of the activities of daily living. In a Taiwanese sample of patients (n=43), with a mean age of 55.4 years and mean time since stroke of 7.04 days, the minimally clinical important difference was determined to be 1.85 points of the Barthel Index (Hsieh 2007).</w:t>
      </w:r>
    </w:p>
    <w:p w14:paraId="5C104BA6" w14:textId="77777777" w:rsidR="00315893" w:rsidRPr="00D85E09" w:rsidRDefault="00315893" w:rsidP="0043316B">
      <w:pPr>
        <w:pStyle w:val="Heading5"/>
        <w:widowControl w:val="0"/>
        <w:rPr>
          <w:lang w:val="en-AU"/>
        </w:rPr>
      </w:pPr>
      <w:r w:rsidRPr="00D85E09">
        <w:rPr>
          <w:lang w:val="en-AU"/>
        </w:rPr>
        <w:t>Revascularisation</w:t>
      </w:r>
    </w:p>
    <w:p w14:paraId="7832F5C5" w14:textId="7F8A6145" w:rsidR="00315893" w:rsidRPr="00D85E09" w:rsidRDefault="00315893" w:rsidP="0043316B">
      <w:pPr>
        <w:widowControl w:val="0"/>
      </w:pPr>
      <w:r w:rsidRPr="00D85E09">
        <w:t>The thrombolysis in cerebral infarction (TICI) grading system (</w:t>
      </w:r>
      <w:r w:rsidRPr="00D85E09">
        <w:fldChar w:fldCharType="begin"/>
      </w:r>
      <w:r w:rsidRPr="00D85E09">
        <w:instrText xml:space="preserve"> REF _Ref449355707 \h </w:instrText>
      </w:r>
      <w:r w:rsidRPr="00D85E09">
        <w:fldChar w:fldCharType="separate"/>
      </w:r>
      <w:r w:rsidR="00A456ED" w:rsidRPr="00D85E09">
        <w:t xml:space="preserve">Table </w:t>
      </w:r>
      <w:r w:rsidR="00A456ED">
        <w:rPr>
          <w:noProof/>
        </w:rPr>
        <w:t>27</w:t>
      </w:r>
      <w:r w:rsidRPr="00D85E09">
        <w:fldChar w:fldCharType="end"/>
      </w:r>
      <w:r w:rsidRPr="00D85E09">
        <w:t>) is a tool used determining the response of thrombolytic therapy for ischaemic stroke. In neurointerventional radiology it is usually used for patients post endovascular revascularisation. Like most therapy response grading systems, it predicts prognosis. The TICI ranges from grade 0 (no perfusion) to grade 3 (complete perfusion) (Higashida 2003).</w:t>
      </w:r>
    </w:p>
    <w:p w14:paraId="560B77EF" w14:textId="012FAC51" w:rsidR="00315893" w:rsidRPr="00D85E09" w:rsidRDefault="00315893" w:rsidP="0043316B">
      <w:pPr>
        <w:widowControl w:val="0"/>
      </w:pPr>
      <w:r w:rsidRPr="00D85E09">
        <w:t xml:space="preserve">A consensus paper from three collaborative groups published in Stroke in 2013, recommended a modified scale, and a change of name from TICI to modified Treatment in Cerebral Infarction (mTICI), to better reflect the increased use of endovascular therapies. Both the TICI and mTICI grading systems are presented in </w:t>
      </w:r>
      <w:r w:rsidRPr="00D85E09">
        <w:fldChar w:fldCharType="begin"/>
      </w:r>
      <w:r w:rsidRPr="00D85E09">
        <w:instrText xml:space="preserve"> REF _Ref449355707 \h </w:instrText>
      </w:r>
      <w:r w:rsidRPr="00D85E09">
        <w:fldChar w:fldCharType="separate"/>
      </w:r>
      <w:r w:rsidR="00A456ED" w:rsidRPr="00D85E09">
        <w:t xml:space="preserve">Table </w:t>
      </w:r>
      <w:r w:rsidR="00A456ED">
        <w:rPr>
          <w:noProof/>
        </w:rPr>
        <w:t>27</w:t>
      </w:r>
      <w:r w:rsidRPr="00D85E09">
        <w:fldChar w:fldCharType="end"/>
      </w:r>
      <w:r w:rsidRPr="00D85E09">
        <w:t>.</w:t>
      </w:r>
    </w:p>
    <w:p w14:paraId="1104DEEC" w14:textId="6677E677" w:rsidR="00315893" w:rsidRPr="00D85E09" w:rsidRDefault="00315893" w:rsidP="0043316B">
      <w:pPr>
        <w:pStyle w:val="Caption"/>
        <w:keepNext w:val="0"/>
        <w:widowControl w:val="0"/>
        <w:rPr>
          <w:lang w:val="en-AU"/>
        </w:rPr>
      </w:pPr>
      <w:bookmarkStart w:id="262" w:name="_Ref449355707"/>
      <w:bookmarkStart w:id="263" w:name="_Toc453065363"/>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27</w:t>
      </w:r>
      <w:r w:rsidRPr="00D85E09">
        <w:rPr>
          <w:lang w:val="en-AU"/>
        </w:rPr>
        <w:fldChar w:fldCharType="end"/>
      </w:r>
      <w:bookmarkEnd w:id="262"/>
      <w:r w:rsidRPr="00D85E09">
        <w:rPr>
          <w:lang w:val="en-AU"/>
        </w:rPr>
        <w:tab/>
        <w:t>Revascularisation grading systems</w:t>
      </w:r>
      <w:bookmarkEnd w:id="263"/>
    </w:p>
    <w:tbl>
      <w:tblPr>
        <w:tblStyle w:val="TableGrid"/>
        <w:tblW w:w="0" w:type="auto"/>
        <w:tblLook w:val="04A0" w:firstRow="1" w:lastRow="0" w:firstColumn="1" w:lastColumn="0" w:noHBand="0" w:noVBand="1"/>
        <w:tblDescription w:val="Table 27. This table shows Revascularisation grading systems"/>
      </w:tblPr>
      <w:tblGrid>
        <w:gridCol w:w="959"/>
        <w:gridCol w:w="4022"/>
        <w:gridCol w:w="4023"/>
      </w:tblGrid>
      <w:tr w:rsidR="00315893" w:rsidRPr="00D85E09" w14:paraId="236F9448" w14:textId="77777777" w:rsidTr="00BE6331">
        <w:trPr>
          <w:tblHeader/>
        </w:trPr>
        <w:tc>
          <w:tcPr>
            <w:tcW w:w="959" w:type="dxa"/>
            <w:shd w:val="clear" w:color="auto" w:fill="FFFFFF" w:themeFill="background1"/>
          </w:tcPr>
          <w:p w14:paraId="02E8C813" w14:textId="77777777" w:rsidR="00315893" w:rsidRPr="00D85E09" w:rsidRDefault="00315893" w:rsidP="0043316B">
            <w:pPr>
              <w:widowControl w:val="0"/>
              <w:spacing w:before="60" w:after="80" w:line="240" w:lineRule="auto"/>
              <w:rPr>
                <w:rFonts w:ascii="Arial Narrow" w:hAnsi="Arial Narrow"/>
                <w:b/>
                <w:sz w:val="20"/>
                <w:szCs w:val="20"/>
              </w:rPr>
            </w:pPr>
            <w:r w:rsidRPr="00D85E09">
              <w:rPr>
                <w:rFonts w:ascii="Arial Narrow" w:hAnsi="Arial Narrow"/>
                <w:b/>
                <w:sz w:val="20"/>
                <w:szCs w:val="20"/>
              </w:rPr>
              <w:t>Grade</w:t>
            </w:r>
          </w:p>
        </w:tc>
        <w:tc>
          <w:tcPr>
            <w:tcW w:w="4022" w:type="dxa"/>
            <w:shd w:val="clear" w:color="auto" w:fill="FFFFFF" w:themeFill="background1"/>
          </w:tcPr>
          <w:p w14:paraId="37502731" w14:textId="77777777" w:rsidR="00315893" w:rsidRPr="00D85E09" w:rsidRDefault="00315893" w:rsidP="0043316B">
            <w:pPr>
              <w:widowControl w:val="0"/>
              <w:spacing w:before="60" w:after="80" w:line="240" w:lineRule="auto"/>
              <w:rPr>
                <w:rFonts w:ascii="Arial Narrow" w:hAnsi="Arial Narrow"/>
                <w:b/>
                <w:sz w:val="20"/>
                <w:szCs w:val="20"/>
              </w:rPr>
            </w:pPr>
            <w:r w:rsidRPr="00D85E09">
              <w:rPr>
                <w:rFonts w:ascii="Arial Narrow" w:hAnsi="Arial Narrow"/>
                <w:b/>
                <w:sz w:val="20"/>
                <w:szCs w:val="20"/>
              </w:rPr>
              <w:t>TICI</w:t>
            </w:r>
          </w:p>
        </w:tc>
        <w:tc>
          <w:tcPr>
            <w:tcW w:w="4023" w:type="dxa"/>
            <w:shd w:val="clear" w:color="auto" w:fill="FFFFFF" w:themeFill="background1"/>
          </w:tcPr>
          <w:p w14:paraId="18FC55AD" w14:textId="77777777" w:rsidR="00315893" w:rsidRPr="00D85E09" w:rsidRDefault="00315893" w:rsidP="0043316B">
            <w:pPr>
              <w:widowControl w:val="0"/>
              <w:spacing w:before="60" w:after="80" w:line="240" w:lineRule="auto"/>
              <w:rPr>
                <w:rFonts w:ascii="Arial Narrow" w:hAnsi="Arial Narrow"/>
                <w:b/>
                <w:sz w:val="20"/>
                <w:szCs w:val="20"/>
              </w:rPr>
            </w:pPr>
            <w:r w:rsidRPr="00D85E09">
              <w:rPr>
                <w:rFonts w:ascii="Arial Narrow" w:hAnsi="Arial Narrow"/>
                <w:b/>
                <w:sz w:val="20"/>
                <w:szCs w:val="20"/>
              </w:rPr>
              <w:t>mTICI</w:t>
            </w:r>
          </w:p>
        </w:tc>
      </w:tr>
      <w:tr w:rsidR="00315893" w:rsidRPr="00D85E09" w14:paraId="143A20D2" w14:textId="77777777" w:rsidTr="00465778">
        <w:tc>
          <w:tcPr>
            <w:tcW w:w="959" w:type="dxa"/>
          </w:tcPr>
          <w:p w14:paraId="0A985E1C"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Grade 0</w:t>
            </w:r>
          </w:p>
        </w:tc>
        <w:tc>
          <w:tcPr>
            <w:tcW w:w="4022" w:type="dxa"/>
          </w:tcPr>
          <w:p w14:paraId="125F0462"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No perfusion</w:t>
            </w:r>
          </w:p>
        </w:tc>
        <w:tc>
          <w:tcPr>
            <w:tcW w:w="4023" w:type="dxa"/>
          </w:tcPr>
          <w:p w14:paraId="6237DD85"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No perfusion</w:t>
            </w:r>
          </w:p>
        </w:tc>
      </w:tr>
      <w:tr w:rsidR="00315893" w:rsidRPr="00D85E09" w14:paraId="62F33C79" w14:textId="77777777" w:rsidTr="00465778">
        <w:tc>
          <w:tcPr>
            <w:tcW w:w="959" w:type="dxa"/>
          </w:tcPr>
          <w:p w14:paraId="1509C22D"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Grade 1</w:t>
            </w:r>
          </w:p>
        </w:tc>
        <w:tc>
          <w:tcPr>
            <w:tcW w:w="4022" w:type="dxa"/>
          </w:tcPr>
          <w:p w14:paraId="326B006E"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 xml:space="preserve">Penetration with minimal perfusion. The contrast material fails to pacify the entire cerebral bed distal to the obstruction for the duration of the angiographic run. </w:t>
            </w:r>
          </w:p>
        </w:tc>
        <w:tc>
          <w:tcPr>
            <w:tcW w:w="4023" w:type="dxa"/>
          </w:tcPr>
          <w:p w14:paraId="4DFC4BC2"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Antegrade reperfusion past the initial occlusion, but limited distal branch filling with little or slow distal reperfusion.</w:t>
            </w:r>
          </w:p>
        </w:tc>
      </w:tr>
      <w:tr w:rsidR="00315893" w:rsidRPr="00D85E09" w14:paraId="57C8EA53" w14:textId="77777777" w:rsidTr="00465778">
        <w:tc>
          <w:tcPr>
            <w:tcW w:w="959" w:type="dxa"/>
          </w:tcPr>
          <w:p w14:paraId="2863D67C"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Grade 2a</w:t>
            </w:r>
          </w:p>
        </w:tc>
        <w:tc>
          <w:tcPr>
            <w:tcW w:w="4022" w:type="dxa"/>
          </w:tcPr>
          <w:p w14:paraId="19281570" w14:textId="5DA21A99"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cs="TimesNewRomanPSMT"/>
                <w:color w:val="231F20"/>
                <w:sz w:val="20"/>
                <w:szCs w:val="20"/>
                <w:lang w:eastAsia="en-AU"/>
              </w:rPr>
              <w:t>Only partial filling (&lt;2/3) of the entire vascular territory is visualised</w:t>
            </w:r>
            <w:r w:rsidR="00AB4BBF" w:rsidRPr="00D85E09">
              <w:rPr>
                <w:rFonts w:ascii="Arial Narrow" w:hAnsi="Arial Narrow" w:cs="TimesNewRomanPSMT"/>
                <w:color w:val="231F20"/>
                <w:sz w:val="20"/>
                <w:szCs w:val="20"/>
                <w:lang w:eastAsia="en-AU"/>
              </w:rPr>
              <w:t>.</w:t>
            </w:r>
          </w:p>
        </w:tc>
        <w:tc>
          <w:tcPr>
            <w:tcW w:w="4023" w:type="dxa"/>
          </w:tcPr>
          <w:p w14:paraId="31CB1A9E" w14:textId="77777777" w:rsidR="00315893" w:rsidRPr="00D85E09" w:rsidRDefault="00315893" w:rsidP="0043316B">
            <w:pPr>
              <w:widowControl w:val="0"/>
              <w:spacing w:before="60" w:after="80" w:line="240" w:lineRule="auto"/>
              <w:rPr>
                <w:rFonts w:ascii="Arial Narrow" w:hAnsi="Arial Narrow" w:cs="TimesNewRomanPSMT"/>
                <w:color w:val="231F20"/>
                <w:sz w:val="20"/>
                <w:szCs w:val="20"/>
                <w:lang w:eastAsia="en-AU"/>
              </w:rPr>
            </w:pPr>
            <w:r w:rsidRPr="00D85E09">
              <w:rPr>
                <w:rFonts w:ascii="Arial Narrow" w:hAnsi="Arial Narrow" w:cs="TimesNewRomanPSMT"/>
                <w:color w:val="231F20"/>
                <w:sz w:val="20"/>
                <w:szCs w:val="20"/>
                <w:lang w:eastAsia="en-AU"/>
              </w:rPr>
              <w:t>Antegrade reperfusion of less than half of the occluded target artery previously ischaemic territory (e.g. in one major division of the middle cerebral artery (MCA) and its territory).</w:t>
            </w:r>
          </w:p>
        </w:tc>
      </w:tr>
      <w:tr w:rsidR="00315893" w:rsidRPr="00D85E09" w14:paraId="7EC7EA11" w14:textId="77777777" w:rsidTr="00465778">
        <w:tc>
          <w:tcPr>
            <w:tcW w:w="959" w:type="dxa"/>
          </w:tcPr>
          <w:p w14:paraId="51D26491"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Grade 2b</w:t>
            </w:r>
          </w:p>
        </w:tc>
        <w:tc>
          <w:tcPr>
            <w:tcW w:w="4022" w:type="dxa"/>
          </w:tcPr>
          <w:p w14:paraId="0F68F688"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Complete filling of all of the expected vascular territory is visualised, but the filling is slower than normal.</w:t>
            </w:r>
          </w:p>
        </w:tc>
        <w:tc>
          <w:tcPr>
            <w:tcW w:w="4023" w:type="dxa"/>
          </w:tcPr>
          <w:p w14:paraId="48C66971"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Antegrade reperfusion of more than half of the previously occluded target artery ischaemic territory (e.g. in two major divisions of the MCA and their territories).</w:t>
            </w:r>
          </w:p>
        </w:tc>
      </w:tr>
      <w:tr w:rsidR="00315893" w:rsidRPr="00D85E09" w14:paraId="3CFFC410" w14:textId="77777777" w:rsidTr="00465778">
        <w:tc>
          <w:tcPr>
            <w:tcW w:w="959" w:type="dxa"/>
          </w:tcPr>
          <w:p w14:paraId="566B7C18"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Grade 3</w:t>
            </w:r>
          </w:p>
        </w:tc>
        <w:tc>
          <w:tcPr>
            <w:tcW w:w="4022" w:type="dxa"/>
          </w:tcPr>
          <w:p w14:paraId="7484908A" w14:textId="77777777"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 xml:space="preserve">Complete Perfusion. </w:t>
            </w:r>
          </w:p>
        </w:tc>
        <w:tc>
          <w:tcPr>
            <w:tcW w:w="4023" w:type="dxa"/>
          </w:tcPr>
          <w:p w14:paraId="1CA9E696" w14:textId="6AC66B8F" w:rsidR="00315893" w:rsidRPr="00D85E09" w:rsidRDefault="00315893" w:rsidP="0043316B">
            <w:pPr>
              <w:widowControl w:val="0"/>
              <w:spacing w:before="60" w:after="80" w:line="240" w:lineRule="auto"/>
              <w:rPr>
                <w:rFonts w:ascii="Arial Narrow" w:hAnsi="Arial Narrow"/>
                <w:sz w:val="20"/>
                <w:szCs w:val="20"/>
              </w:rPr>
            </w:pPr>
            <w:r w:rsidRPr="00D85E09">
              <w:rPr>
                <w:rFonts w:ascii="Arial Narrow" w:hAnsi="Arial Narrow"/>
                <w:sz w:val="20"/>
                <w:szCs w:val="20"/>
              </w:rPr>
              <w:t>Complete antegrade reperfusion of the previously occluded target artery ischaemic territory, with absence of visuali</w:t>
            </w:r>
            <w:r w:rsidR="00E56287" w:rsidRPr="00D85E09">
              <w:rPr>
                <w:rFonts w:ascii="Arial Narrow" w:hAnsi="Arial Narrow"/>
                <w:sz w:val="20"/>
                <w:szCs w:val="20"/>
              </w:rPr>
              <w:t>s</w:t>
            </w:r>
            <w:r w:rsidRPr="00D85E09">
              <w:rPr>
                <w:rFonts w:ascii="Arial Narrow" w:hAnsi="Arial Narrow"/>
                <w:sz w:val="20"/>
                <w:szCs w:val="20"/>
              </w:rPr>
              <w:t>ed occlusion in all distal branches</w:t>
            </w:r>
            <w:r w:rsidR="00AB4BBF" w:rsidRPr="00D85E09">
              <w:rPr>
                <w:rFonts w:ascii="Arial Narrow" w:hAnsi="Arial Narrow"/>
                <w:sz w:val="20"/>
                <w:szCs w:val="20"/>
              </w:rPr>
              <w:t>.</w:t>
            </w:r>
          </w:p>
        </w:tc>
      </w:tr>
    </w:tbl>
    <w:p w14:paraId="3B115CCD" w14:textId="77777777" w:rsidR="00315893" w:rsidRPr="00D85E09" w:rsidRDefault="00315893" w:rsidP="0043316B">
      <w:pPr>
        <w:pStyle w:val="Heading5"/>
        <w:widowControl w:val="0"/>
        <w:rPr>
          <w:rFonts w:eastAsia="OTNEJMScalaSansLF"/>
          <w:lang w:val="en-AU" w:eastAsia="en-AU"/>
        </w:rPr>
      </w:pPr>
      <w:r w:rsidRPr="00D85E09">
        <w:rPr>
          <w:rFonts w:eastAsia="OTNEJMScalaSansLF"/>
          <w:lang w:val="en-AU" w:eastAsia="en-AU"/>
        </w:rPr>
        <w:t>Reperfusion</w:t>
      </w:r>
    </w:p>
    <w:p w14:paraId="2421E6C9" w14:textId="77777777" w:rsidR="00315893" w:rsidRPr="00D85E09" w:rsidRDefault="00315893" w:rsidP="0043316B">
      <w:pPr>
        <w:widowControl w:val="0"/>
      </w:pPr>
      <w:r w:rsidRPr="00D85E09">
        <w:t>Substantial reperfusion was defined as reperfusion of at least 50% and a modified TICI score of 2b (50 to 99% reperfusion) or 3 (complete reperfusion). Successful reperfusion was defined as reperfusion of at least 90%, as assessed with the use of perfusion CT or MRI.</w:t>
      </w:r>
    </w:p>
    <w:p w14:paraId="439F7D58" w14:textId="77777777" w:rsidR="00315893" w:rsidRPr="00D85E09" w:rsidRDefault="00315893" w:rsidP="0043316B">
      <w:pPr>
        <w:pStyle w:val="Heading5"/>
        <w:widowControl w:val="0"/>
        <w:rPr>
          <w:lang w:val="en-AU"/>
        </w:rPr>
      </w:pPr>
      <w:r w:rsidRPr="00D85E09">
        <w:rPr>
          <w:lang w:val="en-AU"/>
        </w:rPr>
        <w:t>EQ-5D</w:t>
      </w:r>
    </w:p>
    <w:p w14:paraId="58986804" w14:textId="77777777" w:rsidR="00315893" w:rsidRPr="00D85E09" w:rsidRDefault="00315893" w:rsidP="0043316B">
      <w:pPr>
        <w:widowControl w:val="0"/>
      </w:pPr>
      <w:r w:rsidRPr="00D85E09">
        <w:t>EQ-5D is a standardised measure of health status developed by the EuroQol Group in order to provide a simple, generic measure of health for clinical and economic appraisal. Applicable to a wide range of health conditions and treatments, it provides a simple descriptive profile and a single index value for health status that can be used in the clinical and economic evaluation of health care as well as in population health surveys. EQ-5D is designed for self-completion by respondents taking only a few minutes to complete.</w:t>
      </w:r>
    </w:p>
    <w:p w14:paraId="69DB537E" w14:textId="77777777" w:rsidR="00315893" w:rsidRPr="00D85E09" w:rsidRDefault="00315893" w:rsidP="0043316B">
      <w:pPr>
        <w:widowControl w:val="0"/>
      </w:pPr>
      <w:r w:rsidRPr="00D85E09">
        <w:t>There are two parts to the EQ-5D questionnaire. The first part is the EQ-5D descriptive system, which comprises 5 dimensions (mobility, self-care, usual activities, pain/discomfort and anxiety/depression) that each have 3 levels (no problems, some problems, severe problems). The second part is the EQ visual analogue scale (EQ VAS), which is used to record the respondent’s self-rated health on a vertical, visual analogue scale (0-100) where the endpoints are labelled ‘Best imaginable health state’ (100) and ‘Worst imaginable health state’ (0).</w:t>
      </w:r>
    </w:p>
    <w:p w14:paraId="1E1EF426" w14:textId="77777777" w:rsidR="00315893" w:rsidRPr="00D85E09" w:rsidRDefault="00315893" w:rsidP="0043316B">
      <w:pPr>
        <w:pStyle w:val="Heading2"/>
        <w:widowControl w:val="0"/>
        <w:spacing w:before="240"/>
        <w:ind w:left="851" w:hanging="851"/>
        <w:jc w:val="both"/>
        <w:rPr>
          <w:lang w:val="en-AU"/>
        </w:rPr>
      </w:pPr>
      <w:bookmarkStart w:id="264" w:name="_Ref191439983"/>
      <w:bookmarkStart w:id="265" w:name="_Toc191822164"/>
      <w:bookmarkStart w:id="266" w:name="_Toc191822214"/>
      <w:bookmarkStart w:id="267" w:name="_Toc191822264"/>
      <w:bookmarkStart w:id="268" w:name="_Toc258501785"/>
      <w:bookmarkStart w:id="269" w:name="_Toc273301467"/>
      <w:bookmarkStart w:id="270" w:name="_Ref362276515"/>
      <w:bookmarkStart w:id="271" w:name="_Ref363030318"/>
      <w:bookmarkStart w:id="272" w:name="_Toc367090356"/>
      <w:bookmarkStart w:id="273" w:name="_Ref368324889"/>
      <w:bookmarkStart w:id="274" w:name="_Toc453065271"/>
      <w:r w:rsidRPr="00D85E09">
        <w:rPr>
          <w:lang w:val="en-AU"/>
        </w:rPr>
        <w:lastRenderedPageBreak/>
        <w:t>Systematic overview of the results of the direct randomised trials</w:t>
      </w:r>
      <w:bookmarkEnd w:id="264"/>
      <w:bookmarkEnd w:id="265"/>
      <w:bookmarkEnd w:id="266"/>
      <w:bookmarkEnd w:id="267"/>
      <w:bookmarkEnd w:id="268"/>
      <w:bookmarkEnd w:id="269"/>
      <w:bookmarkEnd w:id="270"/>
      <w:bookmarkEnd w:id="271"/>
      <w:bookmarkEnd w:id="272"/>
      <w:bookmarkEnd w:id="273"/>
      <w:bookmarkEnd w:id="274"/>
    </w:p>
    <w:p w14:paraId="24891472" w14:textId="77777777" w:rsidR="00315893" w:rsidRPr="00D85E09" w:rsidRDefault="00315893" w:rsidP="0043316B">
      <w:pPr>
        <w:pStyle w:val="Heading3"/>
        <w:keepNext w:val="0"/>
        <w:widowControl w:val="0"/>
        <w:spacing w:before="240"/>
        <w:ind w:left="851" w:hanging="851"/>
        <w:jc w:val="both"/>
        <w:rPr>
          <w:lang w:val="en-AU"/>
        </w:rPr>
      </w:pPr>
      <w:bookmarkStart w:id="275" w:name="_Toc169275377"/>
      <w:bookmarkStart w:id="276" w:name="_Toc170017617"/>
      <w:bookmarkStart w:id="277" w:name="_Ref190851471"/>
      <w:bookmarkStart w:id="278" w:name="_Ref191442838"/>
      <w:bookmarkStart w:id="279" w:name="_Toc191822165"/>
      <w:bookmarkStart w:id="280" w:name="_Toc191822215"/>
      <w:bookmarkStart w:id="281" w:name="_Toc191822265"/>
      <w:bookmarkStart w:id="282" w:name="_Toc258501786"/>
      <w:bookmarkStart w:id="283" w:name="_Toc273301468"/>
      <w:bookmarkStart w:id="284" w:name="_Ref363029772"/>
      <w:bookmarkStart w:id="285" w:name="_Ref365891991"/>
      <w:bookmarkStart w:id="286" w:name="_Toc367090357"/>
      <w:bookmarkStart w:id="287" w:name="_Toc453065272"/>
      <w:r w:rsidRPr="00D85E09">
        <w:rPr>
          <w:lang w:val="en-AU"/>
        </w:rPr>
        <w:t xml:space="preserve">Primary efficacy outcome: </w:t>
      </w:r>
      <w:bookmarkStart w:id="288" w:name="_Ref191449553"/>
      <w:bookmarkStart w:id="289" w:name="_Toc192319909"/>
      <w:bookmarkEnd w:id="275"/>
      <w:bookmarkEnd w:id="276"/>
      <w:bookmarkEnd w:id="277"/>
      <w:bookmarkEnd w:id="278"/>
      <w:bookmarkEnd w:id="279"/>
      <w:bookmarkEnd w:id="280"/>
      <w:bookmarkEnd w:id="281"/>
      <w:bookmarkEnd w:id="282"/>
      <w:bookmarkEnd w:id="283"/>
      <w:bookmarkEnd w:id="284"/>
      <w:bookmarkEnd w:id="285"/>
      <w:bookmarkEnd w:id="286"/>
      <w:r w:rsidRPr="00D85E09">
        <w:rPr>
          <w:lang w:val="en-AU"/>
        </w:rPr>
        <w:t>mRS score at 90 days</w:t>
      </w:r>
      <w:bookmarkEnd w:id="287"/>
    </w:p>
    <w:p w14:paraId="39E22D8F" w14:textId="7B068140" w:rsidR="00315893" w:rsidRPr="00D85E09" w:rsidRDefault="00315893" w:rsidP="0043316B">
      <w:pPr>
        <w:widowControl w:val="0"/>
      </w:pPr>
      <w:r w:rsidRPr="00D85E09">
        <w:t>The primary outcome in four of the five included trials (ESCAPE, MR CLEAN, REVASCAT and SWIFT PRIME) was the mRS score at 90 days. This outcome was presented as</w:t>
      </w:r>
      <w:r w:rsidR="005B7DCE">
        <w:t xml:space="preserve"> a secondary outcome in EXTEND-I</w:t>
      </w:r>
      <w:r w:rsidRPr="00D85E09">
        <w:t>A. All studies also reported the 90-day mRS score assessed as a “shift analysis” of disability scores.</w:t>
      </w:r>
    </w:p>
    <w:p w14:paraId="34FAA01D" w14:textId="1AF7D568" w:rsidR="00315893" w:rsidRPr="00D85E09" w:rsidRDefault="00315893" w:rsidP="0043316B">
      <w:pPr>
        <w:widowControl w:val="0"/>
      </w:pPr>
      <w:r w:rsidRPr="00D85E09">
        <w:t>The median mRS score at 90 days favoured the intervention treatment arms and was statistically significant in all five trials at 90 days compared to the control group, i.e. the lower the mRS score, the lower the degree of disability and increased functional independence (</w:t>
      </w:r>
      <w:r w:rsidRPr="00D85E09">
        <w:fldChar w:fldCharType="begin"/>
      </w:r>
      <w:r w:rsidRPr="00D85E09">
        <w:instrText xml:space="preserve"> REF _Ref449081535 \h </w:instrText>
      </w:r>
      <w:r w:rsidRPr="00D85E09">
        <w:fldChar w:fldCharType="separate"/>
      </w:r>
      <w:r w:rsidR="00A456ED" w:rsidRPr="00D85E09">
        <w:t xml:space="preserve">Table </w:t>
      </w:r>
      <w:r w:rsidR="00A456ED">
        <w:rPr>
          <w:noProof/>
        </w:rPr>
        <w:t>28</w:t>
      </w:r>
      <w:r w:rsidRPr="00D85E09">
        <w:fldChar w:fldCharType="end"/>
      </w:r>
      <w:r w:rsidRPr="00D85E09">
        <w:t>). Consequently, increased functional independence drives costs saving and benefits to carers.</w:t>
      </w:r>
    </w:p>
    <w:p w14:paraId="0DDD5839" w14:textId="19CF6CBA" w:rsidR="00315893" w:rsidRPr="00D85E09" w:rsidRDefault="00315893" w:rsidP="0043316B">
      <w:pPr>
        <w:widowControl w:val="0"/>
      </w:pPr>
      <w:r w:rsidRPr="00D85E09">
        <w:t>The analysis of the mRS score at 90 days in four of the five included trials (ESCAPE, MR CLEAN, REVASCAT and SWIFT PRIME) was aimed to determine the likelihood (common odds ratio; cOR) that endovascular treatment would lead to lower mRS values compared to usual care alone. The common odds ratio was estimated from an ordinal logistic regression model and indicates the odds of improvement of 1 point on the modified Rankin scale, with a common odds ratio greater than 1 favouring the intervention. In all trials, this analysis demonstrated a significantly greater likelihood of an improved mRS value as a res</w:t>
      </w:r>
      <w:r w:rsidR="005B7DCE">
        <w:t>ult of MT treatment. In EXTEND-I</w:t>
      </w:r>
      <w:r w:rsidRPr="00D85E09">
        <w:t>A, where the 90-day mRS score was reported as a secondary outcome, the proportions of mRS 0–1 and mRS 0–2 outcomes were compared between IV-IA and IV only arms using a binary logistic regression model.</w:t>
      </w:r>
    </w:p>
    <w:p w14:paraId="7F8E3475" w14:textId="3B09C99C" w:rsidR="00181227" w:rsidRDefault="00315893" w:rsidP="0043316B">
      <w:pPr>
        <w:widowControl w:val="0"/>
      </w:pPr>
      <w:r w:rsidRPr="00D85E09">
        <w:t xml:space="preserve">A post-hoc meta-analysis could not be performed based on the median results or cOR estimates presented in the five individual trials. However, a meta-analysis based on </w:t>
      </w:r>
      <w:r w:rsidR="0070191F" w:rsidRPr="00D85E09">
        <w:t>IPD</w:t>
      </w:r>
      <w:r w:rsidRPr="00D85E09">
        <w:t xml:space="preserve"> for this outcome, presented in</w:t>
      </w:r>
      <w:r w:rsidR="001F3D00">
        <w:t xml:space="preserve"> Section </w:t>
      </w:r>
      <w:r w:rsidR="001F3D00">
        <w:fldChar w:fldCharType="begin"/>
      </w:r>
      <w:r w:rsidR="001F3D00">
        <w:instrText xml:space="preserve"> REF _Ref452472669 \r \h </w:instrText>
      </w:r>
      <w:r w:rsidR="001F3D00">
        <w:fldChar w:fldCharType="separate"/>
      </w:r>
      <w:r w:rsidR="00A456ED">
        <w:t>C.2</w:t>
      </w:r>
      <w:r w:rsidR="001F3D00">
        <w:fldChar w:fldCharType="end"/>
      </w:r>
      <w:r w:rsidRPr="00D85E09">
        <w:t>, shows a pooled cOR of 2.26 (95% CI: 1.67, 3.06; p&lt;0.0001) (Goyal et al, 2016)</w:t>
      </w:r>
      <w:r w:rsidR="001F3D00">
        <w:t xml:space="preserve">. The absence of heterogeneity </w:t>
      </w:r>
      <w:r w:rsidRPr="00D85E09">
        <w:t>strengthened conclusions about the consistency of effects across major subgroups of age and severity. The number needed to treat with endovascular thrombectomy to reduce disability by at least one level on the mRS for one patient was 2·6.</w:t>
      </w:r>
      <w:r w:rsidR="00181227">
        <w:br w:type="page"/>
      </w:r>
    </w:p>
    <w:p w14:paraId="0D7F5DB9" w14:textId="5385164C" w:rsidR="00315893" w:rsidRPr="00D85E09" w:rsidRDefault="00315893" w:rsidP="0043316B">
      <w:pPr>
        <w:pStyle w:val="Caption"/>
        <w:keepNext w:val="0"/>
        <w:widowControl w:val="0"/>
        <w:rPr>
          <w:lang w:val="en-AU"/>
        </w:rPr>
      </w:pPr>
      <w:bookmarkStart w:id="290" w:name="_Ref449081535"/>
      <w:bookmarkStart w:id="291" w:name="_Toc453065364"/>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28</w:t>
      </w:r>
      <w:r w:rsidRPr="00D85E09">
        <w:rPr>
          <w:lang w:val="en-AU"/>
        </w:rPr>
        <w:fldChar w:fldCharType="end"/>
      </w:r>
      <w:bookmarkEnd w:id="290"/>
      <w:r w:rsidRPr="00D85E09">
        <w:rPr>
          <w:lang w:val="en-AU"/>
        </w:rPr>
        <w:tab/>
        <w:t>mRS score at 90 days</w:t>
      </w:r>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28. mRS score at 90 Days"/>
      </w:tblPr>
      <w:tblGrid>
        <w:gridCol w:w="1447"/>
        <w:gridCol w:w="1794"/>
        <w:gridCol w:w="1794"/>
        <w:gridCol w:w="1795"/>
        <w:gridCol w:w="2174"/>
      </w:tblGrid>
      <w:tr w:rsidR="00315893" w:rsidRPr="00D85E09" w14:paraId="4B744AC0" w14:textId="77777777" w:rsidTr="00293662">
        <w:trPr>
          <w:trHeight w:val="898"/>
        </w:trPr>
        <w:tc>
          <w:tcPr>
            <w:tcW w:w="804" w:type="pct"/>
            <w:shd w:val="clear" w:color="auto" w:fill="FFFFFF" w:themeFill="background1"/>
            <w:vAlign w:val="center"/>
            <w:hideMark/>
          </w:tcPr>
          <w:p w14:paraId="6A3B475D" w14:textId="77777777" w:rsidR="00315893" w:rsidRPr="00D85E09" w:rsidRDefault="00315893" w:rsidP="0043316B">
            <w:pPr>
              <w:pStyle w:val="Tabletext"/>
              <w:keepNext w:val="0"/>
              <w:widowControl w:val="0"/>
              <w:rPr>
                <w:b/>
              </w:rPr>
            </w:pPr>
            <w:r w:rsidRPr="00D85E09">
              <w:rPr>
                <w:b/>
              </w:rPr>
              <w:t>Trial ID</w:t>
            </w:r>
          </w:p>
          <w:p w14:paraId="7F2DADB9" w14:textId="77777777" w:rsidR="00315893" w:rsidRPr="00D85E09" w:rsidRDefault="00315893" w:rsidP="0043316B">
            <w:pPr>
              <w:pStyle w:val="Tabletext"/>
              <w:keepNext w:val="0"/>
              <w:widowControl w:val="0"/>
              <w:rPr>
                <w:b/>
              </w:rPr>
            </w:pPr>
            <w:r w:rsidRPr="00D85E09">
              <w:rPr>
                <w:b/>
              </w:rPr>
              <w:t> </w:t>
            </w:r>
          </w:p>
        </w:tc>
        <w:tc>
          <w:tcPr>
            <w:tcW w:w="996" w:type="pct"/>
            <w:shd w:val="clear" w:color="auto" w:fill="FFFFFF" w:themeFill="background1"/>
            <w:noWrap/>
            <w:vAlign w:val="center"/>
            <w:hideMark/>
          </w:tcPr>
          <w:p w14:paraId="166E847A" w14:textId="77777777" w:rsidR="00315893" w:rsidRPr="00D85E09" w:rsidRDefault="00315893" w:rsidP="0043316B">
            <w:pPr>
              <w:pStyle w:val="Tabletext"/>
              <w:keepNext w:val="0"/>
              <w:widowControl w:val="0"/>
              <w:rPr>
                <w:b/>
              </w:rPr>
            </w:pPr>
            <w:r w:rsidRPr="00D85E09">
              <w:rPr>
                <w:b/>
              </w:rPr>
              <w:t>Intervention</w:t>
            </w:r>
          </w:p>
          <w:p w14:paraId="28DCEFF3" w14:textId="77777777" w:rsidR="00315893" w:rsidRPr="00D85E09" w:rsidRDefault="00315893" w:rsidP="0043316B">
            <w:pPr>
              <w:pStyle w:val="Tabletext"/>
              <w:keepNext w:val="0"/>
              <w:widowControl w:val="0"/>
              <w:rPr>
                <w:b/>
              </w:rPr>
            </w:pPr>
            <w:r w:rsidRPr="00D85E09">
              <w:rPr>
                <w:b/>
              </w:rPr>
              <w:t xml:space="preserve">Median score </w:t>
            </w:r>
            <w:r w:rsidRPr="00D85E09">
              <w:rPr>
                <w:b/>
              </w:rPr>
              <w:br/>
              <w:t>[IQR]</w:t>
            </w:r>
          </w:p>
        </w:tc>
        <w:tc>
          <w:tcPr>
            <w:tcW w:w="996" w:type="pct"/>
            <w:shd w:val="clear" w:color="auto" w:fill="FFFFFF" w:themeFill="background1"/>
            <w:noWrap/>
            <w:vAlign w:val="center"/>
            <w:hideMark/>
          </w:tcPr>
          <w:p w14:paraId="3EEDF686" w14:textId="77777777" w:rsidR="00315893" w:rsidRPr="00D85E09" w:rsidRDefault="00315893" w:rsidP="0043316B">
            <w:pPr>
              <w:pStyle w:val="Tabletext"/>
              <w:keepNext w:val="0"/>
              <w:widowControl w:val="0"/>
              <w:rPr>
                <w:b/>
              </w:rPr>
            </w:pPr>
            <w:r w:rsidRPr="00D85E09">
              <w:rPr>
                <w:b/>
              </w:rPr>
              <w:t>Control</w:t>
            </w:r>
          </w:p>
          <w:p w14:paraId="4A1743D4" w14:textId="77777777" w:rsidR="00315893" w:rsidRPr="00D85E09" w:rsidRDefault="00315893" w:rsidP="0043316B">
            <w:pPr>
              <w:pStyle w:val="Tabletext"/>
              <w:keepNext w:val="0"/>
              <w:widowControl w:val="0"/>
              <w:rPr>
                <w:b/>
              </w:rPr>
            </w:pPr>
            <w:r w:rsidRPr="00D85E09">
              <w:rPr>
                <w:b/>
              </w:rPr>
              <w:t xml:space="preserve">Median score </w:t>
            </w:r>
            <w:r w:rsidRPr="00D85E09">
              <w:rPr>
                <w:b/>
              </w:rPr>
              <w:br/>
              <w:t>[IQR]</w:t>
            </w:r>
          </w:p>
        </w:tc>
        <w:tc>
          <w:tcPr>
            <w:tcW w:w="997" w:type="pct"/>
            <w:shd w:val="clear" w:color="auto" w:fill="FFFFFF" w:themeFill="background1"/>
            <w:vAlign w:val="center"/>
          </w:tcPr>
          <w:p w14:paraId="7991EAFD" w14:textId="77777777" w:rsidR="00315893" w:rsidRPr="00D85E09" w:rsidRDefault="00315893" w:rsidP="0043316B">
            <w:pPr>
              <w:pStyle w:val="Tabletext"/>
              <w:keepNext w:val="0"/>
              <w:widowControl w:val="0"/>
              <w:rPr>
                <w:b/>
              </w:rPr>
            </w:pPr>
            <w:r w:rsidRPr="00D85E09">
              <w:rPr>
                <w:b/>
              </w:rPr>
              <w:t>Common OR</w:t>
            </w:r>
            <w:r w:rsidRPr="00D85E09">
              <w:rPr>
                <w:b/>
                <w:vertAlign w:val="superscript"/>
              </w:rPr>
              <w:t>a</w:t>
            </w:r>
            <w:r w:rsidRPr="00D85E09">
              <w:rPr>
                <w:b/>
              </w:rPr>
              <w:br/>
              <w:t xml:space="preserve">[95% CI], </w:t>
            </w:r>
            <w:r w:rsidRPr="00D85E09">
              <w:rPr>
                <w:b/>
              </w:rPr>
              <w:br/>
              <w:t>p-value</w:t>
            </w:r>
          </w:p>
        </w:tc>
        <w:tc>
          <w:tcPr>
            <w:tcW w:w="1207" w:type="pct"/>
            <w:shd w:val="clear" w:color="auto" w:fill="FFFFFF" w:themeFill="background1"/>
            <w:vAlign w:val="center"/>
          </w:tcPr>
          <w:p w14:paraId="6DF0D6FB" w14:textId="77777777" w:rsidR="00315893" w:rsidRPr="00D85E09" w:rsidRDefault="00315893" w:rsidP="0043316B">
            <w:pPr>
              <w:pStyle w:val="Tabletext"/>
              <w:keepNext w:val="0"/>
              <w:widowControl w:val="0"/>
              <w:rPr>
                <w:b/>
              </w:rPr>
            </w:pPr>
            <w:r w:rsidRPr="00D85E09">
              <w:rPr>
                <w:b/>
              </w:rPr>
              <w:t>Source</w:t>
            </w:r>
          </w:p>
        </w:tc>
      </w:tr>
      <w:tr w:rsidR="00315893" w:rsidRPr="00D85E09" w14:paraId="6D8D6F6B" w14:textId="77777777" w:rsidTr="00465778">
        <w:trPr>
          <w:trHeight w:val="20"/>
        </w:trPr>
        <w:tc>
          <w:tcPr>
            <w:tcW w:w="804" w:type="pct"/>
            <w:shd w:val="clear" w:color="auto" w:fill="auto"/>
          </w:tcPr>
          <w:p w14:paraId="4764936C" w14:textId="77777777" w:rsidR="00315893" w:rsidRPr="00D85E09" w:rsidRDefault="00315893" w:rsidP="0043316B">
            <w:pPr>
              <w:pStyle w:val="Tabletext"/>
              <w:keepNext w:val="0"/>
              <w:widowControl w:val="0"/>
            </w:pPr>
            <w:r w:rsidRPr="00D85E09">
              <w:t xml:space="preserve">ESCAPE </w:t>
            </w:r>
          </w:p>
        </w:tc>
        <w:tc>
          <w:tcPr>
            <w:tcW w:w="996" w:type="pct"/>
            <w:shd w:val="clear" w:color="auto" w:fill="auto"/>
            <w:vAlign w:val="center"/>
          </w:tcPr>
          <w:p w14:paraId="787870BF" w14:textId="77777777" w:rsidR="00315893" w:rsidRPr="00D85E09" w:rsidRDefault="00315893" w:rsidP="0043316B">
            <w:pPr>
              <w:pStyle w:val="Tabletext"/>
              <w:keepNext w:val="0"/>
              <w:widowControl w:val="0"/>
            </w:pPr>
            <w:r w:rsidRPr="00D85E09">
              <w:t>NR</w:t>
            </w:r>
          </w:p>
        </w:tc>
        <w:tc>
          <w:tcPr>
            <w:tcW w:w="996" w:type="pct"/>
            <w:shd w:val="clear" w:color="auto" w:fill="auto"/>
            <w:vAlign w:val="center"/>
          </w:tcPr>
          <w:p w14:paraId="3F8A3969" w14:textId="77777777" w:rsidR="00315893" w:rsidRPr="00D85E09" w:rsidRDefault="00315893" w:rsidP="0043316B">
            <w:pPr>
              <w:pStyle w:val="Tabletext"/>
              <w:keepNext w:val="0"/>
              <w:widowControl w:val="0"/>
            </w:pPr>
            <w:r w:rsidRPr="00D85E09">
              <w:t>NR</w:t>
            </w:r>
          </w:p>
        </w:tc>
        <w:tc>
          <w:tcPr>
            <w:tcW w:w="997" w:type="pct"/>
            <w:vAlign w:val="center"/>
          </w:tcPr>
          <w:p w14:paraId="34C94BE2" w14:textId="77777777" w:rsidR="00315893" w:rsidRPr="00D85E09" w:rsidRDefault="00315893" w:rsidP="0043316B">
            <w:pPr>
              <w:pStyle w:val="Tabletext"/>
              <w:keepNext w:val="0"/>
              <w:widowControl w:val="0"/>
            </w:pPr>
            <w:r w:rsidRPr="00D85E09">
              <w:t>2.6 [1.7, 3.8], p&lt;0.001</w:t>
            </w:r>
          </w:p>
        </w:tc>
        <w:tc>
          <w:tcPr>
            <w:tcW w:w="1207" w:type="pct"/>
            <w:vAlign w:val="center"/>
          </w:tcPr>
          <w:p w14:paraId="2970F5AB" w14:textId="77777777" w:rsidR="00315893" w:rsidRPr="00D85E09" w:rsidRDefault="00315893" w:rsidP="0043316B">
            <w:pPr>
              <w:pStyle w:val="Tabletext"/>
              <w:keepNext w:val="0"/>
              <w:widowControl w:val="0"/>
            </w:pPr>
            <w:r w:rsidRPr="00D85E09">
              <w:rPr>
                <w:rFonts w:cs="Calibri"/>
              </w:rPr>
              <w:t>Goyal 2015, Table 2</w:t>
            </w:r>
          </w:p>
        </w:tc>
      </w:tr>
      <w:tr w:rsidR="00315893" w:rsidRPr="00D85E09" w14:paraId="3550CAC8" w14:textId="77777777" w:rsidTr="00465778">
        <w:trPr>
          <w:trHeight w:val="20"/>
        </w:trPr>
        <w:tc>
          <w:tcPr>
            <w:tcW w:w="804" w:type="pct"/>
            <w:shd w:val="clear" w:color="auto" w:fill="auto"/>
          </w:tcPr>
          <w:p w14:paraId="65F854F4" w14:textId="32712CC8" w:rsidR="00315893" w:rsidRPr="00D85E09" w:rsidRDefault="005B7DCE" w:rsidP="0043316B">
            <w:pPr>
              <w:pStyle w:val="Tabletext"/>
              <w:keepNext w:val="0"/>
              <w:widowControl w:val="0"/>
            </w:pPr>
            <w:r>
              <w:t>EXTEND-I</w:t>
            </w:r>
            <w:r w:rsidR="00315893" w:rsidRPr="00D85E09">
              <w:t xml:space="preserve">A </w:t>
            </w:r>
          </w:p>
        </w:tc>
        <w:tc>
          <w:tcPr>
            <w:tcW w:w="996" w:type="pct"/>
            <w:shd w:val="clear" w:color="auto" w:fill="auto"/>
            <w:vAlign w:val="center"/>
          </w:tcPr>
          <w:p w14:paraId="02E002DD" w14:textId="77777777" w:rsidR="00315893" w:rsidRPr="00D85E09" w:rsidRDefault="00315893" w:rsidP="0043316B">
            <w:pPr>
              <w:pStyle w:val="Tabletext"/>
              <w:keepNext w:val="0"/>
              <w:widowControl w:val="0"/>
            </w:pPr>
            <w:r w:rsidRPr="00D85E09">
              <w:t>1 [0 to 3]</w:t>
            </w:r>
          </w:p>
        </w:tc>
        <w:tc>
          <w:tcPr>
            <w:tcW w:w="996" w:type="pct"/>
            <w:shd w:val="clear" w:color="auto" w:fill="auto"/>
            <w:vAlign w:val="center"/>
          </w:tcPr>
          <w:p w14:paraId="66DA932D" w14:textId="77777777" w:rsidR="00315893" w:rsidRPr="00D85E09" w:rsidRDefault="00315893" w:rsidP="0043316B">
            <w:pPr>
              <w:pStyle w:val="Tabletext"/>
              <w:keepNext w:val="0"/>
              <w:widowControl w:val="0"/>
            </w:pPr>
            <w:r w:rsidRPr="00D85E09">
              <w:t>3 [1 to 5]</w:t>
            </w:r>
          </w:p>
        </w:tc>
        <w:tc>
          <w:tcPr>
            <w:tcW w:w="997" w:type="pct"/>
            <w:vAlign w:val="center"/>
          </w:tcPr>
          <w:p w14:paraId="6A4D1CB5" w14:textId="77777777" w:rsidR="00315893" w:rsidRPr="00D85E09" w:rsidRDefault="00315893" w:rsidP="0043316B">
            <w:pPr>
              <w:pStyle w:val="Tabletext"/>
              <w:keepNext w:val="0"/>
              <w:widowControl w:val="0"/>
            </w:pPr>
            <w:r w:rsidRPr="00D85E09">
              <w:t xml:space="preserve">2.1 [1.2 to 3.8], </w:t>
            </w:r>
            <w:r w:rsidRPr="00D85E09">
              <w:rPr>
                <w:vertAlign w:val="superscript"/>
              </w:rPr>
              <w:t>#</w:t>
            </w:r>
            <w:r w:rsidRPr="00D85E09">
              <w:t xml:space="preserve"> p=0.006</w:t>
            </w:r>
          </w:p>
        </w:tc>
        <w:tc>
          <w:tcPr>
            <w:tcW w:w="1207" w:type="pct"/>
            <w:vAlign w:val="center"/>
          </w:tcPr>
          <w:p w14:paraId="2B534A29" w14:textId="77777777" w:rsidR="00315893" w:rsidRPr="00D85E09" w:rsidRDefault="00315893" w:rsidP="0043316B">
            <w:pPr>
              <w:pStyle w:val="Tabletext"/>
              <w:keepNext w:val="0"/>
              <w:widowControl w:val="0"/>
            </w:pPr>
            <w:r w:rsidRPr="00D85E09">
              <w:t>Campbell 2015, Table 3</w:t>
            </w:r>
          </w:p>
        </w:tc>
      </w:tr>
      <w:tr w:rsidR="00315893" w:rsidRPr="00D85E09" w14:paraId="4A3DCD59" w14:textId="77777777" w:rsidTr="00465778">
        <w:trPr>
          <w:trHeight w:val="20"/>
        </w:trPr>
        <w:tc>
          <w:tcPr>
            <w:tcW w:w="804" w:type="pct"/>
            <w:shd w:val="clear" w:color="auto" w:fill="auto"/>
          </w:tcPr>
          <w:p w14:paraId="778023DC" w14:textId="77777777" w:rsidR="00315893" w:rsidRPr="00D85E09" w:rsidRDefault="00315893" w:rsidP="0043316B">
            <w:pPr>
              <w:pStyle w:val="Tabletext"/>
              <w:keepNext w:val="0"/>
              <w:widowControl w:val="0"/>
            </w:pPr>
            <w:r w:rsidRPr="00D85E09">
              <w:t xml:space="preserve">MR CLEAN </w:t>
            </w:r>
          </w:p>
        </w:tc>
        <w:tc>
          <w:tcPr>
            <w:tcW w:w="996" w:type="pct"/>
            <w:shd w:val="clear" w:color="auto" w:fill="auto"/>
            <w:vAlign w:val="center"/>
          </w:tcPr>
          <w:p w14:paraId="09EC9A86" w14:textId="77777777" w:rsidR="00315893" w:rsidRPr="00D85E09" w:rsidRDefault="00315893" w:rsidP="0043316B">
            <w:pPr>
              <w:pStyle w:val="Tabletext"/>
              <w:keepNext w:val="0"/>
              <w:widowControl w:val="0"/>
            </w:pPr>
            <w:r w:rsidRPr="00D85E09">
              <w:t>3 [2, 5]</w:t>
            </w:r>
          </w:p>
        </w:tc>
        <w:tc>
          <w:tcPr>
            <w:tcW w:w="996" w:type="pct"/>
            <w:shd w:val="clear" w:color="auto" w:fill="auto"/>
            <w:vAlign w:val="center"/>
          </w:tcPr>
          <w:p w14:paraId="54F0B3DC" w14:textId="77777777" w:rsidR="00315893" w:rsidRPr="00D85E09" w:rsidRDefault="00315893" w:rsidP="0043316B">
            <w:pPr>
              <w:pStyle w:val="Tabletext"/>
              <w:keepNext w:val="0"/>
              <w:widowControl w:val="0"/>
            </w:pPr>
            <w:r w:rsidRPr="00D85E09">
              <w:t>4 [3, 5]</w:t>
            </w:r>
          </w:p>
        </w:tc>
        <w:tc>
          <w:tcPr>
            <w:tcW w:w="997" w:type="pct"/>
            <w:vAlign w:val="center"/>
          </w:tcPr>
          <w:p w14:paraId="3130ED11" w14:textId="77777777" w:rsidR="00315893" w:rsidRPr="00D85E09" w:rsidRDefault="00315893" w:rsidP="0043316B">
            <w:pPr>
              <w:pStyle w:val="Tabletext"/>
              <w:keepNext w:val="0"/>
              <w:widowControl w:val="0"/>
            </w:pPr>
            <w:r w:rsidRPr="00D85E09">
              <w:t xml:space="preserve">1.66 [1.21, 2.28], </w:t>
            </w:r>
            <w:r w:rsidRPr="00D85E09">
              <w:br/>
              <w:t>NR</w:t>
            </w:r>
          </w:p>
        </w:tc>
        <w:tc>
          <w:tcPr>
            <w:tcW w:w="1207" w:type="pct"/>
            <w:vAlign w:val="center"/>
          </w:tcPr>
          <w:p w14:paraId="3D037F77" w14:textId="77777777" w:rsidR="00315893" w:rsidRPr="00D85E09" w:rsidRDefault="00315893" w:rsidP="0043316B">
            <w:pPr>
              <w:pStyle w:val="Tabletext"/>
              <w:keepNext w:val="0"/>
              <w:widowControl w:val="0"/>
            </w:pPr>
            <w:r w:rsidRPr="00D85E09">
              <w:rPr>
                <w:rFonts w:cs="Calibri"/>
              </w:rPr>
              <w:t>Berkhemer 2015, Table 2</w:t>
            </w:r>
          </w:p>
        </w:tc>
      </w:tr>
      <w:tr w:rsidR="00315893" w:rsidRPr="00D85E09" w14:paraId="57C9E259" w14:textId="77777777" w:rsidTr="00465778">
        <w:trPr>
          <w:trHeight w:val="20"/>
        </w:trPr>
        <w:tc>
          <w:tcPr>
            <w:tcW w:w="804" w:type="pct"/>
            <w:shd w:val="clear" w:color="auto" w:fill="auto"/>
            <w:vAlign w:val="center"/>
          </w:tcPr>
          <w:p w14:paraId="3FFBB65C" w14:textId="77777777" w:rsidR="00315893" w:rsidRPr="00D85E09" w:rsidRDefault="00315893" w:rsidP="0043316B">
            <w:pPr>
              <w:pStyle w:val="Tabletext"/>
              <w:keepNext w:val="0"/>
              <w:widowControl w:val="0"/>
            </w:pPr>
            <w:r w:rsidRPr="00D85E09">
              <w:t>REVASCAT</w:t>
            </w:r>
          </w:p>
        </w:tc>
        <w:tc>
          <w:tcPr>
            <w:tcW w:w="996" w:type="pct"/>
            <w:shd w:val="clear" w:color="auto" w:fill="auto"/>
            <w:vAlign w:val="center"/>
          </w:tcPr>
          <w:p w14:paraId="368FB7E5" w14:textId="77777777" w:rsidR="00315893" w:rsidRPr="00D85E09" w:rsidRDefault="00315893" w:rsidP="0043316B">
            <w:pPr>
              <w:pStyle w:val="Tabletext"/>
              <w:keepNext w:val="0"/>
              <w:widowControl w:val="0"/>
            </w:pPr>
            <w:r w:rsidRPr="00D85E09">
              <w:t>NR</w:t>
            </w:r>
          </w:p>
        </w:tc>
        <w:tc>
          <w:tcPr>
            <w:tcW w:w="996" w:type="pct"/>
            <w:shd w:val="clear" w:color="auto" w:fill="auto"/>
            <w:vAlign w:val="center"/>
          </w:tcPr>
          <w:p w14:paraId="428EA92D" w14:textId="77777777" w:rsidR="00315893" w:rsidRPr="00D85E09" w:rsidRDefault="00315893" w:rsidP="0043316B">
            <w:pPr>
              <w:pStyle w:val="Tabletext"/>
              <w:keepNext w:val="0"/>
              <w:widowControl w:val="0"/>
            </w:pPr>
            <w:r w:rsidRPr="00D85E09">
              <w:t>NR</w:t>
            </w:r>
          </w:p>
        </w:tc>
        <w:tc>
          <w:tcPr>
            <w:tcW w:w="997" w:type="pct"/>
            <w:vAlign w:val="center"/>
          </w:tcPr>
          <w:p w14:paraId="75FD0D25" w14:textId="77777777" w:rsidR="00315893" w:rsidRPr="00D85E09" w:rsidRDefault="00315893" w:rsidP="0043316B">
            <w:pPr>
              <w:pStyle w:val="Tabletext"/>
              <w:keepNext w:val="0"/>
              <w:widowControl w:val="0"/>
            </w:pPr>
            <w:r w:rsidRPr="00D85E09">
              <w:t xml:space="preserve">1.7 [1.04, 2.7], </w:t>
            </w:r>
            <w:r w:rsidRPr="00D85E09">
              <w:br/>
              <w:t>NR</w:t>
            </w:r>
          </w:p>
        </w:tc>
        <w:tc>
          <w:tcPr>
            <w:tcW w:w="1207" w:type="pct"/>
            <w:vAlign w:val="center"/>
          </w:tcPr>
          <w:p w14:paraId="07EE3091" w14:textId="77777777" w:rsidR="00315893" w:rsidRPr="00D85E09" w:rsidRDefault="00315893" w:rsidP="0043316B">
            <w:pPr>
              <w:pStyle w:val="Tabletext"/>
              <w:keepNext w:val="0"/>
              <w:widowControl w:val="0"/>
            </w:pPr>
            <w:r w:rsidRPr="00D85E09">
              <w:rPr>
                <w:rFonts w:cs="Calibri"/>
              </w:rPr>
              <w:t>Jovin 2015, Table 2</w:t>
            </w:r>
          </w:p>
        </w:tc>
      </w:tr>
      <w:tr w:rsidR="00315893" w:rsidRPr="00D85E09" w14:paraId="1F692CCD" w14:textId="77777777" w:rsidTr="00465778">
        <w:trPr>
          <w:trHeight w:val="20"/>
        </w:trPr>
        <w:tc>
          <w:tcPr>
            <w:tcW w:w="804" w:type="pct"/>
            <w:shd w:val="clear" w:color="auto" w:fill="auto"/>
            <w:vAlign w:val="center"/>
            <w:hideMark/>
          </w:tcPr>
          <w:p w14:paraId="76FD4898" w14:textId="77777777" w:rsidR="00315893" w:rsidRPr="00D85E09" w:rsidRDefault="00315893" w:rsidP="0043316B">
            <w:pPr>
              <w:pStyle w:val="Tabletext"/>
              <w:keepNext w:val="0"/>
              <w:widowControl w:val="0"/>
            </w:pPr>
            <w:r w:rsidRPr="00D85E09">
              <w:t>SWIFT PRIME</w:t>
            </w:r>
          </w:p>
        </w:tc>
        <w:tc>
          <w:tcPr>
            <w:tcW w:w="996" w:type="pct"/>
            <w:shd w:val="clear" w:color="auto" w:fill="auto"/>
            <w:vAlign w:val="center"/>
          </w:tcPr>
          <w:p w14:paraId="6DD6EE5F" w14:textId="77777777" w:rsidR="00315893" w:rsidRPr="00D85E09" w:rsidRDefault="00315893" w:rsidP="0043316B">
            <w:pPr>
              <w:pStyle w:val="Tabletext"/>
              <w:keepNext w:val="0"/>
              <w:widowControl w:val="0"/>
            </w:pPr>
            <w:r w:rsidRPr="00D85E09">
              <w:t>2 [1, 4]</w:t>
            </w:r>
          </w:p>
        </w:tc>
        <w:tc>
          <w:tcPr>
            <w:tcW w:w="996" w:type="pct"/>
            <w:shd w:val="clear" w:color="auto" w:fill="auto"/>
            <w:vAlign w:val="center"/>
          </w:tcPr>
          <w:p w14:paraId="698395CA" w14:textId="77777777" w:rsidR="00315893" w:rsidRPr="00D85E09" w:rsidRDefault="00315893" w:rsidP="0043316B">
            <w:pPr>
              <w:pStyle w:val="Tabletext"/>
              <w:keepNext w:val="0"/>
              <w:widowControl w:val="0"/>
            </w:pPr>
            <w:r w:rsidRPr="00D85E09">
              <w:t>3 [2, 5]</w:t>
            </w:r>
          </w:p>
        </w:tc>
        <w:tc>
          <w:tcPr>
            <w:tcW w:w="997" w:type="pct"/>
            <w:vAlign w:val="center"/>
          </w:tcPr>
          <w:p w14:paraId="78165A25" w14:textId="77777777" w:rsidR="00315893" w:rsidRPr="00D85E09" w:rsidRDefault="00315893" w:rsidP="0043316B">
            <w:pPr>
              <w:pStyle w:val="Tabletext"/>
              <w:keepNext w:val="0"/>
              <w:widowControl w:val="0"/>
            </w:pPr>
            <w:r w:rsidRPr="00D85E09">
              <w:t>2.63 [1.57, 2.91], p&lt;0.001</w:t>
            </w:r>
          </w:p>
        </w:tc>
        <w:tc>
          <w:tcPr>
            <w:tcW w:w="1207" w:type="pct"/>
            <w:vAlign w:val="center"/>
          </w:tcPr>
          <w:p w14:paraId="0C8D2FA3" w14:textId="77777777" w:rsidR="00315893" w:rsidRPr="00D85E09" w:rsidRDefault="00315893" w:rsidP="0043316B">
            <w:pPr>
              <w:pStyle w:val="Tabletext"/>
              <w:keepNext w:val="0"/>
              <w:widowControl w:val="0"/>
            </w:pPr>
            <w:r w:rsidRPr="00D85E09">
              <w:t>Saver 2015, Table 2</w:t>
            </w:r>
          </w:p>
        </w:tc>
      </w:tr>
    </w:tbl>
    <w:p w14:paraId="20E86ADF" w14:textId="77777777" w:rsidR="00315893" w:rsidRPr="00D85E09" w:rsidRDefault="00315893" w:rsidP="0043316B">
      <w:pPr>
        <w:pStyle w:val="TableNotes1"/>
        <w:keepNext w:val="0"/>
        <w:keepLines w:val="0"/>
        <w:widowControl w:val="0"/>
      </w:pPr>
      <w:r w:rsidRPr="00D85E09">
        <w:t>Abbreviations: CI, confidence interval; mRS, modified Rankin Scale; NR, not reported</w:t>
      </w:r>
    </w:p>
    <w:p w14:paraId="0F58C1E9" w14:textId="77777777" w:rsidR="00315893" w:rsidRPr="00D85E09" w:rsidRDefault="00315893" w:rsidP="0043316B">
      <w:pPr>
        <w:pStyle w:val="TableNotes1"/>
        <w:keepNext w:val="0"/>
        <w:keepLines w:val="0"/>
        <w:widowControl w:val="0"/>
      </w:pPr>
      <w:r w:rsidRPr="00D85E09">
        <w:t>a Common OR [95% CI], unadjusted, as reported by the source document. The common odds ratio was estimated from an ordinal logistic regression model and indicates the odds of improvement of 1 point on the modified Rankin scale, with a common odds ratio greater than 1 favouring the intervention.</w:t>
      </w:r>
    </w:p>
    <w:p w14:paraId="5B13B367" w14:textId="77777777" w:rsidR="00315893" w:rsidRPr="00D85E09" w:rsidRDefault="00315893" w:rsidP="0043316B">
      <w:pPr>
        <w:pStyle w:val="TableNotes1"/>
        <w:keepNext w:val="0"/>
        <w:keepLines w:val="0"/>
        <w:widowControl w:val="0"/>
      </w:pPr>
      <w:r w:rsidRPr="00D85E09">
        <w:t># The proportions of mRS 0–1 and mRS 0–2 outcomes were compared between IV-IA and IV only arms of the trial adjusted for age and baseline NIHSS score using a binary logistic regression model</w:t>
      </w:r>
    </w:p>
    <w:p w14:paraId="1DD65342" w14:textId="77777777" w:rsidR="00315893" w:rsidRPr="00D85E09" w:rsidRDefault="00315893" w:rsidP="0043316B">
      <w:pPr>
        <w:pStyle w:val="Heading5"/>
        <w:widowControl w:val="0"/>
        <w:rPr>
          <w:lang w:val="en-AU"/>
        </w:rPr>
      </w:pPr>
      <w:r w:rsidRPr="00D85E09">
        <w:rPr>
          <w:lang w:val="en-AU"/>
        </w:rPr>
        <w:t>Distribution of scores on the mRS at 90 Days</w:t>
      </w:r>
    </w:p>
    <w:p w14:paraId="4244C07A" w14:textId="35052178" w:rsidR="00315893" w:rsidRPr="00D85E09" w:rsidRDefault="00785404" w:rsidP="0043316B">
      <w:pPr>
        <w:widowControl w:val="0"/>
      </w:pPr>
      <w:r w:rsidRPr="00D85E09">
        <w:fldChar w:fldCharType="begin"/>
      </w:r>
      <w:r w:rsidRPr="00D85E09">
        <w:instrText xml:space="preserve"> REF _Ref452547803 \h </w:instrText>
      </w:r>
      <w:r w:rsidRPr="00D85E09">
        <w:fldChar w:fldCharType="separate"/>
      </w:r>
      <w:r w:rsidR="00A456ED" w:rsidRPr="00D85E09">
        <w:t xml:space="preserve">Figure </w:t>
      </w:r>
      <w:r w:rsidR="00A456ED">
        <w:rPr>
          <w:noProof/>
        </w:rPr>
        <w:t>4</w:t>
      </w:r>
      <w:r w:rsidRPr="00D85E09">
        <w:fldChar w:fldCharType="end"/>
      </w:r>
      <w:r w:rsidRPr="00D85E09">
        <w:t xml:space="preserve"> shows that a</w:t>
      </w:r>
      <w:r w:rsidR="00315893" w:rsidRPr="00D85E09">
        <w:t>t 90 days there was a greater proportion of patients in the intervention treatment arm with mRS scores of 0, 1, 2 and 3 compared to the control arm representing a favourable shift in the distribution of global disability scores on the mRS at 90 days across all trials</w:t>
      </w:r>
      <w:r w:rsidRPr="00D85E09">
        <w:t>.</w:t>
      </w:r>
    </w:p>
    <w:p w14:paraId="6298D652" w14:textId="71BB95BE" w:rsidR="00315893" w:rsidRPr="00D85E09" w:rsidRDefault="00315893" w:rsidP="0043316B">
      <w:pPr>
        <w:widowControl w:val="0"/>
      </w:pPr>
      <w:r w:rsidRPr="00D85E09">
        <w:fldChar w:fldCharType="begin"/>
      </w:r>
      <w:r w:rsidRPr="00D85E09">
        <w:instrText xml:space="preserve"> REF _Ref452547811 \h </w:instrText>
      </w:r>
      <w:r w:rsidRPr="00D85E09">
        <w:fldChar w:fldCharType="separate"/>
      </w:r>
      <w:r w:rsidR="00A456ED" w:rsidRPr="00D85E09">
        <w:t xml:space="preserve">Figure </w:t>
      </w:r>
      <w:r w:rsidR="00A456ED">
        <w:rPr>
          <w:noProof/>
        </w:rPr>
        <w:t>5</w:t>
      </w:r>
      <w:r w:rsidRPr="00D85E09">
        <w:fldChar w:fldCharType="end"/>
      </w:r>
      <w:r w:rsidRPr="00D85E09">
        <w:t xml:space="preserve"> is a forest plot representation comparing of the proportion in each mRS category at 90 days between the intervention treatment and control arms in each of the five trials. The results show that patients treated with MT have a greater likelihood of having mRS values 0-2, a similar likelihood of having mRS 3 and a reduced chance of being in the mRS4-6 categories.</w:t>
      </w:r>
    </w:p>
    <w:p w14:paraId="1C62E501" w14:textId="77777777" w:rsidR="00315893" w:rsidRPr="00D85E09" w:rsidRDefault="00315893" w:rsidP="0043316B">
      <w:pPr>
        <w:widowControl w:val="0"/>
      </w:pPr>
      <w:r w:rsidRPr="00D85E09">
        <w:rPr>
          <w:noProof/>
          <w:lang w:eastAsia="en-AU"/>
        </w:rPr>
        <w:lastRenderedPageBreak/>
        <w:drawing>
          <wp:inline distT="0" distB="0" distL="0" distR="0" wp14:anchorId="69C9C4EB" wp14:editId="75AD4AB7">
            <wp:extent cx="5580380" cy="3636010"/>
            <wp:effectExtent l="0" t="0" r="1270" b="2540"/>
            <wp:docPr id="4" name="Picture 4" descr="This diagram shows the proportion of patients in each mRS category at 9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80" cy="3636010"/>
                    </a:xfrm>
                    <a:prstGeom prst="rect">
                      <a:avLst/>
                    </a:prstGeom>
                  </pic:spPr>
                </pic:pic>
              </a:graphicData>
            </a:graphic>
          </wp:inline>
        </w:drawing>
      </w:r>
    </w:p>
    <w:p w14:paraId="18F80958" w14:textId="1FAD2244" w:rsidR="00315893" w:rsidRPr="00D85E09" w:rsidRDefault="00315893" w:rsidP="0043316B">
      <w:pPr>
        <w:pStyle w:val="Caption"/>
        <w:keepNext w:val="0"/>
        <w:widowControl w:val="0"/>
        <w:rPr>
          <w:lang w:val="en-AU"/>
        </w:rPr>
      </w:pPr>
      <w:bookmarkStart w:id="292" w:name="_Ref452547803"/>
      <w:bookmarkStart w:id="293" w:name="_Toc453065451"/>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4</w:t>
      </w:r>
      <w:r w:rsidRPr="00D85E09">
        <w:rPr>
          <w:lang w:val="en-AU"/>
        </w:rPr>
        <w:fldChar w:fldCharType="end"/>
      </w:r>
      <w:bookmarkEnd w:id="292"/>
      <w:r w:rsidRPr="00D85E09">
        <w:rPr>
          <w:lang w:val="en-AU"/>
        </w:rPr>
        <w:tab/>
        <w:t>Proportion of patients in each mRS category at 90 days</w:t>
      </w:r>
      <w:bookmarkEnd w:id="293"/>
    </w:p>
    <w:p w14:paraId="7E8B2E5C" w14:textId="77777777" w:rsidR="00315893" w:rsidRPr="00D85E09" w:rsidRDefault="00315893" w:rsidP="0043316B">
      <w:pPr>
        <w:pStyle w:val="Caption"/>
        <w:keepNext w:val="0"/>
        <w:widowControl w:val="0"/>
        <w:rPr>
          <w:lang w:val="en-AU" w:eastAsia="en-AU"/>
        </w:rPr>
      </w:pPr>
    </w:p>
    <w:p w14:paraId="3C7E84DF" w14:textId="77777777" w:rsidR="00315893" w:rsidRPr="00D85E09" w:rsidRDefault="00315893" w:rsidP="0043316B">
      <w:pPr>
        <w:widowControl w:val="0"/>
      </w:pPr>
    </w:p>
    <w:p w14:paraId="5CBC25D1" w14:textId="77777777" w:rsidR="00315893" w:rsidRPr="00D85E09" w:rsidRDefault="00315893" w:rsidP="0043316B">
      <w:pPr>
        <w:widowControl w:val="0"/>
        <w:rPr>
          <w:rStyle w:val="CaptionChar"/>
        </w:rPr>
      </w:pPr>
      <w:r w:rsidRPr="00D85E09">
        <w:rPr>
          <w:noProof/>
          <w:lang w:eastAsia="en-AU"/>
        </w:rPr>
        <w:lastRenderedPageBreak/>
        <w:drawing>
          <wp:inline distT="0" distB="0" distL="0" distR="0" wp14:anchorId="64855CDB" wp14:editId="35EF202F">
            <wp:extent cx="5114925" cy="7575770"/>
            <wp:effectExtent l="0" t="0" r="0" b="6350"/>
            <wp:docPr id="3" name="Picture 3" descr="This table shows the forest plot representation of the proportion of patients in each mRS catergory at 9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8996" cy="7581800"/>
                    </a:xfrm>
                    <a:prstGeom prst="rect">
                      <a:avLst/>
                    </a:prstGeom>
                  </pic:spPr>
                </pic:pic>
              </a:graphicData>
            </a:graphic>
          </wp:inline>
        </w:drawing>
      </w:r>
    </w:p>
    <w:p w14:paraId="3903B5B7" w14:textId="55A92C23" w:rsidR="00315893" w:rsidRPr="00D85E09" w:rsidRDefault="00315893" w:rsidP="0043316B">
      <w:pPr>
        <w:pStyle w:val="Caption"/>
        <w:keepNext w:val="0"/>
        <w:widowControl w:val="0"/>
        <w:rPr>
          <w:lang w:val="en-AU"/>
        </w:rPr>
      </w:pPr>
      <w:bookmarkStart w:id="294" w:name="_Ref452547811"/>
      <w:bookmarkStart w:id="295" w:name="_Toc453065452"/>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5</w:t>
      </w:r>
      <w:r w:rsidRPr="00D85E09">
        <w:rPr>
          <w:lang w:val="en-AU"/>
        </w:rPr>
        <w:fldChar w:fldCharType="end"/>
      </w:r>
      <w:bookmarkEnd w:id="294"/>
      <w:r w:rsidRPr="00D85E09">
        <w:rPr>
          <w:lang w:val="en-AU"/>
        </w:rPr>
        <w:tab/>
        <w:t>Forest plot representation of the proportion of patients in each mRS category at 90 days</w:t>
      </w:r>
      <w:bookmarkEnd w:id="295"/>
    </w:p>
    <w:p w14:paraId="5E5F11CF" w14:textId="77777777" w:rsidR="00315893" w:rsidRPr="00D85E09" w:rsidRDefault="00315893" w:rsidP="0043316B">
      <w:pPr>
        <w:widowControl w:val="0"/>
      </w:pPr>
    </w:p>
    <w:p w14:paraId="003B145C" w14:textId="77777777" w:rsidR="00315893" w:rsidRPr="00D85E09" w:rsidRDefault="00315893" w:rsidP="0043316B">
      <w:pPr>
        <w:pStyle w:val="TableNotes1"/>
        <w:keepNext w:val="0"/>
        <w:keepLines w:val="0"/>
        <w:widowControl w:val="0"/>
      </w:pPr>
    </w:p>
    <w:p w14:paraId="7588BEF2" w14:textId="77777777" w:rsidR="00315893" w:rsidRPr="00D85E09" w:rsidRDefault="00315893" w:rsidP="0043316B">
      <w:pPr>
        <w:pStyle w:val="Heading3"/>
        <w:keepNext w:val="0"/>
        <w:widowControl w:val="0"/>
        <w:spacing w:before="240"/>
        <w:ind w:left="851" w:hanging="851"/>
        <w:jc w:val="both"/>
        <w:rPr>
          <w:lang w:val="en-AU"/>
        </w:rPr>
      </w:pPr>
      <w:bookmarkStart w:id="296" w:name="_Toc453065273"/>
      <w:r w:rsidRPr="00D85E09">
        <w:rPr>
          <w:lang w:val="en-AU"/>
        </w:rPr>
        <w:lastRenderedPageBreak/>
        <w:t>Secondary efficacy outcomes</w:t>
      </w:r>
      <w:bookmarkEnd w:id="296"/>
    </w:p>
    <w:p w14:paraId="1A124C98" w14:textId="77777777" w:rsidR="00315893" w:rsidRPr="00D85E09" w:rsidRDefault="00315893" w:rsidP="0043316B">
      <w:pPr>
        <w:pStyle w:val="Heading5"/>
        <w:widowControl w:val="0"/>
        <w:rPr>
          <w:lang w:val="en-AU"/>
        </w:rPr>
      </w:pPr>
      <w:r w:rsidRPr="00D85E09">
        <w:rPr>
          <w:lang w:val="en-AU"/>
        </w:rPr>
        <w:t>mRS score 0-2 at 90 days</w:t>
      </w:r>
    </w:p>
    <w:p w14:paraId="4B111CB0" w14:textId="7604F974" w:rsidR="00315893" w:rsidRPr="00D85E09" w:rsidRDefault="00315893" w:rsidP="0043316B">
      <w:pPr>
        <w:widowControl w:val="0"/>
      </w:pPr>
      <w:r w:rsidRPr="00D85E09">
        <w:t xml:space="preserve">The proportion of patients with a mRS score 0-2 at 90 days in each trial is presented in </w:t>
      </w:r>
      <w:r w:rsidRPr="00D85E09">
        <w:fldChar w:fldCharType="begin"/>
      </w:r>
      <w:r w:rsidRPr="00D85E09">
        <w:instrText xml:space="preserve"> REF _Ref449021424 \h </w:instrText>
      </w:r>
      <w:r w:rsidRPr="00D85E09">
        <w:fldChar w:fldCharType="separate"/>
      </w:r>
      <w:r w:rsidR="00A456ED" w:rsidRPr="00D85E09">
        <w:t xml:space="preserve">Table </w:t>
      </w:r>
      <w:r w:rsidR="00A456ED">
        <w:rPr>
          <w:noProof/>
        </w:rPr>
        <w:t>29</w:t>
      </w:r>
      <w:r w:rsidRPr="00D85E09">
        <w:fldChar w:fldCharType="end"/>
      </w:r>
      <w:r w:rsidRPr="00D85E09">
        <w:t xml:space="preserve"> and </w:t>
      </w:r>
      <w:r w:rsidRPr="00D85E09">
        <w:fldChar w:fldCharType="begin"/>
      </w:r>
      <w:r w:rsidRPr="00D85E09">
        <w:instrText xml:space="preserve"> REF _Ref449613873 \h </w:instrText>
      </w:r>
      <w:r w:rsidRPr="00D85E09">
        <w:fldChar w:fldCharType="separate"/>
      </w:r>
      <w:r w:rsidR="00A456ED" w:rsidRPr="00D85E09">
        <w:t xml:space="preserve">Figure </w:t>
      </w:r>
      <w:r w:rsidR="00A456ED">
        <w:rPr>
          <w:noProof/>
        </w:rPr>
        <w:t>6</w:t>
      </w:r>
      <w:r w:rsidRPr="00D85E09">
        <w:fldChar w:fldCharType="end"/>
      </w:r>
      <w:r w:rsidRPr="00D85E09">
        <w:t>. A mRS score of 0-2 indicated functional independence. Each of the five trials reported a greater proportion of patients with a mRS score of 0-2 at 90 days in the intervention treatment arm compared to the control arm. Overall, 46.1% of patients in the intervention treatment arm compared to 26.4% of patients in the control arm possessed a mRS score of 0-2 at 90 days. This difference was statistically significant with an OR=2.39 (95% CI: 1.88, 3.04), p&lt;0.0001.</w:t>
      </w:r>
    </w:p>
    <w:p w14:paraId="6A8671FD" w14:textId="2A8EEEE4" w:rsidR="00315893" w:rsidRPr="00D85E09" w:rsidRDefault="00315893" w:rsidP="0043316B">
      <w:pPr>
        <w:pStyle w:val="Caption"/>
        <w:keepNext w:val="0"/>
        <w:widowControl w:val="0"/>
        <w:rPr>
          <w:lang w:val="en-AU"/>
        </w:rPr>
      </w:pPr>
      <w:bookmarkStart w:id="297" w:name="_Ref449021424"/>
      <w:bookmarkStart w:id="298" w:name="_Toc45306536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29</w:t>
      </w:r>
      <w:r w:rsidRPr="00D85E09">
        <w:rPr>
          <w:lang w:val="en-AU"/>
        </w:rPr>
        <w:fldChar w:fldCharType="end"/>
      </w:r>
      <w:bookmarkEnd w:id="297"/>
      <w:r w:rsidRPr="00D85E09">
        <w:rPr>
          <w:lang w:val="en-AU"/>
        </w:rPr>
        <w:tab/>
        <w:t>mRS score 0-2 at 90 days</w:t>
      </w:r>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29 mRS score 0-2 at 90 days"/>
      </w:tblPr>
      <w:tblGrid>
        <w:gridCol w:w="1449"/>
        <w:gridCol w:w="1793"/>
        <w:gridCol w:w="1794"/>
        <w:gridCol w:w="1794"/>
        <w:gridCol w:w="2174"/>
      </w:tblGrid>
      <w:tr w:rsidR="00315893" w:rsidRPr="00D85E09" w14:paraId="50C5FF9F" w14:textId="77777777" w:rsidTr="000D5648">
        <w:trPr>
          <w:trHeight w:val="669"/>
          <w:jc w:val="center"/>
        </w:trPr>
        <w:tc>
          <w:tcPr>
            <w:tcW w:w="805" w:type="pct"/>
            <w:shd w:val="clear" w:color="auto" w:fill="FFFFFF" w:themeFill="background1"/>
            <w:hideMark/>
          </w:tcPr>
          <w:p w14:paraId="42CFDFE3" w14:textId="77777777" w:rsidR="00315893" w:rsidRPr="00D85E09" w:rsidRDefault="00315893" w:rsidP="0043316B">
            <w:pPr>
              <w:pStyle w:val="Tabletext"/>
              <w:keepNext w:val="0"/>
              <w:widowControl w:val="0"/>
              <w:rPr>
                <w:b/>
              </w:rPr>
            </w:pPr>
            <w:r w:rsidRPr="00D85E09">
              <w:rPr>
                <w:b/>
              </w:rPr>
              <w:t>Trial ID</w:t>
            </w:r>
          </w:p>
        </w:tc>
        <w:tc>
          <w:tcPr>
            <w:tcW w:w="996" w:type="pct"/>
            <w:shd w:val="clear" w:color="auto" w:fill="FFFFFF" w:themeFill="background1"/>
            <w:vAlign w:val="center"/>
          </w:tcPr>
          <w:p w14:paraId="3BCCCD4C" w14:textId="77777777" w:rsidR="00315893" w:rsidRPr="00D85E09" w:rsidRDefault="00315893" w:rsidP="0043316B">
            <w:pPr>
              <w:pStyle w:val="Tabletext"/>
              <w:keepNext w:val="0"/>
              <w:widowControl w:val="0"/>
              <w:jc w:val="center"/>
              <w:rPr>
                <w:b/>
              </w:rPr>
            </w:pPr>
            <w:r w:rsidRPr="00D85E09">
              <w:rPr>
                <w:b/>
              </w:rPr>
              <w:t>Intervention</w:t>
            </w:r>
          </w:p>
          <w:p w14:paraId="3AECC18A" w14:textId="77777777" w:rsidR="00315893" w:rsidRPr="00D85E09" w:rsidRDefault="00315893" w:rsidP="0043316B">
            <w:pPr>
              <w:pStyle w:val="Tabletext"/>
              <w:keepNext w:val="0"/>
              <w:widowControl w:val="0"/>
              <w:jc w:val="center"/>
              <w:rPr>
                <w:b/>
              </w:rPr>
            </w:pPr>
            <w:r w:rsidRPr="00D85E09">
              <w:rPr>
                <w:b/>
              </w:rPr>
              <w:t>n /N (%)</w:t>
            </w:r>
          </w:p>
        </w:tc>
        <w:tc>
          <w:tcPr>
            <w:tcW w:w="996" w:type="pct"/>
            <w:shd w:val="clear" w:color="auto" w:fill="FFFFFF" w:themeFill="background1"/>
            <w:noWrap/>
            <w:vAlign w:val="center"/>
            <w:hideMark/>
          </w:tcPr>
          <w:p w14:paraId="27C99850" w14:textId="77777777" w:rsidR="00315893" w:rsidRPr="00D85E09" w:rsidRDefault="00315893" w:rsidP="0043316B">
            <w:pPr>
              <w:pStyle w:val="Tabletext"/>
              <w:keepNext w:val="0"/>
              <w:widowControl w:val="0"/>
              <w:jc w:val="center"/>
              <w:rPr>
                <w:b/>
              </w:rPr>
            </w:pPr>
            <w:r w:rsidRPr="00D85E09">
              <w:rPr>
                <w:b/>
                <w:bCs/>
                <w:color w:val="000000"/>
              </w:rPr>
              <w:t>Control</w:t>
            </w:r>
          </w:p>
          <w:p w14:paraId="7BE4EBFB" w14:textId="77777777" w:rsidR="00315893" w:rsidRPr="00D85E09" w:rsidRDefault="00315893" w:rsidP="0043316B">
            <w:pPr>
              <w:pStyle w:val="Tabletext"/>
              <w:keepNext w:val="0"/>
              <w:widowControl w:val="0"/>
              <w:jc w:val="center"/>
              <w:rPr>
                <w:b/>
              </w:rPr>
            </w:pPr>
            <w:r w:rsidRPr="00D85E09">
              <w:rPr>
                <w:b/>
              </w:rPr>
              <w:t>n /N (%)</w:t>
            </w:r>
          </w:p>
        </w:tc>
        <w:tc>
          <w:tcPr>
            <w:tcW w:w="996" w:type="pct"/>
            <w:shd w:val="clear" w:color="auto" w:fill="FFFFFF" w:themeFill="background1"/>
            <w:vAlign w:val="center"/>
          </w:tcPr>
          <w:p w14:paraId="183E01DC" w14:textId="77777777" w:rsidR="00315893" w:rsidRPr="00D85E09" w:rsidRDefault="00315893" w:rsidP="0043316B">
            <w:pPr>
              <w:pStyle w:val="Tabletext"/>
              <w:keepNext w:val="0"/>
              <w:widowControl w:val="0"/>
              <w:jc w:val="center"/>
              <w:rPr>
                <w:b/>
              </w:rPr>
            </w:pPr>
            <w:r w:rsidRPr="00D85E09">
              <w:rPr>
                <w:b/>
              </w:rPr>
              <w:t>OR [95% CI]</w:t>
            </w:r>
            <w:r w:rsidRPr="00D85E09">
              <w:rPr>
                <w:b/>
                <w:vertAlign w:val="superscript"/>
              </w:rPr>
              <w:t>a</w:t>
            </w:r>
          </w:p>
        </w:tc>
        <w:tc>
          <w:tcPr>
            <w:tcW w:w="1207" w:type="pct"/>
            <w:shd w:val="clear" w:color="auto" w:fill="FFFFFF" w:themeFill="background1"/>
            <w:vAlign w:val="center"/>
          </w:tcPr>
          <w:p w14:paraId="1DDA0A33" w14:textId="77777777" w:rsidR="00315893" w:rsidRPr="00D85E09" w:rsidRDefault="00315893" w:rsidP="0043316B">
            <w:pPr>
              <w:pStyle w:val="Tabletext"/>
              <w:keepNext w:val="0"/>
              <w:widowControl w:val="0"/>
              <w:jc w:val="center"/>
              <w:rPr>
                <w:b/>
              </w:rPr>
            </w:pPr>
            <w:r w:rsidRPr="00D85E09">
              <w:rPr>
                <w:b/>
              </w:rPr>
              <w:t>Source</w:t>
            </w:r>
          </w:p>
        </w:tc>
      </w:tr>
      <w:tr w:rsidR="00315893" w:rsidRPr="00D85E09" w14:paraId="27E28DEF" w14:textId="77777777" w:rsidTr="00465778">
        <w:trPr>
          <w:trHeight w:val="20"/>
          <w:jc w:val="center"/>
        </w:trPr>
        <w:tc>
          <w:tcPr>
            <w:tcW w:w="805" w:type="pct"/>
            <w:shd w:val="clear" w:color="auto" w:fill="auto"/>
            <w:vAlign w:val="center"/>
          </w:tcPr>
          <w:p w14:paraId="56EC6056" w14:textId="77777777" w:rsidR="00315893" w:rsidRPr="00D85E09" w:rsidRDefault="00315893" w:rsidP="0043316B">
            <w:pPr>
              <w:pStyle w:val="Tabletext"/>
              <w:keepNext w:val="0"/>
              <w:widowControl w:val="0"/>
            </w:pPr>
            <w:r w:rsidRPr="00D85E09">
              <w:t xml:space="preserve">ESCAPE </w:t>
            </w:r>
          </w:p>
        </w:tc>
        <w:tc>
          <w:tcPr>
            <w:tcW w:w="996" w:type="pct"/>
            <w:vAlign w:val="center"/>
          </w:tcPr>
          <w:p w14:paraId="45389A75" w14:textId="77777777" w:rsidR="00315893" w:rsidRPr="00D85E09" w:rsidRDefault="00315893" w:rsidP="0043316B">
            <w:pPr>
              <w:pStyle w:val="Tabletext"/>
              <w:keepNext w:val="0"/>
              <w:widowControl w:val="0"/>
              <w:jc w:val="center"/>
              <w:rPr>
                <w:rFonts w:cs="Calibri"/>
              </w:rPr>
            </w:pPr>
            <w:r w:rsidRPr="00D85E09">
              <w:rPr>
                <w:rFonts w:cs="Calibri"/>
              </w:rPr>
              <w:t>87/164 (53.0%)</w:t>
            </w:r>
          </w:p>
        </w:tc>
        <w:tc>
          <w:tcPr>
            <w:tcW w:w="996" w:type="pct"/>
            <w:shd w:val="clear" w:color="auto" w:fill="auto"/>
            <w:vAlign w:val="center"/>
          </w:tcPr>
          <w:p w14:paraId="278A64D4" w14:textId="77777777" w:rsidR="00315893" w:rsidRPr="00D85E09" w:rsidRDefault="00315893" w:rsidP="0043316B">
            <w:pPr>
              <w:pStyle w:val="Tabletext"/>
              <w:keepNext w:val="0"/>
              <w:widowControl w:val="0"/>
              <w:jc w:val="center"/>
            </w:pPr>
            <w:r w:rsidRPr="00D85E09">
              <w:rPr>
                <w:rFonts w:cs="Calibri"/>
              </w:rPr>
              <w:t>43/147 (29.3%)</w:t>
            </w:r>
          </w:p>
        </w:tc>
        <w:tc>
          <w:tcPr>
            <w:tcW w:w="996" w:type="pct"/>
            <w:vAlign w:val="center"/>
          </w:tcPr>
          <w:p w14:paraId="034AE931" w14:textId="77777777" w:rsidR="00315893" w:rsidRPr="00D85E09" w:rsidRDefault="00315893" w:rsidP="0043316B">
            <w:pPr>
              <w:pStyle w:val="Tabletext"/>
              <w:keepNext w:val="0"/>
              <w:widowControl w:val="0"/>
              <w:jc w:val="center"/>
              <w:rPr>
                <w:rFonts w:cs="Calibri"/>
              </w:rPr>
            </w:pPr>
            <w:r w:rsidRPr="00D85E09">
              <w:rPr>
                <w:rFonts w:cs="Calibri"/>
              </w:rPr>
              <w:t xml:space="preserve">2.73 </w:t>
            </w:r>
            <w:r w:rsidRPr="00D85E09">
              <w:rPr>
                <w:rFonts w:cs="Calibri"/>
              </w:rPr>
              <w:br/>
              <w:t>[1.71, 4.37]</w:t>
            </w:r>
          </w:p>
        </w:tc>
        <w:tc>
          <w:tcPr>
            <w:tcW w:w="1207" w:type="pct"/>
            <w:vAlign w:val="center"/>
          </w:tcPr>
          <w:p w14:paraId="6BE0BDE9" w14:textId="77777777" w:rsidR="00315893" w:rsidRPr="00D85E09" w:rsidRDefault="00315893" w:rsidP="0043316B">
            <w:pPr>
              <w:pStyle w:val="Tabletext"/>
              <w:keepNext w:val="0"/>
              <w:widowControl w:val="0"/>
              <w:jc w:val="center"/>
              <w:rPr>
                <w:rFonts w:cs="Calibri"/>
              </w:rPr>
            </w:pPr>
            <w:r w:rsidRPr="00D85E09">
              <w:rPr>
                <w:rFonts w:cs="Calibri"/>
              </w:rPr>
              <w:t>Goyal 2015, Table 2</w:t>
            </w:r>
          </w:p>
        </w:tc>
      </w:tr>
      <w:tr w:rsidR="00315893" w:rsidRPr="00D85E09" w14:paraId="72B8654E" w14:textId="77777777" w:rsidTr="00465778">
        <w:trPr>
          <w:trHeight w:val="20"/>
          <w:jc w:val="center"/>
        </w:trPr>
        <w:tc>
          <w:tcPr>
            <w:tcW w:w="805" w:type="pct"/>
            <w:shd w:val="clear" w:color="auto" w:fill="auto"/>
            <w:vAlign w:val="center"/>
          </w:tcPr>
          <w:p w14:paraId="396BBECD" w14:textId="4E0733EA" w:rsidR="00315893" w:rsidRPr="00D85E09" w:rsidRDefault="005B7DCE" w:rsidP="0043316B">
            <w:pPr>
              <w:pStyle w:val="Tabletext"/>
              <w:keepNext w:val="0"/>
              <w:widowControl w:val="0"/>
            </w:pPr>
            <w:r>
              <w:t>EXTEND-I</w:t>
            </w:r>
            <w:r w:rsidR="00315893" w:rsidRPr="00D85E09">
              <w:t xml:space="preserve">A </w:t>
            </w:r>
          </w:p>
        </w:tc>
        <w:tc>
          <w:tcPr>
            <w:tcW w:w="996" w:type="pct"/>
            <w:vAlign w:val="center"/>
          </w:tcPr>
          <w:p w14:paraId="7583820E" w14:textId="77777777" w:rsidR="00315893" w:rsidRPr="00D85E09" w:rsidRDefault="00315893" w:rsidP="0043316B">
            <w:pPr>
              <w:pStyle w:val="Tabletext"/>
              <w:keepNext w:val="0"/>
              <w:widowControl w:val="0"/>
              <w:jc w:val="center"/>
              <w:rPr>
                <w:rFonts w:cs="Calibri"/>
              </w:rPr>
            </w:pPr>
            <w:r w:rsidRPr="00D85E09">
              <w:rPr>
                <w:rFonts w:cs="Calibri"/>
              </w:rPr>
              <w:t>25/35 (71.4%)</w:t>
            </w:r>
          </w:p>
        </w:tc>
        <w:tc>
          <w:tcPr>
            <w:tcW w:w="996" w:type="pct"/>
            <w:shd w:val="clear" w:color="auto" w:fill="auto"/>
            <w:vAlign w:val="center"/>
          </w:tcPr>
          <w:p w14:paraId="51214D25" w14:textId="77777777" w:rsidR="00315893" w:rsidRPr="00D85E09" w:rsidRDefault="00315893" w:rsidP="0043316B">
            <w:pPr>
              <w:pStyle w:val="Tabletext"/>
              <w:keepNext w:val="0"/>
              <w:widowControl w:val="0"/>
              <w:jc w:val="center"/>
            </w:pPr>
            <w:r w:rsidRPr="00D85E09">
              <w:rPr>
                <w:rFonts w:cs="Calibri"/>
              </w:rPr>
              <w:t>14/35 (40.0%)</w:t>
            </w:r>
          </w:p>
        </w:tc>
        <w:tc>
          <w:tcPr>
            <w:tcW w:w="996" w:type="pct"/>
            <w:vAlign w:val="center"/>
          </w:tcPr>
          <w:p w14:paraId="05995A3D" w14:textId="77777777" w:rsidR="00315893" w:rsidRPr="00D85E09" w:rsidRDefault="00315893" w:rsidP="0043316B">
            <w:pPr>
              <w:pStyle w:val="Tabletext"/>
              <w:keepNext w:val="0"/>
              <w:widowControl w:val="0"/>
              <w:jc w:val="center"/>
              <w:rPr>
                <w:rFonts w:cs="Calibri"/>
              </w:rPr>
            </w:pPr>
            <w:r w:rsidRPr="00D85E09">
              <w:t xml:space="preserve">3.75 </w:t>
            </w:r>
            <w:r w:rsidRPr="00D85E09">
              <w:br/>
              <w:t>[1.38, 10.17]</w:t>
            </w:r>
          </w:p>
        </w:tc>
        <w:tc>
          <w:tcPr>
            <w:tcW w:w="1207" w:type="pct"/>
            <w:vAlign w:val="center"/>
          </w:tcPr>
          <w:p w14:paraId="672788CF" w14:textId="77777777" w:rsidR="00315893" w:rsidRPr="00D85E09" w:rsidRDefault="00315893" w:rsidP="0043316B">
            <w:pPr>
              <w:pStyle w:val="Tabletext"/>
              <w:keepNext w:val="0"/>
              <w:widowControl w:val="0"/>
              <w:jc w:val="center"/>
            </w:pPr>
            <w:r w:rsidRPr="00D85E09">
              <w:t>Campbell 2015, Table 3</w:t>
            </w:r>
          </w:p>
        </w:tc>
      </w:tr>
      <w:tr w:rsidR="00315893" w:rsidRPr="00D85E09" w14:paraId="43BD055C" w14:textId="77777777" w:rsidTr="00465778">
        <w:trPr>
          <w:trHeight w:val="20"/>
          <w:jc w:val="center"/>
        </w:trPr>
        <w:tc>
          <w:tcPr>
            <w:tcW w:w="805" w:type="pct"/>
            <w:shd w:val="clear" w:color="auto" w:fill="auto"/>
            <w:vAlign w:val="center"/>
          </w:tcPr>
          <w:p w14:paraId="2713680F" w14:textId="77777777" w:rsidR="00315893" w:rsidRPr="00D85E09" w:rsidRDefault="00315893" w:rsidP="0043316B">
            <w:pPr>
              <w:pStyle w:val="Tabletext"/>
              <w:keepNext w:val="0"/>
              <w:widowControl w:val="0"/>
            </w:pPr>
            <w:r w:rsidRPr="00D85E09">
              <w:t xml:space="preserve">MR CLEAN </w:t>
            </w:r>
          </w:p>
        </w:tc>
        <w:tc>
          <w:tcPr>
            <w:tcW w:w="996" w:type="pct"/>
            <w:vAlign w:val="center"/>
          </w:tcPr>
          <w:p w14:paraId="2E8BD1B4" w14:textId="77777777" w:rsidR="00315893" w:rsidRPr="00D85E09" w:rsidRDefault="00315893" w:rsidP="0043316B">
            <w:pPr>
              <w:pStyle w:val="Tabletext"/>
              <w:keepNext w:val="0"/>
              <w:widowControl w:val="0"/>
              <w:jc w:val="center"/>
              <w:rPr>
                <w:rFonts w:cs="Calibri"/>
              </w:rPr>
            </w:pPr>
            <w:r w:rsidRPr="00D85E09">
              <w:rPr>
                <w:rFonts w:cs="Calibri"/>
              </w:rPr>
              <w:t>76/233 (32.6%)</w:t>
            </w:r>
          </w:p>
        </w:tc>
        <w:tc>
          <w:tcPr>
            <w:tcW w:w="996" w:type="pct"/>
            <w:shd w:val="clear" w:color="auto" w:fill="auto"/>
            <w:vAlign w:val="center"/>
          </w:tcPr>
          <w:p w14:paraId="44F8C074" w14:textId="77777777" w:rsidR="00315893" w:rsidRPr="00D85E09" w:rsidRDefault="00315893" w:rsidP="0043316B">
            <w:pPr>
              <w:pStyle w:val="Tabletext"/>
              <w:keepNext w:val="0"/>
              <w:widowControl w:val="0"/>
              <w:jc w:val="center"/>
            </w:pPr>
            <w:r w:rsidRPr="00D85E09">
              <w:rPr>
                <w:rFonts w:cs="Calibri"/>
              </w:rPr>
              <w:t>51/267 (19.1%)</w:t>
            </w:r>
          </w:p>
        </w:tc>
        <w:tc>
          <w:tcPr>
            <w:tcW w:w="996" w:type="pct"/>
            <w:vAlign w:val="center"/>
          </w:tcPr>
          <w:p w14:paraId="15FC08B8" w14:textId="77777777" w:rsidR="00315893" w:rsidRPr="00D85E09" w:rsidRDefault="00315893" w:rsidP="0043316B">
            <w:pPr>
              <w:pStyle w:val="Tabletext"/>
              <w:keepNext w:val="0"/>
              <w:widowControl w:val="0"/>
              <w:jc w:val="center"/>
              <w:rPr>
                <w:rFonts w:cs="Calibri"/>
              </w:rPr>
            </w:pPr>
            <w:r w:rsidRPr="00D85E09">
              <w:rPr>
                <w:rFonts w:cs="Calibri"/>
              </w:rPr>
              <w:t xml:space="preserve">2.05 </w:t>
            </w:r>
            <w:r w:rsidRPr="00D85E09">
              <w:rPr>
                <w:rFonts w:cs="Calibri"/>
              </w:rPr>
              <w:br/>
              <w:t>[1.36, 3.09]</w:t>
            </w:r>
          </w:p>
        </w:tc>
        <w:tc>
          <w:tcPr>
            <w:tcW w:w="1207" w:type="pct"/>
            <w:vAlign w:val="center"/>
          </w:tcPr>
          <w:p w14:paraId="00E747E0" w14:textId="77777777" w:rsidR="00315893" w:rsidRPr="00D85E09" w:rsidRDefault="00315893" w:rsidP="0043316B">
            <w:pPr>
              <w:pStyle w:val="Tabletext"/>
              <w:keepNext w:val="0"/>
              <w:widowControl w:val="0"/>
              <w:jc w:val="center"/>
              <w:rPr>
                <w:rFonts w:cs="Calibri"/>
              </w:rPr>
            </w:pPr>
            <w:r w:rsidRPr="00D85E09">
              <w:rPr>
                <w:rFonts w:cs="Calibri"/>
              </w:rPr>
              <w:t>Berkhemer 2015, Table 2</w:t>
            </w:r>
          </w:p>
        </w:tc>
      </w:tr>
      <w:tr w:rsidR="00315893" w:rsidRPr="00D85E09" w14:paraId="0134565F" w14:textId="77777777" w:rsidTr="00465778">
        <w:trPr>
          <w:trHeight w:val="20"/>
          <w:jc w:val="center"/>
        </w:trPr>
        <w:tc>
          <w:tcPr>
            <w:tcW w:w="805" w:type="pct"/>
            <w:tcBorders>
              <w:bottom w:val="single" w:sz="4" w:space="0" w:color="auto"/>
            </w:tcBorders>
            <w:shd w:val="clear" w:color="auto" w:fill="auto"/>
            <w:vAlign w:val="center"/>
          </w:tcPr>
          <w:p w14:paraId="458381F9" w14:textId="77777777" w:rsidR="00315893" w:rsidRPr="00D85E09" w:rsidRDefault="00315893" w:rsidP="0043316B">
            <w:pPr>
              <w:pStyle w:val="Tabletext"/>
              <w:keepNext w:val="0"/>
              <w:widowControl w:val="0"/>
            </w:pPr>
            <w:r w:rsidRPr="00D85E09">
              <w:t xml:space="preserve">REVASCAT </w:t>
            </w:r>
          </w:p>
        </w:tc>
        <w:tc>
          <w:tcPr>
            <w:tcW w:w="996" w:type="pct"/>
            <w:tcBorders>
              <w:bottom w:val="single" w:sz="4" w:space="0" w:color="auto"/>
            </w:tcBorders>
            <w:vAlign w:val="center"/>
          </w:tcPr>
          <w:p w14:paraId="611E13CF" w14:textId="77777777" w:rsidR="00315893" w:rsidRPr="00D85E09" w:rsidRDefault="00315893" w:rsidP="0043316B">
            <w:pPr>
              <w:pStyle w:val="Tabletext"/>
              <w:keepNext w:val="0"/>
              <w:widowControl w:val="0"/>
              <w:jc w:val="center"/>
              <w:rPr>
                <w:rFonts w:cs="Calibri"/>
              </w:rPr>
            </w:pPr>
            <w:r w:rsidRPr="00D85E09">
              <w:rPr>
                <w:rFonts w:cs="Calibri"/>
              </w:rPr>
              <w:t>45/103 (43.7%)</w:t>
            </w:r>
          </w:p>
        </w:tc>
        <w:tc>
          <w:tcPr>
            <w:tcW w:w="996" w:type="pct"/>
            <w:tcBorders>
              <w:bottom w:val="single" w:sz="4" w:space="0" w:color="auto"/>
            </w:tcBorders>
            <w:shd w:val="clear" w:color="auto" w:fill="auto"/>
            <w:vAlign w:val="center"/>
          </w:tcPr>
          <w:p w14:paraId="59EACAAF" w14:textId="77777777" w:rsidR="00315893" w:rsidRPr="00D85E09" w:rsidRDefault="00315893" w:rsidP="0043316B">
            <w:pPr>
              <w:pStyle w:val="Tabletext"/>
              <w:keepNext w:val="0"/>
              <w:widowControl w:val="0"/>
              <w:jc w:val="center"/>
            </w:pPr>
            <w:r w:rsidRPr="00D85E09">
              <w:rPr>
                <w:rFonts w:cs="Calibri"/>
              </w:rPr>
              <w:t>29/103 (28.2%)</w:t>
            </w:r>
          </w:p>
        </w:tc>
        <w:tc>
          <w:tcPr>
            <w:tcW w:w="996" w:type="pct"/>
            <w:tcBorders>
              <w:bottom w:val="single" w:sz="4" w:space="0" w:color="auto"/>
            </w:tcBorders>
            <w:vAlign w:val="center"/>
          </w:tcPr>
          <w:p w14:paraId="1F6E774A" w14:textId="77777777" w:rsidR="00315893" w:rsidRPr="00D85E09" w:rsidRDefault="00315893" w:rsidP="0043316B">
            <w:pPr>
              <w:pStyle w:val="Tabletext"/>
              <w:keepNext w:val="0"/>
              <w:widowControl w:val="0"/>
              <w:jc w:val="center"/>
              <w:rPr>
                <w:rFonts w:cs="Calibri"/>
              </w:rPr>
            </w:pPr>
            <w:r w:rsidRPr="00D85E09">
              <w:rPr>
                <w:rFonts w:cs="Calibri"/>
              </w:rPr>
              <w:t xml:space="preserve">1.98 </w:t>
            </w:r>
            <w:r w:rsidRPr="00D85E09">
              <w:rPr>
                <w:rFonts w:cs="Calibri"/>
              </w:rPr>
              <w:br/>
              <w:t>[1.11, 3.53]</w:t>
            </w:r>
          </w:p>
        </w:tc>
        <w:tc>
          <w:tcPr>
            <w:tcW w:w="1207" w:type="pct"/>
            <w:tcBorders>
              <w:bottom w:val="single" w:sz="4" w:space="0" w:color="auto"/>
            </w:tcBorders>
            <w:vAlign w:val="center"/>
          </w:tcPr>
          <w:p w14:paraId="6BE311F2" w14:textId="77777777" w:rsidR="00315893" w:rsidRPr="00D85E09" w:rsidRDefault="00315893" w:rsidP="0043316B">
            <w:pPr>
              <w:pStyle w:val="Tabletext"/>
              <w:keepNext w:val="0"/>
              <w:widowControl w:val="0"/>
              <w:jc w:val="center"/>
              <w:rPr>
                <w:rFonts w:cs="Calibri"/>
              </w:rPr>
            </w:pPr>
            <w:r w:rsidRPr="00D85E09">
              <w:rPr>
                <w:rFonts w:cs="Calibri"/>
              </w:rPr>
              <w:t>Jovin 2015, Table 2</w:t>
            </w:r>
          </w:p>
        </w:tc>
      </w:tr>
      <w:tr w:rsidR="00315893" w:rsidRPr="00D85E09" w14:paraId="77E8F1DF" w14:textId="77777777" w:rsidTr="00465778">
        <w:trPr>
          <w:trHeight w:val="20"/>
          <w:jc w:val="center"/>
        </w:trPr>
        <w:tc>
          <w:tcPr>
            <w:tcW w:w="805" w:type="pct"/>
            <w:shd w:val="clear" w:color="auto" w:fill="auto"/>
            <w:vAlign w:val="center"/>
            <w:hideMark/>
          </w:tcPr>
          <w:p w14:paraId="4FE22BE4" w14:textId="77777777" w:rsidR="00315893" w:rsidRPr="00D85E09" w:rsidRDefault="00315893" w:rsidP="0043316B">
            <w:pPr>
              <w:pStyle w:val="Tabletext"/>
              <w:keepNext w:val="0"/>
              <w:widowControl w:val="0"/>
            </w:pPr>
            <w:r w:rsidRPr="00D85E09">
              <w:t xml:space="preserve">SWIFT PRIME </w:t>
            </w:r>
          </w:p>
        </w:tc>
        <w:tc>
          <w:tcPr>
            <w:tcW w:w="996" w:type="pct"/>
            <w:vAlign w:val="center"/>
          </w:tcPr>
          <w:p w14:paraId="32BA9835" w14:textId="77777777" w:rsidR="00315893" w:rsidRPr="00D85E09" w:rsidRDefault="00315893" w:rsidP="0043316B">
            <w:pPr>
              <w:pStyle w:val="Tabletext"/>
              <w:keepNext w:val="0"/>
              <w:widowControl w:val="0"/>
              <w:jc w:val="center"/>
            </w:pPr>
            <w:r w:rsidRPr="00D85E09">
              <w:t>59/98 (60.2%)</w:t>
            </w:r>
          </w:p>
        </w:tc>
        <w:tc>
          <w:tcPr>
            <w:tcW w:w="996" w:type="pct"/>
            <w:shd w:val="clear" w:color="auto" w:fill="auto"/>
            <w:vAlign w:val="center"/>
          </w:tcPr>
          <w:p w14:paraId="3B6DE80B" w14:textId="77777777" w:rsidR="00315893" w:rsidRPr="00D85E09" w:rsidRDefault="00315893" w:rsidP="0043316B">
            <w:pPr>
              <w:pStyle w:val="Tabletext"/>
              <w:keepNext w:val="0"/>
              <w:widowControl w:val="0"/>
              <w:jc w:val="center"/>
            </w:pPr>
            <w:r w:rsidRPr="00D85E09">
              <w:t>33/93 (35.5%)</w:t>
            </w:r>
          </w:p>
        </w:tc>
        <w:tc>
          <w:tcPr>
            <w:tcW w:w="996" w:type="pct"/>
            <w:vAlign w:val="center"/>
          </w:tcPr>
          <w:p w14:paraId="026BD015" w14:textId="77777777" w:rsidR="00315893" w:rsidRPr="00D85E09" w:rsidRDefault="00315893" w:rsidP="0043316B">
            <w:pPr>
              <w:pStyle w:val="Tabletext"/>
              <w:keepNext w:val="0"/>
              <w:widowControl w:val="0"/>
              <w:jc w:val="center"/>
            </w:pPr>
            <w:r w:rsidRPr="00D85E09">
              <w:t xml:space="preserve">2.75 </w:t>
            </w:r>
            <w:r w:rsidRPr="00D85E09">
              <w:br/>
              <w:t>[1.53, 4.94]</w:t>
            </w:r>
          </w:p>
        </w:tc>
        <w:tc>
          <w:tcPr>
            <w:tcW w:w="1207" w:type="pct"/>
            <w:vAlign w:val="center"/>
          </w:tcPr>
          <w:p w14:paraId="7D1A602F" w14:textId="77777777" w:rsidR="00315893" w:rsidRPr="00D85E09" w:rsidRDefault="00315893" w:rsidP="0043316B">
            <w:pPr>
              <w:pStyle w:val="Tabletext"/>
              <w:keepNext w:val="0"/>
              <w:widowControl w:val="0"/>
              <w:jc w:val="center"/>
            </w:pPr>
            <w:r w:rsidRPr="00D85E09">
              <w:t>Saver 2015, Table 2</w:t>
            </w:r>
          </w:p>
        </w:tc>
      </w:tr>
      <w:tr w:rsidR="00315893" w:rsidRPr="00D85E09" w14:paraId="1903D36C" w14:textId="77777777" w:rsidTr="00465778">
        <w:trPr>
          <w:trHeight w:val="20"/>
          <w:jc w:val="center"/>
        </w:trPr>
        <w:tc>
          <w:tcPr>
            <w:tcW w:w="805" w:type="pct"/>
            <w:tcBorders>
              <w:top w:val="double" w:sz="4" w:space="0" w:color="auto"/>
            </w:tcBorders>
            <w:shd w:val="clear" w:color="auto" w:fill="auto"/>
            <w:vAlign w:val="center"/>
          </w:tcPr>
          <w:p w14:paraId="3E93E016" w14:textId="77777777" w:rsidR="00315893" w:rsidRPr="00D85E09" w:rsidRDefault="00315893" w:rsidP="0043316B">
            <w:pPr>
              <w:pStyle w:val="Tabletext"/>
              <w:keepNext w:val="0"/>
              <w:widowControl w:val="0"/>
            </w:pPr>
            <w:r w:rsidRPr="00D85E09">
              <w:t>All trials</w:t>
            </w:r>
          </w:p>
        </w:tc>
        <w:tc>
          <w:tcPr>
            <w:tcW w:w="996" w:type="pct"/>
            <w:tcBorders>
              <w:top w:val="double" w:sz="4" w:space="0" w:color="auto"/>
            </w:tcBorders>
            <w:vAlign w:val="center"/>
          </w:tcPr>
          <w:p w14:paraId="4A08915F" w14:textId="77777777" w:rsidR="00315893" w:rsidRPr="00D85E09" w:rsidRDefault="00315893" w:rsidP="0043316B">
            <w:pPr>
              <w:pStyle w:val="Tabletext"/>
              <w:keepNext w:val="0"/>
              <w:widowControl w:val="0"/>
              <w:jc w:val="center"/>
              <w:rPr>
                <w:rFonts w:cs="Calibri"/>
              </w:rPr>
            </w:pPr>
            <w:r w:rsidRPr="00D85E09">
              <w:rPr>
                <w:rFonts w:cs="Calibri"/>
              </w:rPr>
              <w:t>292/633 (46.1%)</w:t>
            </w:r>
          </w:p>
        </w:tc>
        <w:tc>
          <w:tcPr>
            <w:tcW w:w="996" w:type="pct"/>
            <w:tcBorders>
              <w:top w:val="double" w:sz="4" w:space="0" w:color="auto"/>
            </w:tcBorders>
            <w:shd w:val="clear" w:color="auto" w:fill="auto"/>
            <w:vAlign w:val="center"/>
          </w:tcPr>
          <w:p w14:paraId="45BDBA22" w14:textId="77777777" w:rsidR="00315893" w:rsidRPr="00D85E09" w:rsidRDefault="00315893" w:rsidP="0043316B">
            <w:pPr>
              <w:pStyle w:val="Tabletext"/>
              <w:keepNext w:val="0"/>
              <w:widowControl w:val="0"/>
              <w:jc w:val="center"/>
              <w:rPr>
                <w:rFonts w:cs="Calibri"/>
              </w:rPr>
            </w:pPr>
            <w:r w:rsidRPr="00D85E09">
              <w:rPr>
                <w:rFonts w:cs="Calibri"/>
              </w:rPr>
              <w:t>170/645 (26.4%)</w:t>
            </w:r>
          </w:p>
        </w:tc>
        <w:tc>
          <w:tcPr>
            <w:tcW w:w="996" w:type="pct"/>
            <w:tcBorders>
              <w:top w:val="double" w:sz="4" w:space="0" w:color="auto"/>
            </w:tcBorders>
            <w:vAlign w:val="center"/>
          </w:tcPr>
          <w:p w14:paraId="1A9A9547" w14:textId="77777777" w:rsidR="00315893" w:rsidRPr="00D85E09" w:rsidRDefault="00315893" w:rsidP="0043316B">
            <w:pPr>
              <w:pStyle w:val="Tabletext"/>
              <w:keepNext w:val="0"/>
              <w:widowControl w:val="0"/>
              <w:jc w:val="center"/>
            </w:pPr>
            <w:r w:rsidRPr="00D85E09">
              <w:t>2.39 [1.88, 3.04], p&lt;0.00001</w:t>
            </w:r>
          </w:p>
        </w:tc>
        <w:tc>
          <w:tcPr>
            <w:tcW w:w="1207" w:type="pct"/>
            <w:tcBorders>
              <w:top w:val="double" w:sz="4" w:space="0" w:color="auto"/>
            </w:tcBorders>
            <w:vAlign w:val="center"/>
          </w:tcPr>
          <w:p w14:paraId="375D7FFD" w14:textId="77777777" w:rsidR="00315893" w:rsidRPr="00D85E09" w:rsidRDefault="00315893" w:rsidP="0043316B">
            <w:pPr>
              <w:pStyle w:val="Tabletext"/>
              <w:keepNext w:val="0"/>
              <w:widowControl w:val="0"/>
              <w:jc w:val="center"/>
            </w:pPr>
          </w:p>
        </w:tc>
      </w:tr>
    </w:tbl>
    <w:p w14:paraId="42D286CA" w14:textId="77777777" w:rsidR="00315893" w:rsidRPr="00D85E09" w:rsidRDefault="00315893" w:rsidP="0043316B">
      <w:pPr>
        <w:pStyle w:val="TableNotes1"/>
        <w:keepNext w:val="0"/>
        <w:keepLines w:val="0"/>
        <w:widowControl w:val="0"/>
      </w:pPr>
      <w:r w:rsidRPr="00D85E09">
        <w:t>Abbreviations: CI, confidence interval; mRS, modified Rankin Scale; OR, odds ratio</w:t>
      </w:r>
    </w:p>
    <w:p w14:paraId="2189C1D6" w14:textId="77777777" w:rsidR="00315893" w:rsidRPr="00D85E09" w:rsidRDefault="00315893" w:rsidP="0043316B">
      <w:pPr>
        <w:pStyle w:val="TableNotes1"/>
        <w:keepNext w:val="0"/>
        <w:keepLines w:val="0"/>
        <w:widowControl w:val="0"/>
        <w:numPr>
          <w:ilvl w:val="0"/>
          <w:numId w:val="45"/>
        </w:numPr>
      </w:pPr>
      <w:r w:rsidRPr="00D85E09">
        <w:t>OR [95% CI] calculated using Review Manager 5.3 for this submission.</w:t>
      </w:r>
    </w:p>
    <w:p w14:paraId="3CDDE909" w14:textId="77777777" w:rsidR="00315893" w:rsidRPr="00D85E09" w:rsidRDefault="00315893" w:rsidP="0043316B">
      <w:pPr>
        <w:widowControl w:val="0"/>
        <w:rPr>
          <w:lang w:eastAsia="en-AU"/>
        </w:rPr>
      </w:pPr>
    </w:p>
    <w:p w14:paraId="2841E440" w14:textId="77777777" w:rsidR="00315893" w:rsidRPr="00D85E09" w:rsidRDefault="00315893" w:rsidP="0043316B">
      <w:pPr>
        <w:widowControl w:val="0"/>
      </w:pPr>
      <w:r w:rsidRPr="00D85E09">
        <w:rPr>
          <w:noProof/>
          <w:lang w:eastAsia="en-AU"/>
        </w:rPr>
        <w:drawing>
          <wp:inline distT="0" distB="0" distL="0" distR="0" wp14:anchorId="4D4275D7" wp14:editId="0E6BD946">
            <wp:extent cx="5580380" cy="1513205"/>
            <wp:effectExtent l="0" t="0" r="1270" b="0"/>
            <wp:docPr id="1" name="Picture 1" descr="Diagram - Forest plot representation of the mRS score 0-2 at 9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0380" cy="1513205"/>
                    </a:xfrm>
                    <a:prstGeom prst="rect">
                      <a:avLst/>
                    </a:prstGeom>
                  </pic:spPr>
                </pic:pic>
              </a:graphicData>
            </a:graphic>
          </wp:inline>
        </w:drawing>
      </w:r>
    </w:p>
    <w:p w14:paraId="02DE26E6" w14:textId="0FE88A92" w:rsidR="00315893" w:rsidRPr="00D85E09" w:rsidRDefault="00315893" w:rsidP="0043316B">
      <w:pPr>
        <w:pStyle w:val="Caption"/>
        <w:keepNext w:val="0"/>
        <w:widowControl w:val="0"/>
        <w:rPr>
          <w:lang w:val="en-AU"/>
        </w:rPr>
      </w:pPr>
      <w:bookmarkStart w:id="299" w:name="_Ref449613873"/>
      <w:bookmarkStart w:id="300" w:name="_Toc453065453"/>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6</w:t>
      </w:r>
      <w:r w:rsidRPr="00D85E09">
        <w:rPr>
          <w:lang w:val="en-AU"/>
        </w:rPr>
        <w:fldChar w:fldCharType="end"/>
      </w:r>
      <w:bookmarkEnd w:id="299"/>
      <w:r w:rsidRPr="00D85E09">
        <w:rPr>
          <w:lang w:val="en-AU"/>
        </w:rPr>
        <w:tab/>
        <w:t>Forest plot representation of the mRS score 0-2 at 90 days</w:t>
      </w:r>
      <w:bookmarkEnd w:id="300"/>
    </w:p>
    <w:p w14:paraId="1F86E926" w14:textId="53F12A2A" w:rsidR="00181227" w:rsidRDefault="00181227" w:rsidP="00FF1F04">
      <w:pPr>
        <w:rPr>
          <w:lang w:eastAsia="en-AU"/>
        </w:rPr>
      </w:pPr>
      <w:r>
        <w:rPr>
          <w:lang w:eastAsia="en-AU"/>
        </w:rPr>
        <w:br w:type="page"/>
      </w:r>
    </w:p>
    <w:p w14:paraId="5F516256" w14:textId="77777777" w:rsidR="00315893" w:rsidRPr="00D85E09" w:rsidRDefault="00315893" w:rsidP="0043316B">
      <w:pPr>
        <w:pStyle w:val="Caption"/>
        <w:keepNext w:val="0"/>
        <w:widowControl w:val="0"/>
        <w:ind w:left="0" w:firstLine="0"/>
        <w:rPr>
          <w:rFonts w:eastAsia="OTNEJMScalaSansLF"/>
          <w:lang w:val="en-AU" w:eastAsia="en-AU"/>
        </w:rPr>
      </w:pPr>
      <w:r w:rsidRPr="00D85E09">
        <w:rPr>
          <w:rFonts w:eastAsia="OTNEJMScalaSansLF"/>
          <w:lang w:val="en-AU" w:eastAsia="en-AU"/>
        </w:rPr>
        <w:lastRenderedPageBreak/>
        <w:t>Mortality at 90 days</w:t>
      </w:r>
    </w:p>
    <w:p w14:paraId="50366611" w14:textId="06049253" w:rsidR="00315893" w:rsidRPr="00D85E09" w:rsidRDefault="00315893" w:rsidP="0043316B">
      <w:pPr>
        <w:widowControl w:val="0"/>
      </w:pPr>
      <w:r w:rsidRPr="00D85E09">
        <w:t xml:space="preserve">The mortality rate at 90 days in each trial is presented in </w:t>
      </w:r>
      <w:r w:rsidRPr="00D85E09">
        <w:fldChar w:fldCharType="begin"/>
      </w:r>
      <w:r w:rsidRPr="00D85E09">
        <w:instrText xml:space="preserve"> REF _Ref449617547 \h </w:instrText>
      </w:r>
      <w:r w:rsidRPr="00D85E09">
        <w:fldChar w:fldCharType="separate"/>
      </w:r>
      <w:r w:rsidR="00A456ED" w:rsidRPr="00D85E09">
        <w:t xml:space="preserve">Table </w:t>
      </w:r>
      <w:r w:rsidR="00A456ED">
        <w:rPr>
          <w:noProof/>
        </w:rPr>
        <w:t>30</w:t>
      </w:r>
      <w:r w:rsidRPr="00D85E09">
        <w:fldChar w:fldCharType="end"/>
      </w:r>
      <w:r w:rsidRPr="00D85E09">
        <w:t xml:space="preserve"> and </w:t>
      </w:r>
      <w:r w:rsidRPr="00D85E09">
        <w:fldChar w:fldCharType="begin"/>
      </w:r>
      <w:r w:rsidRPr="00D85E09">
        <w:instrText xml:space="preserve"> REF _Ref449617588 \h </w:instrText>
      </w:r>
      <w:r w:rsidRPr="00D85E09">
        <w:fldChar w:fldCharType="separate"/>
      </w:r>
      <w:r w:rsidR="00A456ED" w:rsidRPr="00D85E09">
        <w:t xml:space="preserve">Figure </w:t>
      </w:r>
      <w:r w:rsidR="00A456ED">
        <w:rPr>
          <w:noProof/>
        </w:rPr>
        <w:t>7</w:t>
      </w:r>
      <w:r w:rsidRPr="00D85E09">
        <w:fldChar w:fldCharType="end"/>
      </w:r>
      <w:r w:rsidRPr="00D85E09">
        <w:t>. Overall, 15.3% of patients in the intervention treatment arm compared to 18.8% of patients in the control arm had died at 90 days. This difference was not statistically significant with an OR=0.78 (95% CI: 0.54, 1.12), p=0.18.</w:t>
      </w:r>
    </w:p>
    <w:p w14:paraId="51F6786F" w14:textId="49883C33" w:rsidR="00315893" w:rsidRPr="00D85E09" w:rsidRDefault="00315893" w:rsidP="0043316B">
      <w:pPr>
        <w:pStyle w:val="Caption"/>
        <w:keepNext w:val="0"/>
        <w:widowControl w:val="0"/>
        <w:rPr>
          <w:lang w:val="en-AU"/>
        </w:rPr>
      </w:pPr>
      <w:bookmarkStart w:id="301" w:name="_Ref449617547"/>
      <w:bookmarkStart w:id="302" w:name="_Toc45306536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30</w:t>
      </w:r>
      <w:r w:rsidRPr="00D85E09">
        <w:rPr>
          <w:lang w:val="en-AU"/>
        </w:rPr>
        <w:fldChar w:fldCharType="end"/>
      </w:r>
      <w:bookmarkEnd w:id="301"/>
      <w:r w:rsidRPr="00D85E09">
        <w:rPr>
          <w:lang w:val="en-AU"/>
        </w:rPr>
        <w:tab/>
        <w:t>Mortality at 90 days</w:t>
      </w:r>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0. Mortality at 90 days"/>
      </w:tblPr>
      <w:tblGrid>
        <w:gridCol w:w="1389"/>
        <w:gridCol w:w="1796"/>
        <w:gridCol w:w="1795"/>
        <w:gridCol w:w="1795"/>
        <w:gridCol w:w="2229"/>
      </w:tblGrid>
      <w:tr w:rsidR="00315893" w:rsidRPr="00D85E09" w14:paraId="2F2B7AAE" w14:textId="77777777" w:rsidTr="000D5648">
        <w:trPr>
          <w:trHeight w:val="669"/>
        </w:trPr>
        <w:tc>
          <w:tcPr>
            <w:tcW w:w="771" w:type="pct"/>
            <w:shd w:val="clear" w:color="auto" w:fill="FFFFFF" w:themeFill="background1"/>
            <w:hideMark/>
          </w:tcPr>
          <w:p w14:paraId="7777277E"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Trial ID</w:t>
            </w:r>
          </w:p>
          <w:p w14:paraId="3132FF91"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 </w:t>
            </w:r>
          </w:p>
        </w:tc>
        <w:tc>
          <w:tcPr>
            <w:tcW w:w="997" w:type="pct"/>
            <w:shd w:val="clear" w:color="auto" w:fill="FFFFFF" w:themeFill="background1"/>
            <w:noWrap/>
            <w:vAlign w:val="center"/>
          </w:tcPr>
          <w:p w14:paraId="0C831BA5"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Intervention</w:t>
            </w:r>
          </w:p>
          <w:p w14:paraId="1CC844BD"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997" w:type="pct"/>
            <w:shd w:val="clear" w:color="auto" w:fill="FFFFFF" w:themeFill="background1"/>
          </w:tcPr>
          <w:p w14:paraId="4A01B830"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Control</w:t>
            </w:r>
          </w:p>
          <w:p w14:paraId="3F03E5C0"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997" w:type="pct"/>
            <w:shd w:val="clear" w:color="auto" w:fill="FFFFFF" w:themeFill="background1"/>
            <w:vAlign w:val="center"/>
          </w:tcPr>
          <w:p w14:paraId="1391C833"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OR [95% CI]</w:t>
            </w:r>
            <w:r w:rsidRPr="00D85E09">
              <w:rPr>
                <w:rFonts w:ascii="Arial Narrow" w:hAnsi="Arial Narrow"/>
                <w:b/>
                <w:sz w:val="20"/>
                <w:szCs w:val="20"/>
                <w:vertAlign w:val="superscript"/>
              </w:rPr>
              <w:t>a</w:t>
            </w:r>
          </w:p>
        </w:tc>
        <w:tc>
          <w:tcPr>
            <w:tcW w:w="1238" w:type="pct"/>
            <w:shd w:val="clear" w:color="auto" w:fill="FFFFFF" w:themeFill="background1"/>
            <w:vAlign w:val="center"/>
          </w:tcPr>
          <w:p w14:paraId="5ABA1103"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6998DD7E" w14:textId="77777777" w:rsidTr="00465778">
        <w:trPr>
          <w:trHeight w:val="20"/>
        </w:trPr>
        <w:tc>
          <w:tcPr>
            <w:tcW w:w="771" w:type="pct"/>
            <w:shd w:val="clear" w:color="auto" w:fill="auto"/>
          </w:tcPr>
          <w:p w14:paraId="320E2FD7" w14:textId="77777777" w:rsidR="00315893" w:rsidRPr="00D85E09" w:rsidRDefault="00315893" w:rsidP="0043316B">
            <w:pPr>
              <w:pStyle w:val="TableArialNarrow10"/>
              <w:keepNext w:val="0"/>
              <w:keepLines w:val="0"/>
              <w:widowControl w:val="0"/>
              <w:spacing w:before="60" w:after="40"/>
            </w:pPr>
            <w:r w:rsidRPr="00D85E09">
              <w:t xml:space="preserve">ESCAPE </w:t>
            </w:r>
          </w:p>
        </w:tc>
        <w:tc>
          <w:tcPr>
            <w:tcW w:w="997" w:type="pct"/>
            <w:shd w:val="clear" w:color="auto" w:fill="auto"/>
            <w:vAlign w:val="center"/>
          </w:tcPr>
          <w:p w14:paraId="654E21A5"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17/165 (10.4)</w:t>
            </w:r>
          </w:p>
        </w:tc>
        <w:tc>
          <w:tcPr>
            <w:tcW w:w="997" w:type="pct"/>
            <w:vAlign w:val="center"/>
          </w:tcPr>
          <w:p w14:paraId="016DAF48"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28/147 (19.0)</w:t>
            </w:r>
          </w:p>
        </w:tc>
        <w:tc>
          <w:tcPr>
            <w:tcW w:w="997" w:type="pct"/>
          </w:tcPr>
          <w:p w14:paraId="67EA05B1"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0.49 [0.26, 0.93]</w:t>
            </w:r>
          </w:p>
        </w:tc>
        <w:tc>
          <w:tcPr>
            <w:tcW w:w="1238" w:type="pct"/>
            <w:vAlign w:val="center"/>
          </w:tcPr>
          <w:p w14:paraId="17E93B69"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Goyal 2015, Table 2</w:t>
            </w:r>
          </w:p>
        </w:tc>
      </w:tr>
      <w:tr w:rsidR="00315893" w:rsidRPr="00D85E09" w14:paraId="5705B388" w14:textId="77777777" w:rsidTr="00465778">
        <w:trPr>
          <w:trHeight w:val="20"/>
        </w:trPr>
        <w:tc>
          <w:tcPr>
            <w:tcW w:w="771" w:type="pct"/>
            <w:shd w:val="clear" w:color="auto" w:fill="auto"/>
          </w:tcPr>
          <w:p w14:paraId="28762D60" w14:textId="0F03FE96" w:rsidR="00315893" w:rsidRPr="00D85E09" w:rsidRDefault="005B7DCE" w:rsidP="0043316B">
            <w:pPr>
              <w:pStyle w:val="TableArialNarrow10"/>
              <w:keepNext w:val="0"/>
              <w:keepLines w:val="0"/>
              <w:widowControl w:val="0"/>
              <w:spacing w:before="60" w:after="40"/>
            </w:pPr>
            <w:r>
              <w:t>EXTEND-I</w:t>
            </w:r>
            <w:r w:rsidR="00315893" w:rsidRPr="00D85E09">
              <w:t xml:space="preserve">A </w:t>
            </w:r>
          </w:p>
        </w:tc>
        <w:tc>
          <w:tcPr>
            <w:tcW w:w="997" w:type="pct"/>
            <w:shd w:val="clear" w:color="auto" w:fill="auto"/>
            <w:vAlign w:val="center"/>
          </w:tcPr>
          <w:p w14:paraId="58B7865A"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3/35 (9)</w:t>
            </w:r>
          </w:p>
        </w:tc>
        <w:tc>
          <w:tcPr>
            <w:tcW w:w="997" w:type="pct"/>
            <w:vAlign w:val="center"/>
          </w:tcPr>
          <w:p w14:paraId="13AA19AB"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7/35 (20)</w:t>
            </w:r>
          </w:p>
        </w:tc>
        <w:tc>
          <w:tcPr>
            <w:tcW w:w="997" w:type="pct"/>
          </w:tcPr>
          <w:p w14:paraId="7FA768F8"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sz w:val="20"/>
                <w:szCs w:val="20"/>
              </w:rPr>
              <w:t>0.38 [0.09, 1.59]</w:t>
            </w:r>
          </w:p>
        </w:tc>
        <w:tc>
          <w:tcPr>
            <w:tcW w:w="1238" w:type="pct"/>
            <w:vAlign w:val="center"/>
          </w:tcPr>
          <w:p w14:paraId="5472E69B"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Campbell 2015, Table 3</w:t>
            </w:r>
          </w:p>
        </w:tc>
      </w:tr>
      <w:tr w:rsidR="00315893" w:rsidRPr="00D85E09" w14:paraId="4FAAE1CA" w14:textId="77777777" w:rsidTr="00465778">
        <w:trPr>
          <w:trHeight w:val="20"/>
        </w:trPr>
        <w:tc>
          <w:tcPr>
            <w:tcW w:w="771" w:type="pct"/>
            <w:shd w:val="clear" w:color="auto" w:fill="auto"/>
          </w:tcPr>
          <w:p w14:paraId="10C53F7A" w14:textId="77777777" w:rsidR="00315893" w:rsidRPr="00D85E09" w:rsidRDefault="00315893" w:rsidP="0043316B">
            <w:pPr>
              <w:pStyle w:val="TableArialNarrow10"/>
              <w:keepNext w:val="0"/>
              <w:keepLines w:val="0"/>
              <w:widowControl w:val="0"/>
              <w:spacing w:before="60" w:after="40"/>
            </w:pPr>
            <w:r w:rsidRPr="00D85E09">
              <w:t xml:space="preserve">MR CLEAN </w:t>
            </w:r>
          </w:p>
        </w:tc>
        <w:tc>
          <w:tcPr>
            <w:tcW w:w="997" w:type="pct"/>
            <w:shd w:val="clear" w:color="auto" w:fill="auto"/>
            <w:vAlign w:val="center"/>
          </w:tcPr>
          <w:p w14:paraId="7A20E157"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49/233 (21)</w:t>
            </w:r>
          </w:p>
        </w:tc>
        <w:tc>
          <w:tcPr>
            <w:tcW w:w="997" w:type="pct"/>
            <w:shd w:val="clear" w:color="auto" w:fill="auto"/>
            <w:vAlign w:val="center"/>
          </w:tcPr>
          <w:p w14:paraId="5A71C56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59/267 (22)</w:t>
            </w:r>
          </w:p>
        </w:tc>
        <w:tc>
          <w:tcPr>
            <w:tcW w:w="997" w:type="pct"/>
          </w:tcPr>
          <w:p w14:paraId="59AE2754"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0.94 [0.61, 1.44]</w:t>
            </w:r>
          </w:p>
        </w:tc>
        <w:tc>
          <w:tcPr>
            <w:tcW w:w="1238" w:type="pct"/>
            <w:vAlign w:val="center"/>
          </w:tcPr>
          <w:p w14:paraId="09279C7B"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Berkhemer 2015, Figure 1</w:t>
            </w:r>
          </w:p>
        </w:tc>
      </w:tr>
      <w:tr w:rsidR="00315893" w:rsidRPr="00D85E09" w14:paraId="5618F67F" w14:textId="77777777" w:rsidTr="00465778">
        <w:trPr>
          <w:trHeight w:val="20"/>
        </w:trPr>
        <w:tc>
          <w:tcPr>
            <w:tcW w:w="771" w:type="pct"/>
            <w:shd w:val="clear" w:color="auto" w:fill="auto"/>
          </w:tcPr>
          <w:p w14:paraId="69A4EAAE" w14:textId="77777777" w:rsidR="00315893" w:rsidRPr="00D85E09" w:rsidRDefault="00315893" w:rsidP="0043316B">
            <w:pPr>
              <w:pStyle w:val="TableArialNarrow10"/>
              <w:keepNext w:val="0"/>
              <w:keepLines w:val="0"/>
              <w:widowControl w:val="0"/>
              <w:spacing w:before="60" w:after="40"/>
            </w:pPr>
            <w:r w:rsidRPr="00D85E09">
              <w:t xml:space="preserve">REVASCAT </w:t>
            </w:r>
          </w:p>
        </w:tc>
        <w:tc>
          <w:tcPr>
            <w:tcW w:w="997" w:type="pct"/>
            <w:shd w:val="clear" w:color="auto" w:fill="auto"/>
            <w:vAlign w:val="center"/>
          </w:tcPr>
          <w:p w14:paraId="76CC0F6A"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19/103 (18.4)</w:t>
            </w:r>
          </w:p>
        </w:tc>
        <w:tc>
          <w:tcPr>
            <w:tcW w:w="997" w:type="pct"/>
            <w:vAlign w:val="center"/>
          </w:tcPr>
          <w:p w14:paraId="0D785F87"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16/103 (15.5)</w:t>
            </w:r>
          </w:p>
        </w:tc>
        <w:tc>
          <w:tcPr>
            <w:tcW w:w="997" w:type="pct"/>
          </w:tcPr>
          <w:p w14:paraId="5DF587FF"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1.23 [0.59, 2.55]</w:t>
            </w:r>
          </w:p>
        </w:tc>
        <w:tc>
          <w:tcPr>
            <w:tcW w:w="1238" w:type="pct"/>
            <w:vAlign w:val="center"/>
          </w:tcPr>
          <w:p w14:paraId="2F6F2631"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Jovin 2015, Table 4</w:t>
            </w:r>
          </w:p>
        </w:tc>
      </w:tr>
      <w:tr w:rsidR="00315893" w:rsidRPr="00D85E09" w14:paraId="3C49AC6B" w14:textId="77777777" w:rsidTr="00465778">
        <w:trPr>
          <w:trHeight w:val="20"/>
        </w:trPr>
        <w:tc>
          <w:tcPr>
            <w:tcW w:w="771" w:type="pct"/>
            <w:tcBorders>
              <w:bottom w:val="double" w:sz="4" w:space="0" w:color="auto"/>
            </w:tcBorders>
            <w:shd w:val="clear" w:color="auto" w:fill="auto"/>
          </w:tcPr>
          <w:p w14:paraId="16B55808" w14:textId="77777777" w:rsidR="00315893" w:rsidRPr="00D85E09" w:rsidRDefault="00315893" w:rsidP="0043316B">
            <w:pPr>
              <w:pStyle w:val="TableArialNarrow10"/>
              <w:keepNext w:val="0"/>
              <w:keepLines w:val="0"/>
              <w:widowControl w:val="0"/>
              <w:spacing w:before="60" w:after="40"/>
            </w:pPr>
            <w:r w:rsidRPr="00D85E09">
              <w:t>SWIFT PRIME</w:t>
            </w:r>
          </w:p>
        </w:tc>
        <w:tc>
          <w:tcPr>
            <w:tcW w:w="997" w:type="pct"/>
            <w:tcBorders>
              <w:bottom w:val="double" w:sz="4" w:space="0" w:color="auto"/>
            </w:tcBorders>
            <w:shd w:val="clear" w:color="auto" w:fill="auto"/>
            <w:vAlign w:val="center"/>
          </w:tcPr>
          <w:p w14:paraId="45FEE1FA"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sz w:val="20"/>
                <w:szCs w:val="20"/>
              </w:rPr>
              <w:t>9/98 (9)</w:t>
            </w:r>
          </w:p>
        </w:tc>
        <w:tc>
          <w:tcPr>
            <w:tcW w:w="997" w:type="pct"/>
            <w:tcBorders>
              <w:bottom w:val="double" w:sz="4" w:space="0" w:color="auto"/>
            </w:tcBorders>
            <w:vAlign w:val="center"/>
          </w:tcPr>
          <w:p w14:paraId="5E302110"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sz w:val="20"/>
                <w:szCs w:val="20"/>
              </w:rPr>
              <w:t>12/97 (12)</w:t>
            </w:r>
          </w:p>
        </w:tc>
        <w:tc>
          <w:tcPr>
            <w:tcW w:w="997" w:type="pct"/>
            <w:tcBorders>
              <w:bottom w:val="double" w:sz="4" w:space="0" w:color="auto"/>
            </w:tcBorders>
          </w:tcPr>
          <w:p w14:paraId="77715C91"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sz w:val="20"/>
                <w:szCs w:val="20"/>
              </w:rPr>
              <w:t>0.72 [0.29, 1.79]</w:t>
            </w:r>
          </w:p>
        </w:tc>
        <w:tc>
          <w:tcPr>
            <w:tcW w:w="1238" w:type="pct"/>
            <w:tcBorders>
              <w:bottom w:val="double" w:sz="4" w:space="0" w:color="auto"/>
            </w:tcBorders>
            <w:vAlign w:val="center"/>
          </w:tcPr>
          <w:p w14:paraId="52F92D3F"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Saver 2015, Table 2</w:t>
            </w:r>
          </w:p>
        </w:tc>
      </w:tr>
      <w:tr w:rsidR="00315893" w:rsidRPr="00D85E09" w14:paraId="74608787" w14:textId="77777777" w:rsidTr="00465778">
        <w:trPr>
          <w:trHeight w:val="20"/>
        </w:trPr>
        <w:tc>
          <w:tcPr>
            <w:tcW w:w="771" w:type="pct"/>
            <w:tcBorders>
              <w:top w:val="double" w:sz="4" w:space="0" w:color="auto"/>
            </w:tcBorders>
            <w:shd w:val="clear" w:color="auto" w:fill="auto"/>
          </w:tcPr>
          <w:p w14:paraId="7168593D" w14:textId="77777777" w:rsidR="00315893" w:rsidRPr="00D85E09" w:rsidRDefault="00315893" w:rsidP="0043316B">
            <w:pPr>
              <w:pStyle w:val="TableArialNarrow10"/>
              <w:keepNext w:val="0"/>
              <w:keepLines w:val="0"/>
              <w:widowControl w:val="0"/>
              <w:spacing w:before="60" w:after="40"/>
            </w:pPr>
            <w:r w:rsidRPr="00D85E09">
              <w:t>All trials</w:t>
            </w:r>
          </w:p>
        </w:tc>
        <w:tc>
          <w:tcPr>
            <w:tcW w:w="997" w:type="pct"/>
            <w:tcBorders>
              <w:top w:val="double" w:sz="4" w:space="0" w:color="auto"/>
            </w:tcBorders>
            <w:shd w:val="clear" w:color="auto" w:fill="auto"/>
            <w:vAlign w:val="center"/>
          </w:tcPr>
          <w:p w14:paraId="4B34673B" w14:textId="77777777" w:rsidR="00315893" w:rsidRPr="00D85E09" w:rsidRDefault="00315893" w:rsidP="0043316B">
            <w:pPr>
              <w:widowControl w:val="0"/>
              <w:spacing w:before="60" w:after="40" w:line="240" w:lineRule="auto"/>
              <w:jc w:val="center"/>
              <w:rPr>
                <w:rFonts w:ascii="Arial Narrow" w:eastAsia="OTNEJMScalaSansLF" w:hAnsi="Arial Narrow"/>
                <w:sz w:val="20"/>
                <w:szCs w:val="20"/>
              </w:rPr>
            </w:pPr>
            <w:r w:rsidRPr="00D85E09">
              <w:rPr>
                <w:rFonts w:ascii="Arial Narrow" w:eastAsia="OTNEJMScalaSansLF" w:hAnsi="Arial Narrow"/>
                <w:sz w:val="20"/>
                <w:szCs w:val="20"/>
              </w:rPr>
              <w:t>97/634 (15.3)</w:t>
            </w:r>
          </w:p>
        </w:tc>
        <w:tc>
          <w:tcPr>
            <w:tcW w:w="997" w:type="pct"/>
            <w:tcBorders>
              <w:top w:val="double" w:sz="4" w:space="0" w:color="auto"/>
            </w:tcBorders>
            <w:vAlign w:val="center"/>
          </w:tcPr>
          <w:p w14:paraId="346915D4" w14:textId="77777777" w:rsidR="00315893" w:rsidRPr="00D85E09" w:rsidRDefault="00315893" w:rsidP="0043316B">
            <w:pPr>
              <w:widowControl w:val="0"/>
              <w:spacing w:before="60" w:after="40" w:line="240" w:lineRule="auto"/>
              <w:jc w:val="center"/>
              <w:rPr>
                <w:rFonts w:ascii="Arial Narrow" w:eastAsia="OTNEJMScalaSansLF" w:hAnsi="Arial Narrow"/>
                <w:sz w:val="20"/>
                <w:szCs w:val="20"/>
              </w:rPr>
            </w:pPr>
            <w:r w:rsidRPr="00D85E09">
              <w:rPr>
                <w:rFonts w:ascii="Arial Narrow" w:eastAsia="OTNEJMScalaSansLF" w:hAnsi="Arial Narrow"/>
                <w:sz w:val="20"/>
                <w:szCs w:val="20"/>
              </w:rPr>
              <w:t>122/649 (18.8)</w:t>
            </w:r>
          </w:p>
        </w:tc>
        <w:tc>
          <w:tcPr>
            <w:tcW w:w="997" w:type="pct"/>
            <w:tcBorders>
              <w:top w:val="double" w:sz="4" w:space="0" w:color="auto"/>
            </w:tcBorders>
          </w:tcPr>
          <w:p w14:paraId="3E774639"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sz w:val="20"/>
                <w:szCs w:val="20"/>
              </w:rPr>
              <w:t>0.78 [0.54, 1.12], p=0.18</w:t>
            </w:r>
          </w:p>
        </w:tc>
        <w:tc>
          <w:tcPr>
            <w:tcW w:w="1238" w:type="pct"/>
            <w:tcBorders>
              <w:top w:val="double" w:sz="4" w:space="0" w:color="auto"/>
            </w:tcBorders>
            <w:vAlign w:val="center"/>
          </w:tcPr>
          <w:p w14:paraId="00CDDB3E" w14:textId="77777777" w:rsidR="00315893" w:rsidRPr="00D85E09" w:rsidRDefault="00315893" w:rsidP="0043316B">
            <w:pPr>
              <w:widowControl w:val="0"/>
              <w:spacing w:before="60" w:after="40" w:line="240" w:lineRule="auto"/>
              <w:jc w:val="center"/>
              <w:rPr>
                <w:rFonts w:ascii="Arial Narrow" w:hAnsi="Arial Narrow"/>
                <w:sz w:val="20"/>
                <w:szCs w:val="20"/>
              </w:rPr>
            </w:pPr>
          </w:p>
        </w:tc>
      </w:tr>
    </w:tbl>
    <w:p w14:paraId="363C341D" w14:textId="77777777" w:rsidR="00315893" w:rsidRPr="00D85E09" w:rsidRDefault="00315893" w:rsidP="0043316B">
      <w:pPr>
        <w:pStyle w:val="TableNotes1"/>
        <w:keepNext w:val="0"/>
        <w:keepLines w:val="0"/>
        <w:widowControl w:val="0"/>
      </w:pPr>
      <w:r w:rsidRPr="00D85E09">
        <w:t>Abbreviations: CI, confidence interval; OR, odds ratio</w:t>
      </w:r>
    </w:p>
    <w:p w14:paraId="3EA81B78" w14:textId="77777777" w:rsidR="00315893" w:rsidRPr="00D85E09" w:rsidRDefault="00315893" w:rsidP="0043316B">
      <w:pPr>
        <w:pStyle w:val="TableNotes1"/>
        <w:keepNext w:val="0"/>
        <w:keepLines w:val="0"/>
        <w:widowControl w:val="0"/>
        <w:numPr>
          <w:ilvl w:val="0"/>
          <w:numId w:val="50"/>
        </w:numPr>
      </w:pPr>
      <w:r w:rsidRPr="00D85E09">
        <w:t>OR [95% CI] calculated using Review Manager 5.3 for this submission.</w:t>
      </w:r>
    </w:p>
    <w:p w14:paraId="5232A9C0" w14:textId="77777777" w:rsidR="00315893" w:rsidRPr="00D85E09" w:rsidRDefault="00315893" w:rsidP="0043316B">
      <w:pPr>
        <w:widowControl w:val="0"/>
        <w:rPr>
          <w:lang w:eastAsia="en-AU"/>
        </w:rPr>
      </w:pPr>
    </w:p>
    <w:p w14:paraId="7CA71ECF" w14:textId="77777777" w:rsidR="00315893" w:rsidRPr="00D85E09" w:rsidRDefault="00315893" w:rsidP="0043316B">
      <w:pPr>
        <w:widowControl w:val="0"/>
      </w:pPr>
      <w:r w:rsidRPr="00D85E09">
        <w:rPr>
          <w:noProof/>
          <w:lang w:eastAsia="en-AU"/>
        </w:rPr>
        <w:drawing>
          <wp:inline distT="0" distB="0" distL="0" distR="0" wp14:anchorId="2F3224C3" wp14:editId="5A5A5768">
            <wp:extent cx="5580380" cy="1513205"/>
            <wp:effectExtent l="0" t="0" r="1270" b="0"/>
            <wp:docPr id="5" name="Picture 5" descr="Diagram Forest plot representation of mortality at 9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0380" cy="1513205"/>
                    </a:xfrm>
                    <a:prstGeom prst="rect">
                      <a:avLst/>
                    </a:prstGeom>
                  </pic:spPr>
                </pic:pic>
              </a:graphicData>
            </a:graphic>
          </wp:inline>
        </w:drawing>
      </w:r>
    </w:p>
    <w:p w14:paraId="3255F944" w14:textId="31FAE833" w:rsidR="00315893" w:rsidRPr="00D85E09" w:rsidRDefault="00315893" w:rsidP="0043316B">
      <w:pPr>
        <w:pStyle w:val="Caption"/>
        <w:keepNext w:val="0"/>
        <w:widowControl w:val="0"/>
        <w:rPr>
          <w:lang w:val="en-AU"/>
        </w:rPr>
      </w:pPr>
      <w:bookmarkStart w:id="303" w:name="_Ref449617588"/>
      <w:bookmarkStart w:id="304" w:name="_Toc453065454"/>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7</w:t>
      </w:r>
      <w:r w:rsidRPr="00D85E09">
        <w:rPr>
          <w:lang w:val="en-AU"/>
        </w:rPr>
        <w:fldChar w:fldCharType="end"/>
      </w:r>
      <w:bookmarkEnd w:id="303"/>
      <w:r w:rsidRPr="00D85E09">
        <w:rPr>
          <w:lang w:val="en-AU"/>
        </w:rPr>
        <w:tab/>
        <w:t>Forest plot representation of mortality at 90 days</w:t>
      </w:r>
      <w:bookmarkEnd w:id="304"/>
    </w:p>
    <w:p w14:paraId="2748682B" w14:textId="77777777" w:rsidR="00315893" w:rsidRPr="00D85E09" w:rsidRDefault="00315893" w:rsidP="0043316B">
      <w:pPr>
        <w:widowControl w:val="0"/>
      </w:pPr>
    </w:p>
    <w:p w14:paraId="1FD0F185" w14:textId="77777777" w:rsidR="00315893" w:rsidRPr="00D85E09" w:rsidRDefault="00315893" w:rsidP="0043316B">
      <w:pPr>
        <w:widowControl w:val="0"/>
      </w:pPr>
      <w:r w:rsidRPr="00D85E09">
        <w:br w:type="page"/>
      </w:r>
    </w:p>
    <w:p w14:paraId="2DCE4220" w14:textId="77777777" w:rsidR="00315893" w:rsidRPr="00D85E09" w:rsidRDefault="00315893" w:rsidP="0043316B">
      <w:pPr>
        <w:pStyle w:val="Heading5"/>
        <w:widowControl w:val="0"/>
        <w:rPr>
          <w:lang w:val="en-AU"/>
        </w:rPr>
      </w:pPr>
      <w:r w:rsidRPr="00D85E09">
        <w:rPr>
          <w:lang w:val="en-AU"/>
        </w:rPr>
        <w:lastRenderedPageBreak/>
        <w:t>NIHSS</w:t>
      </w:r>
    </w:p>
    <w:p w14:paraId="5CCB920D" w14:textId="1D089D06" w:rsidR="00315893" w:rsidRPr="00D85E09" w:rsidRDefault="00315893" w:rsidP="0043316B">
      <w:pPr>
        <w:widowControl w:val="0"/>
      </w:pPr>
      <w:r w:rsidRPr="00D85E09">
        <w:t>One of the co-p</w:t>
      </w:r>
      <w:r w:rsidR="005B7DCE">
        <w:t>rimary endpoints in the EXTEND-I</w:t>
      </w:r>
      <w:r w:rsidRPr="00D85E09">
        <w:t>A trial was early neurologic improvement defined as a reduction of 8 points or more on the NIHSS or a score of 0 or 1 at 3 days. A greater proportion of subjects (80%) in the intervention treatment arm achieved early neurologic improvement compared to the control arm (37%). In ESCAPE, there was a greater proportion of subjects (51.6%) in the intervention treatment arm with a NIHSS score of 0-2 at 90 days, indicating mild impairment post</w:t>
      </w:r>
      <w:r w:rsidR="00300BB6" w:rsidRPr="00D85E09">
        <w:t>-</w:t>
      </w:r>
      <w:r w:rsidRPr="00D85E09">
        <w:t>stroke, compared to the control arm (23.1%), where post</w:t>
      </w:r>
      <w:r w:rsidR="00300BB6" w:rsidRPr="00D85E09">
        <w:t>-</w:t>
      </w:r>
      <w:r w:rsidRPr="00D85E09">
        <w:t>stroke impairment was more severe (</w:t>
      </w:r>
      <w:r w:rsidRPr="00D85E09">
        <w:fldChar w:fldCharType="begin"/>
      </w:r>
      <w:r w:rsidRPr="00D85E09">
        <w:instrText xml:space="preserve"> REF _Ref449615479 \h  \* MERGEFORMAT </w:instrText>
      </w:r>
      <w:r w:rsidRPr="00D85E09">
        <w:fldChar w:fldCharType="separate"/>
      </w:r>
      <w:r w:rsidR="00A456ED" w:rsidRPr="00D85E09">
        <w:t xml:space="preserve">Table </w:t>
      </w:r>
      <w:r w:rsidR="00A456ED">
        <w:rPr>
          <w:noProof/>
        </w:rPr>
        <w:t>31</w:t>
      </w:r>
      <w:r w:rsidRPr="00D85E09">
        <w:fldChar w:fldCharType="end"/>
      </w:r>
      <w:r w:rsidRPr="00D85E09">
        <w:t>).</w:t>
      </w:r>
    </w:p>
    <w:p w14:paraId="08AEE10E" w14:textId="6E89F871" w:rsidR="00315893" w:rsidRPr="00D85E09" w:rsidRDefault="00315893" w:rsidP="0043316B">
      <w:pPr>
        <w:pStyle w:val="Caption"/>
        <w:keepNext w:val="0"/>
        <w:widowControl w:val="0"/>
        <w:rPr>
          <w:lang w:val="en-AU"/>
        </w:rPr>
      </w:pPr>
      <w:bookmarkStart w:id="305" w:name="_Ref449615479"/>
      <w:bookmarkStart w:id="306" w:name="_Toc45306536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31</w:t>
      </w:r>
      <w:r w:rsidRPr="00D85E09">
        <w:rPr>
          <w:lang w:val="en-AU"/>
        </w:rPr>
        <w:fldChar w:fldCharType="end"/>
      </w:r>
      <w:bookmarkEnd w:id="305"/>
      <w:r w:rsidRPr="00D85E09">
        <w:rPr>
          <w:lang w:val="en-AU"/>
        </w:rPr>
        <w:tab/>
        <w:t>Proportion of subjects with NIHSS score</w:t>
      </w:r>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1. Propotion of subects with NIHSS score"/>
      </w:tblPr>
      <w:tblGrid>
        <w:gridCol w:w="1189"/>
        <w:gridCol w:w="2078"/>
        <w:gridCol w:w="2078"/>
        <w:gridCol w:w="2276"/>
        <w:gridCol w:w="1383"/>
      </w:tblGrid>
      <w:tr w:rsidR="00315893" w:rsidRPr="00D85E09" w14:paraId="11E742EB" w14:textId="77777777" w:rsidTr="000D5648">
        <w:trPr>
          <w:trHeight w:val="669"/>
        </w:trPr>
        <w:tc>
          <w:tcPr>
            <w:tcW w:w="660" w:type="pct"/>
            <w:shd w:val="clear" w:color="auto" w:fill="FFFFFF" w:themeFill="background1"/>
            <w:hideMark/>
          </w:tcPr>
          <w:p w14:paraId="37FC91E1"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Trial ID</w:t>
            </w:r>
          </w:p>
          <w:p w14:paraId="6F753CA0"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 </w:t>
            </w:r>
          </w:p>
        </w:tc>
        <w:tc>
          <w:tcPr>
            <w:tcW w:w="1154" w:type="pct"/>
            <w:shd w:val="clear" w:color="auto" w:fill="FFFFFF" w:themeFill="background1"/>
            <w:noWrap/>
            <w:vAlign w:val="center"/>
          </w:tcPr>
          <w:p w14:paraId="7FA3C8CC"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Treatment</w:t>
            </w:r>
          </w:p>
          <w:p w14:paraId="495B31EB"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1154" w:type="pct"/>
            <w:shd w:val="clear" w:color="auto" w:fill="FFFFFF" w:themeFill="background1"/>
            <w:noWrap/>
            <w:vAlign w:val="center"/>
          </w:tcPr>
          <w:p w14:paraId="4A96EF4B"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Control</w:t>
            </w:r>
          </w:p>
          <w:p w14:paraId="1B66F1CE"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1264" w:type="pct"/>
            <w:shd w:val="clear" w:color="auto" w:fill="FFFFFF" w:themeFill="background1"/>
            <w:vAlign w:val="center"/>
          </w:tcPr>
          <w:p w14:paraId="57573258"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Definition</w:t>
            </w:r>
          </w:p>
        </w:tc>
        <w:tc>
          <w:tcPr>
            <w:tcW w:w="768" w:type="pct"/>
            <w:shd w:val="clear" w:color="auto" w:fill="FFFFFF" w:themeFill="background1"/>
            <w:vAlign w:val="center"/>
          </w:tcPr>
          <w:p w14:paraId="473330E3"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20894697" w14:textId="77777777" w:rsidTr="00465778">
        <w:trPr>
          <w:trHeight w:val="20"/>
        </w:trPr>
        <w:tc>
          <w:tcPr>
            <w:tcW w:w="660" w:type="pct"/>
            <w:shd w:val="clear" w:color="auto" w:fill="auto"/>
            <w:vAlign w:val="center"/>
          </w:tcPr>
          <w:p w14:paraId="6FFEEBAA" w14:textId="77777777" w:rsidR="00315893" w:rsidRPr="00D85E09" w:rsidRDefault="00315893" w:rsidP="0043316B">
            <w:pPr>
              <w:pStyle w:val="TableArialNarrow10"/>
              <w:keepNext w:val="0"/>
              <w:keepLines w:val="0"/>
              <w:widowControl w:val="0"/>
              <w:spacing w:before="60" w:after="40"/>
            </w:pPr>
            <w:r w:rsidRPr="00D85E09">
              <w:t>ESCAPE</w:t>
            </w:r>
          </w:p>
        </w:tc>
        <w:tc>
          <w:tcPr>
            <w:tcW w:w="1154" w:type="pct"/>
            <w:shd w:val="clear" w:color="auto" w:fill="auto"/>
            <w:vAlign w:val="center"/>
          </w:tcPr>
          <w:p w14:paraId="21A3BEBD"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 xml:space="preserve">79/153 (51.6) </w:t>
            </w:r>
          </w:p>
        </w:tc>
        <w:tc>
          <w:tcPr>
            <w:tcW w:w="1154" w:type="pct"/>
            <w:shd w:val="clear" w:color="auto" w:fill="auto"/>
            <w:vAlign w:val="center"/>
          </w:tcPr>
          <w:p w14:paraId="21D91461"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31/134 (23.1)</w:t>
            </w:r>
          </w:p>
        </w:tc>
        <w:tc>
          <w:tcPr>
            <w:tcW w:w="1264" w:type="pct"/>
            <w:vAlign w:val="center"/>
          </w:tcPr>
          <w:p w14:paraId="1FEF9E2A"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 xml:space="preserve">NIHSS score of 0–2 at 90 days </w:t>
            </w:r>
          </w:p>
        </w:tc>
        <w:tc>
          <w:tcPr>
            <w:tcW w:w="768" w:type="pct"/>
            <w:vAlign w:val="center"/>
          </w:tcPr>
          <w:p w14:paraId="46936B54"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cs="Calibri"/>
                <w:sz w:val="20"/>
                <w:szCs w:val="20"/>
              </w:rPr>
              <w:t>Goyal 2015, Table 2</w:t>
            </w:r>
          </w:p>
        </w:tc>
      </w:tr>
      <w:tr w:rsidR="00315893" w:rsidRPr="00D85E09" w14:paraId="6780E60F" w14:textId="77777777" w:rsidTr="00465778">
        <w:trPr>
          <w:trHeight w:val="20"/>
        </w:trPr>
        <w:tc>
          <w:tcPr>
            <w:tcW w:w="660" w:type="pct"/>
            <w:shd w:val="clear" w:color="auto" w:fill="auto"/>
            <w:vAlign w:val="center"/>
          </w:tcPr>
          <w:p w14:paraId="4D65D6DC" w14:textId="72C556EB" w:rsidR="00315893" w:rsidRPr="00D85E09" w:rsidRDefault="005B7DCE" w:rsidP="0043316B">
            <w:pPr>
              <w:pStyle w:val="TableArialNarrow10"/>
              <w:keepNext w:val="0"/>
              <w:keepLines w:val="0"/>
              <w:widowControl w:val="0"/>
              <w:spacing w:before="60" w:after="40"/>
            </w:pPr>
            <w:r>
              <w:t>EXTEND-I</w:t>
            </w:r>
            <w:r w:rsidR="00315893" w:rsidRPr="00D85E09">
              <w:t>A</w:t>
            </w:r>
          </w:p>
        </w:tc>
        <w:tc>
          <w:tcPr>
            <w:tcW w:w="1154" w:type="pct"/>
            <w:shd w:val="clear" w:color="auto" w:fill="auto"/>
            <w:vAlign w:val="center"/>
          </w:tcPr>
          <w:p w14:paraId="56F0A51D"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28/35 (80)</w:t>
            </w:r>
          </w:p>
        </w:tc>
        <w:tc>
          <w:tcPr>
            <w:tcW w:w="1154" w:type="pct"/>
            <w:shd w:val="clear" w:color="auto" w:fill="auto"/>
            <w:vAlign w:val="center"/>
          </w:tcPr>
          <w:p w14:paraId="68FB38A7"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13/35(37)</w:t>
            </w:r>
          </w:p>
        </w:tc>
        <w:tc>
          <w:tcPr>
            <w:tcW w:w="1264" w:type="pct"/>
            <w:vAlign w:val="center"/>
          </w:tcPr>
          <w:p w14:paraId="08B946D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Reduction of 8 points or more on NIHSS score or a score of 0 or 1 at 3 days</w:t>
            </w:r>
            <w:r w:rsidRPr="00D85E09">
              <w:rPr>
                <w:rFonts w:ascii="Arial Narrow" w:hAnsi="Arial Narrow"/>
                <w:color w:val="000000"/>
                <w:sz w:val="20"/>
                <w:szCs w:val="20"/>
                <w:vertAlign w:val="superscript"/>
              </w:rPr>
              <w:t>a</w:t>
            </w:r>
          </w:p>
        </w:tc>
        <w:tc>
          <w:tcPr>
            <w:tcW w:w="768" w:type="pct"/>
            <w:vAlign w:val="center"/>
          </w:tcPr>
          <w:p w14:paraId="46DEAC32" w14:textId="77777777" w:rsidR="00315893" w:rsidRPr="00D85E09" w:rsidRDefault="00315893" w:rsidP="0043316B">
            <w:pPr>
              <w:widowControl w:val="0"/>
              <w:spacing w:before="60" w:after="40" w:line="240" w:lineRule="auto"/>
              <w:jc w:val="center"/>
              <w:rPr>
                <w:rFonts w:ascii="Arial Narrow" w:eastAsia="OTNEJMScalaSansLF" w:hAnsi="Arial Narrow"/>
                <w:color w:val="000000"/>
                <w:sz w:val="20"/>
                <w:szCs w:val="20"/>
              </w:rPr>
            </w:pPr>
            <w:r w:rsidRPr="00D85E09">
              <w:rPr>
                <w:rFonts w:ascii="Arial Narrow" w:hAnsi="Arial Narrow"/>
                <w:sz w:val="20"/>
                <w:szCs w:val="20"/>
              </w:rPr>
              <w:t xml:space="preserve">Campbell 2015, </w:t>
            </w:r>
            <w:r w:rsidRPr="00D85E09">
              <w:rPr>
                <w:rFonts w:ascii="Arial Narrow" w:hAnsi="Arial Narrow"/>
                <w:sz w:val="20"/>
                <w:szCs w:val="20"/>
              </w:rPr>
              <w:br/>
              <w:t>Table 3</w:t>
            </w:r>
          </w:p>
        </w:tc>
      </w:tr>
    </w:tbl>
    <w:p w14:paraId="5706BCDE" w14:textId="1677A676" w:rsidR="00315893" w:rsidRPr="00D85E09" w:rsidRDefault="005B7DCE" w:rsidP="0043316B">
      <w:pPr>
        <w:pStyle w:val="TableNotes1"/>
        <w:keepNext w:val="0"/>
        <w:keepLines w:val="0"/>
        <w:widowControl w:val="0"/>
        <w:numPr>
          <w:ilvl w:val="0"/>
          <w:numId w:val="51"/>
        </w:numPr>
        <w:spacing w:after="360"/>
        <w:ind w:left="357" w:hanging="357"/>
      </w:pPr>
      <w:r>
        <w:t>Co-primary endpoint in EXTEND-I</w:t>
      </w:r>
      <w:r w:rsidR="00315893" w:rsidRPr="00D85E09">
        <w:t>A.</w:t>
      </w:r>
    </w:p>
    <w:p w14:paraId="38886E4F" w14:textId="5E3540C8" w:rsidR="00315893" w:rsidRPr="00D85E09" w:rsidRDefault="00315893" w:rsidP="0043316B">
      <w:pPr>
        <w:widowControl w:val="0"/>
      </w:pPr>
      <w:r w:rsidRPr="00D85E09">
        <w:t>The median NIHSS score at 24 hours in ESCAPE and MR CLEAN ranged from 2 and 6 in the intervention treatment arm indicating mild impairment post</w:t>
      </w:r>
      <w:r w:rsidR="00300BB6" w:rsidRPr="00D85E09">
        <w:t>-</w:t>
      </w:r>
      <w:r w:rsidRPr="00D85E09">
        <w:t>stroke. In the control arm the median NIHSS score at 24 hours was between 8 and 13, indicating mild to moderately severe impairment. The median NIHSS score at 90 days in ESCAPE and REVASCAT was 2 in the intervention treatment arm indicating mild impairment post</w:t>
      </w:r>
      <w:r w:rsidR="00300BB6" w:rsidRPr="00D85E09">
        <w:t>-</w:t>
      </w:r>
      <w:r w:rsidRPr="00D85E09">
        <w:t>stroke. In the control arm the median NIHSS score at 90 days was between 6 and 8, indicating mild to moderately severe impairment. The median NIHSS score at 5-7 days or at discharge was 8 in the intervention treatment arm and 14 in the control arm (</w:t>
      </w:r>
      <w:r w:rsidRPr="00D85E09">
        <w:fldChar w:fldCharType="begin"/>
      </w:r>
      <w:r w:rsidRPr="00D85E09">
        <w:instrText xml:space="preserve"> REF _Ref449615478 \h  \* MERGEFORMAT </w:instrText>
      </w:r>
      <w:r w:rsidRPr="00D85E09">
        <w:fldChar w:fldCharType="separate"/>
      </w:r>
      <w:r w:rsidR="00A456ED" w:rsidRPr="00D85E09">
        <w:t xml:space="preserve">Table </w:t>
      </w:r>
      <w:r w:rsidR="00A456ED">
        <w:rPr>
          <w:noProof/>
        </w:rPr>
        <w:t>32</w:t>
      </w:r>
      <w:r w:rsidRPr="00D85E09">
        <w:fldChar w:fldCharType="end"/>
      </w:r>
      <w:r w:rsidRPr="00D85E09">
        <w:t>).</w:t>
      </w:r>
    </w:p>
    <w:p w14:paraId="64FCA87C" w14:textId="606068B2" w:rsidR="00315893" w:rsidRPr="00D85E09" w:rsidRDefault="00315893" w:rsidP="0043316B">
      <w:pPr>
        <w:pStyle w:val="Caption"/>
        <w:keepNext w:val="0"/>
        <w:widowControl w:val="0"/>
        <w:rPr>
          <w:lang w:val="en-AU"/>
        </w:rPr>
      </w:pPr>
      <w:bookmarkStart w:id="307" w:name="_Ref449615478"/>
      <w:bookmarkStart w:id="308" w:name="_Toc45306536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32</w:t>
      </w:r>
      <w:r w:rsidRPr="00D85E09">
        <w:rPr>
          <w:lang w:val="en-AU"/>
        </w:rPr>
        <w:fldChar w:fldCharType="end"/>
      </w:r>
      <w:bookmarkEnd w:id="307"/>
      <w:r w:rsidRPr="00D85E09">
        <w:rPr>
          <w:lang w:val="en-AU"/>
        </w:rPr>
        <w:tab/>
      </w:r>
      <w:r w:rsidRPr="00D85E09">
        <w:rPr>
          <w:lang w:val="en-AU" w:eastAsia="en-AU"/>
        </w:rPr>
        <w:t>Scores on the NIHSS</w:t>
      </w:r>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2. Scores on the NIHSS"/>
      </w:tblPr>
      <w:tblGrid>
        <w:gridCol w:w="1186"/>
        <w:gridCol w:w="2084"/>
        <w:gridCol w:w="2084"/>
        <w:gridCol w:w="2415"/>
        <w:gridCol w:w="1235"/>
      </w:tblGrid>
      <w:tr w:rsidR="00315893" w:rsidRPr="00D85E09" w14:paraId="32E027D4" w14:textId="77777777" w:rsidTr="000D5648">
        <w:trPr>
          <w:trHeight w:val="669"/>
        </w:trPr>
        <w:tc>
          <w:tcPr>
            <w:tcW w:w="659" w:type="pct"/>
            <w:shd w:val="clear" w:color="auto" w:fill="FFFFFF" w:themeFill="background1"/>
            <w:vAlign w:val="center"/>
            <w:hideMark/>
          </w:tcPr>
          <w:p w14:paraId="4BD88A71"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Trial ID</w:t>
            </w:r>
          </w:p>
        </w:tc>
        <w:tc>
          <w:tcPr>
            <w:tcW w:w="1157" w:type="pct"/>
            <w:shd w:val="clear" w:color="auto" w:fill="FFFFFF" w:themeFill="background1"/>
            <w:noWrap/>
            <w:vAlign w:val="center"/>
          </w:tcPr>
          <w:p w14:paraId="4D43F262"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Intervention</w:t>
            </w:r>
          </w:p>
          <w:p w14:paraId="42B67191"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Median score [IQR]</w:t>
            </w:r>
          </w:p>
        </w:tc>
        <w:tc>
          <w:tcPr>
            <w:tcW w:w="1157" w:type="pct"/>
            <w:shd w:val="clear" w:color="auto" w:fill="FFFFFF" w:themeFill="background1"/>
            <w:noWrap/>
            <w:vAlign w:val="center"/>
          </w:tcPr>
          <w:p w14:paraId="6C2FAAF4"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Control</w:t>
            </w:r>
          </w:p>
          <w:p w14:paraId="7BBE4654"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Median score [IQR]</w:t>
            </w:r>
          </w:p>
        </w:tc>
        <w:tc>
          <w:tcPr>
            <w:tcW w:w="1341" w:type="pct"/>
            <w:shd w:val="clear" w:color="auto" w:fill="FFFFFF" w:themeFill="background1"/>
            <w:vAlign w:val="center"/>
          </w:tcPr>
          <w:p w14:paraId="4D9CEFBD"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Definition</w:t>
            </w:r>
          </w:p>
        </w:tc>
        <w:tc>
          <w:tcPr>
            <w:tcW w:w="686" w:type="pct"/>
            <w:shd w:val="clear" w:color="auto" w:fill="FFFFFF" w:themeFill="background1"/>
            <w:vAlign w:val="center"/>
          </w:tcPr>
          <w:p w14:paraId="18A5FCCE"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4B3251AC" w14:textId="77777777" w:rsidTr="00465778">
        <w:trPr>
          <w:trHeight w:val="20"/>
        </w:trPr>
        <w:tc>
          <w:tcPr>
            <w:tcW w:w="659" w:type="pct"/>
            <w:vMerge w:val="restart"/>
            <w:shd w:val="clear" w:color="auto" w:fill="auto"/>
            <w:vAlign w:val="center"/>
          </w:tcPr>
          <w:p w14:paraId="5C64C44F" w14:textId="77777777" w:rsidR="00315893" w:rsidRPr="00D85E09" w:rsidRDefault="00315893" w:rsidP="0043316B">
            <w:pPr>
              <w:pStyle w:val="TableArialNarrow10"/>
              <w:keepNext w:val="0"/>
              <w:keepLines w:val="0"/>
              <w:widowControl w:val="0"/>
              <w:spacing w:before="60" w:after="40"/>
            </w:pPr>
            <w:r w:rsidRPr="00D85E09">
              <w:t>ESCAPE</w:t>
            </w:r>
          </w:p>
        </w:tc>
        <w:tc>
          <w:tcPr>
            <w:tcW w:w="1157" w:type="pct"/>
            <w:shd w:val="clear" w:color="auto" w:fill="auto"/>
            <w:vAlign w:val="center"/>
          </w:tcPr>
          <w:p w14:paraId="20CBF1CE"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6 (3 - 14)</w:t>
            </w:r>
          </w:p>
        </w:tc>
        <w:tc>
          <w:tcPr>
            <w:tcW w:w="1157" w:type="pct"/>
            <w:shd w:val="clear" w:color="auto" w:fill="auto"/>
            <w:vAlign w:val="center"/>
          </w:tcPr>
          <w:p w14:paraId="4B081CEA"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13 (6 - 18)</w:t>
            </w:r>
          </w:p>
        </w:tc>
        <w:tc>
          <w:tcPr>
            <w:tcW w:w="1341" w:type="pct"/>
            <w:vAlign w:val="center"/>
          </w:tcPr>
          <w:p w14:paraId="114A15E0" w14:textId="77777777" w:rsidR="00315893" w:rsidRPr="00D85E09" w:rsidRDefault="00315893" w:rsidP="0043316B">
            <w:pPr>
              <w:widowControl w:val="0"/>
              <w:spacing w:before="60" w:after="40" w:line="240" w:lineRule="auto"/>
              <w:jc w:val="center"/>
              <w:rPr>
                <w:rFonts w:ascii="Arial Narrow" w:eastAsia="OTNEJMScalaSansLF" w:hAnsi="Arial Narrow"/>
                <w:color w:val="000000"/>
                <w:sz w:val="20"/>
                <w:szCs w:val="20"/>
              </w:rPr>
            </w:pPr>
            <w:r w:rsidRPr="00D85E09">
              <w:rPr>
                <w:rFonts w:ascii="Arial Narrow" w:eastAsia="OTNEJMScalaSansLF" w:hAnsi="Arial Narrow"/>
                <w:color w:val="000000"/>
                <w:sz w:val="20"/>
                <w:szCs w:val="20"/>
              </w:rPr>
              <w:t xml:space="preserve">NIHSS score at </w:t>
            </w:r>
            <w:r w:rsidRPr="00D85E09">
              <w:rPr>
                <w:rFonts w:ascii="Arial Narrow" w:eastAsia="OTNEJMScalaSansLF" w:hAnsi="Arial Narrow"/>
                <w:color w:val="000000"/>
                <w:sz w:val="20"/>
                <w:szCs w:val="20"/>
              </w:rPr>
              <w:br/>
              <w:t>24 hours</w:t>
            </w:r>
          </w:p>
        </w:tc>
        <w:tc>
          <w:tcPr>
            <w:tcW w:w="686" w:type="pct"/>
            <w:vMerge w:val="restart"/>
            <w:vAlign w:val="center"/>
          </w:tcPr>
          <w:p w14:paraId="6235F62F" w14:textId="77777777" w:rsidR="00315893" w:rsidRPr="00D85E09" w:rsidRDefault="00315893" w:rsidP="0043316B">
            <w:pPr>
              <w:widowControl w:val="0"/>
              <w:spacing w:before="60" w:after="40" w:line="240" w:lineRule="auto"/>
              <w:jc w:val="center"/>
              <w:rPr>
                <w:rFonts w:ascii="Arial Narrow" w:eastAsia="OTNEJMScalaSansLF" w:hAnsi="Arial Narrow"/>
                <w:color w:val="000000"/>
                <w:sz w:val="20"/>
                <w:szCs w:val="20"/>
              </w:rPr>
            </w:pPr>
            <w:r w:rsidRPr="00D85E09">
              <w:rPr>
                <w:rFonts w:ascii="Arial Narrow" w:hAnsi="Arial Narrow" w:cs="Calibri"/>
                <w:sz w:val="20"/>
                <w:szCs w:val="20"/>
              </w:rPr>
              <w:t>Goyal 2015, Table 2</w:t>
            </w:r>
          </w:p>
        </w:tc>
      </w:tr>
      <w:tr w:rsidR="00315893" w:rsidRPr="00D85E09" w14:paraId="4CA38F86" w14:textId="77777777" w:rsidTr="00465778">
        <w:trPr>
          <w:trHeight w:val="20"/>
        </w:trPr>
        <w:tc>
          <w:tcPr>
            <w:tcW w:w="659" w:type="pct"/>
            <w:vMerge/>
            <w:shd w:val="clear" w:color="auto" w:fill="auto"/>
            <w:vAlign w:val="center"/>
          </w:tcPr>
          <w:p w14:paraId="64742333" w14:textId="77777777" w:rsidR="00315893" w:rsidRPr="00D85E09" w:rsidRDefault="00315893" w:rsidP="0043316B">
            <w:pPr>
              <w:pStyle w:val="TableArialNarrow10"/>
              <w:keepNext w:val="0"/>
              <w:keepLines w:val="0"/>
              <w:widowControl w:val="0"/>
              <w:spacing w:before="60" w:after="40"/>
            </w:pPr>
          </w:p>
        </w:tc>
        <w:tc>
          <w:tcPr>
            <w:tcW w:w="1157" w:type="pct"/>
            <w:shd w:val="clear" w:color="auto" w:fill="auto"/>
            <w:vAlign w:val="center"/>
          </w:tcPr>
          <w:p w14:paraId="5677550F" w14:textId="77777777" w:rsidR="00315893" w:rsidRPr="00D85E09" w:rsidRDefault="00315893" w:rsidP="0043316B">
            <w:pPr>
              <w:widowControl w:val="0"/>
              <w:spacing w:before="60" w:after="40" w:line="240" w:lineRule="auto"/>
              <w:jc w:val="center"/>
              <w:rPr>
                <w:rFonts w:ascii="Arial Narrow" w:eastAsia="OTNEJMScalaSansLF" w:hAnsi="Arial Narrow" w:cs="OTNEJMScalaSansLF"/>
                <w:sz w:val="20"/>
                <w:szCs w:val="20"/>
                <w:lang w:eastAsia="en-AU"/>
              </w:rPr>
            </w:pPr>
            <w:r w:rsidRPr="00D85E09">
              <w:rPr>
                <w:rFonts w:ascii="Arial Narrow" w:eastAsia="OTNEJMScalaSansLF" w:hAnsi="Arial Narrow"/>
                <w:color w:val="000000"/>
                <w:sz w:val="20"/>
                <w:szCs w:val="20"/>
              </w:rPr>
              <w:t>2 (1 - 8)</w:t>
            </w:r>
          </w:p>
        </w:tc>
        <w:tc>
          <w:tcPr>
            <w:tcW w:w="1157" w:type="pct"/>
            <w:shd w:val="clear" w:color="auto" w:fill="auto"/>
            <w:vAlign w:val="center"/>
          </w:tcPr>
          <w:p w14:paraId="3B07121E" w14:textId="77777777" w:rsidR="00315893" w:rsidRPr="00D85E09" w:rsidRDefault="00315893" w:rsidP="0043316B">
            <w:pPr>
              <w:widowControl w:val="0"/>
              <w:spacing w:before="60" w:after="40" w:line="240" w:lineRule="auto"/>
              <w:jc w:val="center"/>
              <w:rPr>
                <w:rFonts w:ascii="Arial Narrow" w:eastAsia="OTNEJMScalaSansLF" w:hAnsi="Arial Narrow" w:cs="OTNEJMScalaSansLF"/>
                <w:sz w:val="20"/>
                <w:szCs w:val="20"/>
                <w:lang w:eastAsia="en-AU"/>
              </w:rPr>
            </w:pPr>
            <w:r w:rsidRPr="00D85E09">
              <w:rPr>
                <w:rFonts w:ascii="Arial Narrow" w:eastAsia="OTNEJMScalaSansLF" w:hAnsi="Arial Narrow"/>
                <w:color w:val="000000"/>
                <w:sz w:val="20"/>
                <w:szCs w:val="20"/>
              </w:rPr>
              <w:t>8 (3 - 19)</w:t>
            </w:r>
          </w:p>
        </w:tc>
        <w:tc>
          <w:tcPr>
            <w:tcW w:w="1341" w:type="pct"/>
            <w:vAlign w:val="center"/>
          </w:tcPr>
          <w:p w14:paraId="194ED16F"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 xml:space="preserve">NIHSS score at </w:t>
            </w:r>
            <w:r w:rsidRPr="00D85E09">
              <w:rPr>
                <w:rFonts w:ascii="Arial Narrow" w:eastAsia="OTNEJMScalaSansLF" w:hAnsi="Arial Narrow"/>
                <w:color w:val="000000"/>
                <w:sz w:val="20"/>
                <w:szCs w:val="20"/>
              </w:rPr>
              <w:br/>
              <w:t>90 days</w:t>
            </w:r>
          </w:p>
        </w:tc>
        <w:tc>
          <w:tcPr>
            <w:tcW w:w="686" w:type="pct"/>
            <w:vMerge/>
            <w:vAlign w:val="center"/>
          </w:tcPr>
          <w:p w14:paraId="7FC53C34" w14:textId="77777777" w:rsidR="00315893" w:rsidRPr="00D85E09" w:rsidRDefault="00315893" w:rsidP="0043316B">
            <w:pPr>
              <w:widowControl w:val="0"/>
              <w:spacing w:before="60" w:after="40" w:line="240" w:lineRule="auto"/>
              <w:jc w:val="center"/>
              <w:rPr>
                <w:rFonts w:ascii="Arial Narrow" w:eastAsia="OTNEJMScalaSansLF" w:hAnsi="Arial Narrow"/>
                <w:color w:val="000000"/>
                <w:sz w:val="20"/>
                <w:szCs w:val="20"/>
              </w:rPr>
            </w:pPr>
          </w:p>
        </w:tc>
      </w:tr>
      <w:tr w:rsidR="00315893" w:rsidRPr="00D85E09" w14:paraId="21EB69B2" w14:textId="77777777" w:rsidTr="00465778">
        <w:trPr>
          <w:trHeight w:val="20"/>
        </w:trPr>
        <w:tc>
          <w:tcPr>
            <w:tcW w:w="659" w:type="pct"/>
            <w:vMerge w:val="restart"/>
            <w:shd w:val="clear" w:color="auto" w:fill="auto"/>
            <w:vAlign w:val="center"/>
          </w:tcPr>
          <w:p w14:paraId="39C5F29A" w14:textId="77777777" w:rsidR="00315893" w:rsidRPr="00D85E09" w:rsidRDefault="00315893" w:rsidP="0043316B">
            <w:pPr>
              <w:pStyle w:val="TableArialNarrow10"/>
              <w:keepNext w:val="0"/>
              <w:keepLines w:val="0"/>
              <w:widowControl w:val="0"/>
              <w:spacing w:before="60" w:after="40"/>
            </w:pPr>
            <w:r w:rsidRPr="00D85E09">
              <w:t>MR CLEAN</w:t>
            </w:r>
          </w:p>
        </w:tc>
        <w:tc>
          <w:tcPr>
            <w:tcW w:w="1157" w:type="pct"/>
            <w:shd w:val="clear" w:color="auto" w:fill="auto"/>
            <w:vAlign w:val="center"/>
          </w:tcPr>
          <w:p w14:paraId="79F8DF80"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13 (6 - 20)</w:t>
            </w:r>
          </w:p>
        </w:tc>
        <w:tc>
          <w:tcPr>
            <w:tcW w:w="1157" w:type="pct"/>
            <w:shd w:val="clear" w:color="auto" w:fill="auto"/>
            <w:vAlign w:val="center"/>
          </w:tcPr>
          <w:p w14:paraId="5BA31E5F"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16 (12 - 21)</w:t>
            </w:r>
          </w:p>
        </w:tc>
        <w:tc>
          <w:tcPr>
            <w:tcW w:w="1341" w:type="pct"/>
            <w:vAlign w:val="center"/>
          </w:tcPr>
          <w:p w14:paraId="1BD0F98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 xml:space="preserve">NIHSS score after </w:t>
            </w:r>
            <w:r w:rsidRPr="00D85E09">
              <w:rPr>
                <w:rFonts w:ascii="Arial Narrow" w:hAnsi="Arial Narrow"/>
                <w:color w:val="000000"/>
                <w:sz w:val="20"/>
                <w:szCs w:val="20"/>
              </w:rPr>
              <w:br/>
              <w:t>24 hours</w:t>
            </w:r>
          </w:p>
        </w:tc>
        <w:tc>
          <w:tcPr>
            <w:tcW w:w="686" w:type="pct"/>
            <w:vMerge w:val="restart"/>
            <w:vAlign w:val="center"/>
          </w:tcPr>
          <w:p w14:paraId="3B009F48"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Berkhemer 2015, Table 2</w:t>
            </w:r>
          </w:p>
        </w:tc>
      </w:tr>
      <w:tr w:rsidR="00315893" w:rsidRPr="00D85E09" w14:paraId="44E54CB5" w14:textId="77777777" w:rsidTr="00465778">
        <w:trPr>
          <w:trHeight w:val="20"/>
        </w:trPr>
        <w:tc>
          <w:tcPr>
            <w:tcW w:w="659" w:type="pct"/>
            <w:vMerge/>
            <w:shd w:val="clear" w:color="auto" w:fill="auto"/>
            <w:vAlign w:val="center"/>
          </w:tcPr>
          <w:p w14:paraId="5F4291A7" w14:textId="77777777" w:rsidR="00315893" w:rsidRPr="00D85E09" w:rsidRDefault="00315893" w:rsidP="0043316B">
            <w:pPr>
              <w:pStyle w:val="TableArialNarrow10"/>
              <w:keepNext w:val="0"/>
              <w:keepLines w:val="0"/>
              <w:widowControl w:val="0"/>
              <w:spacing w:before="60" w:after="40"/>
            </w:pPr>
          </w:p>
        </w:tc>
        <w:tc>
          <w:tcPr>
            <w:tcW w:w="1157" w:type="pct"/>
            <w:shd w:val="clear" w:color="auto" w:fill="auto"/>
            <w:vAlign w:val="center"/>
          </w:tcPr>
          <w:p w14:paraId="17DA9228"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231F20"/>
                <w:sz w:val="20"/>
                <w:szCs w:val="20"/>
              </w:rPr>
              <w:t>8 (2 - 17)</w:t>
            </w:r>
          </w:p>
        </w:tc>
        <w:tc>
          <w:tcPr>
            <w:tcW w:w="1157" w:type="pct"/>
            <w:shd w:val="clear" w:color="auto" w:fill="auto"/>
            <w:vAlign w:val="center"/>
          </w:tcPr>
          <w:p w14:paraId="3725BDE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231F20"/>
                <w:sz w:val="20"/>
                <w:szCs w:val="20"/>
              </w:rPr>
              <w:t>14 (7 - 18)</w:t>
            </w:r>
          </w:p>
        </w:tc>
        <w:tc>
          <w:tcPr>
            <w:tcW w:w="1341" w:type="pct"/>
            <w:vAlign w:val="center"/>
          </w:tcPr>
          <w:p w14:paraId="3DF2472A"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NIHSS score at 5–7 days or discharge</w:t>
            </w:r>
          </w:p>
        </w:tc>
        <w:tc>
          <w:tcPr>
            <w:tcW w:w="686" w:type="pct"/>
            <w:vMerge/>
            <w:vAlign w:val="center"/>
          </w:tcPr>
          <w:p w14:paraId="12A0FBB7"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p>
        </w:tc>
      </w:tr>
      <w:tr w:rsidR="00315893" w:rsidRPr="00D85E09" w14:paraId="67C628D1" w14:textId="77777777" w:rsidTr="00465778">
        <w:trPr>
          <w:trHeight w:val="20"/>
        </w:trPr>
        <w:tc>
          <w:tcPr>
            <w:tcW w:w="659" w:type="pct"/>
            <w:shd w:val="clear" w:color="auto" w:fill="auto"/>
            <w:vAlign w:val="center"/>
          </w:tcPr>
          <w:p w14:paraId="2BBCA28F" w14:textId="77777777" w:rsidR="00315893" w:rsidRPr="00D85E09" w:rsidRDefault="00315893" w:rsidP="0043316B">
            <w:pPr>
              <w:pStyle w:val="TableArialNarrow10"/>
              <w:keepNext w:val="0"/>
              <w:keepLines w:val="0"/>
              <w:widowControl w:val="0"/>
              <w:spacing w:before="60" w:after="40"/>
            </w:pPr>
            <w:r w:rsidRPr="00D85E09">
              <w:t>REVASCAT</w:t>
            </w:r>
          </w:p>
        </w:tc>
        <w:tc>
          <w:tcPr>
            <w:tcW w:w="1157" w:type="pct"/>
            <w:shd w:val="clear" w:color="auto" w:fill="auto"/>
            <w:vAlign w:val="center"/>
          </w:tcPr>
          <w:p w14:paraId="7EB50384"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2.0 (0 - 8)</w:t>
            </w:r>
          </w:p>
        </w:tc>
        <w:tc>
          <w:tcPr>
            <w:tcW w:w="1157" w:type="pct"/>
            <w:shd w:val="clear" w:color="auto" w:fill="auto"/>
            <w:vAlign w:val="center"/>
          </w:tcPr>
          <w:p w14:paraId="0154C84E"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6.0 (2 - 11)</w:t>
            </w:r>
          </w:p>
        </w:tc>
        <w:tc>
          <w:tcPr>
            <w:tcW w:w="1341" w:type="pct"/>
            <w:vAlign w:val="center"/>
          </w:tcPr>
          <w:p w14:paraId="2C951ACD"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olor w:val="000000"/>
                <w:sz w:val="20"/>
                <w:szCs w:val="20"/>
              </w:rPr>
              <w:t xml:space="preserve">NIHSS score at </w:t>
            </w:r>
            <w:r w:rsidRPr="00D85E09">
              <w:rPr>
                <w:rFonts w:ascii="Arial Narrow" w:eastAsia="OTNEJMScalaSansLF" w:hAnsi="Arial Narrow"/>
                <w:color w:val="000000"/>
                <w:sz w:val="20"/>
                <w:szCs w:val="20"/>
              </w:rPr>
              <w:br/>
              <w:t>90 days</w:t>
            </w:r>
          </w:p>
        </w:tc>
        <w:tc>
          <w:tcPr>
            <w:tcW w:w="686" w:type="pct"/>
            <w:vAlign w:val="center"/>
          </w:tcPr>
          <w:p w14:paraId="6F31E25E"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Jovin 2015, Table 2</w:t>
            </w:r>
          </w:p>
        </w:tc>
      </w:tr>
    </w:tbl>
    <w:p w14:paraId="1C33A85B" w14:textId="77777777" w:rsidR="00461886" w:rsidRDefault="00461886" w:rsidP="0043316B">
      <w:pPr>
        <w:widowControl w:val="0"/>
      </w:pPr>
    </w:p>
    <w:p w14:paraId="3818DB7A" w14:textId="788D4927" w:rsidR="00315893" w:rsidRPr="00D85E09" w:rsidRDefault="00315893" w:rsidP="0043316B">
      <w:pPr>
        <w:widowControl w:val="0"/>
      </w:pPr>
      <w:r w:rsidRPr="00D85E09">
        <w:lastRenderedPageBreak/>
        <w:t>The change in NIHSS score at 27 hours after randomisation was reported in SWIFT PRIME and was -8.5 (SD=7.1) in the intervention treatment arm and -3.9 (SD=6.2) in the control arm (</w:t>
      </w:r>
      <w:r w:rsidRPr="00D85E09">
        <w:fldChar w:fldCharType="begin"/>
      </w:r>
      <w:r w:rsidRPr="00D85E09">
        <w:instrText xml:space="preserve"> REF _Ref449615480 \h </w:instrText>
      </w:r>
      <w:r w:rsidRPr="00D85E09">
        <w:fldChar w:fldCharType="separate"/>
      </w:r>
      <w:r w:rsidR="00A456ED" w:rsidRPr="00D85E09">
        <w:t xml:space="preserve">Table </w:t>
      </w:r>
      <w:r w:rsidR="00A456ED">
        <w:rPr>
          <w:noProof/>
        </w:rPr>
        <w:t>33</w:t>
      </w:r>
      <w:r w:rsidRPr="00D85E09">
        <w:fldChar w:fldCharType="end"/>
      </w:r>
      <w:r w:rsidRPr="00D85E09">
        <w:t>). This difference was statistically significant (p&lt;0.001) (Saver 2015, Table 2).</w:t>
      </w:r>
    </w:p>
    <w:p w14:paraId="2CA8B355" w14:textId="663846C5" w:rsidR="00315893" w:rsidRPr="00D85E09" w:rsidRDefault="00315893" w:rsidP="0043316B">
      <w:pPr>
        <w:pStyle w:val="Caption"/>
        <w:keepNext w:val="0"/>
        <w:widowControl w:val="0"/>
        <w:rPr>
          <w:lang w:val="en-AU"/>
        </w:rPr>
      </w:pPr>
      <w:bookmarkStart w:id="309" w:name="_Ref449615480"/>
      <w:bookmarkStart w:id="310" w:name="_Toc45306536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33</w:t>
      </w:r>
      <w:r w:rsidRPr="00D85E09">
        <w:rPr>
          <w:lang w:val="en-AU"/>
        </w:rPr>
        <w:fldChar w:fldCharType="end"/>
      </w:r>
      <w:bookmarkEnd w:id="309"/>
      <w:r w:rsidRPr="00D85E09">
        <w:rPr>
          <w:lang w:val="en-AU"/>
        </w:rPr>
        <w:tab/>
      </w:r>
      <w:r w:rsidRPr="00D85E09">
        <w:rPr>
          <w:lang w:val="en-AU" w:eastAsia="en-AU"/>
        </w:rPr>
        <w:t>Change in NIHSS</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3 Change in NIHSS"/>
      </w:tblPr>
      <w:tblGrid>
        <w:gridCol w:w="1173"/>
        <w:gridCol w:w="1198"/>
        <w:gridCol w:w="1198"/>
        <w:gridCol w:w="1196"/>
        <w:gridCol w:w="1196"/>
        <w:gridCol w:w="1851"/>
        <w:gridCol w:w="1192"/>
      </w:tblGrid>
      <w:tr w:rsidR="00315893" w:rsidRPr="00D85E09" w14:paraId="3FE469BB" w14:textId="77777777" w:rsidTr="000D5648">
        <w:trPr>
          <w:trHeight w:val="20"/>
        </w:trPr>
        <w:tc>
          <w:tcPr>
            <w:tcW w:w="652" w:type="pct"/>
            <w:vMerge w:val="restart"/>
            <w:tcBorders>
              <w:top w:val="single" w:sz="4" w:space="0" w:color="auto"/>
              <w:left w:val="single" w:sz="4" w:space="0" w:color="auto"/>
              <w:right w:val="single" w:sz="4" w:space="0" w:color="auto"/>
            </w:tcBorders>
            <w:shd w:val="clear" w:color="auto" w:fill="FFFFFF" w:themeFill="background1"/>
            <w:vAlign w:val="center"/>
          </w:tcPr>
          <w:p w14:paraId="5EF49FD0" w14:textId="77777777" w:rsidR="00315893" w:rsidRPr="00D85E09" w:rsidRDefault="00315893" w:rsidP="0043316B">
            <w:pPr>
              <w:pStyle w:val="TableArialNarrow10"/>
              <w:keepNext w:val="0"/>
              <w:keepLines w:val="0"/>
              <w:widowControl w:val="0"/>
              <w:jc w:val="center"/>
              <w:rPr>
                <w:b/>
              </w:rPr>
            </w:pPr>
            <w:r w:rsidRPr="00D85E09">
              <w:rPr>
                <w:b/>
              </w:rPr>
              <w:t>Trial ID</w:t>
            </w:r>
          </w:p>
        </w:tc>
        <w:tc>
          <w:tcPr>
            <w:tcW w:w="13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3E9E4"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color w:val="000000"/>
                <w:sz w:val="20"/>
                <w:szCs w:val="20"/>
              </w:rPr>
              <w:t>Treatment</w:t>
            </w:r>
          </w:p>
        </w:tc>
        <w:tc>
          <w:tcPr>
            <w:tcW w:w="132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0CF48"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color w:val="000000"/>
                <w:sz w:val="20"/>
                <w:szCs w:val="20"/>
              </w:rPr>
              <w:t>Control</w:t>
            </w:r>
          </w:p>
        </w:tc>
        <w:tc>
          <w:tcPr>
            <w:tcW w:w="1028" w:type="pct"/>
            <w:vMerge w:val="restart"/>
            <w:tcBorders>
              <w:top w:val="single" w:sz="4" w:space="0" w:color="auto"/>
              <w:left w:val="single" w:sz="4" w:space="0" w:color="auto"/>
              <w:right w:val="single" w:sz="4" w:space="0" w:color="auto"/>
            </w:tcBorders>
            <w:shd w:val="clear" w:color="auto" w:fill="FFFFFF" w:themeFill="background1"/>
            <w:vAlign w:val="center"/>
          </w:tcPr>
          <w:p w14:paraId="472CD5DF"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color w:val="000000"/>
                <w:sz w:val="20"/>
                <w:szCs w:val="20"/>
              </w:rPr>
              <w:t>Definition</w:t>
            </w:r>
          </w:p>
        </w:tc>
        <w:tc>
          <w:tcPr>
            <w:tcW w:w="662" w:type="pct"/>
            <w:vMerge w:val="restart"/>
            <w:tcBorders>
              <w:top w:val="single" w:sz="4" w:space="0" w:color="auto"/>
              <w:left w:val="single" w:sz="4" w:space="0" w:color="auto"/>
              <w:right w:val="single" w:sz="4" w:space="0" w:color="auto"/>
            </w:tcBorders>
            <w:shd w:val="clear" w:color="auto" w:fill="FFFFFF" w:themeFill="background1"/>
            <w:vAlign w:val="center"/>
          </w:tcPr>
          <w:p w14:paraId="1E15A840" w14:textId="77777777" w:rsidR="00315893" w:rsidRPr="00D85E09" w:rsidRDefault="00315893" w:rsidP="0043316B">
            <w:pPr>
              <w:widowControl w:val="0"/>
              <w:spacing w:before="60" w:after="40" w:line="240" w:lineRule="auto"/>
              <w:jc w:val="center"/>
              <w:rPr>
                <w:rFonts w:ascii="Arial Narrow" w:hAnsi="Arial Narrow"/>
                <w:b/>
                <w:sz w:val="20"/>
                <w:szCs w:val="20"/>
              </w:rPr>
            </w:pPr>
            <w:r w:rsidRPr="00D85E09">
              <w:rPr>
                <w:rFonts w:ascii="Arial Narrow" w:hAnsi="Arial Narrow"/>
                <w:b/>
                <w:sz w:val="20"/>
                <w:szCs w:val="20"/>
              </w:rPr>
              <w:t>Source</w:t>
            </w:r>
          </w:p>
        </w:tc>
      </w:tr>
      <w:tr w:rsidR="00315893" w:rsidRPr="00D85E09" w14:paraId="42814F56" w14:textId="77777777" w:rsidTr="000D5648">
        <w:trPr>
          <w:trHeight w:val="20"/>
        </w:trPr>
        <w:tc>
          <w:tcPr>
            <w:tcW w:w="652" w:type="pct"/>
            <w:vMerge/>
            <w:tcBorders>
              <w:left w:val="single" w:sz="4" w:space="0" w:color="auto"/>
              <w:bottom w:val="single" w:sz="4" w:space="0" w:color="auto"/>
              <w:right w:val="single" w:sz="4" w:space="0" w:color="auto"/>
            </w:tcBorders>
            <w:shd w:val="clear" w:color="auto" w:fill="FFFFFF" w:themeFill="background1"/>
            <w:vAlign w:val="center"/>
          </w:tcPr>
          <w:p w14:paraId="38B8F38A" w14:textId="77777777" w:rsidR="00315893" w:rsidRPr="00D85E09" w:rsidRDefault="00315893" w:rsidP="0043316B">
            <w:pPr>
              <w:pStyle w:val="TableArialNarrow10"/>
              <w:keepNext w:val="0"/>
              <w:keepLines w:val="0"/>
              <w:widowControl w:val="0"/>
              <w:jc w:val="center"/>
            </w:pP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3CF59"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sz w:val="20"/>
                <w:szCs w:val="20"/>
              </w:rPr>
              <w:t>n /N (%)</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6577B"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color w:val="000000"/>
                <w:sz w:val="20"/>
                <w:szCs w:val="20"/>
              </w:rPr>
              <w:t>Mean change (SD)</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6F4D5"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sz w:val="20"/>
                <w:szCs w:val="20"/>
              </w:rPr>
              <w:t>n /N (%)</w:t>
            </w:r>
          </w:p>
        </w:tc>
        <w:tc>
          <w:tcPr>
            <w:tcW w:w="6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B5F79" w14:textId="77777777" w:rsidR="00315893" w:rsidRPr="00D85E09" w:rsidRDefault="00315893" w:rsidP="0043316B">
            <w:pPr>
              <w:widowControl w:val="0"/>
              <w:spacing w:before="60" w:after="40" w:line="240" w:lineRule="auto"/>
              <w:jc w:val="center"/>
              <w:rPr>
                <w:rFonts w:ascii="Arial Narrow" w:hAnsi="Arial Narrow"/>
                <w:b/>
                <w:color w:val="000000"/>
                <w:sz w:val="20"/>
                <w:szCs w:val="20"/>
              </w:rPr>
            </w:pPr>
            <w:r w:rsidRPr="00D85E09">
              <w:rPr>
                <w:rFonts w:ascii="Arial Narrow" w:hAnsi="Arial Narrow"/>
                <w:b/>
                <w:color w:val="000000"/>
                <w:sz w:val="20"/>
                <w:szCs w:val="20"/>
              </w:rPr>
              <w:t>Mean change (SD)</w:t>
            </w:r>
          </w:p>
        </w:tc>
        <w:tc>
          <w:tcPr>
            <w:tcW w:w="1028" w:type="pct"/>
            <w:vMerge/>
            <w:tcBorders>
              <w:left w:val="single" w:sz="4" w:space="0" w:color="auto"/>
              <w:bottom w:val="single" w:sz="4" w:space="0" w:color="auto"/>
              <w:right w:val="single" w:sz="4" w:space="0" w:color="auto"/>
            </w:tcBorders>
            <w:shd w:val="clear" w:color="auto" w:fill="FFFFFF" w:themeFill="background1"/>
            <w:vAlign w:val="center"/>
          </w:tcPr>
          <w:p w14:paraId="38DAABD4"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p>
        </w:tc>
        <w:tc>
          <w:tcPr>
            <w:tcW w:w="662" w:type="pct"/>
            <w:vMerge/>
            <w:tcBorders>
              <w:left w:val="single" w:sz="4" w:space="0" w:color="auto"/>
              <w:bottom w:val="single" w:sz="4" w:space="0" w:color="auto"/>
              <w:right w:val="single" w:sz="4" w:space="0" w:color="auto"/>
            </w:tcBorders>
            <w:shd w:val="clear" w:color="auto" w:fill="FFFFFF" w:themeFill="background1"/>
            <w:vAlign w:val="center"/>
          </w:tcPr>
          <w:p w14:paraId="37FEBC0F" w14:textId="77777777" w:rsidR="00315893" w:rsidRPr="00D85E09" w:rsidRDefault="00315893" w:rsidP="0043316B">
            <w:pPr>
              <w:widowControl w:val="0"/>
              <w:spacing w:before="60" w:after="40" w:line="240" w:lineRule="auto"/>
              <w:jc w:val="center"/>
              <w:rPr>
                <w:rFonts w:ascii="Arial Narrow" w:hAnsi="Arial Narrow"/>
                <w:sz w:val="20"/>
                <w:szCs w:val="20"/>
              </w:rPr>
            </w:pPr>
          </w:p>
        </w:tc>
      </w:tr>
      <w:tr w:rsidR="00315893" w:rsidRPr="00D85E09" w14:paraId="3948E533" w14:textId="77777777" w:rsidTr="00465778">
        <w:trPr>
          <w:trHeight w:val="20"/>
        </w:trPr>
        <w:tc>
          <w:tcPr>
            <w:tcW w:w="652" w:type="pct"/>
            <w:shd w:val="clear" w:color="auto" w:fill="auto"/>
            <w:vAlign w:val="center"/>
          </w:tcPr>
          <w:p w14:paraId="75CD5F72" w14:textId="77777777" w:rsidR="00315893" w:rsidRPr="00D85E09" w:rsidRDefault="00315893" w:rsidP="0043316B">
            <w:pPr>
              <w:pStyle w:val="TableArialNarrow10"/>
              <w:keepNext w:val="0"/>
              <w:keepLines w:val="0"/>
              <w:widowControl w:val="0"/>
              <w:spacing w:before="60" w:after="40"/>
              <w:jc w:val="center"/>
            </w:pPr>
            <w:r w:rsidRPr="00D85E09">
              <w:t>SWIFT PRIME</w:t>
            </w:r>
          </w:p>
        </w:tc>
        <w:tc>
          <w:tcPr>
            <w:tcW w:w="665" w:type="pct"/>
            <w:vAlign w:val="center"/>
          </w:tcPr>
          <w:p w14:paraId="62D3840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97/98 (99)</w:t>
            </w:r>
          </w:p>
        </w:tc>
        <w:tc>
          <w:tcPr>
            <w:tcW w:w="665" w:type="pct"/>
            <w:shd w:val="clear" w:color="auto" w:fill="auto"/>
            <w:vAlign w:val="center"/>
          </w:tcPr>
          <w:p w14:paraId="677C3AA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-8.5 (7.1)</w:t>
            </w:r>
          </w:p>
        </w:tc>
        <w:tc>
          <w:tcPr>
            <w:tcW w:w="664" w:type="pct"/>
            <w:vAlign w:val="center"/>
          </w:tcPr>
          <w:p w14:paraId="23E24700"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92/98 (94)</w:t>
            </w:r>
          </w:p>
        </w:tc>
        <w:tc>
          <w:tcPr>
            <w:tcW w:w="664" w:type="pct"/>
            <w:shd w:val="clear" w:color="auto" w:fill="auto"/>
            <w:vAlign w:val="center"/>
          </w:tcPr>
          <w:p w14:paraId="3ACA7EED"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-3.9 (6.2)</w:t>
            </w:r>
          </w:p>
        </w:tc>
        <w:tc>
          <w:tcPr>
            <w:tcW w:w="1028" w:type="pct"/>
            <w:vAlign w:val="center"/>
          </w:tcPr>
          <w:p w14:paraId="05741F38"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Change in NIHSS score at 27 hr</w:t>
            </w:r>
          </w:p>
        </w:tc>
        <w:tc>
          <w:tcPr>
            <w:tcW w:w="662" w:type="pct"/>
            <w:vAlign w:val="center"/>
          </w:tcPr>
          <w:p w14:paraId="52DE680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Saver 2015, Table 2</w:t>
            </w:r>
          </w:p>
        </w:tc>
      </w:tr>
    </w:tbl>
    <w:p w14:paraId="3C8DB284" w14:textId="77777777" w:rsidR="00315893" w:rsidRPr="00D85E09" w:rsidRDefault="00315893" w:rsidP="0043316B">
      <w:pPr>
        <w:pStyle w:val="Heading5"/>
        <w:widowControl w:val="0"/>
        <w:rPr>
          <w:lang w:val="en-AU"/>
        </w:rPr>
      </w:pPr>
      <w:r w:rsidRPr="00D85E09">
        <w:rPr>
          <w:lang w:val="en-AU"/>
        </w:rPr>
        <w:t>Barthel Index</w:t>
      </w:r>
    </w:p>
    <w:p w14:paraId="23063564" w14:textId="75EA86EB" w:rsidR="00315893" w:rsidRPr="00D85E09" w:rsidRDefault="00315893" w:rsidP="0043316B">
      <w:pPr>
        <w:widowControl w:val="0"/>
      </w:pPr>
      <w:r w:rsidRPr="00D85E09">
        <w:t>The proportion of subjects in ESCAPE and REVASCAT with a Barthel Index score of 95-100 at 90 days was greater in the intervention treatment arm (57.5%), compared to the control arm (30%). Similarly, a greater proportion of subjects (46%) in the intervention treatment arm had a Barthel Index score of 19 or 20 at 90 days compared to the control arm (29.8%) in MR CLEAN (</w:t>
      </w:r>
      <w:r w:rsidRPr="00D85E09">
        <w:fldChar w:fldCharType="begin"/>
      </w:r>
      <w:r w:rsidRPr="00D85E09">
        <w:instrText xml:space="preserve"> REF _Ref449953824 \h </w:instrText>
      </w:r>
      <w:r w:rsidRPr="00D85E09">
        <w:fldChar w:fldCharType="separate"/>
      </w:r>
      <w:r w:rsidR="00A456ED" w:rsidRPr="00D85E09">
        <w:t xml:space="preserve">Table </w:t>
      </w:r>
      <w:r w:rsidR="00A456ED">
        <w:rPr>
          <w:noProof/>
        </w:rPr>
        <w:t>34</w:t>
      </w:r>
      <w:r w:rsidRPr="00D85E09">
        <w:fldChar w:fldCharType="end"/>
      </w:r>
      <w:r w:rsidRPr="00D85E09">
        <w:t>).</w:t>
      </w:r>
    </w:p>
    <w:p w14:paraId="403B0316" w14:textId="5EB76C37" w:rsidR="00315893" w:rsidRPr="00D85E09" w:rsidRDefault="00315893" w:rsidP="0043316B">
      <w:pPr>
        <w:pStyle w:val="Caption"/>
        <w:keepNext w:val="0"/>
        <w:widowControl w:val="0"/>
        <w:rPr>
          <w:lang w:val="en-AU"/>
        </w:rPr>
      </w:pPr>
      <w:bookmarkStart w:id="311" w:name="_Ref449953824"/>
      <w:bookmarkStart w:id="312" w:name="_Toc45306537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34</w:t>
      </w:r>
      <w:r w:rsidRPr="00D85E09">
        <w:rPr>
          <w:lang w:val="en-AU"/>
        </w:rPr>
        <w:fldChar w:fldCharType="end"/>
      </w:r>
      <w:bookmarkEnd w:id="311"/>
      <w:r w:rsidRPr="00D85E09">
        <w:rPr>
          <w:lang w:val="en-AU"/>
        </w:rPr>
        <w:tab/>
        <w:t>Barthel Index</w:t>
      </w:r>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4. Barthel Index"/>
      </w:tblPr>
      <w:tblGrid>
        <w:gridCol w:w="1172"/>
        <w:gridCol w:w="2271"/>
        <w:gridCol w:w="2271"/>
        <w:gridCol w:w="2022"/>
        <w:gridCol w:w="1268"/>
      </w:tblGrid>
      <w:tr w:rsidR="00315893" w:rsidRPr="00D85E09" w14:paraId="70730CA6" w14:textId="77777777" w:rsidTr="000D5648">
        <w:trPr>
          <w:trHeight w:val="729"/>
        </w:trPr>
        <w:tc>
          <w:tcPr>
            <w:tcW w:w="651" w:type="pct"/>
            <w:shd w:val="clear" w:color="auto" w:fill="FFFFFF" w:themeFill="background1"/>
            <w:hideMark/>
          </w:tcPr>
          <w:p w14:paraId="32F240F4" w14:textId="77777777" w:rsidR="00315893" w:rsidRPr="00D85E09" w:rsidRDefault="00315893" w:rsidP="0043316B">
            <w:pPr>
              <w:pStyle w:val="Tabletext"/>
              <w:keepNext w:val="0"/>
              <w:widowControl w:val="0"/>
              <w:jc w:val="center"/>
              <w:rPr>
                <w:b/>
              </w:rPr>
            </w:pPr>
            <w:r w:rsidRPr="00D85E09">
              <w:rPr>
                <w:b/>
              </w:rPr>
              <w:t>Trial ID</w:t>
            </w:r>
          </w:p>
        </w:tc>
        <w:tc>
          <w:tcPr>
            <w:tcW w:w="1261" w:type="pct"/>
            <w:shd w:val="clear" w:color="auto" w:fill="FFFFFF" w:themeFill="background1"/>
            <w:noWrap/>
            <w:vAlign w:val="center"/>
            <w:hideMark/>
          </w:tcPr>
          <w:p w14:paraId="12B2A1F1" w14:textId="77777777" w:rsidR="00315893" w:rsidRPr="00D85E09" w:rsidRDefault="00315893" w:rsidP="0043316B">
            <w:pPr>
              <w:pStyle w:val="Tabletext"/>
              <w:keepNext w:val="0"/>
              <w:widowControl w:val="0"/>
              <w:jc w:val="center"/>
              <w:rPr>
                <w:b/>
              </w:rPr>
            </w:pPr>
            <w:r w:rsidRPr="00D85E09">
              <w:rPr>
                <w:b/>
              </w:rPr>
              <w:t>Treatment</w:t>
            </w:r>
          </w:p>
          <w:p w14:paraId="69FB5119" w14:textId="77777777" w:rsidR="00315893" w:rsidRPr="00D85E09" w:rsidRDefault="00315893" w:rsidP="0043316B">
            <w:pPr>
              <w:pStyle w:val="Tabletext"/>
              <w:keepNext w:val="0"/>
              <w:widowControl w:val="0"/>
              <w:jc w:val="center"/>
              <w:rPr>
                <w:b/>
              </w:rPr>
            </w:pPr>
            <w:r w:rsidRPr="00D85E09">
              <w:rPr>
                <w:b/>
              </w:rPr>
              <w:t>n /N (%)</w:t>
            </w:r>
          </w:p>
        </w:tc>
        <w:tc>
          <w:tcPr>
            <w:tcW w:w="1261" w:type="pct"/>
            <w:shd w:val="clear" w:color="auto" w:fill="FFFFFF" w:themeFill="background1"/>
            <w:noWrap/>
            <w:vAlign w:val="center"/>
            <w:hideMark/>
          </w:tcPr>
          <w:p w14:paraId="69630EE9" w14:textId="77777777" w:rsidR="00315893" w:rsidRPr="00D85E09" w:rsidRDefault="00315893" w:rsidP="0043316B">
            <w:pPr>
              <w:pStyle w:val="Tabletext"/>
              <w:keepNext w:val="0"/>
              <w:widowControl w:val="0"/>
              <w:jc w:val="center"/>
              <w:rPr>
                <w:b/>
              </w:rPr>
            </w:pPr>
            <w:r w:rsidRPr="00D85E09">
              <w:rPr>
                <w:b/>
              </w:rPr>
              <w:t>Control</w:t>
            </w:r>
          </w:p>
          <w:p w14:paraId="183FF0E4" w14:textId="77777777" w:rsidR="00315893" w:rsidRPr="00D85E09" w:rsidRDefault="00315893" w:rsidP="0043316B">
            <w:pPr>
              <w:pStyle w:val="Tabletext"/>
              <w:keepNext w:val="0"/>
              <w:widowControl w:val="0"/>
              <w:jc w:val="center"/>
              <w:rPr>
                <w:b/>
              </w:rPr>
            </w:pPr>
            <w:r w:rsidRPr="00D85E09">
              <w:rPr>
                <w:b/>
              </w:rPr>
              <w:t>n /N (%)</w:t>
            </w:r>
          </w:p>
        </w:tc>
        <w:tc>
          <w:tcPr>
            <w:tcW w:w="1123" w:type="pct"/>
            <w:shd w:val="clear" w:color="auto" w:fill="FFFFFF" w:themeFill="background1"/>
          </w:tcPr>
          <w:p w14:paraId="6809120C" w14:textId="77777777" w:rsidR="00315893" w:rsidRPr="00D85E09" w:rsidRDefault="00315893" w:rsidP="0043316B">
            <w:pPr>
              <w:pStyle w:val="Tabletext"/>
              <w:keepNext w:val="0"/>
              <w:widowControl w:val="0"/>
              <w:jc w:val="center"/>
              <w:rPr>
                <w:b/>
              </w:rPr>
            </w:pPr>
            <w:r w:rsidRPr="00D85E09">
              <w:rPr>
                <w:b/>
              </w:rPr>
              <w:t>Definition</w:t>
            </w:r>
          </w:p>
        </w:tc>
        <w:tc>
          <w:tcPr>
            <w:tcW w:w="704" w:type="pct"/>
            <w:shd w:val="clear" w:color="auto" w:fill="FFFFFF" w:themeFill="background1"/>
          </w:tcPr>
          <w:p w14:paraId="3F06518B" w14:textId="57A1DB18" w:rsidR="00315893" w:rsidRPr="00D85E09" w:rsidRDefault="00315893" w:rsidP="0043316B">
            <w:pPr>
              <w:pStyle w:val="Tabletext"/>
              <w:keepNext w:val="0"/>
              <w:widowControl w:val="0"/>
              <w:jc w:val="center"/>
              <w:rPr>
                <w:b/>
              </w:rPr>
            </w:pPr>
            <w:r w:rsidRPr="00D85E09">
              <w:rPr>
                <w:b/>
              </w:rPr>
              <w:t>Source</w:t>
            </w:r>
          </w:p>
        </w:tc>
      </w:tr>
      <w:tr w:rsidR="00315893" w:rsidRPr="00D85E09" w14:paraId="3A5603FB" w14:textId="77777777" w:rsidTr="00465778">
        <w:trPr>
          <w:trHeight w:val="20"/>
        </w:trPr>
        <w:tc>
          <w:tcPr>
            <w:tcW w:w="651" w:type="pct"/>
            <w:shd w:val="clear" w:color="auto" w:fill="auto"/>
          </w:tcPr>
          <w:p w14:paraId="08B91D44" w14:textId="77777777" w:rsidR="00315893" w:rsidRPr="00D85E09" w:rsidRDefault="00315893" w:rsidP="0043316B">
            <w:pPr>
              <w:pStyle w:val="Tabletext"/>
              <w:keepNext w:val="0"/>
              <w:widowControl w:val="0"/>
            </w:pPr>
            <w:r w:rsidRPr="00D85E09">
              <w:t xml:space="preserve">ESCAPE </w:t>
            </w:r>
          </w:p>
        </w:tc>
        <w:tc>
          <w:tcPr>
            <w:tcW w:w="1261" w:type="pct"/>
            <w:shd w:val="clear" w:color="auto" w:fill="auto"/>
            <w:vAlign w:val="center"/>
          </w:tcPr>
          <w:p w14:paraId="40A46EFA" w14:textId="77777777" w:rsidR="00315893" w:rsidRPr="00D85E09" w:rsidRDefault="00315893" w:rsidP="0043316B">
            <w:pPr>
              <w:pStyle w:val="Tabletext"/>
              <w:keepNext w:val="0"/>
              <w:widowControl w:val="0"/>
              <w:jc w:val="center"/>
            </w:pPr>
            <w:r w:rsidRPr="00D85E09">
              <w:rPr>
                <w:rFonts w:eastAsia="OTNEJMScalaSansLF" w:cs="OTNEJMScalaSansLF"/>
                <w:lang w:eastAsia="en-AU"/>
              </w:rPr>
              <w:t>94/163 (57.7)</w:t>
            </w:r>
          </w:p>
        </w:tc>
        <w:tc>
          <w:tcPr>
            <w:tcW w:w="1261" w:type="pct"/>
            <w:shd w:val="clear" w:color="auto" w:fill="auto"/>
            <w:vAlign w:val="center"/>
          </w:tcPr>
          <w:p w14:paraId="7F424C47" w14:textId="77777777" w:rsidR="00315893" w:rsidRPr="00D85E09" w:rsidRDefault="00315893" w:rsidP="0043316B">
            <w:pPr>
              <w:pStyle w:val="Tabletext"/>
              <w:keepNext w:val="0"/>
              <w:widowControl w:val="0"/>
              <w:jc w:val="center"/>
            </w:pPr>
            <w:r w:rsidRPr="00D85E09">
              <w:rPr>
                <w:rFonts w:eastAsia="OTNEJMScalaSansLF" w:cs="OTNEJMScalaSansLF"/>
                <w:lang w:eastAsia="en-AU"/>
              </w:rPr>
              <w:t>49/146 (33.6)</w:t>
            </w:r>
          </w:p>
        </w:tc>
        <w:tc>
          <w:tcPr>
            <w:tcW w:w="1123" w:type="pct"/>
          </w:tcPr>
          <w:p w14:paraId="2D75295E" w14:textId="77777777" w:rsidR="00315893" w:rsidRPr="00D85E09" w:rsidRDefault="00315893" w:rsidP="0043316B">
            <w:pPr>
              <w:pStyle w:val="Tabletext"/>
              <w:keepNext w:val="0"/>
              <w:widowControl w:val="0"/>
              <w:jc w:val="center"/>
            </w:pPr>
            <w:r w:rsidRPr="00D85E09">
              <w:t>Barthel Index score of 95–100 at 90 days</w:t>
            </w:r>
          </w:p>
        </w:tc>
        <w:tc>
          <w:tcPr>
            <w:tcW w:w="704" w:type="pct"/>
            <w:vAlign w:val="center"/>
          </w:tcPr>
          <w:p w14:paraId="02C0D272" w14:textId="77777777" w:rsidR="00315893" w:rsidRPr="00D85E09" w:rsidRDefault="00315893" w:rsidP="0043316B">
            <w:pPr>
              <w:pStyle w:val="Tabletext"/>
              <w:keepNext w:val="0"/>
              <w:widowControl w:val="0"/>
              <w:jc w:val="center"/>
            </w:pPr>
            <w:r w:rsidRPr="00D85E09">
              <w:rPr>
                <w:rFonts w:cs="Calibri"/>
              </w:rPr>
              <w:t>Goyal 2015, Table 2</w:t>
            </w:r>
          </w:p>
        </w:tc>
      </w:tr>
      <w:tr w:rsidR="00315893" w:rsidRPr="00D85E09" w14:paraId="173B805B" w14:textId="77777777" w:rsidTr="00465778">
        <w:trPr>
          <w:trHeight w:val="20"/>
        </w:trPr>
        <w:tc>
          <w:tcPr>
            <w:tcW w:w="651" w:type="pct"/>
            <w:shd w:val="clear" w:color="auto" w:fill="auto"/>
          </w:tcPr>
          <w:p w14:paraId="10E3803E" w14:textId="77777777" w:rsidR="00315893" w:rsidRPr="00D85E09" w:rsidRDefault="00315893" w:rsidP="0043316B">
            <w:pPr>
              <w:pStyle w:val="Tabletext"/>
              <w:keepNext w:val="0"/>
              <w:widowControl w:val="0"/>
            </w:pPr>
            <w:r w:rsidRPr="00D85E09">
              <w:t xml:space="preserve">MR CLEAN </w:t>
            </w:r>
          </w:p>
        </w:tc>
        <w:tc>
          <w:tcPr>
            <w:tcW w:w="1261" w:type="pct"/>
            <w:shd w:val="clear" w:color="auto" w:fill="auto"/>
            <w:vAlign w:val="center"/>
          </w:tcPr>
          <w:p w14:paraId="02BB7CA8" w14:textId="77777777" w:rsidR="00315893" w:rsidRPr="00D85E09" w:rsidRDefault="00315893" w:rsidP="0043316B">
            <w:pPr>
              <w:pStyle w:val="Tabletext"/>
              <w:keepNext w:val="0"/>
              <w:widowControl w:val="0"/>
              <w:jc w:val="center"/>
            </w:pPr>
            <w:r w:rsidRPr="00D85E09">
              <w:t>99/215 (46.0)</w:t>
            </w:r>
          </w:p>
        </w:tc>
        <w:tc>
          <w:tcPr>
            <w:tcW w:w="1261" w:type="pct"/>
            <w:shd w:val="clear" w:color="auto" w:fill="auto"/>
            <w:vAlign w:val="center"/>
          </w:tcPr>
          <w:p w14:paraId="6DA9D9FF" w14:textId="77777777" w:rsidR="00315893" w:rsidRPr="00D85E09" w:rsidRDefault="00315893" w:rsidP="0043316B">
            <w:pPr>
              <w:pStyle w:val="Tabletext"/>
              <w:keepNext w:val="0"/>
              <w:widowControl w:val="0"/>
              <w:jc w:val="center"/>
            </w:pPr>
            <w:r w:rsidRPr="00D85E09">
              <w:t>73/245 (29.8)</w:t>
            </w:r>
          </w:p>
        </w:tc>
        <w:tc>
          <w:tcPr>
            <w:tcW w:w="1123" w:type="pct"/>
          </w:tcPr>
          <w:p w14:paraId="281D08D9" w14:textId="77777777" w:rsidR="00315893" w:rsidRPr="00D85E09" w:rsidRDefault="00315893" w:rsidP="0043316B">
            <w:pPr>
              <w:pStyle w:val="Tabletext"/>
              <w:keepNext w:val="0"/>
              <w:widowControl w:val="0"/>
              <w:jc w:val="center"/>
            </w:pPr>
            <w:r w:rsidRPr="00D85E09">
              <w:t>Barthel Index of 19 or 20 at 90 days</w:t>
            </w:r>
          </w:p>
        </w:tc>
        <w:tc>
          <w:tcPr>
            <w:tcW w:w="704" w:type="pct"/>
            <w:vAlign w:val="center"/>
          </w:tcPr>
          <w:p w14:paraId="7CE924F3" w14:textId="77777777" w:rsidR="00315893" w:rsidRPr="00D85E09" w:rsidRDefault="00315893" w:rsidP="0043316B">
            <w:pPr>
              <w:pStyle w:val="Tabletext"/>
              <w:keepNext w:val="0"/>
              <w:widowControl w:val="0"/>
              <w:jc w:val="center"/>
            </w:pPr>
            <w:r w:rsidRPr="00D85E09">
              <w:rPr>
                <w:rFonts w:cs="Calibri"/>
              </w:rPr>
              <w:t>Berkhemer 2015, Table 2</w:t>
            </w:r>
          </w:p>
        </w:tc>
      </w:tr>
      <w:tr w:rsidR="00315893" w:rsidRPr="00D85E09" w14:paraId="0654161F" w14:textId="77777777" w:rsidTr="00465778">
        <w:trPr>
          <w:trHeight w:val="20"/>
        </w:trPr>
        <w:tc>
          <w:tcPr>
            <w:tcW w:w="651" w:type="pct"/>
            <w:shd w:val="clear" w:color="auto" w:fill="auto"/>
          </w:tcPr>
          <w:p w14:paraId="60B7E31F" w14:textId="77777777" w:rsidR="00315893" w:rsidRPr="00D85E09" w:rsidRDefault="00315893" w:rsidP="0043316B">
            <w:pPr>
              <w:pStyle w:val="Tabletext"/>
              <w:keepNext w:val="0"/>
              <w:widowControl w:val="0"/>
            </w:pPr>
            <w:r w:rsidRPr="00D85E09">
              <w:t xml:space="preserve">REVASCAT </w:t>
            </w:r>
          </w:p>
        </w:tc>
        <w:tc>
          <w:tcPr>
            <w:tcW w:w="1261" w:type="pct"/>
            <w:shd w:val="clear" w:color="auto" w:fill="auto"/>
            <w:vAlign w:val="center"/>
          </w:tcPr>
          <w:p w14:paraId="099101B8" w14:textId="77777777" w:rsidR="00315893" w:rsidRPr="00D85E09" w:rsidRDefault="00315893" w:rsidP="0043316B">
            <w:pPr>
              <w:pStyle w:val="Tabletext"/>
              <w:keepNext w:val="0"/>
              <w:widowControl w:val="0"/>
              <w:jc w:val="center"/>
            </w:pPr>
            <w:r w:rsidRPr="00D85E09">
              <w:t>47/82 (57.3)</w:t>
            </w:r>
          </w:p>
        </w:tc>
        <w:tc>
          <w:tcPr>
            <w:tcW w:w="1261" w:type="pct"/>
            <w:shd w:val="clear" w:color="auto" w:fill="auto"/>
            <w:vAlign w:val="center"/>
          </w:tcPr>
          <w:p w14:paraId="1AFBA113" w14:textId="77777777" w:rsidR="00315893" w:rsidRPr="00D85E09" w:rsidRDefault="00315893" w:rsidP="0043316B">
            <w:pPr>
              <w:pStyle w:val="Tabletext"/>
              <w:keepNext w:val="0"/>
              <w:widowControl w:val="0"/>
              <w:jc w:val="center"/>
            </w:pPr>
            <w:r w:rsidRPr="00D85E09">
              <w:t>23/87 (26.4)</w:t>
            </w:r>
          </w:p>
        </w:tc>
        <w:tc>
          <w:tcPr>
            <w:tcW w:w="1123" w:type="pct"/>
          </w:tcPr>
          <w:p w14:paraId="425F1657" w14:textId="77777777" w:rsidR="00315893" w:rsidRPr="00D85E09" w:rsidRDefault="00315893" w:rsidP="0043316B">
            <w:pPr>
              <w:pStyle w:val="Tabletext"/>
              <w:keepNext w:val="0"/>
              <w:widowControl w:val="0"/>
              <w:jc w:val="center"/>
            </w:pPr>
            <w:r w:rsidRPr="00D85E09">
              <w:t>Barthel Index score of 95 to 100 at 90 days</w:t>
            </w:r>
          </w:p>
        </w:tc>
        <w:tc>
          <w:tcPr>
            <w:tcW w:w="704" w:type="pct"/>
            <w:vAlign w:val="center"/>
          </w:tcPr>
          <w:p w14:paraId="54E8E989" w14:textId="77777777" w:rsidR="00315893" w:rsidRPr="00D85E09" w:rsidRDefault="00315893" w:rsidP="0043316B">
            <w:pPr>
              <w:pStyle w:val="Tabletext"/>
              <w:keepNext w:val="0"/>
              <w:widowControl w:val="0"/>
              <w:jc w:val="center"/>
            </w:pPr>
            <w:r w:rsidRPr="00D85E09">
              <w:rPr>
                <w:rFonts w:cs="Calibri"/>
              </w:rPr>
              <w:t>Jovin 2015, Table 2</w:t>
            </w:r>
          </w:p>
        </w:tc>
      </w:tr>
    </w:tbl>
    <w:p w14:paraId="62E16592" w14:textId="77777777" w:rsidR="00315893" w:rsidRPr="00D85E09" w:rsidRDefault="00315893" w:rsidP="0043316B">
      <w:pPr>
        <w:pStyle w:val="Heading5"/>
        <w:widowControl w:val="0"/>
        <w:rPr>
          <w:lang w:val="en-AU"/>
        </w:rPr>
      </w:pPr>
      <w:r w:rsidRPr="00D85E09">
        <w:rPr>
          <w:lang w:val="en-AU"/>
        </w:rPr>
        <w:br w:type="page"/>
      </w:r>
    </w:p>
    <w:p w14:paraId="7C0288B9" w14:textId="77777777" w:rsidR="00315893" w:rsidRPr="00D85E09" w:rsidRDefault="00315893" w:rsidP="0043316B">
      <w:pPr>
        <w:pStyle w:val="Heading5"/>
        <w:widowControl w:val="0"/>
        <w:rPr>
          <w:rFonts w:eastAsia="OTNEJMScalaSansLF"/>
          <w:lang w:val="en-AU" w:eastAsia="en-AU"/>
        </w:rPr>
      </w:pPr>
      <w:r w:rsidRPr="00D85E09">
        <w:rPr>
          <w:rFonts w:eastAsia="OTNEJMScalaSansLF"/>
          <w:lang w:val="en-AU" w:eastAsia="en-AU"/>
        </w:rPr>
        <w:lastRenderedPageBreak/>
        <w:t>Revascularisation</w:t>
      </w:r>
    </w:p>
    <w:p w14:paraId="084416A0" w14:textId="6C095F5F" w:rsidR="00315893" w:rsidRPr="00D85E09" w:rsidRDefault="00315893" w:rsidP="0043316B">
      <w:pPr>
        <w:widowControl w:val="0"/>
        <w:rPr>
          <w:rFonts w:eastAsia="OTNEJMScalaSansLF"/>
          <w:lang w:eastAsia="en-AU"/>
        </w:rPr>
      </w:pPr>
      <w:r w:rsidRPr="00D85E09">
        <w:rPr>
          <w:rFonts w:eastAsia="OTNEJMScalaSansLF"/>
          <w:lang w:eastAsia="en-AU"/>
        </w:rPr>
        <w:t>Acro</w:t>
      </w:r>
      <w:r w:rsidR="005B7DCE">
        <w:rPr>
          <w:rFonts w:eastAsia="OTNEJMScalaSansLF"/>
          <w:lang w:eastAsia="en-AU"/>
        </w:rPr>
        <w:t>ss four trials (ESCAPE, EXTEND-I</w:t>
      </w:r>
      <w:r w:rsidRPr="00D85E09">
        <w:rPr>
          <w:rFonts w:eastAsia="OTNEJMScalaSansLF"/>
          <w:lang w:eastAsia="en-AU"/>
        </w:rPr>
        <w:t>A, MR CLEAN and REVASCAT), between 58.7% and 86% of patients who received MT treatment obtained a TICI score of 2b or 3, which indicates successful perfusion (</w:t>
      </w:r>
      <w:r w:rsidRPr="00D85E09">
        <w:rPr>
          <w:rFonts w:eastAsia="OTNEJMScalaSansLF"/>
          <w:lang w:eastAsia="en-AU"/>
        </w:rPr>
        <w:fldChar w:fldCharType="begin"/>
      </w:r>
      <w:r w:rsidRPr="00D85E09">
        <w:rPr>
          <w:rFonts w:eastAsia="OTNEJMScalaSansLF"/>
          <w:lang w:eastAsia="en-AU"/>
        </w:rPr>
        <w:instrText xml:space="preserve"> REF _Ref450048713 \h </w:instrText>
      </w:r>
      <w:r w:rsidRPr="00D85E09">
        <w:rPr>
          <w:rFonts w:eastAsia="OTNEJMScalaSansLF"/>
          <w:lang w:eastAsia="en-AU"/>
        </w:rPr>
      </w:r>
      <w:r w:rsidRPr="00D85E09">
        <w:rPr>
          <w:rFonts w:eastAsia="OTNEJMScalaSansLF"/>
          <w:lang w:eastAsia="en-AU"/>
        </w:rPr>
        <w:fldChar w:fldCharType="separate"/>
      </w:r>
      <w:r w:rsidR="00A456ED" w:rsidRPr="00D85E09">
        <w:t xml:space="preserve">Table </w:t>
      </w:r>
      <w:r w:rsidR="00A456ED">
        <w:rPr>
          <w:noProof/>
        </w:rPr>
        <w:t>35</w:t>
      </w:r>
      <w:r w:rsidRPr="00D85E09">
        <w:rPr>
          <w:rFonts w:eastAsia="OTNEJMScalaSansLF"/>
          <w:lang w:eastAsia="en-AU"/>
        </w:rPr>
        <w:fldChar w:fldCharType="end"/>
      </w:r>
      <w:r w:rsidRPr="00D85E09">
        <w:rPr>
          <w:rFonts w:eastAsia="OTNEJMScalaSansLF"/>
          <w:lang w:eastAsia="en-AU"/>
        </w:rPr>
        <w:t>).</w:t>
      </w:r>
    </w:p>
    <w:p w14:paraId="37249D84" w14:textId="278F6139" w:rsidR="00315893" w:rsidRPr="00D85E09" w:rsidRDefault="00315893" w:rsidP="0043316B">
      <w:pPr>
        <w:pStyle w:val="Caption"/>
        <w:keepNext w:val="0"/>
        <w:widowControl w:val="0"/>
        <w:rPr>
          <w:lang w:val="en-AU"/>
        </w:rPr>
      </w:pPr>
      <w:bookmarkStart w:id="313" w:name="_Ref450048713"/>
      <w:bookmarkStart w:id="314" w:name="_Toc45306537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35</w:t>
      </w:r>
      <w:r w:rsidRPr="00D85E09">
        <w:rPr>
          <w:lang w:val="en-AU"/>
        </w:rPr>
        <w:fldChar w:fldCharType="end"/>
      </w:r>
      <w:bookmarkEnd w:id="313"/>
      <w:r w:rsidRPr="00D85E09">
        <w:rPr>
          <w:lang w:val="en-AU"/>
        </w:rPr>
        <w:tab/>
      </w:r>
      <w:r w:rsidRPr="00D85E09">
        <w:rPr>
          <w:rFonts w:eastAsia="OTNEJMScalaSansLF"/>
          <w:lang w:val="en-AU"/>
        </w:rPr>
        <w:t>A Thrombolysis in Cerebral Infarction (TICI) score</w:t>
      </w:r>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5. A Thrombolysis in Cerebral Infarction (TICI) score"/>
      </w:tblPr>
      <w:tblGrid>
        <w:gridCol w:w="1245"/>
        <w:gridCol w:w="4109"/>
        <w:gridCol w:w="1984"/>
        <w:gridCol w:w="1666"/>
      </w:tblGrid>
      <w:tr w:rsidR="00315893" w:rsidRPr="00D85E09" w14:paraId="0863C980" w14:textId="77777777" w:rsidTr="000D5648">
        <w:trPr>
          <w:trHeight w:val="669"/>
        </w:trPr>
        <w:tc>
          <w:tcPr>
            <w:tcW w:w="691" w:type="pct"/>
            <w:shd w:val="clear" w:color="auto" w:fill="FFFFFF" w:themeFill="background1"/>
            <w:hideMark/>
          </w:tcPr>
          <w:p w14:paraId="12BB9CEF"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Trial ID</w:t>
            </w:r>
          </w:p>
          <w:p w14:paraId="42803758"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 </w:t>
            </w:r>
          </w:p>
        </w:tc>
        <w:tc>
          <w:tcPr>
            <w:tcW w:w="2282" w:type="pct"/>
            <w:shd w:val="clear" w:color="auto" w:fill="FFFFFF" w:themeFill="background1"/>
            <w:noWrap/>
            <w:vAlign w:val="center"/>
          </w:tcPr>
          <w:p w14:paraId="4BD7FF7D"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Treatment</w:t>
            </w:r>
          </w:p>
          <w:p w14:paraId="3871340E"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1102" w:type="pct"/>
            <w:shd w:val="clear" w:color="auto" w:fill="FFFFFF" w:themeFill="background1"/>
            <w:vAlign w:val="center"/>
          </w:tcPr>
          <w:p w14:paraId="69E6C829"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Definition</w:t>
            </w:r>
          </w:p>
        </w:tc>
        <w:tc>
          <w:tcPr>
            <w:tcW w:w="925" w:type="pct"/>
            <w:shd w:val="clear" w:color="auto" w:fill="FFFFFF" w:themeFill="background1"/>
            <w:vAlign w:val="center"/>
          </w:tcPr>
          <w:p w14:paraId="5599CD3F"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4B2FB3ED" w14:textId="77777777" w:rsidTr="000D5648">
        <w:trPr>
          <w:trHeight w:val="20"/>
        </w:trPr>
        <w:tc>
          <w:tcPr>
            <w:tcW w:w="691" w:type="pct"/>
            <w:shd w:val="clear" w:color="auto" w:fill="FFFFFF" w:themeFill="background1"/>
          </w:tcPr>
          <w:p w14:paraId="7735DE48" w14:textId="77777777" w:rsidR="00315893" w:rsidRPr="00D85E09" w:rsidRDefault="00315893" w:rsidP="0043316B">
            <w:pPr>
              <w:pStyle w:val="TableArialNarrow10"/>
              <w:keepNext w:val="0"/>
              <w:keepLines w:val="0"/>
              <w:widowControl w:val="0"/>
              <w:spacing w:before="60" w:after="40"/>
            </w:pPr>
            <w:r w:rsidRPr="00D85E09">
              <w:t xml:space="preserve">ESCAPE </w:t>
            </w:r>
          </w:p>
        </w:tc>
        <w:tc>
          <w:tcPr>
            <w:tcW w:w="2282" w:type="pct"/>
            <w:shd w:val="clear" w:color="auto" w:fill="FFFFFF" w:themeFill="background1"/>
            <w:vAlign w:val="center"/>
          </w:tcPr>
          <w:p w14:paraId="689D657E"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113/156 (72.4)</w:t>
            </w:r>
          </w:p>
        </w:tc>
        <w:tc>
          <w:tcPr>
            <w:tcW w:w="1102" w:type="pct"/>
            <w:shd w:val="clear" w:color="auto" w:fill="FFFFFF" w:themeFill="background1"/>
            <w:vAlign w:val="center"/>
          </w:tcPr>
          <w:p w14:paraId="794B7DFE"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olor w:val="000000"/>
                <w:sz w:val="20"/>
                <w:szCs w:val="20"/>
              </w:rPr>
              <w:t>TICI score of 2b or 3 at final angiogram</w:t>
            </w:r>
          </w:p>
        </w:tc>
        <w:tc>
          <w:tcPr>
            <w:tcW w:w="925" w:type="pct"/>
            <w:shd w:val="clear" w:color="auto" w:fill="FFFFFF" w:themeFill="background1"/>
            <w:vAlign w:val="center"/>
          </w:tcPr>
          <w:p w14:paraId="602D76B4"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Goyal 2015, Table 2</w:t>
            </w:r>
          </w:p>
        </w:tc>
      </w:tr>
      <w:tr w:rsidR="00315893" w:rsidRPr="00D85E09" w14:paraId="6CA96899" w14:textId="77777777" w:rsidTr="000D5648">
        <w:trPr>
          <w:trHeight w:val="20"/>
        </w:trPr>
        <w:tc>
          <w:tcPr>
            <w:tcW w:w="691" w:type="pct"/>
            <w:shd w:val="clear" w:color="auto" w:fill="FFFFFF" w:themeFill="background1"/>
          </w:tcPr>
          <w:p w14:paraId="00167174" w14:textId="47280FB4" w:rsidR="00315893" w:rsidRPr="00D85E09" w:rsidRDefault="005B7DCE" w:rsidP="0043316B">
            <w:pPr>
              <w:pStyle w:val="TableArialNarrow10"/>
              <w:keepNext w:val="0"/>
              <w:keepLines w:val="0"/>
              <w:widowControl w:val="0"/>
              <w:spacing w:before="60" w:after="40"/>
            </w:pPr>
            <w:r>
              <w:t>EXTEND-I</w:t>
            </w:r>
            <w:r w:rsidR="00315893" w:rsidRPr="00D85E09">
              <w:t xml:space="preserve">A </w:t>
            </w:r>
          </w:p>
        </w:tc>
        <w:tc>
          <w:tcPr>
            <w:tcW w:w="2282" w:type="pct"/>
            <w:shd w:val="clear" w:color="auto" w:fill="FFFFFF" w:themeFill="background1"/>
            <w:vAlign w:val="center"/>
          </w:tcPr>
          <w:p w14:paraId="780B274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11/29 (38) (Grade 2b)</w:t>
            </w:r>
          </w:p>
          <w:p w14:paraId="5EEE110D"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14/29 (48) (Grade 3)</w:t>
            </w:r>
          </w:p>
        </w:tc>
        <w:tc>
          <w:tcPr>
            <w:tcW w:w="1102" w:type="pct"/>
            <w:shd w:val="clear" w:color="auto" w:fill="FFFFFF" w:themeFill="background1"/>
            <w:vAlign w:val="center"/>
          </w:tcPr>
          <w:p w14:paraId="6E1113EF"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color w:val="000000"/>
                <w:sz w:val="20"/>
                <w:szCs w:val="20"/>
              </w:rPr>
              <w:t>mTICI score of 2b or 3</w:t>
            </w:r>
          </w:p>
        </w:tc>
        <w:tc>
          <w:tcPr>
            <w:tcW w:w="925" w:type="pct"/>
            <w:shd w:val="clear" w:color="auto" w:fill="FFFFFF" w:themeFill="background1"/>
            <w:vAlign w:val="center"/>
          </w:tcPr>
          <w:p w14:paraId="2036AD77"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sz w:val="20"/>
                <w:szCs w:val="20"/>
              </w:rPr>
              <w:t>Campbell 2015, Table 2</w:t>
            </w:r>
          </w:p>
        </w:tc>
      </w:tr>
      <w:tr w:rsidR="00315893" w:rsidRPr="00D85E09" w14:paraId="434B0172" w14:textId="77777777" w:rsidTr="000D5648">
        <w:trPr>
          <w:trHeight w:val="20"/>
        </w:trPr>
        <w:tc>
          <w:tcPr>
            <w:tcW w:w="691" w:type="pct"/>
            <w:shd w:val="clear" w:color="auto" w:fill="FFFFFF" w:themeFill="background1"/>
          </w:tcPr>
          <w:p w14:paraId="3A1EA287" w14:textId="77777777" w:rsidR="00315893" w:rsidRPr="00D85E09" w:rsidRDefault="00315893" w:rsidP="0043316B">
            <w:pPr>
              <w:pStyle w:val="TableArialNarrow10"/>
              <w:keepNext w:val="0"/>
              <w:keepLines w:val="0"/>
              <w:widowControl w:val="0"/>
              <w:spacing w:before="60" w:after="40"/>
            </w:pPr>
            <w:r w:rsidRPr="00D85E09">
              <w:t xml:space="preserve">MR CLEAN </w:t>
            </w:r>
          </w:p>
        </w:tc>
        <w:tc>
          <w:tcPr>
            <w:tcW w:w="2282" w:type="pct"/>
            <w:shd w:val="clear" w:color="auto" w:fill="FFFFFF" w:themeFill="background1"/>
            <w:vAlign w:val="center"/>
          </w:tcPr>
          <w:p w14:paraId="444DF314"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 xml:space="preserve">115/196 (58.7) </w:t>
            </w:r>
          </w:p>
        </w:tc>
        <w:tc>
          <w:tcPr>
            <w:tcW w:w="1102" w:type="pct"/>
            <w:shd w:val="clear" w:color="auto" w:fill="FFFFFF" w:themeFill="background1"/>
            <w:vAlign w:val="center"/>
          </w:tcPr>
          <w:p w14:paraId="7D731E87"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olor w:val="000000"/>
                <w:sz w:val="20"/>
                <w:szCs w:val="20"/>
              </w:rPr>
              <w:t>mTICI score of 2b or 3</w:t>
            </w:r>
          </w:p>
        </w:tc>
        <w:tc>
          <w:tcPr>
            <w:tcW w:w="925" w:type="pct"/>
            <w:shd w:val="clear" w:color="auto" w:fill="FFFFFF" w:themeFill="background1"/>
            <w:vAlign w:val="center"/>
          </w:tcPr>
          <w:p w14:paraId="4467203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Berkhemer 2015, p.17</w:t>
            </w:r>
          </w:p>
        </w:tc>
      </w:tr>
      <w:tr w:rsidR="00315893" w:rsidRPr="00D85E09" w14:paraId="6061A3CE" w14:textId="77777777" w:rsidTr="000D5648">
        <w:trPr>
          <w:trHeight w:val="20"/>
        </w:trPr>
        <w:tc>
          <w:tcPr>
            <w:tcW w:w="691" w:type="pct"/>
            <w:shd w:val="clear" w:color="auto" w:fill="FFFFFF" w:themeFill="background1"/>
          </w:tcPr>
          <w:p w14:paraId="2F833FBE" w14:textId="77777777" w:rsidR="00315893" w:rsidRPr="00D85E09" w:rsidRDefault="00315893" w:rsidP="0043316B">
            <w:pPr>
              <w:pStyle w:val="TableArialNarrow10"/>
              <w:keepNext w:val="0"/>
              <w:keepLines w:val="0"/>
              <w:widowControl w:val="0"/>
              <w:spacing w:before="60" w:after="40"/>
            </w:pPr>
            <w:r w:rsidRPr="00D85E09">
              <w:t xml:space="preserve">REVASCAT </w:t>
            </w:r>
          </w:p>
        </w:tc>
        <w:tc>
          <w:tcPr>
            <w:tcW w:w="2282" w:type="pct"/>
            <w:shd w:val="clear" w:color="auto" w:fill="FFFFFF" w:themeFill="background1"/>
            <w:vAlign w:val="center"/>
          </w:tcPr>
          <w:p w14:paraId="593120E2"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37 (35.9) (Grade 2b)</w:t>
            </w:r>
          </w:p>
          <w:p w14:paraId="4CC7552B"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45/103 (43.7) (Grade 3)</w:t>
            </w:r>
          </w:p>
        </w:tc>
        <w:tc>
          <w:tcPr>
            <w:tcW w:w="1102" w:type="pct"/>
            <w:shd w:val="clear" w:color="auto" w:fill="FFFFFF" w:themeFill="background1"/>
            <w:vAlign w:val="center"/>
          </w:tcPr>
          <w:p w14:paraId="161B2F03"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olor w:val="000000"/>
                <w:sz w:val="20"/>
                <w:szCs w:val="20"/>
              </w:rPr>
              <w:t>mTICI score of 2b or 3 post-treatment</w:t>
            </w:r>
          </w:p>
        </w:tc>
        <w:tc>
          <w:tcPr>
            <w:tcW w:w="925" w:type="pct"/>
            <w:shd w:val="clear" w:color="auto" w:fill="FFFFFF" w:themeFill="background1"/>
            <w:vAlign w:val="center"/>
          </w:tcPr>
          <w:p w14:paraId="2BE73825"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sz w:val="20"/>
                <w:szCs w:val="20"/>
              </w:rPr>
              <w:t>Jovin 2015 Appendix, Table S5</w:t>
            </w:r>
          </w:p>
        </w:tc>
      </w:tr>
    </w:tbl>
    <w:p w14:paraId="1CD5F0CD" w14:textId="77777777" w:rsidR="00315893" w:rsidRPr="00D85E09" w:rsidRDefault="00315893" w:rsidP="0043316B">
      <w:pPr>
        <w:pStyle w:val="Heading5"/>
        <w:widowControl w:val="0"/>
        <w:rPr>
          <w:rFonts w:eastAsia="OTNEJMScalaSansLF"/>
          <w:lang w:val="en-AU" w:eastAsia="en-AU"/>
        </w:rPr>
      </w:pPr>
      <w:r w:rsidRPr="00D85E09">
        <w:rPr>
          <w:rFonts w:eastAsia="OTNEJMScalaSansLF"/>
          <w:lang w:val="en-AU" w:eastAsia="en-AU"/>
        </w:rPr>
        <w:t>Reperfusion</w:t>
      </w:r>
    </w:p>
    <w:p w14:paraId="5683AF94" w14:textId="58B075E9" w:rsidR="00315893" w:rsidRPr="00D85E09" w:rsidRDefault="00315893" w:rsidP="0043316B">
      <w:pPr>
        <w:widowControl w:val="0"/>
        <w:rPr>
          <w:rFonts w:eastAsia="OTNEJMScalaSansLF"/>
          <w:lang w:eastAsia="en-AU"/>
        </w:rPr>
      </w:pPr>
      <w:r w:rsidRPr="00D85E09">
        <w:rPr>
          <w:rFonts w:eastAsia="OTNEJMScalaSansLF"/>
          <w:lang w:eastAsia="en-AU"/>
        </w:rPr>
        <w:t>One of the</w:t>
      </w:r>
      <w:r w:rsidR="005B7DCE">
        <w:rPr>
          <w:rFonts w:eastAsia="OTNEJMScalaSansLF"/>
          <w:lang w:eastAsia="en-AU"/>
        </w:rPr>
        <w:t xml:space="preserve"> co-primary outcomes in EXTEND-I</w:t>
      </w:r>
      <w:r w:rsidRPr="00D85E09">
        <w:rPr>
          <w:rFonts w:eastAsia="OTNEJMScalaSansLF"/>
          <w:lang w:eastAsia="en-AU"/>
        </w:rPr>
        <w:t>A was median reperfusion at 24 hours, defined as the percentage reduction in the perfusion-lesion volume between initial imaging and imaging at 24 hours (which can be negative if hypoperfusion worsens). There was 100% (IQR: 100 – 100) reduction in the perfusion-lesion volume for patients treated with intervention treatment, compared to 37% reduction for those in the control arm (</w:t>
      </w:r>
      <w:r w:rsidRPr="00D85E09">
        <w:rPr>
          <w:rFonts w:eastAsia="OTNEJMScalaSansLF"/>
          <w:lang w:eastAsia="en-AU"/>
        </w:rPr>
        <w:fldChar w:fldCharType="begin"/>
      </w:r>
      <w:r w:rsidRPr="00D85E09">
        <w:rPr>
          <w:rFonts w:eastAsia="OTNEJMScalaSansLF"/>
          <w:lang w:eastAsia="en-AU"/>
        </w:rPr>
        <w:instrText xml:space="preserve"> REF _Ref450049066 \h </w:instrText>
      </w:r>
      <w:r w:rsidRPr="00D85E09">
        <w:rPr>
          <w:rFonts w:eastAsia="OTNEJMScalaSansLF"/>
          <w:lang w:eastAsia="en-AU"/>
        </w:rPr>
      </w:r>
      <w:r w:rsidRPr="00D85E09">
        <w:rPr>
          <w:rFonts w:eastAsia="OTNEJMScalaSansLF"/>
          <w:lang w:eastAsia="en-AU"/>
        </w:rPr>
        <w:fldChar w:fldCharType="separate"/>
      </w:r>
      <w:r w:rsidR="00A456ED" w:rsidRPr="00D85E09">
        <w:t xml:space="preserve">Table </w:t>
      </w:r>
      <w:r w:rsidR="00A456ED">
        <w:rPr>
          <w:noProof/>
        </w:rPr>
        <w:t>36</w:t>
      </w:r>
      <w:r w:rsidRPr="00D85E09">
        <w:rPr>
          <w:rFonts w:eastAsia="OTNEJMScalaSansLF"/>
          <w:lang w:eastAsia="en-AU"/>
        </w:rPr>
        <w:fldChar w:fldCharType="end"/>
      </w:r>
      <w:r w:rsidRPr="00D85E09">
        <w:rPr>
          <w:rFonts w:eastAsia="OTNEJMScalaSansLF"/>
          <w:lang w:eastAsia="en-AU"/>
        </w:rPr>
        <w:t>).</w:t>
      </w:r>
    </w:p>
    <w:p w14:paraId="14F3A912" w14:textId="554521AB" w:rsidR="00315893" w:rsidRPr="00D85E09" w:rsidRDefault="00315893" w:rsidP="0043316B">
      <w:pPr>
        <w:pStyle w:val="Caption"/>
        <w:keepNext w:val="0"/>
        <w:widowControl w:val="0"/>
        <w:rPr>
          <w:lang w:val="en-AU"/>
        </w:rPr>
      </w:pPr>
      <w:bookmarkStart w:id="315" w:name="_Ref450049066"/>
      <w:bookmarkStart w:id="316" w:name="_Toc45306537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36</w:t>
      </w:r>
      <w:r w:rsidRPr="00D85E09">
        <w:rPr>
          <w:lang w:val="en-AU"/>
        </w:rPr>
        <w:fldChar w:fldCharType="end"/>
      </w:r>
      <w:bookmarkEnd w:id="315"/>
      <w:r w:rsidRPr="00D85E09">
        <w:rPr>
          <w:lang w:val="en-AU"/>
        </w:rPr>
        <w:tab/>
        <w:t>Median reperfusion</w:t>
      </w:r>
      <w:bookmarkEnd w:id="3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6. Median reperfusion"/>
      </w:tblPr>
      <w:tblGrid>
        <w:gridCol w:w="1189"/>
        <w:gridCol w:w="2085"/>
        <w:gridCol w:w="2085"/>
        <w:gridCol w:w="2336"/>
        <w:gridCol w:w="1309"/>
      </w:tblGrid>
      <w:tr w:rsidR="00315893" w:rsidRPr="00D85E09" w14:paraId="089E06E4" w14:textId="77777777" w:rsidTr="008C7DB5">
        <w:trPr>
          <w:trHeight w:val="669"/>
        </w:trPr>
        <w:tc>
          <w:tcPr>
            <w:tcW w:w="660" w:type="pct"/>
            <w:shd w:val="clear" w:color="auto" w:fill="auto"/>
            <w:vAlign w:val="center"/>
            <w:hideMark/>
          </w:tcPr>
          <w:p w14:paraId="62A9C505"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Trial ID</w:t>
            </w:r>
          </w:p>
        </w:tc>
        <w:tc>
          <w:tcPr>
            <w:tcW w:w="1158" w:type="pct"/>
            <w:shd w:val="clear" w:color="auto" w:fill="auto"/>
            <w:noWrap/>
            <w:vAlign w:val="center"/>
          </w:tcPr>
          <w:p w14:paraId="25F83479"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Intervention</w:t>
            </w:r>
          </w:p>
          <w:p w14:paraId="3E01CFC3"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Median score [IQR]</w:t>
            </w:r>
          </w:p>
        </w:tc>
        <w:tc>
          <w:tcPr>
            <w:tcW w:w="1158" w:type="pct"/>
            <w:shd w:val="clear" w:color="auto" w:fill="auto"/>
            <w:noWrap/>
            <w:vAlign w:val="center"/>
          </w:tcPr>
          <w:p w14:paraId="668C4274"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Control</w:t>
            </w:r>
          </w:p>
          <w:p w14:paraId="2DDE5B72"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Median score [IQR]</w:t>
            </w:r>
          </w:p>
        </w:tc>
        <w:tc>
          <w:tcPr>
            <w:tcW w:w="1297" w:type="pct"/>
            <w:shd w:val="clear" w:color="auto" w:fill="auto"/>
            <w:vAlign w:val="center"/>
          </w:tcPr>
          <w:p w14:paraId="4666EF31"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OR [95% CI]</w:t>
            </w:r>
            <w:r w:rsidRPr="00D85E09">
              <w:rPr>
                <w:rFonts w:ascii="Arial Narrow" w:hAnsi="Arial Narrow"/>
                <w:b/>
                <w:sz w:val="20"/>
                <w:szCs w:val="20"/>
                <w:vertAlign w:val="superscript"/>
              </w:rPr>
              <w:t>a</w:t>
            </w:r>
          </w:p>
        </w:tc>
        <w:tc>
          <w:tcPr>
            <w:tcW w:w="727" w:type="pct"/>
            <w:shd w:val="clear" w:color="auto" w:fill="auto"/>
            <w:vAlign w:val="center"/>
          </w:tcPr>
          <w:p w14:paraId="75F30F47"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3E001604" w14:textId="77777777" w:rsidTr="00465778">
        <w:trPr>
          <w:trHeight w:val="20"/>
        </w:trPr>
        <w:tc>
          <w:tcPr>
            <w:tcW w:w="660" w:type="pct"/>
            <w:shd w:val="clear" w:color="auto" w:fill="auto"/>
            <w:vAlign w:val="center"/>
          </w:tcPr>
          <w:p w14:paraId="317B021D" w14:textId="73F59F67" w:rsidR="00315893" w:rsidRPr="00D85E09" w:rsidRDefault="005B7DCE" w:rsidP="0043316B">
            <w:pPr>
              <w:pStyle w:val="TableArialNarrow10"/>
              <w:keepNext w:val="0"/>
              <w:keepLines w:val="0"/>
              <w:widowControl w:val="0"/>
              <w:spacing w:before="60" w:after="40"/>
            </w:pPr>
            <w:r>
              <w:t>EXTEND-I</w:t>
            </w:r>
            <w:r w:rsidR="00315893" w:rsidRPr="00D85E09">
              <w:t>A</w:t>
            </w:r>
          </w:p>
        </w:tc>
        <w:tc>
          <w:tcPr>
            <w:tcW w:w="1158" w:type="pct"/>
            <w:shd w:val="clear" w:color="auto" w:fill="auto"/>
            <w:vAlign w:val="center"/>
          </w:tcPr>
          <w:p w14:paraId="570CEF98"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s="OTNEJMScalaSansLF"/>
                <w:sz w:val="20"/>
                <w:szCs w:val="20"/>
                <w:lang w:eastAsia="en-AU"/>
              </w:rPr>
              <w:t>100 (100 to 100)</w:t>
            </w:r>
          </w:p>
        </w:tc>
        <w:tc>
          <w:tcPr>
            <w:tcW w:w="1158" w:type="pct"/>
            <w:shd w:val="clear" w:color="auto" w:fill="auto"/>
            <w:vAlign w:val="center"/>
          </w:tcPr>
          <w:p w14:paraId="26508AFD"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eastAsia="OTNEJMScalaSansLF" w:hAnsi="Arial Narrow" w:cs="OTNEJMScalaSansLF"/>
                <w:sz w:val="20"/>
                <w:szCs w:val="20"/>
                <w:lang w:eastAsia="en-AU"/>
              </w:rPr>
              <w:t>37 (−0.5 to 96)</w:t>
            </w:r>
          </w:p>
        </w:tc>
        <w:tc>
          <w:tcPr>
            <w:tcW w:w="1297" w:type="pct"/>
          </w:tcPr>
          <w:p w14:paraId="7AF0CD8B" w14:textId="77777777" w:rsidR="00315893" w:rsidRPr="00D85E09" w:rsidRDefault="00315893" w:rsidP="0043316B">
            <w:pPr>
              <w:widowControl w:val="0"/>
              <w:spacing w:before="60" w:after="40" w:line="240" w:lineRule="auto"/>
              <w:jc w:val="center"/>
              <w:rPr>
                <w:rFonts w:ascii="Arial Narrow" w:eastAsia="OTNEJMScalaSansLF" w:hAnsi="Arial Narrow"/>
                <w:color w:val="000000"/>
                <w:sz w:val="20"/>
                <w:szCs w:val="20"/>
              </w:rPr>
            </w:pPr>
            <w:r w:rsidRPr="00D85E09">
              <w:rPr>
                <w:rFonts w:ascii="Arial Narrow" w:eastAsia="OTNEJMScalaSansLF" w:hAnsi="Arial Narrow"/>
                <w:color w:val="000000"/>
                <w:sz w:val="20"/>
                <w:szCs w:val="20"/>
              </w:rPr>
              <w:t>4.9 (2.5 to 9.5)</w:t>
            </w:r>
            <w:r w:rsidRPr="00D85E09">
              <w:rPr>
                <w:rFonts w:ascii="Arial Narrow" w:eastAsia="OTNEJMScalaSansLF" w:hAnsi="Arial Narrow"/>
                <w:color w:val="000000"/>
                <w:sz w:val="20"/>
                <w:szCs w:val="20"/>
              </w:rPr>
              <w:br/>
              <w:t>p &lt;0.001</w:t>
            </w:r>
          </w:p>
        </w:tc>
        <w:tc>
          <w:tcPr>
            <w:tcW w:w="727" w:type="pct"/>
            <w:vAlign w:val="center"/>
          </w:tcPr>
          <w:p w14:paraId="030A5233" w14:textId="77777777" w:rsidR="00315893" w:rsidRPr="00D85E09" w:rsidRDefault="00315893" w:rsidP="0043316B">
            <w:pPr>
              <w:widowControl w:val="0"/>
              <w:spacing w:before="60" w:after="40" w:line="240" w:lineRule="auto"/>
              <w:jc w:val="center"/>
              <w:rPr>
                <w:rFonts w:ascii="Arial Narrow" w:eastAsia="OTNEJMScalaSansLF" w:hAnsi="Arial Narrow"/>
                <w:color w:val="000000"/>
                <w:sz w:val="20"/>
                <w:szCs w:val="20"/>
              </w:rPr>
            </w:pPr>
            <w:r w:rsidRPr="00D85E09">
              <w:rPr>
                <w:rFonts w:ascii="Arial Narrow" w:hAnsi="Arial Narrow"/>
                <w:sz w:val="20"/>
                <w:szCs w:val="20"/>
              </w:rPr>
              <w:t>Campbell 2015, Table 3</w:t>
            </w:r>
          </w:p>
        </w:tc>
      </w:tr>
    </w:tbl>
    <w:p w14:paraId="4ADA1227" w14:textId="77777777" w:rsidR="00315893" w:rsidRPr="00D85E09" w:rsidRDefault="00315893" w:rsidP="0043316B">
      <w:pPr>
        <w:widowControl w:val="0"/>
      </w:pPr>
    </w:p>
    <w:p w14:paraId="245966BB" w14:textId="6171A341" w:rsidR="00315893" w:rsidRPr="00D85E09" w:rsidRDefault="00315893" w:rsidP="0043316B">
      <w:pPr>
        <w:widowControl w:val="0"/>
      </w:pPr>
      <w:r w:rsidRPr="00D85E09">
        <w:t>The pr</w:t>
      </w:r>
      <w:r w:rsidR="005B7DCE">
        <w:t>oportion of subjects in EXTEND-I</w:t>
      </w:r>
      <w:r w:rsidRPr="00D85E09">
        <w:t>A that achieved &gt;90% reperfusion at 24 hr without SICH was higher for those treated with interventional treatment (88.6%) compared to control arm (34.3%). Substantial reperfusion immediately after thrombectomy was achieved in 88.0% of participants in SWIFT PRIME (control arm results not available). Furthermore, successful reperfusion at 27 hours was achieved in 82.8% of participants after MT, compared to 40.4% of participants who only received the control treatment (</w:t>
      </w:r>
      <w:r w:rsidRPr="00D85E09">
        <w:fldChar w:fldCharType="begin"/>
      </w:r>
      <w:r w:rsidRPr="00D85E09">
        <w:instrText xml:space="preserve"> REF _Ref450050891 \h </w:instrText>
      </w:r>
      <w:r w:rsidRPr="00D85E09">
        <w:fldChar w:fldCharType="separate"/>
      </w:r>
      <w:r w:rsidR="00A456ED" w:rsidRPr="00D85E09">
        <w:t xml:space="preserve">Table </w:t>
      </w:r>
      <w:r w:rsidR="00A456ED">
        <w:rPr>
          <w:noProof/>
        </w:rPr>
        <w:t>37</w:t>
      </w:r>
      <w:r w:rsidRPr="00D85E09">
        <w:fldChar w:fldCharType="end"/>
      </w:r>
      <w:r w:rsidRPr="00D85E09">
        <w:t>).</w:t>
      </w:r>
    </w:p>
    <w:p w14:paraId="14C6E529" w14:textId="77777777" w:rsidR="00315893" w:rsidRPr="00D85E09" w:rsidRDefault="00315893" w:rsidP="0043316B">
      <w:pPr>
        <w:widowControl w:val="0"/>
        <w:rPr>
          <w:rFonts w:eastAsia="OTNEJMScalaSansLF"/>
          <w:lang w:eastAsia="en-AU"/>
        </w:rPr>
      </w:pPr>
    </w:p>
    <w:p w14:paraId="2D52057A" w14:textId="32453A49" w:rsidR="00315893" w:rsidRPr="00D85E09" w:rsidRDefault="00315893" w:rsidP="0043316B">
      <w:pPr>
        <w:pStyle w:val="Caption"/>
        <w:keepNext w:val="0"/>
        <w:widowControl w:val="0"/>
        <w:rPr>
          <w:lang w:val="en-AU"/>
        </w:rPr>
      </w:pPr>
      <w:bookmarkStart w:id="317" w:name="_Ref450050891"/>
      <w:bookmarkStart w:id="318" w:name="_Toc45306537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37</w:t>
      </w:r>
      <w:r w:rsidRPr="00D85E09">
        <w:rPr>
          <w:lang w:val="en-AU"/>
        </w:rPr>
        <w:fldChar w:fldCharType="end"/>
      </w:r>
      <w:bookmarkEnd w:id="317"/>
      <w:r w:rsidRPr="00D85E09">
        <w:rPr>
          <w:lang w:val="en-AU"/>
        </w:rPr>
        <w:tab/>
        <w:t>Proprotion of sbjects achieveing reperfusion</w:t>
      </w:r>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941"/>
        <w:gridCol w:w="1941"/>
        <w:gridCol w:w="2654"/>
        <w:gridCol w:w="1279"/>
      </w:tblGrid>
      <w:tr w:rsidR="00315893" w:rsidRPr="00D85E09" w14:paraId="516CC757" w14:textId="77777777" w:rsidTr="008C7DB5">
        <w:trPr>
          <w:trHeight w:val="669"/>
        </w:trPr>
        <w:tc>
          <w:tcPr>
            <w:tcW w:w="660" w:type="pct"/>
            <w:shd w:val="clear" w:color="auto" w:fill="auto"/>
            <w:hideMark/>
          </w:tcPr>
          <w:p w14:paraId="3EA8D9E9"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lastRenderedPageBreak/>
              <w:t>Trial ID</w:t>
            </w:r>
          </w:p>
          <w:p w14:paraId="6EBC8926"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 </w:t>
            </w:r>
          </w:p>
        </w:tc>
        <w:tc>
          <w:tcPr>
            <w:tcW w:w="1078" w:type="pct"/>
            <w:shd w:val="clear" w:color="auto" w:fill="auto"/>
            <w:noWrap/>
            <w:vAlign w:val="center"/>
          </w:tcPr>
          <w:p w14:paraId="51E657E9"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Treatment</w:t>
            </w:r>
          </w:p>
          <w:p w14:paraId="0CC76F12"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1078" w:type="pct"/>
            <w:shd w:val="clear" w:color="auto" w:fill="auto"/>
          </w:tcPr>
          <w:p w14:paraId="59FCCED1"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Control</w:t>
            </w:r>
          </w:p>
          <w:p w14:paraId="52971A7E"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sz w:val="20"/>
                <w:szCs w:val="20"/>
              </w:rPr>
              <w:t>n /N (%)</w:t>
            </w:r>
          </w:p>
        </w:tc>
        <w:tc>
          <w:tcPr>
            <w:tcW w:w="1474" w:type="pct"/>
            <w:shd w:val="clear" w:color="auto" w:fill="auto"/>
            <w:vAlign w:val="center"/>
          </w:tcPr>
          <w:p w14:paraId="09E02333"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Definition</w:t>
            </w:r>
          </w:p>
        </w:tc>
        <w:tc>
          <w:tcPr>
            <w:tcW w:w="710" w:type="pct"/>
            <w:shd w:val="clear" w:color="auto" w:fill="auto"/>
            <w:vAlign w:val="center"/>
          </w:tcPr>
          <w:p w14:paraId="76B323AE"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7F74AC13" w14:textId="77777777" w:rsidTr="00465778">
        <w:trPr>
          <w:trHeight w:val="20"/>
        </w:trPr>
        <w:tc>
          <w:tcPr>
            <w:tcW w:w="660" w:type="pct"/>
            <w:shd w:val="clear" w:color="auto" w:fill="auto"/>
          </w:tcPr>
          <w:p w14:paraId="55283BA2" w14:textId="77777777" w:rsidR="00315893" w:rsidRPr="00D85E09" w:rsidRDefault="00315893" w:rsidP="0043316B">
            <w:pPr>
              <w:pStyle w:val="TableArialNarrow10"/>
              <w:keepNext w:val="0"/>
              <w:keepLines w:val="0"/>
              <w:widowControl w:val="0"/>
              <w:spacing w:before="60" w:after="40"/>
            </w:pPr>
            <w:r w:rsidRPr="00D85E09">
              <w:t>EXTEND-IA</w:t>
            </w:r>
          </w:p>
        </w:tc>
        <w:tc>
          <w:tcPr>
            <w:tcW w:w="1078" w:type="pct"/>
            <w:shd w:val="clear" w:color="auto" w:fill="auto"/>
            <w:vAlign w:val="center"/>
          </w:tcPr>
          <w:p w14:paraId="03848654"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color w:val="000000"/>
                <w:sz w:val="20"/>
                <w:szCs w:val="20"/>
              </w:rPr>
              <w:t>88.6%</w:t>
            </w:r>
          </w:p>
        </w:tc>
        <w:tc>
          <w:tcPr>
            <w:tcW w:w="1078" w:type="pct"/>
            <w:vAlign w:val="center"/>
          </w:tcPr>
          <w:p w14:paraId="0E21FB24"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color w:val="000000"/>
                <w:sz w:val="20"/>
                <w:szCs w:val="20"/>
              </w:rPr>
              <w:t>34.3%</w:t>
            </w:r>
          </w:p>
        </w:tc>
        <w:tc>
          <w:tcPr>
            <w:tcW w:w="1474" w:type="pct"/>
            <w:vAlign w:val="center"/>
          </w:tcPr>
          <w:p w14:paraId="48AC5783"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Reperfusion of &gt;90% at 24 hr without SICH</w:t>
            </w:r>
          </w:p>
        </w:tc>
        <w:tc>
          <w:tcPr>
            <w:tcW w:w="710" w:type="pct"/>
            <w:vAlign w:val="center"/>
          </w:tcPr>
          <w:p w14:paraId="16A628B7"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 xml:space="preserve">Campbell 2015, Table 3 </w:t>
            </w:r>
          </w:p>
        </w:tc>
      </w:tr>
      <w:tr w:rsidR="00315893" w:rsidRPr="00D85E09" w14:paraId="5D0D9F09" w14:textId="77777777" w:rsidTr="00465778">
        <w:trPr>
          <w:trHeight w:val="20"/>
        </w:trPr>
        <w:tc>
          <w:tcPr>
            <w:tcW w:w="660" w:type="pct"/>
            <w:shd w:val="clear" w:color="auto" w:fill="auto"/>
          </w:tcPr>
          <w:p w14:paraId="39FA4C90" w14:textId="77777777" w:rsidR="00315893" w:rsidRPr="00D85E09" w:rsidRDefault="00315893" w:rsidP="0043316B">
            <w:pPr>
              <w:pStyle w:val="TableArialNarrow10"/>
              <w:keepNext w:val="0"/>
              <w:keepLines w:val="0"/>
              <w:widowControl w:val="0"/>
              <w:spacing w:before="60" w:after="40"/>
            </w:pPr>
            <w:r w:rsidRPr="00D85E09">
              <w:t>SWIFT PRIME</w:t>
            </w:r>
          </w:p>
        </w:tc>
        <w:tc>
          <w:tcPr>
            <w:tcW w:w="1078" w:type="pct"/>
            <w:shd w:val="clear" w:color="auto" w:fill="auto"/>
            <w:vAlign w:val="center"/>
          </w:tcPr>
          <w:p w14:paraId="52580D4C"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color w:val="000000"/>
                <w:sz w:val="20"/>
                <w:szCs w:val="20"/>
              </w:rPr>
              <w:t>88.0%</w:t>
            </w:r>
          </w:p>
        </w:tc>
        <w:tc>
          <w:tcPr>
            <w:tcW w:w="1078" w:type="pct"/>
            <w:vAlign w:val="center"/>
          </w:tcPr>
          <w:p w14:paraId="17030669"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cs="Calibri"/>
                <w:color w:val="000000"/>
                <w:sz w:val="20"/>
                <w:szCs w:val="20"/>
              </w:rPr>
              <w:t>NA</w:t>
            </w:r>
          </w:p>
        </w:tc>
        <w:tc>
          <w:tcPr>
            <w:tcW w:w="1474" w:type="pct"/>
            <w:vAlign w:val="center"/>
          </w:tcPr>
          <w:p w14:paraId="6A19AFE7" w14:textId="77777777" w:rsidR="00315893" w:rsidRPr="00D85E09" w:rsidRDefault="00315893" w:rsidP="0043316B">
            <w:pPr>
              <w:widowControl w:val="0"/>
              <w:spacing w:before="60" w:after="40" w:line="240" w:lineRule="auto"/>
              <w:jc w:val="center"/>
              <w:rPr>
                <w:rFonts w:ascii="Arial Narrow" w:hAnsi="Arial Narrow"/>
                <w:sz w:val="20"/>
                <w:szCs w:val="20"/>
              </w:rPr>
            </w:pPr>
            <w:r w:rsidRPr="00D85E09">
              <w:rPr>
                <w:rFonts w:ascii="Arial Narrow" w:hAnsi="Arial Narrow"/>
                <w:sz w:val="20"/>
                <w:szCs w:val="20"/>
              </w:rPr>
              <w:t>Substantial reperfusion immediately after thrombectomy</w:t>
            </w:r>
          </w:p>
        </w:tc>
        <w:tc>
          <w:tcPr>
            <w:tcW w:w="710" w:type="pct"/>
            <w:vAlign w:val="center"/>
          </w:tcPr>
          <w:p w14:paraId="767E0EE0"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Saver 2015, Table 2</w:t>
            </w:r>
          </w:p>
        </w:tc>
      </w:tr>
      <w:tr w:rsidR="00315893" w:rsidRPr="00D85E09" w14:paraId="535D56FF" w14:textId="77777777" w:rsidTr="00465778">
        <w:trPr>
          <w:trHeight w:val="20"/>
        </w:trPr>
        <w:tc>
          <w:tcPr>
            <w:tcW w:w="660" w:type="pct"/>
            <w:shd w:val="clear" w:color="auto" w:fill="auto"/>
          </w:tcPr>
          <w:p w14:paraId="6E9AF941" w14:textId="77777777" w:rsidR="00315893" w:rsidRPr="00D85E09" w:rsidRDefault="00315893" w:rsidP="0043316B">
            <w:pPr>
              <w:pStyle w:val="TableArialNarrow10"/>
              <w:keepNext w:val="0"/>
              <w:keepLines w:val="0"/>
              <w:widowControl w:val="0"/>
              <w:spacing w:before="60" w:after="40"/>
            </w:pPr>
            <w:r w:rsidRPr="00D85E09">
              <w:t>SWIFT PRIME</w:t>
            </w:r>
          </w:p>
        </w:tc>
        <w:tc>
          <w:tcPr>
            <w:tcW w:w="1078" w:type="pct"/>
            <w:shd w:val="clear" w:color="auto" w:fill="auto"/>
            <w:vAlign w:val="center"/>
          </w:tcPr>
          <w:p w14:paraId="4A591C69"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s="Calibri"/>
                <w:color w:val="000000"/>
                <w:sz w:val="20"/>
                <w:szCs w:val="20"/>
              </w:rPr>
              <w:t>82.8%</w:t>
            </w:r>
          </w:p>
        </w:tc>
        <w:tc>
          <w:tcPr>
            <w:tcW w:w="1078" w:type="pct"/>
            <w:vAlign w:val="center"/>
          </w:tcPr>
          <w:p w14:paraId="57A3D444"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color w:val="000000"/>
                <w:sz w:val="20"/>
                <w:szCs w:val="20"/>
              </w:rPr>
              <w:t>40.4%</w:t>
            </w:r>
          </w:p>
        </w:tc>
        <w:tc>
          <w:tcPr>
            <w:tcW w:w="1474" w:type="pct"/>
            <w:vAlign w:val="center"/>
          </w:tcPr>
          <w:p w14:paraId="431312AA"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Successful reperfusion at 27 hr</w:t>
            </w:r>
            <w:r w:rsidRPr="00D85E09">
              <w:rPr>
                <w:rFonts w:ascii="Arial Narrow" w:hAnsi="Arial Narrow" w:cs="Calibri"/>
                <w:sz w:val="20"/>
                <w:szCs w:val="20"/>
                <w:vertAlign w:val="superscript"/>
              </w:rPr>
              <w:t>b</w:t>
            </w:r>
          </w:p>
        </w:tc>
        <w:tc>
          <w:tcPr>
            <w:tcW w:w="710" w:type="pct"/>
            <w:vAlign w:val="center"/>
          </w:tcPr>
          <w:p w14:paraId="4DBFD50E" w14:textId="77777777" w:rsidR="00315893" w:rsidRPr="00D85E09" w:rsidRDefault="00315893" w:rsidP="0043316B">
            <w:pPr>
              <w:widowControl w:val="0"/>
              <w:spacing w:before="60" w:after="40" w:line="240" w:lineRule="auto"/>
              <w:jc w:val="center"/>
              <w:rPr>
                <w:rFonts w:ascii="Arial Narrow" w:hAnsi="Arial Narrow"/>
                <w:color w:val="000000"/>
                <w:sz w:val="20"/>
                <w:szCs w:val="20"/>
              </w:rPr>
            </w:pPr>
            <w:r w:rsidRPr="00D85E09">
              <w:rPr>
                <w:rFonts w:ascii="Arial Narrow" w:hAnsi="Arial Narrow"/>
                <w:color w:val="000000"/>
                <w:sz w:val="20"/>
                <w:szCs w:val="20"/>
              </w:rPr>
              <w:t>Saver 2015, Table 2</w:t>
            </w:r>
          </w:p>
        </w:tc>
      </w:tr>
    </w:tbl>
    <w:p w14:paraId="3EDF5778" w14:textId="77777777" w:rsidR="00315893" w:rsidRPr="00D85E09" w:rsidRDefault="00315893" w:rsidP="0043316B">
      <w:pPr>
        <w:pStyle w:val="TableNotes1"/>
        <w:keepNext w:val="0"/>
        <w:keepLines w:val="0"/>
        <w:widowControl w:val="0"/>
        <w:numPr>
          <w:ilvl w:val="0"/>
          <w:numId w:val="52"/>
        </w:numPr>
      </w:pPr>
      <w:r w:rsidRPr="00D85E09">
        <w:t>Substantial reperfusion was defined as reperfusion of at least 50% and a modified TICI score of 2b (50 to 99% reperfusion) or 3 (complete reperfusion).</w:t>
      </w:r>
    </w:p>
    <w:p w14:paraId="192B607A" w14:textId="77777777" w:rsidR="00315893" w:rsidRPr="00D85E09" w:rsidRDefault="00315893" w:rsidP="0043316B">
      <w:pPr>
        <w:pStyle w:val="TableNotes1"/>
        <w:keepNext w:val="0"/>
        <w:keepLines w:val="0"/>
        <w:widowControl w:val="0"/>
        <w:numPr>
          <w:ilvl w:val="0"/>
          <w:numId w:val="52"/>
        </w:numPr>
      </w:pPr>
      <w:r w:rsidRPr="00D85E09">
        <w:t>Successful reperfusion was defined as reperfusion of at least 90%, as assessed with the use of perfusion CT or MRI. Data on successful reperfusion were not obtained for all the patients after the adoption of the protocol amendment making penumbral imaging optional.</w:t>
      </w:r>
    </w:p>
    <w:p w14:paraId="3020DF8B" w14:textId="77777777" w:rsidR="00315893" w:rsidRPr="00D85E09" w:rsidRDefault="00315893" w:rsidP="0043316B">
      <w:pPr>
        <w:pStyle w:val="Heading5"/>
        <w:widowControl w:val="0"/>
        <w:rPr>
          <w:lang w:val="en-AU"/>
        </w:rPr>
      </w:pPr>
      <w:r w:rsidRPr="00D85E09">
        <w:rPr>
          <w:lang w:val="en-AU"/>
        </w:rPr>
        <w:t>EQ-5D</w:t>
      </w:r>
    </w:p>
    <w:p w14:paraId="782CAC50" w14:textId="7C269777" w:rsidR="00315893" w:rsidRPr="00D85E09" w:rsidRDefault="00315893" w:rsidP="0043316B">
      <w:pPr>
        <w:widowControl w:val="0"/>
      </w:pPr>
      <w:r w:rsidRPr="00D85E09">
        <w:t>The EQ-5D at 90 days ranged between 0.65 and 0.69 for intervention treatment arm and 0.32 to 0.66 for the control arm. The EQ-5D VAS score was higher for intervention treatment compared to control (80 vs. 60) (</w:t>
      </w:r>
      <w:r w:rsidRPr="00D85E09">
        <w:fldChar w:fldCharType="begin"/>
      </w:r>
      <w:r w:rsidRPr="00D85E09">
        <w:instrText xml:space="preserve"> REF _Ref450052099 \h </w:instrText>
      </w:r>
      <w:r w:rsidRPr="00D85E09">
        <w:fldChar w:fldCharType="separate"/>
      </w:r>
      <w:r w:rsidR="00A456ED" w:rsidRPr="00D85E09">
        <w:t xml:space="preserve">Table </w:t>
      </w:r>
      <w:r w:rsidR="00A456ED">
        <w:rPr>
          <w:noProof/>
        </w:rPr>
        <w:t>38</w:t>
      </w:r>
      <w:r w:rsidRPr="00D85E09">
        <w:fldChar w:fldCharType="end"/>
      </w:r>
      <w:r w:rsidRPr="00D85E09">
        <w:t>).</w:t>
      </w:r>
    </w:p>
    <w:p w14:paraId="64DB6A94" w14:textId="3B0CDF1C" w:rsidR="00315893" w:rsidRPr="00D85E09" w:rsidRDefault="00315893" w:rsidP="0043316B">
      <w:pPr>
        <w:pStyle w:val="Caption"/>
        <w:keepNext w:val="0"/>
        <w:widowControl w:val="0"/>
        <w:rPr>
          <w:lang w:val="en-AU"/>
        </w:rPr>
      </w:pPr>
      <w:bookmarkStart w:id="319" w:name="_Ref450052099"/>
      <w:bookmarkStart w:id="320" w:name="_Toc45306537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38</w:t>
      </w:r>
      <w:r w:rsidRPr="00D85E09">
        <w:rPr>
          <w:lang w:val="en-AU"/>
        </w:rPr>
        <w:fldChar w:fldCharType="end"/>
      </w:r>
      <w:bookmarkEnd w:id="319"/>
      <w:r w:rsidRPr="00D85E09">
        <w:rPr>
          <w:lang w:val="en-AU"/>
        </w:rPr>
        <w:tab/>
        <w:t>ED-5D scores at 90 days</w:t>
      </w:r>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8. ED-5D scores at 90 days"/>
      </w:tblPr>
      <w:tblGrid>
        <w:gridCol w:w="1800"/>
        <w:gridCol w:w="1801"/>
        <w:gridCol w:w="1801"/>
        <w:gridCol w:w="2219"/>
        <w:gridCol w:w="1383"/>
      </w:tblGrid>
      <w:tr w:rsidR="00315893" w:rsidRPr="00D85E09" w14:paraId="76AF9D67" w14:textId="77777777" w:rsidTr="008C7DB5">
        <w:trPr>
          <w:trHeight w:val="669"/>
        </w:trPr>
        <w:tc>
          <w:tcPr>
            <w:tcW w:w="1000" w:type="pct"/>
            <w:shd w:val="clear" w:color="auto" w:fill="auto"/>
            <w:hideMark/>
          </w:tcPr>
          <w:p w14:paraId="509490CC"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Trial ID</w:t>
            </w:r>
          </w:p>
          <w:p w14:paraId="6E83C490" w14:textId="77777777" w:rsidR="00315893" w:rsidRPr="00D85E09" w:rsidRDefault="00315893" w:rsidP="0043316B">
            <w:pPr>
              <w:widowControl w:val="0"/>
              <w:spacing w:before="60" w:after="40" w:line="240" w:lineRule="auto"/>
              <w:rPr>
                <w:rFonts w:ascii="Arial Narrow" w:hAnsi="Arial Narrow"/>
                <w:b/>
                <w:bCs/>
                <w:color w:val="000000"/>
                <w:sz w:val="20"/>
                <w:szCs w:val="20"/>
              </w:rPr>
            </w:pPr>
            <w:r w:rsidRPr="00D85E09">
              <w:rPr>
                <w:rFonts w:ascii="Arial Narrow" w:hAnsi="Arial Narrow"/>
                <w:b/>
                <w:bCs/>
                <w:color w:val="000000"/>
                <w:sz w:val="20"/>
                <w:szCs w:val="20"/>
              </w:rPr>
              <w:t> </w:t>
            </w:r>
          </w:p>
        </w:tc>
        <w:tc>
          <w:tcPr>
            <w:tcW w:w="1000" w:type="pct"/>
            <w:shd w:val="clear" w:color="auto" w:fill="auto"/>
            <w:noWrap/>
            <w:vAlign w:val="center"/>
            <w:hideMark/>
          </w:tcPr>
          <w:p w14:paraId="5018BC13"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Intervention</w:t>
            </w:r>
          </w:p>
          <w:p w14:paraId="5FF4172B"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Median score [IQR]</w:t>
            </w:r>
          </w:p>
        </w:tc>
        <w:tc>
          <w:tcPr>
            <w:tcW w:w="1000" w:type="pct"/>
            <w:shd w:val="clear" w:color="auto" w:fill="auto"/>
            <w:noWrap/>
            <w:vAlign w:val="center"/>
            <w:hideMark/>
          </w:tcPr>
          <w:p w14:paraId="3229A689"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Control</w:t>
            </w:r>
          </w:p>
          <w:p w14:paraId="02E6AE6A"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Median score [IQR]</w:t>
            </w:r>
          </w:p>
        </w:tc>
        <w:tc>
          <w:tcPr>
            <w:tcW w:w="1232" w:type="pct"/>
            <w:shd w:val="clear" w:color="auto" w:fill="auto"/>
            <w:vAlign w:val="center"/>
          </w:tcPr>
          <w:p w14:paraId="66BDC769"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Definition</w:t>
            </w:r>
          </w:p>
        </w:tc>
        <w:tc>
          <w:tcPr>
            <w:tcW w:w="768" w:type="pct"/>
            <w:shd w:val="clear" w:color="auto" w:fill="auto"/>
            <w:vAlign w:val="center"/>
          </w:tcPr>
          <w:p w14:paraId="1997FC1D" w14:textId="77777777" w:rsidR="00315893" w:rsidRPr="00D85E09" w:rsidRDefault="00315893" w:rsidP="0043316B">
            <w:pPr>
              <w:widowControl w:val="0"/>
              <w:spacing w:before="60" w:after="40" w:line="240" w:lineRule="auto"/>
              <w:jc w:val="center"/>
              <w:rPr>
                <w:rFonts w:ascii="Arial Narrow" w:hAnsi="Arial Narrow"/>
                <w:b/>
                <w:bCs/>
                <w:color w:val="000000"/>
                <w:sz w:val="20"/>
                <w:szCs w:val="20"/>
              </w:rPr>
            </w:pPr>
            <w:r w:rsidRPr="00D85E09">
              <w:rPr>
                <w:rFonts w:ascii="Arial Narrow" w:hAnsi="Arial Narrow"/>
                <w:b/>
                <w:bCs/>
                <w:color w:val="000000"/>
                <w:sz w:val="20"/>
                <w:szCs w:val="20"/>
              </w:rPr>
              <w:t>Source</w:t>
            </w:r>
          </w:p>
        </w:tc>
      </w:tr>
      <w:tr w:rsidR="00315893" w:rsidRPr="00D85E09" w14:paraId="77220A65" w14:textId="77777777" w:rsidTr="00465778">
        <w:trPr>
          <w:trHeight w:val="20"/>
        </w:trPr>
        <w:tc>
          <w:tcPr>
            <w:tcW w:w="1000" w:type="pct"/>
            <w:shd w:val="clear" w:color="auto" w:fill="auto"/>
            <w:vAlign w:val="center"/>
          </w:tcPr>
          <w:p w14:paraId="4A367373" w14:textId="77777777" w:rsidR="00315893" w:rsidRPr="00D85E09" w:rsidRDefault="00315893" w:rsidP="0043316B">
            <w:pPr>
              <w:widowControl w:val="0"/>
              <w:spacing w:before="60" w:after="40" w:line="240" w:lineRule="auto"/>
              <w:rPr>
                <w:rFonts w:ascii="Arial Narrow" w:hAnsi="Arial Narrow"/>
                <w:bCs/>
                <w:color w:val="000000"/>
                <w:sz w:val="20"/>
                <w:szCs w:val="20"/>
              </w:rPr>
            </w:pPr>
            <w:r w:rsidRPr="00D85E09">
              <w:rPr>
                <w:rFonts w:ascii="Arial Narrow" w:hAnsi="Arial Narrow"/>
                <w:sz w:val="20"/>
                <w:szCs w:val="20"/>
              </w:rPr>
              <w:t>ESCAPE</w:t>
            </w:r>
          </w:p>
        </w:tc>
        <w:tc>
          <w:tcPr>
            <w:tcW w:w="1000" w:type="pct"/>
            <w:shd w:val="clear" w:color="auto" w:fill="auto"/>
            <w:vAlign w:val="center"/>
          </w:tcPr>
          <w:p w14:paraId="25F7E682" w14:textId="77777777" w:rsidR="00315893" w:rsidRPr="00D85E09" w:rsidRDefault="00315893" w:rsidP="0043316B">
            <w:pPr>
              <w:widowControl w:val="0"/>
              <w:spacing w:before="60" w:after="40" w:line="240" w:lineRule="auto"/>
              <w:jc w:val="center"/>
              <w:rPr>
                <w:rFonts w:ascii="Arial Narrow" w:hAnsi="Arial Narrow"/>
                <w:bCs/>
                <w:color w:val="000000"/>
                <w:sz w:val="20"/>
                <w:szCs w:val="20"/>
              </w:rPr>
            </w:pPr>
            <w:r w:rsidRPr="00D85E09">
              <w:rPr>
                <w:rFonts w:ascii="Arial Narrow" w:eastAsia="OTNEJMScalaSansLF" w:hAnsi="Arial Narrow" w:cs="OTNEJMScalaSansLF"/>
                <w:sz w:val="20"/>
                <w:szCs w:val="20"/>
                <w:lang w:eastAsia="en-AU"/>
              </w:rPr>
              <w:t>80 (60–90)</w:t>
            </w:r>
          </w:p>
        </w:tc>
        <w:tc>
          <w:tcPr>
            <w:tcW w:w="1000" w:type="pct"/>
            <w:shd w:val="clear" w:color="auto" w:fill="auto"/>
            <w:vAlign w:val="center"/>
          </w:tcPr>
          <w:p w14:paraId="3252DA00" w14:textId="77777777" w:rsidR="00315893" w:rsidRPr="00D85E09" w:rsidRDefault="00315893" w:rsidP="0043316B">
            <w:pPr>
              <w:widowControl w:val="0"/>
              <w:spacing w:before="60" w:after="40" w:line="240" w:lineRule="auto"/>
              <w:jc w:val="center"/>
              <w:rPr>
                <w:rFonts w:ascii="Arial Narrow" w:hAnsi="Arial Narrow"/>
                <w:bCs/>
                <w:color w:val="000000"/>
                <w:sz w:val="20"/>
                <w:szCs w:val="20"/>
              </w:rPr>
            </w:pPr>
            <w:r w:rsidRPr="00D85E09">
              <w:rPr>
                <w:rFonts w:ascii="Arial Narrow" w:eastAsia="OTNEJMScalaSansLF" w:hAnsi="Arial Narrow" w:cs="OTNEJMScalaSansLF"/>
                <w:sz w:val="20"/>
                <w:szCs w:val="20"/>
                <w:lang w:eastAsia="en-AU"/>
              </w:rPr>
              <w:t>65 (50-80)</w:t>
            </w:r>
          </w:p>
        </w:tc>
        <w:tc>
          <w:tcPr>
            <w:tcW w:w="1232" w:type="pct"/>
            <w:vAlign w:val="center"/>
          </w:tcPr>
          <w:p w14:paraId="2F82047F" w14:textId="77777777" w:rsidR="00315893" w:rsidRPr="00D85E09" w:rsidRDefault="00315893" w:rsidP="0043316B">
            <w:pPr>
              <w:widowControl w:val="0"/>
              <w:spacing w:before="60" w:after="40" w:line="240" w:lineRule="auto"/>
              <w:jc w:val="center"/>
              <w:rPr>
                <w:rFonts w:ascii="Arial Narrow" w:hAnsi="Arial Narrow"/>
                <w:bCs/>
                <w:color w:val="000000"/>
                <w:sz w:val="20"/>
                <w:szCs w:val="20"/>
              </w:rPr>
            </w:pPr>
            <w:r w:rsidRPr="00D85E09">
              <w:rPr>
                <w:rFonts w:ascii="Arial Narrow" w:hAnsi="Arial Narrow"/>
                <w:bCs/>
                <w:color w:val="000000"/>
                <w:sz w:val="20"/>
                <w:szCs w:val="20"/>
              </w:rPr>
              <w:t>EQ-5D VAS score at 90 days</w:t>
            </w:r>
          </w:p>
        </w:tc>
        <w:tc>
          <w:tcPr>
            <w:tcW w:w="768" w:type="pct"/>
            <w:vAlign w:val="center"/>
          </w:tcPr>
          <w:p w14:paraId="29F35574" w14:textId="77777777" w:rsidR="00315893" w:rsidRPr="00D85E09" w:rsidRDefault="00315893" w:rsidP="0043316B">
            <w:pPr>
              <w:widowControl w:val="0"/>
              <w:spacing w:before="60" w:after="40" w:line="240" w:lineRule="auto"/>
              <w:jc w:val="center"/>
              <w:rPr>
                <w:rFonts w:ascii="Arial Narrow" w:hAnsi="Arial Narrow"/>
                <w:bCs/>
                <w:color w:val="000000"/>
                <w:sz w:val="20"/>
                <w:szCs w:val="20"/>
              </w:rPr>
            </w:pPr>
            <w:r w:rsidRPr="00D85E09">
              <w:rPr>
                <w:rFonts w:ascii="Arial Narrow" w:hAnsi="Arial Narrow" w:cs="Calibri"/>
                <w:sz w:val="20"/>
                <w:szCs w:val="20"/>
              </w:rPr>
              <w:t>Goyal 2015, Table 2</w:t>
            </w:r>
          </w:p>
        </w:tc>
      </w:tr>
      <w:tr w:rsidR="00315893" w:rsidRPr="00D85E09" w14:paraId="6C8EA564" w14:textId="77777777" w:rsidTr="00465778">
        <w:trPr>
          <w:trHeight w:val="20"/>
        </w:trPr>
        <w:tc>
          <w:tcPr>
            <w:tcW w:w="1000" w:type="pct"/>
            <w:shd w:val="clear" w:color="auto" w:fill="auto"/>
            <w:vAlign w:val="center"/>
          </w:tcPr>
          <w:p w14:paraId="6FF5BAED"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MR CLEAN</w:t>
            </w:r>
          </w:p>
        </w:tc>
        <w:tc>
          <w:tcPr>
            <w:tcW w:w="1000" w:type="pct"/>
            <w:shd w:val="clear" w:color="auto" w:fill="auto"/>
            <w:vAlign w:val="center"/>
          </w:tcPr>
          <w:p w14:paraId="41110837" w14:textId="77777777" w:rsidR="00315893" w:rsidRPr="00D85E09" w:rsidRDefault="00315893" w:rsidP="0043316B">
            <w:pPr>
              <w:widowControl w:val="0"/>
              <w:spacing w:before="60" w:after="40" w:line="240" w:lineRule="auto"/>
              <w:jc w:val="center"/>
              <w:rPr>
                <w:rFonts w:ascii="Arial Narrow" w:eastAsia="OTNEJMScalaSansLF" w:hAnsi="Arial Narrow" w:cs="OTNEJMScalaSansLF"/>
                <w:sz w:val="20"/>
                <w:szCs w:val="20"/>
                <w:lang w:eastAsia="en-AU"/>
              </w:rPr>
            </w:pPr>
            <w:r w:rsidRPr="00D85E09">
              <w:rPr>
                <w:rFonts w:ascii="Arial Narrow" w:eastAsia="OTNEJMScalaSansLF" w:hAnsi="Arial Narrow"/>
                <w:color w:val="231F20"/>
                <w:sz w:val="20"/>
                <w:szCs w:val="20"/>
              </w:rPr>
              <w:t>0.69 (0.33 to 0.85)</w:t>
            </w:r>
          </w:p>
        </w:tc>
        <w:tc>
          <w:tcPr>
            <w:tcW w:w="1000" w:type="pct"/>
            <w:shd w:val="clear" w:color="auto" w:fill="auto"/>
            <w:vAlign w:val="center"/>
          </w:tcPr>
          <w:p w14:paraId="4574F208" w14:textId="77777777" w:rsidR="00315893" w:rsidRPr="00D85E09" w:rsidRDefault="00315893" w:rsidP="0043316B">
            <w:pPr>
              <w:widowControl w:val="0"/>
              <w:spacing w:before="60" w:after="40" w:line="240" w:lineRule="auto"/>
              <w:jc w:val="center"/>
              <w:rPr>
                <w:rFonts w:ascii="Arial Narrow" w:eastAsia="OTNEJMScalaSansLF" w:hAnsi="Arial Narrow" w:cs="OTNEJMScalaSansLF"/>
                <w:sz w:val="20"/>
                <w:szCs w:val="20"/>
                <w:lang w:eastAsia="en-AU"/>
              </w:rPr>
            </w:pPr>
            <w:r w:rsidRPr="00D85E09">
              <w:rPr>
                <w:rFonts w:ascii="Arial Narrow" w:eastAsia="OTNEJMScalaSansLF" w:hAnsi="Arial Narrow"/>
                <w:color w:val="231F20"/>
                <w:sz w:val="20"/>
                <w:szCs w:val="20"/>
              </w:rPr>
              <w:t>0.66 (0.30 to 0.81)</w:t>
            </w:r>
          </w:p>
        </w:tc>
        <w:tc>
          <w:tcPr>
            <w:tcW w:w="1232" w:type="pct"/>
            <w:vAlign w:val="center"/>
          </w:tcPr>
          <w:p w14:paraId="327604C2" w14:textId="77777777" w:rsidR="00315893" w:rsidRPr="00D85E09" w:rsidRDefault="00315893" w:rsidP="0043316B">
            <w:pPr>
              <w:widowControl w:val="0"/>
              <w:spacing w:before="60" w:after="40" w:line="240" w:lineRule="auto"/>
              <w:jc w:val="center"/>
              <w:rPr>
                <w:rFonts w:ascii="Arial Narrow" w:hAnsi="Arial Narrow"/>
                <w:bCs/>
                <w:color w:val="000000"/>
                <w:sz w:val="20"/>
                <w:szCs w:val="20"/>
              </w:rPr>
            </w:pPr>
            <w:r w:rsidRPr="00D85E09">
              <w:rPr>
                <w:rFonts w:ascii="Arial Narrow" w:hAnsi="Arial Narrow"/>
                <w:bCs/>
                <w:color w:val="000000"/>
                <w:sz w:val="20"/>
                <w:szCs w:val="20"/>
              </w:rPr>
              <w:t>EQ-5D score at 90 days</w:t>
            </w:r>
          </w:p>
        </w:tc>
        <w:tc>
          <w:tcPr>
            <w:tcW w:w="768" w:type="pct"/>
            <w:vAlign w:val="center"/>
          </w:tcPr>
          <w:p w14:paraId="74A156DF"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Berkhemer 2015, Table 2</w:t>
            </w:r>
          </w:p>
        </w:tc>
      </w:tr>
      <w:tr w:rsidR="00315893" w:rsidRPr="00D85E09" w14:paraId="6E4FCE1B" w14:textId="77777777" w:rsidTr="00465778">
        <w:trPr>
          <w:trHeight w:val="20"/>
        </w:trPr>
        <w:tc>
          <w:tcPr>
            <w:tcW w:w="1000" w:type="pct"/>
            <w:shd w:val="clear" w:color="auto" w:fill="auto"/>
            <w:vAlign w:val="center"/>
          </w:tcPr>
          <w:p w14:paraId="376BDB40" w14:textId="77777777" w:rsidR="00315893" w:rsidRPr="00D85E09" w:rsidRDefault="00315893" w:rsidP="0043316B">
            <w:pPr>
              <w:widowControl w:val="0"/>
              <w:spacing w:before="60" w:after="40" w:line="240" w:lineRule="auto"/>
              <w:rPr>
                <w:rFonts w:ascii="Arial Narrow" w:hAnsi="Arial Narrow"/>
                <w:sz w:val="20"/>
                <w:szCs w:val="20"/>
              </w:rPr>
            </w:pPr>
            <w:r w:rsidRPr="00D85E09">
              <w:rPr>
                <w:rFonts w:ascii="Arial Narrow" w:hAnsi="Arial Narrow"/>
                <w:sz w:val="20"/>
                <w:szCs w:val="20"/>
              </w:rPr>
              <w:t>REVASCAT</w:t>
            </w:r>
          </w:p>
        </w:tc>
        <w:tc>
          <w:tcPr>
            <w:tcW w:w="1000" w:type="pct"/>
            <w:shd w:val="clear" w:color="auto" w:fill="auto"/>
            <w:vAlign w:val="center"/>
          </w:tcPr>
          <w:p w14:paraId="3FC6EBB5" w14:textId="77777777" w:rsidR="00315893" w:rsidRPr="00D85E09" w:rsidRDefault="00315893" w:rsidP="0043316B">
            <w:pPr>
              <w:widowControl w:val="0"/>
              <w:spacing w:before="60" w:after="40" w:line="240" w:lineRule="auto"/>
              <w:jc w:val="center"/>
              <w:rPr>
                <w:rFonts w:ascii="Arial Narrow" w:eastAsia="OTNEJMScalaSansLF" w:hAnsi="Arial Narrow"/>
                <w:color w:val="231F20"/>
                <w:sz w:val="20"/>
                <w:szCs w:val="20"/>
              </w:rPr>
            </w:pPr>
            <w:r w:rsidRPr="00D85E09">
              <w:rPr>
                <w:rFonts w:ascii="Arial Narrow" w:eastAsia="OTNEJMScalaSansLF" w:hAnsi="Arial Narrow"/>
                <w:color w:val="231F20"/>
                <w:sz w:val="20"/>
                <w:szCs w:val="20"/>
              </w:rPr>
              <w:t>0.65 (0.21 to 0.79)</w:t>
            </w:r>
          </w:p>
        </w:tc>
        <w:tc>
          <w:tcPr>
            <w:tcW w:w="1000" w:type="pct"/>
            <w:shd w:val="clear" w:color="auto" w:fill="auto"/>
            <w:vAlign w:val="center"/>
          </w:tcPr>
          <w:p w14:paraId="4D4D6734" w14:textId="77777777" w:rsidR="00315893" w:rsidRPr="00D85E09" w:rsidRDefault="00315893" w:rsidP="0043316B">
            <w:pPr>
              <w:widowControl w:val="0"/>
              <w:spacing w:before="60" w:after="40" w:line="240" w:lineRule="auto"/>
              <w:jc w:val="center"/>
              <w:rPr>
                <w:rFonts w:ascii="Arial Narrow" w:eastAsia="OTNEJMScalaSansLF" w:hAnsi="Arial Narrow"/>
                <w:color w:val="231F20"/>
                <w:sz w:val="20"/>
                <w:szCs w:val="20"/>
              </w:rPr>
            </w:pPr>
            <w:r w:rsidRPr="00D85E09">
              <w:rPr>
                <w:rFonts w:ascii="Arial Narrow" w:eastAsia="OTNEJMScalaSansLF" w:hAnsi="Arial Narrow"/>
                <w:color w:val="231F20"/>
                <w:sz w:val="20"/>
                <w:szCs w:val="20"/>
              </w:rPr>
              <w:t>0.32 (0.13 to 0.70)</w:t>
            </w:r>
          </w:p>
        </w:tc>
        <w:tc>
          <w:tcPr>
            <w:tcW w:w="1232" w:type="pct"/>
            <w:vAlign w:val="center"/>
          </w:tcPr>
          <w:p w14:paraId="2D7D17AC" w14:textId="77777777" w:rsidR="00315893" w:rsidRPr="00D85E09" w:rsidRDefault="00315893" w:rsidP="0043316B">
            <w:pPr>
              <w:widowControl w:val="0"/>
              <w:spacing w:before="60" w:after="40" w:line="240" w:lineRule="auto"/>
              <w:jc w:val="center"/>
              <w:rPr>
                <w:rFonts w:ascii="Arial Narrow" w:hAnsi="Arial Narrow"/>
                <w:bCs/>
                <w:color w:val="000000"/>
                <w:sz w:val="20"/>
                <w:szCs w:val="20"/>
              </w:rPr>
            </w:pPr>
            <w:r w:rsidRPr="00D85E09">
              <w:rPr>
                <w:rFonts w:ascii="Arial Narrow" w:hAnsi="Arial Narrow"/>
                <w:bCs/>
                <w:color w:val="000000"/>
                <w:sz w:val="20"/>
                <w:szCs w:val="20"/>
              </w:rPr>
              <w:t>EQ-5D score at 90 days</w:t>
            </w:r>
          </w:p>
        </w:tc>
        <w:tc>
          <w:tcPr>
            <w:tcW w:w="768" w:type="pct"/>
            <w:vAlign w:val="center"/>
          </w:tcPr>
          <w:p w14:paraId="3301FCE6" w14:textId="77777777" w:rsidR="00315893" w:rsidRPr="00D85E09" w:rsidRDefault="00315893" w:rsidP="0043316B">
            <w:pPr>
              <w:widowControl w:val="0"/>
              <w:spacing w:before="60" w:after="40" w:line="240" w:lineRule="auto"/>
              <w:jc w:val="center"/>
              <w:rPr>
                <w:rFonts w:ascii="Arial Narrow" w:hAnsi="Arial Narrow" w:cs="Calibri"/>
                <w:sz w:val="20"/>
                <w:szCs w:val="20"/>
              </w:rPr>
            </w:pPr>
            <w:r w:rsidRPr="00D85E09">
              <w:rPr>
                <w:rFonts w:ascii="Arial Narrow" w:hAnsi="Arial Narrow" w:cs="Calibri"/>
                <w:sz w:val="20"/>
                <w:szCs w:val="20"/>
              </w:rPr>
              <w:t>Jovin 2015, Table 2</w:t>
            </w:r>
          </w:p>
        </w:tc>
      </w:tr>
    </w:tbl>
    <w:p w14:paraId="06A2D7C0" w14:textId="77777777" w:rsidR="00315893" w:rsidRPr="00D85E09" w:rsidRDefault="00315893" w:rsidP="0043316B">
      <w:pPr>
        <w:widowControl w:val="0"/>
      </w:pPr>
    </w:p>
    <w:p w14:paraId="303B90A1" w14:textId="77777777" w:rsidR="00315893" w:rsidRPr="00D85E09" w:rsidRDefault="00315893" w:rsidP="0043316B">
      <w:pPr>
        <w:widowControl w:val="0"/>
      </w:pPr>
    </w:p>
    <w:p w14:paraId="78284CF2" w14:textId="77777777" w:rsidR="00315893" w:rsidRPr="00D85E09" w:rsidRDefault="00315893" w:rsidP="0043316B">
      <w:pPr>
        <w:pStyle w:val="Heading5"/>
        <w:widowControl w:val="0"/>
        <w:rPr>
          <w:lang w:val="en-AU"/>
        </w:rPr>
      </w:pPr>
      <w:r w:rsidRPr="00D85E09">
        <w:rPr>
          <w:lang w:val="en-AU"/>
        </w:rPr>
        <w:br w:type="page"/>
      </w:r>
    </w:p>
    <w:p w14:paraId="3D1CE5A9" w14:textId="77777777" w:rsidR="00315893" w:rsidRPr="00D85E09" w:rsidRDefault="00315893" w:rsidP="0043316B">
      <w:pPr>
        <w:pStyle w:val="Heading3"/>
        <w:keepNext w:val="0"/>
        <w:widowControl w:val="0"/>
        <w:spacing w:before="240"/>
        <w:ind w:left="851" w:hanging="851"/>
        <w:jc w:val="both"/>
        <w:rPr>
          <w:lang w:val="en-AU"/>
        </w:rPr>
      </w:pPr>
      <w:bookmarkStart w:id="321" w:name="_Ref191440477"/>
      <w:bookmarkStart w:id="322" w:name="_Toc191822170"/>
      <w:bookmarkStart w:id="323" w:name="_Toc191822220"/>
      <w:bookmarkStart w:id="324" w:name="_Toc191822270"/>
      <w:bookmarkStart w:id="325" w:name="_Toc258501788"/>
      <w:bookmarkStart w:id="326" w:name="_Toc273301470"/>
      <w:bookmarkStart w:id="327" w:name="_Ref362881294"/>
      <w:bookmarkStart w:id="328" w:name="_Ref365892090"/>
      <w:bookmarkStart w:id="329" w:name="_Toc367090359"/>
      <w:bookmarkStart w:id="330" w:name="_Toc453065274"/>
      <w:bookmarkEnd w:id="288"/>
      <w:bookmarkEnd w:id="289"/>
      <w:r w:rsidRPr="00D85E09">
        <w:rPr>
          <w:lang w:val="en-AU"/>
        </w:rPr>
        <w:lastRenderedPageBreak/>
        <w:t>Safety data</w:t>
      </w:r>
      <w:bookmarkEnd w:id="321"/>
      <w:bookmarkEnd w:id="322"/>
      <w:bookmarkEnd w:id="323"/>
      <w:bookmarkEnd w:id="324"/>
      <w:bookmarkEnd w:id="325"/>
      <w:bookmarkEnd w:id="326"/>
      <w:bookmarkEnd w:id="327"/>
      <w:bookmarkEnd w:id="328"/>
      <w:bookmarkEnd w:id="329"/>
      <w:bookmarkEnd w:id="330"/>
    </w:p>
    <w:p w14:paraId="3723EC97" w14:textId="5ACC071D" w:rsidR="00F17C74" w:rsidRPr="00D85E09" w:rsidRDefault="00315893" w:rsidP="0043316B">
      <w:pPr>
        <w:widowControl w:val="0"/>
      </w:pPr>
      <w:r w:rsidRPr="00D85E09">
        <w:fldChar w:fldCharType="begin"/>
      </w:r>
      <w:r w:rsidRPr="00D85E09">
        <w:instrText xml:space="preserve"> REF _Ref450058728 \h </w:instrText>
      </w:r>
      <w:r w:rsidRPr="00D85E09">
        <w:fldChar w:fldCharType="separate"/>
      </w:r>
      <w:r w:rsidR="00A456ED" w:rsidRPr="00D85E09">
        <w:t xml:space="preserve">Table </w:t>
      </w:r>
      <w:r w:rsidR="00A456ED">
        <w:rPr>
          <w:noProof/>
        </w:rPr>
        <w:t>55</w:t>
      </w:r>
      <w:r w:rsidRPr="00D85E09">
        <w:fldChar w:fldCharType="end"/>
      </w:r>
      <w:r w:rsidRPr="00D85E09">
        <w:t xml:space="preserve"> summarises the adverse events reported across the five included trials. SICH was reported to be between 3.6% and 7.7% of patient’s in the intervention arm compared to 2.7</w:t>
      </w:r>
      <w:r w:rsidR="00181E48" w:rsidRPr="00D85E09">
        <w:t>%</w:t>
      </w:r>
      <w:r w:rsidRPr="00D85E09">
        <w:t xml:space="preserve"> and 6.4</w:t>
      </w:r>
      <w:r w:rsidR="00181E48" w:rsidRPr="00D85E09">
        <w:t>%</w:t>
      </w:r>
      <w:r w:rsidRPr="00D85E09">
        <w:t xml:space="preserve"> in the control arm. Hematoma at access site occurred in the intervention arm 1.8-10.7%. Procedural complications were low (&lt;3%). Parenchymal hematoma was reported in between 5% and 11% of patients in the intervention arm compared to 5.8% and 9% in the control arm. Subarachnoid haemorrhage was reported in between 0.9% and 4.9% of patients in the intervention arm compared to 0% and 1.9% in the control arm.</w:t>
      </w:r>
      <w:r w:rsidR="00F17C74" w:rsidRPr="00D85E09">
        <w:t xml:space="preserve"> </w:t>
      </w:r>
      <w:r w:rsidR="00181E48" w:rsidRPr="00D85E09">
        <w:t>Two studies reported the incidence of new ischaemic stroke (MR CLEAN and REVASCAT). In MR CLEAN, patients treated with MT experienced a higher rate of recurrent stroke compared with usual care (5.6% vs 0.4%); however in REVASCAT the rates of recurrent stroke were similar in both study arms (3.9% vs 2.9%). It should be noted that since this outcome was measured within the 90-day duration of the study, any adverse effects on functional outcomes are also captured in the primary outcome (90-day mRS).</w:t>
      </w:r>
    </w:p>
    <w:p w14:paraId="18A36714" w14:textId="643E856E" w:rsidR="00315893" w:rsidRPr="00D85E09" w:rsidRDefault="00F17C74" w:rsidP="0043316B">
      <w:pPr>
        <w:widowControl w:val="0"/>
      </w:pPr>
      <w:r w:rsidRPr="00D85E09">
        <w:t xml:space="preserve">Overall, </w:t>
      </w:r>
      <w:r w:rsidR="00181E48" w:rsidRPr="00D85E09">
        <w:t xml:space="preserve">the safety data suggest that </w:t>
      </w:r>
      <w:r w:rsidRPr="00D85E09">
        <w:t>MT is associated with an increased risk of certain complications</w:t>
      </w:r>
      <w:r w:rsidR="00660BD5" w:rsidRPr="00D85E09">
        <w:t>;</w:t>
      </w:r>
      <w:r w:rsidR="00181E48" w:rsidRPr="00D85E09">
        <w:t xml:space="preserve"> in particular, procedural complications and hematoma. H</w:t>
      </w:r>
      <w:r w:rsidRPr="00D85E09">
        <w:t xml:space="preserve">owever, these </w:t>
      </w:r>
      <w:r w:rsidR="00181E48" w:rsidRPr="00D85E09">
        <w:t>risk</w:t>
      </w:r>
      <w:r w:rsidRPr="00D85E09">
        <w:t>s</w:t>
      </w:r>
      <w:r w:rsidR="00181E48" w:rsidRPr="00D85E09">
        <w:t xml:space="preserve"> should be balanced</w:t>
      </w:r>
      <w:r w:rsidRPr="00D85E09">
        <w:t xml:space="preserve"> against the poor prognosis of many patients with </w:t>
      </w:r>
      <w:r w:rsidR="00181E48" w:rsidRPr="00D85E09">
        <w:t>AIS</w:t>
      </w:r>
      <w:r w:rsidRPr="00D85E09">
        <w:t xml:space="preserve"> and the net benefits of </w:t>
      </w:r>
      <w:r w:rsidR="00181E48" w:rsidRPr="00D85E09">
        <w:t>treatment with MT in terms of functional outcomes</w:t>
      </w:r>
      <w:r w:rsidRPr="00D85E09">
        <w:t>.</w:t>
      </w:r>
    </w:p>
    <w:p w14:paraId="4FB62635" w14:textId="77777777" w:rsidR="00315893" w:rsidRPr="00D85E09" w:rsidRDefault="00315893" w:rsidP="0043316B">
      <w:pPr>
        <w:widowControl w:val="0"/>
      </w:pPr>
    </w:p>
    <w:p w14:paraId="19E4A516" w14:textId="77777777" w:rsidR="00315893" w:rsidRPr="00D85E09" w:rsidRDefault="00315893" w:rsidP="0043316B">
      <w:pPr>
        <w:widowControl w:val="0"/>
        <w:sectPr w:rsidR="00315893" w:rsidRPr="00D85E09" w:rsidSect="0040506E">
          <w:headerReference w:type="default" r:id="rId37"/>
          <w:pgSz w:w="11907" w:h="16834" w:code="9"/>
          <w:pgMar w:top="1701" w:right="1418" w:bottom="1418" w:left="1701" w:header="720" w:footer="720" w:gutter="0"/>
          <w:paperSrc w:first="4035" w:other="4035"/>
          <w:cols w:space="720"/>
          <w:noEndnote/>
        </w:sectPr>
      </w:pPr>
    </w:p>
    <w:p w14:paraId="739DEAB2" w14:textId="636885FA" w:rsidR="00315893" w:rsidRPr="00D85E09" w:rsidRDefault="00315893" w:rsidP="0043316B">
      <w:pPr>
        <w:pStyle w:val="Caption"/>
        <w:keepNext w:val="0"/>
        <w:widowControl w:val="0"/>
        <w:rPr>
          <w:lang w:val="en-AU"/>
        </w:rPr>
      </w:pPr>
      <w:bookmarkStart w:id="331" w:name="_Toc453065375"/>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39</w:t>
      </w:r>
      <w:r w:rsidRPr="00D85E09">
        <w:rPr>
          <w:lang w:val="en-AU"/>
        </w:rPr>
        <w:fldChar w:fldCharType="end"/>
      </w:r>
      <w:r w:rsidRPr="00D85E09">
        <w:rPr>
          <w:lang w:val="en-AU"/>
        </w:rPr>
        <w:tab/>
        <w:t>Summary of adverse events</w:t>
      </w:r>
      <w:bookmarkEnd w:id="331"/>
    </w:p>
    <w:tbl>
      <w:tblPr>
        <w:tblStyle w:val="TableGrid"/>
        <w:tblW w:w="5000" w:type="pct"/>
        <w:tblLayout w:type="fixed"/>
        <w:tblLook w:val="04A0" w:firstRow="1" w:lastRow="0" w:firstColumn="1" w:lastColumn="0" w:noHBand="0" w:noVBand="1"/>
        <w:tblDescription w:val="Table 39. Summary of adverse events table"/>
      </w:tblPr>
      <w:tblGrid>
        <w:gridCol w:w="2588"/>
        <w:gridCol w:w="1134"/>
        <w:gridCol w:w="1137"/>
        <w:gridCol w:w="1134"/>
        <w:gridCol w:w="1137"/>
        <w:gridCol w:w="1134"/>
        <w:gridCol w:w="1134"/>
        <w:gridCol w:w="1134"/>
        <w:gridCol w:w="1134"/>
        <w:gridCol w:w="1134"/>
        <w:gridCol w:w="1131"/>
      </w:tblGrid>
      <w:tr w:rsidR="00315893" w:rsidRPr="00D85E09" w14:paraId="3BC92F14" w14:textId="77777777" w:rsidTr="00BE6331">
        <w:trPr>
          <w:tblHeader/>
        </w:trPr>
        <w:tc>
          <w:tcPr>
            <w:tcW w:w="929" w:type="pct"/>
            <w:shd w:val="clear" w:color="auto" w:fill="auto"/>
          </w:tcPr>
          <w:p w14:paraId="0C41A73A" w14:textId="77777777" w:rsidR="00315893" w:rsidRPr="00D85E09" w:rsidRDefault="00315893" w:rsidP="0043316B">
            <w:pPr>
              <w:pStyle w:val="TableText5"/>
              <w:widowControl w:val="0"/>
              <w:rPr>
                <w:rFonts w:ascii="Arial Narrow" w:hAnsi="Arial Narrow"/>
                <w:b/>
              </w:rPr>
            </w:pPr>
            <w:r w:rsidRPr="00D85E09">
              <w:rPr>
                <w:rFonts w:ascii="Arial Narrow" w:hAnsi="Arial Narrow"/>
                <w:b/>
              </w:rPr>
              <w:t>Trial ID</w:t>
            </w:r>
          </w:p>
        </w:tc>
        <w:tc>
          <w:tcPr>
            <w:tcW w:w="815" w:type="pct"/>
            <w:gridSpan w:val="2"/>
            <w:shd w:val="clear" w:color="auto" w:fill="auto"/>
            <w:vAlign w:val="center"/>
          </w:tcPr>
          <w:p w14:paraId="4DB91996" w14:textId="77777777" w:rsidR="00315893" w:rsidRPr="00D85E09" w:rsidRDefault="00315893" w:rsidP="0043316B">
            <w:pPr>
              <w:pStyle w:val="TableText5"/>
              <w:widowControl w:val="0"/>
              <w:rPr>
                <w:rFonts w:ascii="Arial Narrow" w:hAnsi="Arial Narrow"/>
                <w:b/>
              </w:rPr>
            </w:pPr>
            <w:r w:rsidRPr="00D85E09">
              <w:rPr>
                <w:rFonts w:ascii="Arial Narrow" w:hAnsi="Arial Narrow"/>
                <w:b/>
              </w:rPr>
              <w:t>ESCAPE n(%)</w:t>
            </w:r>
          </w:p>
        </w:tc>
        <w:tc>
          <w:tcPr>
            <w:tcW w:w="815" w:type="pct"/>
            <w:gridSpan w:val="2"/>
            <w:shd w:val="clear" w:color="auto" w:fill="auto"/>
            <w:vAlign w:val="center"/>
          </w:tcPr>
          <w:p w14:paraId="51176E33" w14:textId="267BA09F" w:rsidR="00315893" w:rsidRPr="00D85E09" w:rsidRDefault="005B7DCE" w:rsidP="0043316B">
            <w:pPr>
              <w:pStyle w:val="TableText5"/>
              <w:widowControl w:val="0"/>
              <w:rPr>
                <w:rFonts w:ascii="Arial Narrow" w:hAnsi="Arial Narrow"/>
                <w:b/>
              </w:rPr>
            </w:pPr>
            <w:r>
              <w:rPr>
                <w:rFonts w:ascii="Arial Narrow" w:hAnsi="Arial Narrow"/>
                <w:b/>
              </w:rPr>
              <w:t>EXTEND-I</w:t>
            </w:r>
            <w:r w:rsidR="00315893" w:rsidRPr="00D85E09">
              <w:rPr>
                <w:rFonts w:ascii="Arial Narrow" w:hAnsi="Arial Narrow"/>
                <w:b/>
              </w:rPr>
              <w:t>A n(%)</w:t>
            </w:r>
          </w:p>
        </w:tc>
        <w:tc>
          <w:tcPr>
            <w:tcW w:w="814" w:type="pct"/>
            <w:gridSpan w:val="2"/>
            <w:shd w:val="clear" w:color="auto" w:fill="auto"/>
            <w:vAlign w:val="center"/>
          </w:tcPr>
          <w:p w14:paraId="0AEB8B26" w14:textId="18B546E9" w:rsidR="00315893" w:rsidRPr="00D85E09" w:rsidRDefault="00315893" w:rsidP="0043316B">
            <w:pPr>
              <w:pStyle w:val="TableText5"/>
              <w:widowControl w:val="0"/>
              <w:rPr>
                <w:rFonts w:ascii="Arial Narrow" w:hAnsi="Arial Narrow"/>
                <w:b/>
              </w:rPr>
            </w:pPr>
            <w:r w:rsidRPr="00D85E09">
              <w:rPr>
                <w:rFonts w:ascii="Arial Narrow" w:hAnsi="Arial Narrow"/>
                <w:b/>
              </w:rPr>
              <w:t>MR CLEAN n(%)</w:t>
            </w:r>
          </w:p>
        </w:tc>
        <w:tc>
          <w:tcPr>
            <w:tcW w:w="814" w:type="pct"/>
            <w:gridSpan w:val="2"/>
            <w:shd w:val="clear" w:color="auto" w:fill="auto"/>
            <w:vAlign w:val="center"/>
          </w:tcPr>
          <w:p w14:paraId="0945E482" w14:textId="238539A3" w:rsidR="00315893" w:rsidRPr="00D85E09" w:rsidRDefault="00315893" w:rsidP="0043316B">
            <w:pPr>
              <w:pStyle w:val="TableText5"/>
              <w:widowControl w:val="0"/>
              <w:rPr>
                <w:rFonts w:ascii="Arial Narrow" w:hAnsi="Arial Narrow"/>
                <w:b/>
              </w:rPr>
            </w:pPr>
            <w:r w:rsidRPr="00D85E09">
              <w:rPr>
                <w:rFonts w:ascii="Arial Narrow" w:hAnsi="Arial Narrow"/>
                <w:b/>
              </w:rPr>
              <w:t>REVASCAT n(%)</w:t>
            </w:r>
          </w:p>
        </w:tc>
        <w:tc>
          <w:tcPr>
            <w:tcW w:w="814" w:type="pct"/>
            <w:gridSpan w:val="2"/>
            <w:shd w:val="clear" w:color="auto" w:fill="auto"/>
            <w:vAlign w:val="center"/>
          </w:tcPr>
          <w:p w14:paraId="595C0F70" w14:textId="77777777" w:rsidR="00315893" w:rsidRPr="00D85E09" w:rsidRDefault="00315893" w:rsidP="0043316B">
            <w:pPr>
              <w:pStyle w:val="TableText5"/>
              <w:widowControl w:val="0"/>
              <w:rPr>
                <w:rFonts w:ascii="Arial Narrow" w:hAnsi="Arial Narrow"/>
                <w:b/>
              </w:rPr>
            </w:pPr>
            <w:r w:rsidRPr="00D85E09">
              <w:rPr>
                <w:rFonts w:ascii="Arial Narrow" w:hAnsi="Arial Narrow"/>
                <w:b/>
              </w:rPr>
              <w:t>SWIFT PRIME n(%)</w:t>
            </w:r>
          </w:p>
        </w:tc>
      </w:tr>
      <w:tr w:rsidR="00315893" w:rsidRPr="00D85E09" w14:paraId="65BD35B9" w14:textId="77777777" w:rsidTr="00FA3DDC">
        <w:tc>
          <w:tcPr>
            <w:tcW w:w="929" w:type="pct"/>
          </w:tcPr>
          <w:p w14:paraId="301FE19E" w14:textId="77777777" w:rsidR="00315893" w:rsidRPr="00D85E09" w:rsidRDefault="00315893" w:rsidP="0043316B">
            <w:pPr>
              <w:pStyle w:val="TableText5"/>
              <w:widowControl w:val="0"/>
              <w:rPr>
                <w:rFonts w:ascii="Arial Narrow" w:hAnsi="Arial Narrow"/>
              </w:rPr>
            </w:pPr>
            <w:r w:rsidRPr="00D85E09">
              <w:rPr>
                <w:rFonts w:ascii="Arial Narrow" w:hAnsi="Arial Narrow"/>
              </w:rPr>
              <w:t>Treatment arm</w:t>
            </w:r>
          </w:p>
        </w:tc>
        <w:tc>
          <w:tcPr>
            <w:tcW w:w="407" w:type="pct"/>
            <w:vAlign w:val="center"/>
          </w:tcPr>
          <w:p w14:paraId="521F2B96" w14:textId="77777777" w:rsidR="00315893" w:rsidRPr="00D85E09" w:rsidRDefault="00315893" w:rsidP="0043316B">
            <w:pPr>
              <w:pStyle w:val="TableText5"/>
              <w:widowControl w:val="0"/>
              <w:rPr>
                <w:rFonts w:ascii="Arial Narrow" w:hAnsi="Arial Narrow"/>
              </w:rPr>
            </w:pPr>
            <w:r w:rsidRPr="00D85E09">
              <w:rPr>
                <w:rFonts w:ascii="Arial Narrow" w:hAnsi="Arial Narrow"/>
              </w:rPr>
              <w:t>Intervention</w:t>
            </w:r>
          </w:p>
        </w:tc>
        <w:tc>
          <w:tcPr>
            <w:tcW w:w="407" w:type="pct"/>
            <w:vAlign w:val="center"/>
          </w:tcPr>
          <w:p w14:paraId="10D7F462" w14:textId="77777777" w:rsidR="00315893" w:rsidRPr="00D85E09" w:rsidRDefault="00315893" w:rsidP="0043316B">
            <w:pPr>
              <w:pStyle w:val="TableText5"/>
              <w:widowControl w:val="0"/>
              <w:rPr>
                <w:rFonts w:ascii="Arial Narrow" w:hAnsi="Arial Narrow"/>
              </w:rPr>
            </w:pPr>
            <w:r w:rsidRPr="00D85E09">
              <w:rPr>
                <w:rFonts w:ascii="Arial Narrow" w:hAnsi="Arial Narrow"/>
              </w:rPr>
              <w:t>Control</w:t>
            </w:r>
          </w:p>
        </w:tc>
        <w:tc>
          <w:tcPr>
            <w:tcW w:w="407" w:type="pct"/>
            <w:vAlign w:val="center"/>
          </w:tcPr>
          <w:p w14:paraId="47C713BD" w14:textId="77777777" w:rsidR="00315893" w:rsidRPr="00D85E09" w:rsidRDefault="00315893" w:rsidP="0043316B">
            <w:pPr>
              <w:pStyle w:val="TableText5"/>
              <w:widowControl w:val="0"/>
              <w:rPr>
                <w:rFonts w:ascii="Arial Narrow" w:hAnsi="Arial Narrow"/>
              </w:rPr>
            </w:pPr>
            <w:r w:rsidRPr="00D85E09">
              <w:rPr>
                <w:rFonts w:ascii="Arial Narrow" w:hAnsi="Arial Narrow"/>
              </w:rPr>
              <w:t>Intervention</w:t>
            </w:r>
          </w:p>
        </w:tc>
        <w:tc>
          <w:tcPr>
            <w:tcW w:w="407" w:type="pct"/>
            <w:vAlign w:val="center"/>
          </w:tcPr>
          <w:p w14:paraId="3B4D2615" w14:textId="77777777" w:rsidR="00315893" w:rsidRPr="00D85E09" w:rsidRDefault="00315893" w:rsidP="0043316B">
            <w:pPr>
              <w:pStyle w:val="TableText5"/>
              <w:widowControl w:val="0"/>
              <w:rPr>
                <w:rFonts w:ascii="Arial Narrow" w:hAnsi="Arial Narrow"/>
              </w:rPr>
            </w:pPr>
            <w:r w:rsidRPr="00D85E09">
              <w:rPr>
                <w:rFonts w:ascii="Arial Narrow" w:hAnsi="Arial Narrow"/>
              </w:rPr>
              <w:t>Control</w:t>
            </w:r>
          </w:p>
        </w:tc>
        <w:tc>
          <w:tcPr>
            <w:tcW w:w="407" w:type="pct"/>
            <w:vAlign w:val="center"/>
          </w:tcPr>
          <w:p w14:paraId="19BAC71A" w14:textId="77777777" w:rsidR="00315893" w:rsidRPr="00D85E09" w:rsidRDefault="00315893" w:rsidP="0043316B">
            <w:pPr>
              <w:pStyle w:val="TableText5"/>
              <w:widowControl w:val="0"/>
              <w:rPr>
                <w:rFonts w:ascii="Arial Narrow" w:hAnsi="Arial Narrow"/>
              </w:rPr>
            </w:pPr>
            <w:r w:rsidRPr="00D85E09">
              <w:rPr>
                <w:rFonts w:ascii="Arial Narrow" w:hAnsi="Arial Narrow"/>
              </w:rPr>
              <w:t>Intervention</w:t>
            </w:r>
          </w:p>
        </w:tc>
        <w:tc>
          <w:tcPr>
            <w:tcW w:w="407" w:type="pct"/>
            <w:vAlign w:val="center"/>
          </w:tcPr>
          <w:p w14:paraId="2D74F142" w14:textId="77777777" w:rsidR="00315893" w:rsidRPr="00D85E09" w:rsidRDefault="00315893" w:rsidP="0043316B">
            <w:pPr>
              <w:pStyle w:val="TableText5"/>
              <w:widowControl w:val="0"/>
              <w:rPr>
                <w:rFonts w:ascii="Arial Narrow" w:hAnsi="Arial Narrow"/>
              </w:rPr>
            </w:pPr>
            <w:r w:rsidRPr="00D85E09">
              <w:rPr>
                <w:rFonts w:ascii="Arial Narrow" w:hAnsi="Arial Narrow"/>
              </w:rPr>
              <w:t>Control</w:t>
            </w:r>
          </w:p>
        </w:tc>
        <w:tc>
          <w:tcPr>
            <w:tcW w:w="407" w:type="pct"/>
            <w:vAlign w:val="center"/>
          </w:tcPr>
          <w:p w14:paraId="7A584F62" w14:textId="77777777" w:rsidR="00315893" w:rsidRPr="00D85E09" w:rsidRDefault="00315893" w:rsidP="0043316B">
            <w:pPr>
              <w:pStyle w:val="TableText5"/>
              <w:widowControl w:val="0"/>
              <w:rPr>
                <w:rFonts w:ascii="Arial Narrow" w:hAnsi="Arial Narrow"/>
              </w:rPr>
            </w:pPr>
            <w:r w:rsidRPr="00D85E09">
              <w:rPr>
                <w:rFonts w:ascii="Arial Narrow" w:hAnsi="Arial Narrow"/>
              </w:rPr>
              <w:t>Intervention</w:t>
            </w:r>
          </w:p>
        </w:tc>
        <w:tc>
          <w:tcPr>
            <w:tcW w:w="407" w:type="pct"/>
            <w:vAlign w:val="center"/>
          </w:tcPr>
          <w:p w14:paraId="28EA5DB6" w14:textId="77777777" w:rsidR="00315893" w:rsidRPr="00D85E09" w:rsidRDefault="00315893" w:rsidP="0043316B">
            <w:pPr>
              <w:pStyle w:val="TableText5"/>
              <w:widowControl w:val="0"/>
              <w:rPr>
                <w:rFonts w:ascii="Arial Narrow" w:hAnsi="Arial Narrow"/>
              </w:rPr>
            </w:pPr>
            <w:r w:rsidRPr="00D85E09">
              <w:rPr>
                <w:rFonts w:ascii="Arial Narrow" w:hAnsi="Arial Narrow"/>
              </w:rPr>
              <w:t>Control</w:t>
            </w:r>
          </w:p>
        </w:tc>
        <w:tc>
          <w:tcPr>
            <w:tcW w:w="407" w:type="pct"/>
            <w:vAlign w:val="center"/>
          </w:tcPr>
          <w:p w14:paraId="4219D361" w14:textId="77777777" w:rsidR="00315893" w:rsidRPr="00D85E09" w:rsidRDefault="00315893" w:rsidP="0043316B">
            <w:pPr>
              <w:pStyle w:val="TableText5"/>
              <w:widowControl w:val="0"/>
              <w:rPr>
                <w:rFonts w:ascii="Arial Narrow" w:hAnsi="Arial Narrow"/>
              </w:rPr>
            </w:pPr>
            <w:r w:rsidRPr="00D85E09">
              <w:rPr>
                <w:rFonts w:ascii="Arial Narrow" w:hAnsi="Arial Narrow"/>
              </w:rPr>
              <w:t>Intervention</w:t>
            </w:r>
          </w:p>
        </w:tc>
        <w:tc>
          <w:tcPr>
            <w:tcW w:w="407" w:type="pct"/>
            <w:vAlign w:val="center"/>
          </w:tcPr>
          <w:p w14:paraId="73CEF5EB" w14:textId="77777777" w:rsidR="00315893" w:rsidRPr="00D85E09" w:rsidRDefault="00315893" w:rsidP="0043316B">
            <w:pPr>
              <w:pStyle w:val="TableText5"/>
              <w:widowControl w:val="0"/>
              <w:rPr>
                <w:rFonts w:ascii="Arial Narrow" w:hAnsi="Arial Narrow"/>
              </w:rPr>
            </w:pPr>
            <w:r w:rsidRPr="00D85E09">
              <w:rPr>
                <w:rFonts w:ascii="Arial Narrow" w:hAnsi="Arial Narrow"/>
              </w:rPr>
              <w:t>Control</w:t>
            </w:r>
          </w:p>
        </w:tc>
      </w:tr>
      <w:tr w:rsidR="00315893" w:rsidRPr="00D85E09" w14:paraId="467C1348" w14:textId="77777777" w:rsidTr="00FA3DDC">
        <w:tc>
          <w:tcPr>
            <w:tcW w:w="929" w:type="pct"/>
          </w:tcPr>
          <w:p w14:paraId="26C2F611" w14:textId="77777777" w:rsidR="00315893" w:rsidRPr="00D85E09" w:rsidRDefault="00315893" w:rsidP="0043316B">
            <w:pPr>
              <w:pStyle w:val="TableText5"/>
              <w:widowControl w:val="0"/>
              <w:rPr>
                <w:rFonts w:ascii="Arial Narrow" w:hAnsi="Arial Narrow"/>
              </w:rPr>
            </w:pPr>
            <w:r w:rsidRPr="00D85E09">
              <w:rPr>
                <w:rFonts w:ascii="Arial Narrow" w:hAnsi="Arial Narrow"/>
              </w:rPr>
              <w:t>N</w:t>
            </w:r>
          </w:p>
        </w:tc>
        <w:tc>
          <w:tcPr>
            <w:tcW w:w="407" w:type="pct"/>
            <w:vAlign w:val="center"/>
          </w:tcPr>
          <w:p w14:paraId="2066A752" w14:textId="77777777" w:rsidR="00315893" w:rsidRPr="00D85E09" w:rsidRDefault="00315893" w:rsidP="0043316B">
            <w:pPr>
              <w:pStyle w:val="TableText5"/>
              <w:widowControl w:val="0"/>
              <w:rPr>
                <w:rFonts w:ascii="Arial Narrow" w:hAnsi="Arial Narrow"/>
              </w:rPr>
            </w:pPr>
            <w:r w:rsidRPr="00D85E09">
              <w:rPr>
                <w:rFonts w:ascii="Arial Narrow" w:hAnsi="Arial Narrow"/>
              </w:rPr>
              <w:t>165</w:t>
            </w:r>
          </w:p>
        </w:tc>
        <w:tc>
          <w:tcPr>
            <w:tcW w:w="407" w:type="pct"/>
            <w:vAlign w:val="center"/>
          </w:tcPr>
          <w:p w14:paraId="1D2DB0A9" w14:textId="77777777" w:rsidR="00315893" w:rsidRPr="00D85E09" w:rsidRDefault="00315893" w:rsidP="0043316B">
            <w:pPr>
              <w:pStyle w:val="TableText5"/>
              <w:widowControl w:val="0"/>
              <w:rPr>
                <w:rFonts w:ascii="Arial Narrow" w:hAnsi="Arial Narrow"/>
              </w:rPr>
            </w:pPr>
            <w:r w:rsidRPr="00D85E09">
              <w:rPr>
                <w:rFonts w:ascii="Arial Narrow" w:hAnsi="Arial Narrow"/>
              </w:rPr>
              <w:t>150</w:t>
            </w:r>
          </w:p>
        </w:tc>
        <w:tc>
          <w:tcPr>
            <w:tcW w:w="407" w:type="pct"/>
            <w:vAlign w:val="center"/>
          </w:tcPr>
          <w:p w14:paraId="7CDEFBE3" w14:textId="77777777" w:rsidR="00315893" w:rsidRPr="00D85E09" w:rsidRDefault="00315893" w:rsidP="0043316B">
            <w:pPr>
              <w:pStyle w:val="TableText5"/>
              <w:widowControl w:val="0"/>
              <w:rPr>
                <w:rFonts w:ascii="Arial Narrow" w:hAnsi="Arial Narrow"/>
              </w:rPr>
            </w:pPr>
            <w:r w:rsidRPr="00D85E09">
              <w:rPr>
                <w:rFonts w:ascii="Arial Narrow" w:hAnsi="Arial Narrow"/>
              </w:rPr>
              <w:t>35</w:t>
            </w:r>
          </w:p>
        </w:tc>
        <w:tc>
          <w:tcPr>
            <w:tcW w:w="407" w:type="pct"/>
            <w:vAlign w:val="center"/>
          </w:tcPr>
          <w:p w14:paraId="11723206" w14:textId="77777777" w:rsidR="00315893" w:rsidRPr="00D85E09" w:rsidRDefault="00315893" w:rsidP="0043316B">
            <w:pPr>
              <w:pStyle w:val="TableText5"/>
              <w:widowControl w:val="0"/>
              <w:rPr>
                <w:rFonts w:ascii="Arial Narrow" w:hAnsi="Arial Narrow"/>
              </w:rPr>
            </w:pPr>
            <w:r w:rsidRPr="00D85E09">
              <w:rPr>
                <w:rFonts w:ascii="Arial Narrow" w:hAnsi="Arial Narrow"/>
              </w:rPr>
              <w:t>35</w:t>
            </w:r>
          </w:p>
        </w:tc>
        <w:tc>
          <w:tcPr>
            <w:tcW w:w="407" w:type="pct"/>
            <w:vAlign w:val="center"/>
          </w:tcPr>
          <w:p w14:paraId="64F5BBB6" w14:textId="77777777" w:rsidR="00315893" w:rsidRPr="00D85E09" w:rsidRDefault="00315893" w:rsidP="0043316B">
            <w:pPr>
              <w:pStyle w:val="TableText5"/>
              <w:widowControl w:val="0"/>
              <w:rPr>
                <w:rFonts w:ascii="Arial Narrow" w:hAnsi="Arial Narrow"/>
              </w:rPr>
            </w:pPr>
            <w:r w:rsidRPr="00D85E09">
              <w:rPr>
                <w:rFonts w:ascii="Arial Narrow" w:hAnsi="Arial Narrow"/>
              </w:rPr>
              <w:t>233</w:t>
            </w:r>
          </w:p>
        </w:tc>
        <w:tc>
          <w:tcPr>
            <w:tcW w:w="407" w:type="pct"/>
            <w:vAlign w:val="center"/>
          </w:tcPr>
          <w:p w14:paraId="422F2369" w14:textId="77777777" w:rsidR="00315893" w:rsidRPr="00D85E09" w:rsidRDefault="00315893" w:rsidP="0043316B">
            <w:pPr>
              <w:pStyle w:val="TableText5"/>
              <w:widowControl w:val="0"/>
              <w:rPr>
                <w:rFonts w:ascii="Arial Narrow" w:hAnsi="Arial Narrow"/>
              </w:rPr>
            </w:pPr>
            <w:r w:rsidRPr="00D85E09">
              <w:rPr>
                <w:rFonts w:ascii="Arial Narrow" w:hAnsi="Arial Narrow"/>
              </w:rPr>
              <w:t>267</w:t>
            </w:r>
          </w:p>
        </w:tc>
        <w:tc>
          <w:tcPr>
            <w:tcW w:w="407" w:type="pct"/>
            <w:vAlign w:val="center"/>
          </w:tcPr>
          <w:p w14:paraId="256E5B5F" w14:textId="77777777" w:rsidR="00315893" w:rsidRPr="00D85E09" w:rsidRDefault="00315893" w:rsidP="0043316B">
            <w:pPr>
              <w:pStyle w:val="TableText5"/>
              <w:widowControl w:val="0"/>
              <w:rPr>
                <w:rFonts w:ascii="Arial Narrow" w:hAnsi="Arial Narrow"/>
              </w:rPr>
            </w:pPr>
            <w:r w:rsidRPr="00D85E09">
              <w:rPr>
                <w:rFonts w:ascii="Arial Narrow" w:hAnsi="Arial Narrow"/>
              </w:rPr>
              <w:t>103</w:t>
            </w:r>
          </w:p>
        </w:tc>
        <w:tc>
          <w:tcPr>
            <w:tcW w:w="407" w:type="pct"/>
            <w:vAlign w:val="center"/>
          </w:tcPr>
          <w:p w14:paraId="15B41864" w14:textId="77777777" w:rsidR="00315893" w:rsidRPr="00D85E09" w:rsidRDefault="00315893" w:rsidP="0043316B">
            <w:pPr>
              <w:pStyle w:val="TableText5"/>
              <w:widowControl w:val="0"/>
              <w:rPr>
                <w:rFonts w:ascii="Arial Narrow" w:hAnsi="Arial Narrow"/>
              </w:rPr>
            </w:pPr>
            <w:r w:rsidRPr="00D85E09">
              <w:rPr>
                <w:rFonts w:ascii="Arial Narrow" w:hAnsi="Arial Narrow"/>
              </w:rPr>
              <w:t>103</w:t>
            </w:r>
          </w:p>
        </w:tc>
        <w:tc>
          <w:tcPr>
            <w:tcW w:w="407" w:type="pct"/>
            <w:vAlign w:val="center"/>
          </w:tcPr>
          <w:p w14:paraId="391875BE" w14:textId="77777777" w:rsidR="00315893" w:rsidRPr="00D85E09" w:rsidRDefault="00315893" w:rsidP="0043316B">
            <w:pPr>
              <w:pStyle w:val="TableText5"/>
              <w:widowControl w:val="0"/>
              <w:rPr>
                <w:rFonts w:ascii="Arial Narrow" w:hAnsi="Arial Narrow"/>
              </w:rPr>
            </w:pPr>
            <w:r w:rsidRPr="00D85E09">
              <w:rPr>
                <w:rFonts w:ascii="Arial Narrow" w:hAnsi="Arial Narrow"/>
              </w:rPr>
              <w:t>98</w:t>
            </w:r>
          </w:p>
        </w:tc>
        <w:tc>
          <w:tcPr>
            <w:tcW w:w="407" w:type="pct"/>
            <w:vAlign w:val="center"/>
          </w:tcPr>
          <w:p w14:paraId="7A69C373" w14:textId="77777777" w:rsidR="00315893" w:rsidRPr="00D85E09" w:rsidRDefault="00315893" w:rsidP="0043316B">
            <w:pPr>
              <w:pStyle w:val="TableText5"/>
              <w:widowControl w:val="0"/>
              <w:rPr>
                <w:rFonts w:ascii="Arial Narrow" w:hAnsi="Arial Narrow"/>
              </w:rPr>
            </w:pPr>
            <w:r w:rsidRPr="00D85E09">
              <w:rPr>
                <w:rFonts w:ascii="Arial Narrow" w:hAnsi="Arial Narrow"/>
              </w:rPr>
              <w:t>97</w:t>
            </w:r>
          </w:p>
        </w:tc>
      </w:tr>
      <w:tr w:rsidR="00315893" w:rsidRPr="00D85E09" w14:paraId="08E5F80C" w14:textId="77777777" w:rsidTr="00FA3DDC">
        <w:tc>
          <w:tcPr>
            <w:tcW w:w="929" w:type="pct"/>
          </w:tcPr>
          <w:p w14:paraId="20FC786A" w14:textId="77777777" w:rsidR="00315893" w:rsidRPr="00D85E09" w:rsidRDefault="00315893" w:rsidP="0043316B">
            <w:pPr>
              <w:pStyle w:val="TableText5"/>
              <w:widowControl w:val="0"/>
              <w:rPr>
                <w:rFonts w:ascii="Arial Narrow" w:hAnsi="Arial Narrow"/>
              </w:rPr>
            </w:pPr>
            <w:r w:rsidRPr="00D85E09">
              <w:rPr>
                <w:rFonts w:ascii="Arial Narrow" w:hAnsi="Arial Narrow"/>
              </w:rPr>
              <w:t>Any serious event at 90 days</w:t>
            </w:r>
          </w:p>
        </w:tc>
        <w:tc>
          <w:tcPr>
            <w:tcW w:w="407" w:type="pct"/>
            <w:vAlign w:val="center"/>
          </w:tcPr>
          <w:p w14:paraId="10A44A62"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09C65D35"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19F2784C"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05FDBE60"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727D1647" w14:textId="77777777" w:rsidR="00315893" w:rsidRPr="00D85E09" w:rsidRDefault="00315893" w:rsidP="0043316B">
            <w:pPr>
              <w:pStyle w:val="TableText5"/>
              <w:widowControl w:val="0"/>
              <w:rPr>
                <w:rFonts w:ascii="Arial Narrow" w:hAnsi="Arial Narrow"/>
              </w:rPr>
            </w:pPr>
            <w:r w:rsidRPr="00D85E09">
              <w:rPr>
                <w:rFonts w:ascii="Arial Narrow" w:eastAsia="OTNEJMScalaSansLF" w:hAnsi="Arial Narrow" w:cs="OTNEJMScalaSansLF"/>
              </w:rPr>
              <w:t>110 (47.2)</w:t>
            </w:r>
          </w:p>
        </w:tc>
        <w:tc>
          <w:tcPr>
            <w:tcW w:w="407" w:type="pct"/>
            <w:vAlign w:val="center"/>
          </w:tcPr>
          <w:p w14:paraId="43CCA4D8" w14:textId="77777777" w:rsidR="00315893" w:rsidRPr="00D85E09" w:rsidRDefault="00315893" w:rsidP="0043316B">
            <w:pPr>
              <w:pStyle w:val="TableText5"/>
              <w:widowControl w:val="0"/>
              <w:rPr>
                <w:rFonts w:ascii="Arial Narrow" w:hAnsi="Arial Narrow"/>
              </w:rPr>
            </w:pPr>
            <w:r w:rsidRPr="00D85E09">
              <w:rPr>
                <w:rFonts w:ascii="Arial Narrow" w:eastAsia="OTNEJMScalaSansLF" w:hAnsi="Arial Narrow" w:cs="OTNEJMScalaSansLF"/>
              </w:rPr>
              <w:t>113 (42.3)</w:t>
            </w:r>
          </w:p>
        </w:tc>
        <w:tc>
          <w:tcPr>
            <w:tcW w:w="407" w:type="pct"/>
            <w:vAlign w:val="center"/>
          </w:tcPr>
          <w:p w14:paraId="1CDCC079"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5BD098CE"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6C82EF2D" w14:textId="77777777" w:rsidR="00315893" w:rsidRPr="00D85E09" w:rsidRDefault="00315893" w:rsidP="0043316B">
            <w:pPr>
              <w:pStyle w:val="TableText5"/>
              <w:widowControl w:val="0"/>
              <w:rPr>
                <w:rFonts w:ascii="Arial Narrow" w:eastAsia="OTNEJMScalaSansLF" w:hAnsi="Arial Narrow" w:cs="OTNEJMScalaSansLF"/>
              </w:rPr>
            </w:pPr>
            <w:r w:rsidRPr="00D85E09">
              <w:rPr>
                <w:rFonts w:ascii="Arial Narrow" w:eastAsia="OTNEJMScalaSansLF" w:hAnsi="Arial Narrow"/>
              </w:rPr>
              <w:t>35 (36)</w:t>
            </w:r>
          </w:p>
        </w:tc>
        <w:tc>
          <w:tcPr>
            <w:tcW w:w="407" w:type="pct"/>
            <w:vAlign w:val="center"/>
          </w:tcPr>
          <w:p w14:paraId="761E711A" w14:textId="77777777" w:rsidR="00315893" w:rsidRPr="00D85E09" w:rsidRDefault="00315893" w:rsidP="0043316B">
            <w:pPr>
              <w:pStyle w:val="TableText5"/>
              <w:widowControl w:val="0"/>
              <w:rPr>
                <w:rFonts w:ascii="Arial Narrow" w:eastAsia="OTNEJMScalaSansLF" w:hAnsi="Arial Narrow"/>
              </w:rPr>
            </w:pPr>
            <w:r w:rsidRPr="00D85E09">
              <w:rPr>
                <w:rFonts w:ascii="Arial Narrow" w:hAnsi="Arial Narrow"/>
              </w:rPr>
              <w:t>30 (31)</w:t>
            </w:r>
          </w:p>
        </w:tc>
      </w:tr>
      <w:tr w:rsidR="00315893" w:rsidRPr="00D85E09" w14:paraId="014F2338" w14:textId="77777777" w:rsidTr="00FA3DDC">
        <w:tc>
          <w:tcPr>
            <w:tcW w:w="929" w:type="pct"/>
          </w:tcPr>
          <w:p w14:paraId="796992BD" w14:textId="77777777" w:rsidR="00315893" w:rsidRPr="00D85E09" w:rsidRDefault="00315893" w:rsidP="0043316B">
            <w:pPr>
              <w:pStyle w:val="TableText5"/>
              <w:widowControl w:val="0"/>
              <w:rPr>
                <w:rFonts w:ascii="Arial Narrow" w:hAnsi="Arial Narrow"/>
              </w:rPr>
            </w:pPr>
            <w:r w:rsidRPr="00D85E09">
              <w:rPr>
                <w:rFonts w:ascii="Arial Narrow" w:hAnsi="Arial Narrow"/>
              </w:rPr>
              <w:t>SICH</w:t>
            </w:r>
          </w:p>
        </w:tc>
        <w:tc>
          <w:tcPr>
            <w:tcW w:w="407" w:type="pct"/>
            <w:vAlign w:val="center"/>
          </w:tcPr>
          <w:p w14:paraId="622F4735" w14:textId="77777777" w:rsidR="00315893" w:rsidRPr="00D85E09" w:rsidRDefault="00315893" w:rsidP="0043316B">
            <w:pPr>
              <w:pStyle w:val="TableText5"/>
              <w:widowControl w:val="0"/>
              <w:rPr>
                <w:rFonts w:ascii="Arial Narrow" w:hAnsi="Arial Narrow"/>
              </w:rPr>
            </w:pPr>
            <w:r w:rsidRPr="00D85E09">
              <w:rPr>
                <w:rFonts w:ascii="Arial Narrow" w:hAnsi="Arial Narrow"/>
              </w:rPr>
              <w:t>6 (3.6)</w:t>
            </w:r>
          </w:p>
        </w:tc>
        <w:tc>
          <w:tcPr>
            <w:tcW w:w="407" w:type="pct"/>
            <w:vAlign w:val="center"/>
          </w:tcPr>
          <w:p w14:paraId="4ACBA17B" w14:textId="77777777" w:rsidR="00315893" w:rsidRPr="00D85E09" w:rsidRDefault="00315893" w:rsidP="0043316B">
            <w:pPr>
              <w:pStyle w:val="TableText5"/>
              <w:widowControl w:val="0"/>
              <w:rPr>
                <w:rFonts w:ascii="Arial Narrow" w:hAnsi="Arial Narrow"/>
              </w:rPr>
            </w:pPr>
            <w:r w:rsidRPr="00D85E09">
              <w:rPr>
                <w:rFonts w:ascii="Arial Narrow" w:hAnsi="Arial Narrow"/>
              </w:rPr>
              <w:t>4 (2.7)</w:t>
            </w:r>
          </w:p>
        </w:tc>
        <w:tc>
          <w:tcPr>
            <w:tcW w:w="407" w:type="pct"/>
            <w:vAlign w:val="center"/>
          </w:tcPr>
          <w:p w14:paraId="00FED4BD"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4B33FD19" w14:textId="77777777" w:rsidR="00315893" w:rsidRPr="00D85E09" w:rsidRDefault="00315893" w:rsidP="0043316B">
            <w:pPr>
              <w:pStyle w:val="TableText5"/>
              <w:widowControl w:val="0"/>
              <w:rPr>
                <w:rFonts w:ascii="Arial Narrow" w:hAnsi="Arial Narrow"/>
              </w:rPr>
            </w:pPr>
            <w:r w:rsidRPr="00D85E09">
              <w:rPr>
                <w:rFonts w:ascii="Arial Narrow" w:hAnsi="Arial Narrow"/>
              </w:rPr>
              <w:t>2 (6)</w:t>
            </w:r>
          </w:p>
        </w:tc>
        <w:tc>
          <w:tcPr>
            <w:tcW w:w="407" w:type="pct"/>
            <w:vAlign w:val="center"/>
          </w:tcPr>
          <w:p w14:paraId="248188E4" w14:textId="77777777" w:rsidR="00315893" w:rsidRPr="00D85E09" w:rsidRDefault="00315893" w:rsidP="0043316B">
            <w:pPr>
              <w:pStyle w:val="TableText5"/>
              <w:widowControl w:val="0"/>
              <w:rPr>
                <w:rFonts w:ascii="Arial Narrow" w:hAnsi="Arial Narrow"/>
              </w:rPr>
            </w:pPr>
            <w:r w:rsidRPr="00D85E09">
              <w:rPr>
                <w:rFonts w:ascii="Arial Narrow" w:eastAsia="OTNEJMScalaSansLF" w:hAnsi="Arial Narrow" w:cs="OTNEJMScalaSansLF"/>
              </w:rPr>
              <w:t>18 (7.7)</w:t>
            </w:r>
          </w:p>
        </w:tc>
        <w:tc>
          <w:tcPr>
            <w:tcW w:w="407" w:type="pct"/>
            <w:vAlign w:val="center"/>
          </w:tcPr>
          <w:p w14:paraId="186D6BD8" w14:textId="77777777" w:rsidR="00315893" w:rsidRPr="00D85E09" w:rsidRDefault="00315893" w:rsidP="0043316B">
            <w:pPr>
              <w:pStyle w:val="TableText5"/>
              <w:widowControl w:val="0"/>
              <w:rPr>
                <w:rFonts w:ascii="Arial Narrow" w:hAnsi="Arial Narrow"/>
              </w:rPr>
            </w:pPr>
            <w:r w:rsidRPr="00D85E09">
              <w:rPr>
                <w:rFonts w:ascii="Arial Narrow" w:eastAsia="OTNEJMScalaSansLF" w:hAnsi="Arial Narrow" w:cs="OTNEJMScalaSansLF"/>
              </w:rPr>
              <w:t>17 (6.4)</w:t>
            </w:r>
          </w:p>
        </w:tc>
        <w:tc>
          <w:tcPr>
            <w:tcW w:w="407" w:type="pct"/>
            <w:vAlign w:val="center"/>
          </w:tcPr>
          <w:p w14:paraId="38CF0F37" w14:textId="77777777" w:rsidR="00315893" w:rsidRPr="00D85E09" w:rsidRDefault="00315893" w:rsidP="0043316B">
            <w:pPr>
              <w:pStyle w:val="TableText5"/>
              <w:widowControl w:val="0"/>
              <w:rPr>
                <w:rFonts w:ascii="Arial Narrow" w:hAnsi="Arial Narrow"/>
              </w:rPr>
            </w:pPr>
            <w:r w:rsidRPr="00D85E09">
              <w:rPr>
                <w:rFonts w:ascii="Arial Narrow" w:hAnsi="Arial Narrow"/>
              </w:rPr>
              <w:t>7 (6.8)</w:t>
            </w:r>
          </w:p>
        </w:tc>
        <w:tc>
          <w:tcPr>
            <w:tcW w:w="407" w:type="pct"/>
            <w:vAlign w:val="center"/>
          </w:tcPr>
          <w:p w14:paraId="7A879156" w14:textId="77777777" w:rsidR="00315893" w:rsidRPr="00D85E09" w:rsidRDefault="00315893" w:rsidP="0043316B">
            <w:pPr>
              <w:pStyle w:val="TableText5"/>
              <w:widowControl w:val="0"/>
              <w:rPr>
                <w:rFonts w:ascii="Arial Narrow" w:hAnsi="Arial Narrow"/>
              </w:rPr>
            </w:pPr>
            <w:r w:rsidRPr="00D85E09">
              <w:rPr>
                <w:rFonts w:ascii="Arial Narrow" w:hAnsi="Arial Narrow"/>
              </w:rPr>
              <w:t>4 (3.8)</w:t>
            </w:r>
          </w:p>
        </w:tc>
        <w:tc>
          <w:tcPr>
            <w:tcW w:w="407" w:type="pct"/>
            <w:vAlign w:val="center"/>
          </w:tcPr>
          <w:p w14:paraId="3DDF80B6"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42599252" w14:textId="77777777" w:rsidR="00315893" w:rsidRPr="00D85E09" w:rsidRDefault="00315893" w:rsidP="0043316B">
            <w:pPr>
              <w:pStyle w:val="TableText5"/>
              <w:widowControl w:val="0"/>
              <w:rPr>
                <w:rFonts w:ascii="Arial Narrow" w:hAnsi="Arial Narrow"/>
              </w:rPr>
            </w:pPr>
            <w:r w:rsidRPr="00D85E09">
              <w:rPr>
                <w:rFonts w:ascii="Arial Narrow" w:hAnsi="Arial Narrow"/>
              </w:rPr>
              <w:t>3 (3)</w:t>
            </w:r>
          </w:p>
        </w:tc>
      </w:tr>
      <w:tr w:rsidR="00315893" w:rsidRPr="00D85E09" w14:paraId="05054B70" w14:textId="77777777" w:rsidTr="00FA3DDC">
        <w:tc>
          <w:tcPr>
            <w:tcW w:w="929" w:type="pct"/>
          </w:tcPr>
          <w:p w14:paraId="5406BD23" w14:textId="77777777" w:rsidR="00315893" w:rsidRPr="00D85E09" w:rsidRDefault="00315893" w:rsidP="0043316B">
            <w:pPr>
              <w:pStyle w:val="TableText5"/>
              <w:widowControl w:val="0"/>
              <w:rPr>
                <w:rFonts w:ascii="Arial Narrow" w:hAnsi="Arial Narrow"/>
              </w:rPr>
            </w:pPr>
            <w:r w:rsidRPr="00D85E09">
              <w:rPr>
                <w:rFonts w:ascii="Arial Narrow" w:hAnsi="Arial Narrow"/>
              </w:rPr>
              <w:t>Hematoma at access site</w:t>
            </w:r>
          </w:p>
        </w:tc>
        <w:tc>
          <w:tcPr>
            <w:tcW w:w="407" w:type="pct"/>
            <w:vAlign w:val="center"/>
          </w:tcPr>
          <w:p w14:paraId="2192BE7C" w14:textId="77777777" w:rsidR="00315893" w:rsidRPr="00D85E09" w:rsidRDefault="00315893" w:rsidP="0043316B">
            <w:pPr>
              <w:pStyle w:val="TableText5"/>
              <w:widowControl w:val="0"/>
              <w:rPr>
                <w:rFonts w:ascii="Arial Narrow" w:hAnsi="Arial Narrow"/>
              </w:rPr>
            </w:pPr>
            <w:r w:rsidRPr="00D85E09">
              <w:rPr>
                <w:rFonts w:ascii="Arial Narrow" w:hAnsi="Arial Narrow"/>
              </w:rPr>
              <w:t>3 (1.8)</w:t>
            </w:r>
          </w:p>
        </w:tc>
        <w:tc>
          <w:tcPr>
            <w:tcW w:w="407" w:type="pct"/>
            <w:vAlign w:val="center"/>
          </w:tcPr>
          <w:p w14:paraId="15A26707"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12573211" w14:textId="77777777" w:rsidR="00315893" w:rsidRPr="00D85E09" w:rsidRDefault="00315893" w:rsidP="0043316B">
            <w:pPr>
              <w:pStyle w:val="TableText5"/>
              <w:widowControl w:val="0"/>
              <w:rPr>
                <w:rFonts w:ascii="Arial Narrow" w:hAnsi="Arial Narrow"/>
              </w:rPr>
            </w:pPr>
            <w:r w:rsidRPr="00D85E09">
              <w:rPr>
                <w:rFonts w:ascii="Arial Narrow" w:hAnsi="Arial Narrow"/>
              </w:rPr>
              <w:t>1 (2.9)</w:t>
            </w:r>
          </w:p>
        </w:tc>
        <w:tc>
          <w:tcPr>
            <w:tcW w:w="407" w:type="pct"/>
            <w:vAlign w:val="center"/>
          </w:tcPr>
          <w:p w14:paraId="36286455"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469DE686"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32A16DC2"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75FC8576" w14:textId="77777777" w:rsidR="00315893" w:rsidRPr="00D85E09" w:rsidRDefault="00315893" w:rsidP="0043316B">
            <w:pPr>
              <w:pStyle w:val="TableText5"/>
              <w:widowControl w:val="0"/>
              <w:rPr>
                <w:rFonts w:ascii="Arial Narrow" w:hAnsi="Arial Narrow"/>
              </w:rPr>
            </w:pPr>
            <w:r w:rsidRPr="00D85E09">
              <w:rPr>
                <w:rFonts w:ascii="Arial Narrow" w:hAnsi="Arial Narrow"/>
              </w:rPr>
              <w:t>11 (10.7)</w:t>
            </w:r>
          </w:p>
        </w:tc>
        <w:tc>
          <w:tcPr>
            <w:tcW w:w="407" w:type="pct"/>
            <w:vAlign w:val="center"/>
          </w:tcPr>
          <w:p w14:paraId="739905D6"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5081DA41"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209EBEAA"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r>
      <w:tr w:rsidR="00315893" w:rsidRPr="00D85E09" w14:paraId="3DB932AA" w14:textId="77777777" w:rsidTr="00FA3DDC">
        <w:tc>
          <w:tcPr>
            <w:tcW w:w="929" w:type="pct"/>
          </w:tcPr>
          <w:p w14:paraId="372BCCB3" w14:textId="77777777" w:rsidR="00315893" w:rsidRPr="00D85E09" w:rsidRDefault="00315893" w:rsidP="0043316B">
            <w:pPr>
              <w:pStyle w:val="TableText5"/>
              <w:widowControl w:val="0"/>
              <w:rPr>
                <w:rFonts w:ascii="Arial Narrow" w:hAnsi="Arial Narrow"/>
              </w:rPr>
            </w:pPr>
            <w:r w:rsidRPr="00D85E09">
              <w:rPr>
                <w:rFonts w:ascii="Arial Narrow" w:hAnsi="Arial Narrow"/>
              </w:rPr>
              <w:t>Procedural complications</w:t>
            </w:r>
          </w:p>
        </w:tc>
        <w:tc>
          <w:tcPr>
            <w:tcW w:w="407" w:type="pct"/>
            <w:vAlign w:val="center"/>
          </w:tcPr>
          <w:p w14:paraId="2658ADAB" w14:textId="77777777" w:rsidR="00315893" w:rsidRPr="00D85E09" w:rsidRDefault="00315893" w:rsidP="0043316B">
            <w:pPr>
              <w:pStyle w:val="TableText5"/>
              <w:widowControl w:val="0"/>
              <w:rPr>
                <w:rFonts w:ascii="Arial Narrow" w:hAnsi="Arial Narrow"/>
              </w:rPr>
            </w:pPr>
            <w:r w:rsidRPr="00D85E09">
              <w:rPr>
                <w:rFonts w:ascii="Arial Narrow" w:hAnsi="Arial Narrow"/>
              </w:rPr>
              <w:t>1 (0.6)</w:t>
            </w:r>
            <w:r w:rsidRPr="00D85E09">
              <w:rPr>
                <w:rFonts w:ascii="Arial Narrow" w:hAnsi="Arial Narrow"/>
                <w:vertAlign w:val="superscript"/>
              </w:rPr>
              <w:t>a</w:t>
            </w:r>
          </w:p>
        </w:tc>
        <w:tc>
          <w:tcPr>
            <w:tcW w:w="407" w:type="pct"/>
            <w:vAlign w:val="center"/>
          </w:tcPr>
          <w:p w14:paraId="330B4D44"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53A002DE" w14:textId="77777777" w:rsidR="00315893" w:rsidRPr="00D85E09" w:rsidRDefault="00315893" w:rsidP="0043316B">
            <w:pPr>
              <w:pStyle w:val="TableText5"/>
              <w:widowControl w:val="0"/>
              <w:rPr>
                <w:rFonts w:ascii="Arial Narrow" w:hAnsi="Arial Narrow"/>
              </w:rPr>
            </w:pPr>
            <w:r w:rsidRPr="00D85E09">
              <w:rPr>
                <w:rFonts w:ascii="Arial Narrow" w:hAnsi="Arial Narrow"/>
              </w:rPr>
              <w:t>1 (2.9)</w:t>
            </w:r>
            <w:r w:rsidRPr="00D85E09">
              <w:rPr>
                <w:rFonts w:ascii="Arial Narrow" w:hAnsi="Arial Narrow"/>
                <w:vertAlign w:val="superscript"/>
              </w:rPr>
              <w:t>b</w:t>
            </w:r>
          </w:p>
        </w:tc>
        <w:tc>
          <w:tcPr>
            <w:tcW w:w="407" w:type="pct"/>
            <w:vAlign w:val="center"/>
          </w:tcPr>
          <w:p w14:paraId="3C9ADE55" w14:textId="77777777" w:rsidR="00315893" w:rsidRPr="00D85E09" w:rsidRDefault="00315893" w:rsidP="0043316B">
            <w:pPr>
              <w:pStyle w:val="TableText5"/>
              <w:widowControl w:val="0"/>
              <w:rPr>
                <w:rFonts w:ascii="Arial Narrow" w:hAnsi="Arial Narrow"/>
              </w:rPr>
            </w:pPr>
            <w:r w:rsidRPr="00D85E09">
              <w:rPr>
                <w:rFonts w:ascii="Arial Narrow" w:hAnsi="Arial Narrow"/>
              </w:rPr>
              <w:t>0</w:t>
            </w:r>
          </w:p>
        </w:tc>
        <w:tc>
          <w:tcPr>
            <w:tcW w:w="407" w:type="pct"/>
            <w:vAlign w:val="center"/>
          </w:tcPr>
          <w:p w14:paraId="1C503AFF" w14:textId="4900DFF5" w:rsidR="00315893" w:rsidRPr="00D85E09" w:rsidRDefault="00FB6F5F" w:rsidP="0043316B">
            <w:pPr>
              <w:pStyle w:val="TableText5"/>
              <w:widowControl w:val="0"/>
              <w:rPr>
                <w:rFonts w:ascii="Arial Narrow" w:hAnsi="Arial Narrow"/>
              </w:rPr>
            </w:pPr>
            <w:r w:rsidRPr="00D85E09">
              <w:rPr>
                <w:rFonts w:ascii="Arial Narrow" w:hAnsi="Arial Narrow"/>
              </w:rPr>
              <w:t>26 (11.2)</w:t>
            </w:r>
            <w:r w:rsidR="00116358" w:rsidRPr="00D85E09">
              <w:rPr>
                <w:rFonts w:ascii="Arial Narrow" w:hAnsi="Arial Narrow"/>
                <w:vertAlign w:val="superscript"/>
              </w:rPr>
              <w:t>c</w:t>
            </w:r>
          </w:p>
        </w:tc>
        <w:tc>
          <w:tcPr>
            <w:tcW w:w="407" w:type="pct"/>
            <w:vAlign w:val="center"/>
          </w:tcPr>
          <w:p w14:paraId="4CF4137D"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4A9C8DDB" w14:textId="419C8741" w:rsidR="00315893" w:rsidRPr="00D85E09" w:rsidRDefault="00116358" w:rsidP="0043316B">
            <w:pPr>
              <w:pStyle w:val="TableText5"/>
              <w:widowControl w:val="0"/>
              <w:rPr>
                <w:rFonts w:ascii="Arial Narrow" w:hAnsi="Arial Narrow"/>
              </w:rPr>
            </w:pPr>
            <w:r w:rsidRPr="00D85E09">
              <w:rPr>
                <w:rFonts w:ascii="Arial Narrow" w:hAnsi="Arial Narrow"/>
              </w:rPr>
              <w:t>19 (18.4)</w:t>
            </w:r>
            <w:r w:rsidRPr="00D85E09">
              <w:rPr>
                <w:rFonts w:ascii="Arial Narrow" w:hAnsi="Arial Narrow"/>
                <w:vertAlign w:val="superscript"/>
              </w:rPr>
              <w:t>d</w:t>
            </w:r>
          </w:p>
        </w:tc>
        <w:tc>
          <w:tcPr>
            <w:tcW w:w="407" w:type="pct"/>
            <w:vAlign w:val="center"/>
          </w:tcPr>
          <w:p w14:paraId="72FAF687"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20D08F6F" w14:textId="2CFDACDE" w:rsidR="00315893" w:rsidRPr="00D85E09" w:rsidRDefault="00FB6F5F" w:rsidP="0043316B">
            <w:pPr>
              <w:pStyle w:val="TableText5"/>
              <w:widowControl w:val="0"/>
              <w:rPr>
                <w:rFonts w:ascii="Arial Narrow" w:hAnsi="Arial Narrow"/>
              </w:rPr>
            </w:pPr>
            <w:r w:rsidRPr="00D85E09">
              <w:rPr>
                <w:rFonts w:ascii="Arial Narrow" w:hAnsi="Arial Narrow"/>
              </w:rPr>
              <w:t>3 (3.1)</w:t>
            </w:r>
            <w:r w:rsidR="00116358" w:rsidRPr="00D85E09">
              <w:rPr>
                <w:rFonts w:ascii="Arial Narrow" w:hAnsi="Arial Narrow"/>
                <w:vertAlign w:val="superscript"/>
              </w:rPr>
              <w:t>e</w:t>
            </w:r>
          </w:p>
        </w:tc>
        <w:tc>
          <w:tcPr>
            <w:tcW w:w="407" w:type="pct"/>
            <w:vAlign w:val="center"/>
          </w:tcPr>
          <w:p w14:paraId="7C1B487F" w14:textId="1ADD9BD7" w:rsidR="00315893" w:rsidRPr="00D85E09" w:rsidRDefault="00FB6F5F" w:rsidP="0043316B">
            <w:pPr>
              <w:pStyle w:val="TableText5"/>
              <w:widowControl w:val="0"/>
              <w:rPr>
                <w:rFonts w:ascii="Arial Narrow" w:hAnsi="Arial Narrow"/>
              </w:rPr>
            </w:pPr>
            <w:r w:rsidRPr="00D85E09">
              <w:rPr>
                <w:rFonts w:ascii="Arial Narrow" w:hAnsi="Arial Narrow"/>
              </w:rPr>
              <w:t>3 (3.1)</w:t>
            </w:r>
            <w:r w:rsidR="00116358" w:rsidRPr="00D85E09">
              <w:rPr>
                <w:rFonts w:ascii="Arial Narrow" w:hAnsi="Arial Narrow"/>
                <w:vertAlign w:val="superscript"/>
              </w:rPr>
              <w:t>e</w:t>
            </w:r>
          </w:p>
        </w:tc>
      </w:tr>
      <w:tr w:rsidR="00315893" w:rsidRPr="00D85E09" w14:paraId="2994D68F" w14:textId="77777777" w:rsidTr="00FA3DDC">
        <w:tc>
          <w:tcPr>
            <w:tcW w:w="929" w:type="pct"/>
          </w:tcPr>
          <w:p w14:paraId="04D9676C" w14:textId="77777777" w:rsidR="00315893" w:rsidRPr="00D85E09" w:rsidRDefault="00315893" w:rsidP="0043316B">
            <w:pPr>
              <w:pStyle w:val="TableText5"/>
              <w:widowControl w:val="0"/>
              <w:rPr>
                <w:rFonts w:ascii="Arial Narrow" w:hAnsi="Arial Narrow"/>
              </w:rPr>
            </w:pPr>
            <w:r w:rsidRPr="00D85E09">
              <w:rPr>
                <w:rFonts w:ascii="Arial Narrow" w:hAnsi="Arial Narrow"/>
              </w:rPr>
              <w:t>Parenchymal heamatoma</w:t>
            </w:r>
          </w:p>
        </w:tc>
        <w:tc>
          <w:tcPr>
            <w:tcW w:w="407" w:type="pct"/>
            <w:vAlign w:val="center"/>
          </w:tcPr>
          <w:p w14:paraId="23614E89"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670EAF5D"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396A7B92" w14:textId="77777777" w:rsidR="00315893" w:rsidRPr="00D85E09" w:rsidRDefault="00315893" w:rsidP="0043316B">
            <w:pPr>
              <w:pStyle w:val="TableText5"/>
              <w:widowControl w:val="0"/>
              <w:rPr>
                <w:rFonts w:ascii="Arial Narrow" w:hAnsi="Arial Narrow"/>
              </w:rPr>
            </w:pPr>
            <w:r w:rsidRPr="00D85E09">
              <w:rPr>
                <w:rFonts w:ascii="Arial Narrow" w:hAnsi="Arial Narrow"/>
              </w:rPr>
              <w:t>4 (11)</w:t>
            </w:r>
          </w:p>
        </w:tc>
        <w:tc>
          <w:tcPr>
            <w:tcW w:w="407" w:type="pct"/>
            <w:vAlign w:val="center"/>
          </w:tcPr>
          <w:p w14:paraId="45136263" w14:textId="77777777" w:rsidR="00315893" w:rsidRPr="00D85E09" w:rsidRDefault="00315893" w:rsidP="0043316B">
            <w:pPr>
              <w:pStyle w:val="TableText5"/>
              <w:widowControl w:val="0"/>
              <w:rPr>
                <w:rFonts w:ascii="Arial Narrow" w:hAnsi="Arial Narrow"/>
              </w:rPr>
            </w:pPr>
            <w:r w:rsidRPr="00D85E09">
              <w:rPr>
                <w:rFonts w:ascii="Arial Narrow" w:hAnsi="Arial Narrow"/>
              </w:rPr>
              <w:t>3(9)</w:t>
            </w:r>
          </w:p>
        </w:tc>
        <w:tc>
          <w:tcPr>
            <w:tcW w:w="407" w:type="pct"/>
            <w:vAlign w:val="center"/>
          </w:tcPr>
          <w:p w14:paraId="13B23B59" w14:textId="77777777" w:rsidR="00315893" w:rsidRPr="00D85E09" w:rsidRDefault="00315893" w:rsidP="0043316B">
            <w:pPr>
              <w:pStyle w:val="TableText5"/>
              <w:widowControl w:val="0"/>
              <w:rPr>
                <w:rFonts w:ascii="Arial Narrow" w:hAnsi="Arial Narrow"/>
              </w:rPr>
            </w:pPr>
            <w:r w:rsidRPr="00D85E09">
              <w:rPr>
                <w:rFonts w:ascii="Arial Narrow" w:hAnsi="Arial Narrow"/>
              </w:rPr>
              <w:t>14 (6.0)</w:t>
            </w:r>
          </w:p>
        </w:tc>
        <w:tc>
          <w:tcPr>
            <w:tcW w:w="407" w:type="pct"/>
            <w:vAlign w:val="center"/>
          </w:tcPr>
          <w:p w14:paraId="379B6E78" w14:textId="77777777" w:rsidR="00315893" w:rsidRPr="00D85E09" w:rsidRDefault="00315893" w:rsidP="0043316B">
            <w:pPr>
              <w:pStyle w:val="TableText5"/>
              <w:widowControl w:val="0"/>
              <w:rPr>
                <w:rFonts w:ascii="Arial Narrow" w:hAnsi="Arial Narrow"/>
              </w:rPr>
            </w:pPr>
            <w:r w:rsidRPr="00D85E09">
              <w:rPr>
                <w:rFonts w:ascii="Arial Narrow" w:hAnsi="Arial Narrow"/>
              </w:rPr>
              <w:t>16 (5.9)</w:t>
            </w:r>
          </w:p>
        </w:tc>
        <w:tc>
          <w:tcPr>
            <w:tcW w:w="407" w:type="pct"/>
            <w:vAlign w:val="center"/>
          </w:tcPr>
          <w:p w14:paraId="60E9C0B7" w14:textId="77777777" w:rsidR="00315893" w:rsidRPr="00D85E09" w:rsidRDefault="00315893" w:rsidP="0043316B">
            <w:pPr>
              <w:pStyle w:val="TableText5"/>
              <w:widowControl w:val="0"/>
              <w:rPr>
                <w:rFonts w:ascii="Arial Narrow" w:hAnsi="Arial Narrow"/>
              </w:rPr>
            </w:pPr>
            <w:r w:rsidRPr="00D85E09">
              <w:rPr>
                <w:rFonts w:ascii="Arial Narrow" w:hAnsi="Arial Narrow"/>
              </w:rPr>
              <w:t>6 (5.8)</w:t>
            </w:r>
          </w:p>
        </w:tc>
        <w:tc>
          <w:tcPr>
            <w:tcW w:w="407" w:type="pct"/>
            <w:vAlign w:val="center"/>
          </w:tcPr>
          <w:p w14:paraId="0293257E" w14:textId="77777777" w:rsidR="00315893" w:rsidRPr="00D85E09" w:rsidRDefault="00315893" w:rsidP="0043316B">
            <w:pPr>
              <w:pStyle w:val="TableText5"/>
              <w:widowControl w:val="0"/>
              <w:rPr>
                <w:rFonts w:ascii="Arial Narrow" w:hAnsi="Arial Narrow"/>
              </w:rPr>
            </w:pPr>
            <w:r w:rsidRPr="00D85E09">
              <w:rPr>
                <w:rFonts w:ascii="Arial Narrow" w:hAnsi="Arial Narrow"/>
              </w:rPr>
              <w:t>6 (5.8)</w:t>
            </w:r>
          </w:p>
        </w:tc>
        <w:tc>
          <w:tcPr>
            <w:tcW w:w="407" w:type="pct"/>
            <w:vAlign w:val="center"/>
          </w:tcPr>
          <w:p w14:paraId="621213A9" w14:textId="77777777" w:rsidR="00315893" w:rsidRPr="00D85E09" w:rsidRDefault="00315893" w:rsidP="0043316B">
            <w:pPr>
              <w:pStyle w:val="TableText5"/>
              <w:widowControl w:val="0"/>
              <w:rPr>
                <w:rFonts w:ascii="Arial Narrow" w:hAnsi="Arial Narrow"/>
              </w:rPr>
            </w:pPr>
            <w:r w:rsidRPr="00D85E09">
              <w:rPr>
                <w:rFonts w:ascii="Arial Narrow" w:hAnsi="Arial Narrow"/>
              </w:rPr>
              <w:t>5 (5)</w:t>
            </w:r>
          </w:p>
        </w:tc>
        <w:tc>
          <w:tcPr>
            <w:tcW w:w="407" w:type="pct"/>
            <w:vAlign w:val="center"/>
          </w:tcPr>
          <w:p w14:paraId="6A891FC6" w14:textId="77777777" w:rsidR="00315893" w:rsidRPr="00D85E09" w:rsidRDefault="00315893" w:rsidP="0043316B">
            <w:pPr>
              <w:pStyle w:val="TableText5"/>
              <w:widowControl w:val="0"/>
              <w:rPr>
                <w:rFonts w:ascii="Arial Narrow" w:hAnsi="Arial Narrow"/>
              </w:rPr>
            </w:pPr>
            <w:r w:rsidRPr="00D85E09">
              <w:rPr>
                <w:rFonts w:ascii="Arial Narrow" w:hAnsi="Arial Narrow"/>
              </w:rPr>
              <w:t>7 (7)</w:t>
            </w:r>
          </w:p>
        </w:tc>
      </w:tr>
      <w:tr w:rsidR="00315893" w:rsidRPr="00D85E09" w14:paraId="0F61CEFB" w14:textId="77777777" w:rsidTr="00FA3DDC">
        <w:tc>
          <w:tcPr>
            <w:tcW w:w="929" w:type="pct"/>
          </w:tcPr>
          <w:p w14:paraId="4DF7E771" w14:textId="77777777" w:rsidR="00315893" w:rsidRPr="00D85E09" w:rsidRDefault="00315893" w:rsidP="0043316B">
            <w:pPr>
              <w:pStyle w:val="TableText5"/>
              <w:widowControl w:val="0"/>
              <w:rPr>
                <w:rFonts w:ascii="Arial Narrow" w:hAnsi="Arial Narrow"/>
              </w:rPr>
            </w:pPr>
            <w:r w:rsidRPr="00D85E09">
              <w:rPr>
                <w:rFonts w:ascii="Arial Narrow" w:hAnsi="Arial Narrow"/>
              </w:rPr>
              <w:t>Subarachnoid haemorrhage</w:t>
            </w:r>
          </w:p>
        </w:tc>
        <w:tc>
          <w:tcPr>
            <w:tcW w:w="407" w:type="pct"/>
            <w:vAlign w:val="center"/>
          </w:tcPr>
          <w:p w14:paraId="3A76BC6F"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7827B4C1"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264E466D"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23F0963F" w14:textId="77777777" w:rsidR="00315893" w:rsidRPr="00D85E09" w:rsidRDefault="00315893"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5FC0AFC6" w14:textId="77777777" w:rsidR="00315893" w:rsidRPr="00D85E09" w:rsidRDefault="00315893" w:rsidP="0043316B">
            <w:pPr>
              <w:pStyle w:val="TableText5"/>
              <w:widowControl w:val="0"/>
              <w:rPr>
                <w:rFonts w:ascii="Arial Narrow" w:hAnsi="Arial Narrow"/>
              </w:rPr>
            </w:pPr>
            <w:r w:rsidRPr="00D85E09">
              <w:rPr>
                <w:rFonts w:ascii="Arial Narrow" w:eastAsia="OTNEJMScalaSansLF" w:hAnsi="Arial Narrow" w:cs="OTNEJMScalaSansLF"/>
              </w:rPr>
              <w:t>2 (0.9)</w:t>
            </w:r>
          </w:p>
        </w:tc>
        <w:tc>
          <w:tcPr>
            <w:tcW w:w="407" w:type="pct"/>
            <w:vAlign w:val="center"/>
          </w:tcPr>
          <w:p w14:paraId="7E24244E" w14:textId="77777777" w:rsidR="00315893" w:rsidRPr="00D85E09" w:rsidRDefault="00315893" w:rsidP="0043316B">
            <w:pPr>
              <w:pStyle w:val="TableText5"/>
              <w:widowControl w:val="0"/>
              <w:rPr>
                <w:rFonts w:ascii="Arial Narrow" w:hAnsi="Arial Narrow"/>
              </w:rPr>
            </w:pPr>
            <w:r w:rsidRPr="00D85E09">
              <w:rPr>
                <w:rFonts w:ascii="Arial Narrow" w:eastAsia="OTNEJMScalaSansLF" w:hAnsi="Arial Narrow" w:cs="OTNEJMScalaSansLF"/>
              </w:rPr>
              <w:t>0</w:t>
            </w:r>
          </w:p>
        </w:tc>
        <w:tc>
          <w:tcPr>
            <w:tcW w:w="407" w:type="pct"/>
            <w:vAlign w:val="center"/>
          </w:tcPr>
          <w:p w14:paraId="4B91BB52" w14:textId="77777777" w:rsidR="00315893" w:rsidRPr="00D85E09" w:rsidRDefault="00315893" w:rsidP="0043316B">
            <w:pPr>
              <w:pStyle w:val="TableText5"/>
              <w:widowControl w:val="0"/>
              <w:rPr>
                <w:rFonts w:ascii="Arial Narrow" w:hAnsi="Arial Narrow"/>
              </w:rPr>
            </w:pPr>
            <w:r w:rsidRPr="00D85E09">
              <w:rPr>
                <w:rFonts w:ascii="Arial Narrow" w:hAnsi="Arial Narrow"/>
              </w:rPr>
              <w:t>5 (4.9)</w:t>
            </w:r>
          </w:p>
        </w:tc>
        <w:tc>
          <w:tcPr>
            <w:tcW w:w="407" w:type="pct"/>
            <w:vAlign w:val="center"/>
          </w:tcPr>
          <w:p w14:paraId="30CC23B7" w14:textId="77777777" w:rsidR="00315893" w:rsidRPr="00D85E09" w:rsidRDefault="00315893" w:rsidP="0043316B">
            <w:pPr>
              <w:pStyle w:val="TableText5"/>
              <w:widowControl w:val="0"/>
              <w:rPr>
                <w:rFonts w:ascii="Arial Narrow" w:hAnsi="Arial Narrow"/>
              </w:rPr>
            </w:pPr>
            <w:r w:rsidRPr="00D85E09">
              <w:rPr>
                <w:rFonts w:ascii="Arial Narrow" w:hAnsi="Arial Narrow"/>
              </w:rPr>
              <w:t>2 (1.9)</w:t>
            </w:r>
          </w:p>
        </w:tc>
        <w:tc>
          <w:tcPr>
            <w:tcW w:w="407" w:type="pct"/>
            <w:vAlign w:val="center"/>
          </w:tcPr>
          <w:p w14:paraId="2282DEAD" w14:textId="77777777" w:rsidR="00315893" w:rsidRPr="00D85E09" w:rsidRDefault="00315893" w:rsidP="0043316B">
            <w:pPr>
              <w:pStyle w:val="TableText5"/>
              <w:widowControl w:val="0"/>
              <w:rPr>
                <w:rFonts w:ascii="Arial Narrow" w:hAnsi="Arial Narrow"/>
              </w:rPr>
            </w:pPr>
            <w:r w:rsidRPr="00D85E09">
              <w:rPr>
                <w:rFonts w:ascii="Arial Narrow" w:hAnsi="Arial Narrow"/>
              </w:rPr>
              <w:t>4 (4)</w:t>
            </w:r>
          </w:p>
        </w:tc>
        <w:tc>
          <w:tcPr>
            <w:tcW w:w="407" w:type="pct"/>
            <w:vAlign w:val="center"/>
          </w:tcPr>
          <w:p w14:paraId="11A5595C" w14:textId="77777777" w:rsidR="00315893" w:rsidRPr="00D85E09" w:rsidRDefault="00315893" w:rsidP="0043316B">
            <w:pPr>
              <w:pStyle w:val="TableText5"/>
              <w:widowControl w:val="0"/>
              <w:rPr>
                <w:rFonts w:ascii="Arial Narrow" w:hAnsi="Arial Narrow"/>
              </w:rPr>
            </w:pPr>
            <w:r w:rsidRPr="00D85E09">
              <w:rPr>
                <w:rFonts w:ascii="Arial Narrow" w:hAnsi="Arial Narrow"/>
              </w:rPr>
              <w:t>1(1)</w:t>
            </w:r>
          </w:p>
        </w:tc>
      </w:tr>
      <w:tr w:rsidR="00FA3DDC" w:rsidRPr="00D85E09" w14:paraId="5541F720" w14:textId="77777777" w:rsidTr="00FA3DDC">
        <w:tc>
          <w:tcPr>
            <w:tcW w:w="929" w:type="pct"/>
          </w:tcPr>
          <w:p w14:paraId="74DE3A16" w14:textId="2DA9ED19" w:rsidR="00FA3DDC" w:rsidRPr="00D85E09" w:rsidRDefault="00FA3DDC" w:rsidP="0043316B">
            <w:pPr>
              <w:pStyle w:val="TableText5"/>
              <w:widowControl w:val="0"/>
              <w:rPr>
                <w:rFonts w:ascii="Arial Narrow" w:hAnsi="Arial Narrow"/>
              </w:rPr>
            </w:pPr>
            <w:r w:rsidRPr="00D85E09">
              <w:rPr>
                <w:rFonts w:ascii="Arial Narrow" w:hAnsi="Arial Narrow"/>
              </w:rPr>
              <w:t>New isch</w:t>
            </w:r>
            <w:r w:rsidR="00E56287" w:rsidRPr="00D85E09">
              <w:rPr>
                <w:rFonts w:ascii="Arial Narrow" w:hAnsi="Arial Narrow"/>
              </w:rPr>
              <w:t>aemic</w:t>
            </w:r>
            <w:r w:rsidRPr="00D85E09">
              <w:rPr>
                <w:rFonts w:ascii="Arial Narrow" w:hAnsi="Arial Narrow"/>
              </w:rPr>
              <w:t xml:space="preserve"> stroke</w:t>
            </w:r>
          </w:p>
        </w:tc>
        <w:tc>
          <w:tcPr>
            <w:tcW w:w="407" w:type="pct"/>
            <w:vAlign w:val="center"/>
          </w:tcPr>
          <w:p w14:paraId="0C675F52" w14:textId="7B2CC32A" w:rsidR="00FA3DDC" w:rsidRPr="00D85E09" w:rsidRDefault="00FA3DDC"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74C0940B" w14:textId="7F482946" w:rsidR="00FA3DDC" w:rsidRPr="00D85E09" w:rsidRDefault="00FA3DDC"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1AFC603C" w14:textId="0E646EEC" w:rsidR="00FA3DDC" w:rsidRPr="00D85E09" w:rsidRDefault="00FA3DDC"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5F04A98C" w14:textId="3E001D64" w:rsidR="00FA3DDC" w:rsidRPr="00D85E09" w:rsidRDefault="00FA3DDC"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50E95233" w14:textId="04B3C198" w:rsidR="00FA3DDC" w:rsidRPr="00D85E09" w:rsidRDefault="00FA3DDC" w:rsidP="0043316B">
            <w:pPr>
              <w:pStyle w:val="TableText5"/>
              <w:widowControl w:val="0"/>
              <w:rPr>
                <w:rFonts w:ascii="Arial Narrow" w:eastAsia="OTNEJMScalaSansLF" w:hAnsi="Arial Narrow" w:cs="OTNEJMScalaSansLF"/>
              </w:rPr>
            </w:pPr>
            <w:r w:rsidRPr="00D85E09">
              <w:rPr>
                <w:rFonts w:ascii="Arial Narrow" w:eastAsia="OTNEJMScalaSansLF" w:hAnsi="Arial Narrow" w:cs="OTNEJMScalaSansLF"/>
              </w:rPr>
              <w:t>13 (5.6)</w:t>
            </w:r>
          </w:p>
        </w:tc>
        <w:tc>
          <w:tcPr>
            <w:tcW w:w="407" w:type="pct"/>
            <w:vAlign w:val="center"/>
          </w:tcPr>
          <w:p w14:paraId="22034F69" w14:textId="114DEBDF" w:rsidR="00FA3DDC" w:rsidRPr="00D85E09" w:rsidRDefault="00FA3DDC" w:rsidP="0043316B">
            <w:pPr>
              <w:pStyle w:val="TableText5"/>
              <w:widowControl w:val="0"/>
              <w:rPr>
                <w:rFonts w:ascii="Arial Narrow" w:eastAsia="OTNEJMScalaSansLF" w:hAnsi="Arial Narrow" w:cs="OTNEJMScalaSansLF"/>
              </w:rPr>
            </w:pPr>
            <w:r w:rsidRPr="00D85E09">
              <w:rPr>
                <w:rFonts w:ascii="Arial Narrow" w:eastAsia="OTNEJMScalaSansLF" w:hAnsi="Arial Narrow" w:cs="OTNEJMScalaSansLF"/>
              </w:rPr>
              <w:t>1 (0.4)</w:t>
            </w:r>
          </w:p>
        </w:tc>
        <w:tc>
          <w:tcPr>
            <w:tcW w:w="407" w:type="pct"/>
            <w:vAlign w:val="center"/>
          </w:tcPr>
          <w:p w14:paraId="740A43A9" w14:textId="604D9FEE" w:rsidR="00FA3DDC" w:rsidRPr="00D85E09" w:rsidRDefault="00FA3DDC" w:rsidP="0043316B">
            <w:pPr>
              <w:pStyle w:val="TableText5"/>
              <w:widowControl w:val="0"/>
              <w:rPr>
                <w:rFonts w:ascii="Arial Narrow" w:hAnsi="Arial Narrow"/>
              </w:rPr>
            </w:pPr>
            <w:r w:rsidRPr="00D85E09">
              <w:rPr>
                <w:rFonts w:ascii="Arial Narrow" w:hAnsi="Arial Narrow"/>
              </w:rPr>
              <w:t>4 (3.9)</w:t>
            </w:r>
          </w:p>
        </w:tc>
        <w:tc>
          <w:tcPr>
            <w:tcW w:w="407" w:type="pct"/>
            <w:vAlign w:val="center"/>
          </w:tcPr>
          <w:p w14:paraId="48D2A667" w14:textId="56A15311" w:rsidR="00FA3DDC" w:rsidRPr="00D85E09" w:rsidRDefault="00FA3DDC" w:rsidP="0043316B">
            <w:pPr>
              <w:pStyle w:val="TableText5"/>
              <w:widowControl w:val="0"/>
              <w:rPr>
                <w:rFonts w:ascii="Arial Narrow" w:hAnsi="Arial Narrow"/>
              </w:rPr>
            </w:pPr>
            <w:r w:rsidRPr="00D85E09">
              <w:rPr>
                <w:rFonts w:ascii="Arial Narrow" w:hAnsi="Arial Narrow"/>
              </w:rPr>
              <w:t>3 (2.9)</w:t>
            </w:r>
          </w:p>
        </w:tc>
        <w:tc>
          <w:tcPr>
            <w:tcW w:w="407" w:type="pct"/>
            <w:vAlign w:val="center"/>
          </w:tcPr>
          <w:p w14:paraId="54468892" w14:textId="79E183E8" w:rsidR="00FA3DDC" w:rsidRPr="00D85E09" w:rsidRDefault="00FA3DDC" w:rsidP="0043316B">
            <w:pPr>
              <w:pStyle w:val="TableText5"/>
              <w:widowControl w:val="0"/>
              <w:rPr>
                <w:rFonts w:ascii="Arial Narrow" w:hAnsi="Arial Narrow"/>
              </w:rPr>
            </w:pPr>
            <w:r w:rsidRPr="00D85E09">
              <w:rPr>
                <w:rFonts w:ascii="Arial Narrow" w:hAnsi="Arial Narrow"/>
              </w:rPr>
              <w:t>NR</w:t>
            </w:r>
          </w:p>
        </w:tc>
        <w:tc>
          <w:tcPr>
            <w:tcW w:w="407" w:type="pct"/>
            <w:vAlign w:val="center"/>
          </w:tcPr>
          <w:p w14:paraId="30F229FF" w14:textId="7CF9F101" w:rsidR="00FA3DDC" w:rsidRPr="00D85E09" w:rsidRDefault="00FA3DDC" w:rsidP="0043316B">
            <w:pPr>
              <w:pStyle w:val="TableText5"/>
              <w:widowControl w:val="0"/>
              <w:rPr>
                <w:rFonts w:ascii="Arial Narrow" w:hAnsi="Arial Narrow"/>
              </w:rPr>
            </w:pPr>
            <w:r w:rsidRPr="00D85E09">
              <w:rPr>
                <w:rFonts w:ascii="Arial Narrow" w:hAnsi="Arial Narrow"/>
              </w:rPr>
              <w:t>NR</w:t>
            </w:r>
          </w:p>
        </w:tc>
      </w:tr>
    </w:tbl>
    <w:p w14:paraId="2BE918D1" w14:textId="59EF93BA" w:rsidR="00766F2A" w:rsidRPr="00D85E09" w:rsidRDefault="00FA3DDC" w:rsidP="0043316B">
      <w:pPr>
        <w:pStyle w:val="TableNotes1"/>
        <w:keepNext w:val="0"/>
        <w:keepLines w:val="0"/>
        <w:widowControl w:val="0"/>
      </w:pPr>
      <w:r w:rsidRPr="00D85E09">
        <w:t xml:space="preserve">a. </w:t>
      </w:r>
      <w:r w:rsidR="00315893" w:rsidRPr="00D85E09">
        <w:t>Perforation of the middle cerebral artery</w:t>
      </w:r>
      <w:r w:rsidR="00902135" w:rsidRPr="00D85E09">
        <w:t>.</w:t>
      </w:r>
    </w:p>
    <w:p w14:paraId="1AB05DD9" w14:textId="77777777" w:rsidR="00766F2A" w:rsidRPr="00D85E09" w:rsidRDefault="00FA3DDC" w:rsidP="0043316B">
      <w:pPr>
        <w:pStyle w:val="TableNotes1"/>
        <w:keepNext w:val="0"/>
        <w:keepLines w:val="0"/>
        <w:widowControl w:val="0"/>
      </w:pPr>
      <w:r w:rsidRPr="00D85E09">
        <w:t>b.</w:t>
      </w:r>
      <w:r w:rsidR="00315893" w:rsidRPr="00D85E09">
        <w:t>Bleeding was caused by perforation by a wire during angiography and before deployment of the Solitaire FR stent retriever</w:t>
      </w:r>
      <w:r w:rsidRPr="00D85E09">
        <w:t>.</w:t>
      </w:r>
    </w:p>
    <w:p w14:paraId="3A2D174B" w14:textId="00FE9F4C" w:rsidR="00116358" w:rsidRPr="00D85E09" w:rsidRDefault="00766F2A" w:rsidP="0043316B">
      <w:pPr>
        <w:pStyle w:val="TableNotes1"/>
        <w:keepNext w:val="0"/>
        <w:keepLines w:val="0"/>
        <w:widowControl w:val="0"/>
      </w:pPr>
      <w:r w:rsidRPr="00D85E09">
        <w:t>c.</w:t>
      </w:r>
      <w:r w:rsidR="00116358" w:rsidRPr="00D85E09">
        <w:t>E</w:t>
      </w:r>
      <w:r w:rsidR="00FB6F5F" w:rsidRPr="00D85E09">
        <w:t>mbolization into new</w:t>
      </w:r>
      <w:r w:rsidR="00116358" w:rsidRPr="00D85E09">
        <w:t xml:space="preserve"> </w:t>
      </w:r>
      <w:r w:rsidR="00FB6F5F" w:rsidRPr="00D85E09">
        <w:t>territories outside the target downstream territory</w:t>
      </w:r>
      <w:r w:rsidR="00116358" w:rsidRPr="00D85E09">
        <w:t xml:space="preserve"> of the occluded vessel,</w:t>
      </w:r>
      <w:r w:rsidR="00FB6F5F" w:rsidRPr="00D85E09">
        <w:t xml:space="preserve"> procedure-related vessel dissections</w:t>
      </w:r>
      <w:r w:rsidR="00116358" w:rsidRPr="00D85E09">
        <w:t xml:space="preserve"> </w:t>
      </w:r>
      <w:r w:rsidR="00FB6F5F" w:rsidRPr="00D85E09">
        <w:t>and vessel perforations</w:t>
      </w:r>
      <w:r w:rsidR="00902135" w:rsidRPr="00D85E09">
        <w:t>.</w:t>
      </w:r>
    </w:p>
    <w:p w14:paraId="6CD1F72A" w14:textId="40AD39E6" w:rsidR="00116358" w:rsidRPr="00D85E09" w:rsidRDefault="00FA3DDC" w:rsidP="0043316B">
      <w:pPr>
        <w:pStyle w:val="TableNotes1"/>
        <w:keepNext w:val="0"/>
        <w:keepLines w:val="0"/>
        <w:widowControl w:val="0"/>
      </w:pPr>
      <w:r w:rsidRPr="00D85E09">
        <w:t xml:space="preserve">d. </w:t>
      </w:r>
      <w:r w:rsidR="00116358" w:rsidRPr="00D85E09">
        <w:t>Distal emboli</w:t>
      </w:r>
      <w:r w:rsidR="00E56287" w:rsidRPr="00D85E09">
        <w:t>s</w:t>
      </w:r>
      <w:r w:rsidR="00116358" w:rsidRPr="00D85E09">
        <w:t>ation</w:t>
      </w:r>
      <w:r w:rsidR="004E68C6" w:rsidRPr="00D85E09">
        <w:t xml:space="preserve"> in a different territory, arterial dissection, aterial perforation, groin pseudoaneurysm and vasospasm requiring treatment</w:t>
      </w:r>
      <w:r w:rsidR="00902135" w:rsidRPr="00D85E09">
        <w:t>.</w:t>
      </w:r>
    </w:p>
    <w:p w14:paraId="6F960318" w14:textId="71462923" w:rsidR="00116358" w:rsidRPr="00D85E09" w:rsidRDefault="00FA3DDC" w:rsidP="0043316B">
      <w:pPr>
        <w:pStyle w:val="TableNotes1"/>
        <w:keepNext w:val="0"/>
        <w:keepLines w:val="0"/>
        <w:widowControl w:val="0"/>
      </w:pPr>
      <w:r w:rsidRPr="00D85E09">
        <w:t xml:space="preserve">e. </w:t>
      </w:r>
      <w:r w:rsidR="00116358" w:rsidRPr="00D85E09">
        <w:t>Injury, poisoning and procedural complications</w:t>
      </w:r>
      <w:r w:rsidR="00902135" w:rsidRPr="00D85E09">
        <w:t>.</w:t>
      </w:r>
    </w:p>
    <w:p w14:paraId="4F53B4DB" w14:textId="77777777" w:rsidR="003C467C" w:rsidRPr="00D85E09" w:rsidRDefault="003C467C" w:rsidP="0043316B">
      <w:pPr>
        <w:widowControl w:val="0"/>
        <w:sectPr w:rsidR="003C467C" w:rsidRPr="00D85E09" w:rsidSect="00465778">
          <w:pgSz w:w="16834" w:h="11907" w:orient="landscape" w:code="9"/>
          <w:pgMar w:top="1701" w:right="1701" w:bottom="1418" w:left="1418" w:header="720" w:footer="720" w:gutter="0"/>
          <w:paperSrc w:first="4035" w:other="4035"/>
          <w:cols w:space="720"/>
          <w:noEndnote/>
          <w:docGrid w:linePitch="299"/>
        </w:sectPr>
      </w:pPr>
    </w:p>
    <w:p w14:paraId="47E36628" w14:textId="77777777" w:rsidR="00315893" w:rsidRPr="00D85E09" w:rsidRDefault="00315893" w:rsidP="0043316B">
      <w:pPr>
        <w:pStyle w:val="Heading2"/>
        <w:widowControl w:val="0"/>
        <w:spacing w:before="240"/>
        <w:ind w:left="851" w:hanging="851"/>
        <w:jc w:val="both"/>
        <w:rPr>
          <w:lang w:val="en-AU"/>
        </w:rPr>
      </w:pPr>
      <w:bookmarkStart w:id="332" w:name="_Toc191822174"/>
      <w:bookmarkStart w:id="333" w:name="_Toc191822224"/>
      <w:bookmarkStart w:id="334" w:name="_Toc191822274"/>
      <w:bookmarkStart w:id="335" w:name="_Toc258501791"/>
      <w:bookmarkStart w:id="336" w:name="_Toc273301473"/>
      <w:bookmarkStart w:id="337" w:name="_Toc367090361"/>
      <w:bookmarkStart w:id="338" w:name="_Toc453065275"/>
      <w:r w:rsidRPr="00D85E09">
        <w:rPr>
          <w:lang w:val="en-AU"/>
        </w:rPr>
        <w:lastRenderedPageBreak/>
        <w:t>Extended assessment of comparative harms</w:t>
      </w:r>
      <w:bookmarkEnd w:id="332"/>
      <w:bookmarkEnd w:id="333"/>
      <w:bookmarkEnd w:id="334"/>
      <w:bookmarkEnd w:id="335"/>
      <w:bookmarkEnd w:id="336"/>
      <w:bookmarkEnd w:id="337"/>
      <w:bookmarkEnd w:id="338"/>
    </w:p>
    <w:p w14:paraId="79D2DD73" w14:textId="45DFBEC6" w:rsidR="00315893" w:rsidRPr="00D85E09" w:rsidRDefault="00315893" w:rsidP="0043316B">
      <w:pPr>
        <w:widowControl w:val="0"/>
      </w:pPr>
      <w:bookmarkStart w:id="339" w:name="_Toc191822175"/>
      <w:bookmarkStart w:id="340" w:name="_Toc191822225"/>
      <w:bookmarkStart w:id="341" w:name="_Toc191822275"/>
      <w:bookmarkStart w:id="342" w:name="_Toc258501792"/>
      <w:bookmarkStart w:id="343" w:name="_Toc273301474"/>
      <w:r w:rsidRPr="00D85E09">
        <w:t>There appear to be no long-term follow-up studies documenting adverse events with regards to the use of MT beyond three</w:t>
      </w:r>
      <w:r w:rsidR="00300BB6" w:rsidRPr="00D85E09">
        <w:t xml:space="preserve"> </w:t>
      </w:r>
      <w:r w:rsidRPr="00D85E09">
        <w:t>months.</w:t>
      </w:r>
      <w:r w:rsidR="00766F2A" w:rsidRPr="00D85E09">
        <w:t xml:space="preserve"> </w:t>
      </w:r>
      <w:r w:rsidR="00660BD5" w:rsidRPr="00D85E09">
        <w:t>T</w:t>
      </w:r>
      <w:r w:rsidR="00F5062A" w:rsidRPr="00D85E09">
        <w:t>herefore</w:t>
      </w:r>
      <w:r w:rsidR="00660BD5" w:rsidRPr="00D85E09">
        <w:t xml:space="preserve"> </w:t>
      </w:r>
      <w:r w:rsidRPr="00D85E09">
        <w:t xml:space="preserve">the long-term safety profile of MT </w:t>
      </w:r>
      <w:r w:rsidR="00660BD5" w:rsidRPr="00D85E09">
        <w:t xml:space="preserve">relative to usual care </w:t>
      </w:r>
      <w:r w:rsidRPr="00D85E09">
        <w:t>is expected to be similar</w:t>
      </w:r>
      <w:r w:rsidR="00660BD5" w:rsidRPr="00D85E09">
        <w:t xml:space="preserve"> to the 90-day safety profile reported in the clinical trial</w:t>
      </w:r>
      <w:r w:rsidR="00766F2A" w:rsidRPr="00D85E09">
        <w:t>s</w:t>
      </w:r>
      <w:r w:rsidRPr="00D85E09">
        <w:t>.</w:t>
      </w:r>
    </w:p>
    <w:p w14:paraId="29868B93" w14:textId="77777777" w:rsidR="00315893" w:rsidRPr="00D85E09" w:rsidRDefault="00315893" w:rsidP="0043316B">
      <w:pPr>
        <w:widowControl w:val="0"/>
        <w:rPr>
          <w:sz w:val="36"/>
        </w:rPr>
      </w:pPr>
      <w:r w:rsidRPr="00D85E09">
        <w:br w:type="page"/>
      </w:r>
    </w:p>
    <w:p w14:paraId="29A5578D" w14:textId="77777777" w:rsidR="00315893" w:rsidRPr="00D85E09" w:rsidRDefault="00315893" w:rsidP="0043316B">
      <w:pPr>
        <w:pStyle w:val="Heading2"/>
        <w:widowControl w:val="0"/>
        <w:spacing w:before="240"/>
        <w:ind w:left="851" w:hanging="851"/>
        <w:jc w:val="both"/>
        <w:rPr>
          <w:lang w:val="en-AU"/>
        </w:rPr>
      </w:pPr>
      <w:bookmarkStart w:id="344" w:name="_Toc367090363"/>
      <w:bookmarkStart w:id="345" w:name="_Ref368324552"/>
      <w:bookmarkStart w:id="346" w:name="_Toc453065276"/>
      <w:r w:rsidRPr="00D85E09">
        <w:rPr>
          <w:lang w:val="en-AU"/>
        </w:rPr>
        <w:lastRenderedPageBreak/>
        <w:t>Interpretation of the clinical evidence</w:t>
      </w:r>
      <w:bookmarkEnd w:id="339"/>
      <w:bookmarkEnd w:id="340"/>
      <w:bookmarkEnd w:id="341"/>
      <w:bookmarkEnd w:id="342"/>
      <w:bookmarkEnd w:id="343"/>
      <w:bookmarkEnd w:id="344"/>
      <w:bookmarkEnd w:id="345"/>
      <w:bookmarkEnd w:id="346"/>
    </w:p>
    <w:p w14:paraId="471C8B32" w14:textId="77777777" w:rsidR="00315893" w:rsidRPr="00D85E09" w:rsidRDefault="00315893" w:rsidP="0043316B">
      <w:pPr>
        <w:pStyle w:val="Heading5"/>
        <w:widowControl w:val="0"/>
        <w:rPr>
          <w:lang w:val="en-AU"/>
        </w:rPr>
      </w:pPr>
      <w:r w:rsidRPr="00D85E09">
        <w:rPr>
          <w:lang w:val="en-AU"/>
        </w:rPr>
        <w:t>Efficacy and safety</w:t>
      </w:r>
    </w:p>
    <w:p w14:paraId="2D14E83D" w14:textId="77777777" w:rsidR="00315893" w:rsidRPr="00D85E09" w:rsidRDefault="00315893" w:rsidP="0043316B">
      <w:pPr>
        <w:widowControl w:val="0"/>
      </w:pPr>
      <w:r w:rsidRPr="00D85E09">
        <w:t>Overall, 46.1% of patients in the intervention treatment arm compared to 26.4% of patients in the control arm possessed a mRS score of 0-2 at 90 days. A mRS score of 0-2 indicated functional independence. This difference was statistically significant with an OR=2.39 (95% CI: 1.88, 3.04), p&lt;0.0001.</w:t>
      </w:r>
    </w:p>
    <w:p w14:paraId="161E354B" w14:textId="698DA202" w:rsidR="00315893" w:rsidRPr="00D85E09" w:rsidRDefault="00315893" w:rsidP="0043316B">
      <w:pPr>
        <w:widowControl w:val="0"/>
      </w:pPr>
      <w:r w:rsidRPr="00D85E09">
        <w:t>In general, the included trials also demonstrated a greater proportion of subjects who achieved early neurologic improvement, possessed milder impairment post</w:t>
      </w:r>
      <w:r w:rsidR="00300BB6" w:rsidRPr="00D85E09">
        <w:t>-</w:t>
      </w:r>
      <w:r w:rsidRPr="00D85E09">
        <w:t xml:space="preserve">stroke and higher Barthel Index score compared to the control arm. Additionally, </w:t>
      </w:r>
      <w:r w:rsidRPr="00D85E09">
        <w:rPr>
          <w:rFonts w:eastAsia="OTNEJMScalaSansLF"/>
          <w:lang w:eastAsia="en-AU"/>
        </w:rPr>
        <w:t>there was 100% reduction in the perfusion-lesion volume for patients treated with intervention treatment, compared to 37% reduction for those in the control arm.</w:t>
      </w:r>
    </w:p>
    <w:p w14:paraId="1FEF3C84" w14:textId="77777777" w:rsidR="00315893" w:rsidRPr="00D85E09" w:rsidRDefault="00315893" w:rsidP="0043316B">
      <w:pPr>
        <w:widowControl w:val="0"/>
      </w:pPr>
      <w:r w:rsidRPr="00D85E09">
        <w:t>Overall, 15.3% of patients in the intervention treatment arm compared to 18.8% of patients in the control arm had died at 90 days. This difference was not statistically significant with an OR=0.78 (95% CI: 0.54, 1.12), p=0.18.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Outcomes"/>
      </w:tblPr>
      <w:tblGrid>
        <w:gridCol w:w="2853"/>
        <w:gridCol w:w="1894"/>
        <w:gridCol w:w="1894"/>
        <w:gridCol w:w="2363"/>
      </w:tblGrid>
      <w:tr w:rsidR="00660BD5" w:rsidRPr="00D85E09" w14:paraId="14947BCE" w14:textId="77777777" w:rsidTr="004E6CDE">
        <w:trPr>
          <w:trHeight w:val="20"/>
          <w:jc w:val="center"/>
        </w:trPr>
        <w:tc>
          <w:tcPr>
            <w:tcW w:w="1584" w:type="pct"/>
            <w:vMerge w:val="restart"/>
            <w:shd w:val="clear" w:color="auto" w:fill="auto"/>
            <w:hideMark/>
          </w:tcPr>
          <w:p w14:paraId="37F14542" w14:textId="77777777" w:rsidR="00660BD5" w:rsidRPr="00D85E09" w:rsidRDefault="00660BD5" w:rsidP="0043316B">
            <w:pPr>
              <w:pStyle w:val="Tabletext"/>
              <w:keepNext w:val="0"/>
              <w:widowControl w:val="0"/>
              <w:rPr>
                <w:b/>
              </w:rPr>
            </w:pPr>
            <w:r w:rsidRPr="00D85E09">
              <w:rPr>
                <w:b/>
              </w:rPr>
              <w:t>Outcome</w:t>
            </w:r>
          </w:p>
        </w:tc>
        <w:tc>
          <w:tcPr>
            <w:tcW w:w="1052" w:type="pct"/>
            <w:shd w:val="clear" w:color="auto" w:fill="auto"/>
            <w:vAlign w:val="center"/>
          </w:tcPr>
          <w:p w14:paraId="3DFABC62" w14:textId="77777777" w:rsidR="00660BD5" w:rsidRPr="00D85E09" w:rsidRDefault="00660BD5" w:rsidP="0043316B">
            <w:pPr>
              <w:pStyle w:val="Tabletext"/>
              <w:keepNext w:val="0"/>
              <w:widowControl w:val="0"/>
              <w:rPr>
                <w:b/>
              </w:rPr>
            </w:pPr>
            <w:r w:rsidRPr="00D85E09">
              <w:rPr>
                <w:b/>
              </w:rPr>
              <w:t>Intervention</w:t>
            </w:r>
          </w:p>
        </w:tc>
        <w:tc>
          <w:tcPr>
            <w:tcW w:w="1052" w:type="pct"/>
            <w:shd w:val="clear" w:color="auto" w:fill="auto"/>
            <w:noWrap/>
            <w:vAlign w:val="center"/>
            <w:hideMark/>
          </w:tcPr>
          <w:p w14:paraId="5719D969" w14:textId="77777777" w:rsidR="00660BD5" w:rsidRPr="00D85E09" w:rsidRDefault="00660BD5" w:rsidP="0043316B">
            <w:pPr>
              <w:pStyle w:val="Tabletext"/>
              <w:keepNext w:val="0"/>
              <w:widowControl w:val="0"/>
              <w:rPr>
                <w:b/>
              </w:rPr>
            </w:pPr>
            <w:r w:rsidRPr="00D85E09">
              <w:rPr>
                <w:b/>
                <w:bCs/>
                <w:color w:val="000000"/>
              </w:rPr>
              <w:t>Control</w:t>
            </w:r>
          </w:p>
        </w:tc>
        <w:tc>
          <w:tcPr>
            <w:tcW w:w="1312" w:type="pct"/>
            <w:vMerge w:val="restart"/>
            <w:shd w:val="clear" w:color="auto" w:fill="auto"/>
            <w:vAlign w:val="center"/>
          </w:tcPr>
          <w:p w14:paraId="15B67ADF" w14:textId="77777777" w:rsidR="00660BD5" w:rsidRPr="00D85E09" w:rsidRDefault="00660BD5" w:rsidP="0043316B">
            <w:pPr>
              <w:pStyle w:val="Tabletext"/>
              <w:keepNext w:val="0"/>
              <w:widowControl w:val="0"/>
              <w:rPr>
                <w:b/>
              </w:rPr>
            </w:pPr>
            <w:r w:rsidRPr="00D85E09">
              <w:rPr>
                <w:b/>
              </w:rPr>
              <w:t>OR [95% CI]</w:t>
            </w:r>
          </w:p>
        </w:tc>
      </w:tr>
      <w:tr w:rsidR="00660BD5" w:rsidRPr="00D85E09" w14:paraId="53AE3B78" w14:textId="77777777" w:rsidTr="00465778">
        <w:trPr>
          <w:trHeight w:val="20"/>
          <w:jc w:val="center"/>
        </w:trPr>
        <w:tc>
          <w:tcPr>
            <w:tcW w:w="1584" w:type="pct"/>
            <w:vMerge/>
            <w:shd w:val="clear" w:color="auto" w:fill="auto"/>
          </w:tcPr>
          <w:p w14:paraId="1F5E498E" w14:textId="77777777" w:rsidR="00660BD5" w:rsidRPr="00D85E09" w:rsidRDefault="00660BD5" w:rsidP="0043316B">
            <w:pPr>
              <w:pStyle w:val="Tabletext"/>
              <w:keepNext w:val="0"/>
              <w:widowControl w:val="0"/>
              <w:rPr>
                <w:b/>
              </w:rPr>
            </w:pPr>
          </w:p>
        </w:tc>
        <w:tc>
          <w:tcPr>
            <w:tcW w:w="1052" w:type="pct"/>
            <w:shd w:val="clear" w:color="auto" w:fill="auto"/>
            <w:vAlign w:val="center"/>
          </w:tcPr>
          <w:p w14:paraId="7F389D81" w14:textId="77777777" w:rsidR="00660BD5" w:rsidRPr="00D85E09" w:rsidRDefault="00660BD5" w:rsidP="0043316B">
            <w:pPr>
              <w:pStyle w:val="Tabletext"/>
              <w:keepNext w:val="0"/>
              <w:widowControl w:val="0"/>
              <w:rPr>
                <w:b/>
              </w:rPr>
            </w:pPr>
            <w:r w:rsidRPr="00D85E09">
              <w:rPr>
                <w:b/>
              </w:rPr>
              <w:t>n /N (%)</w:t>
            </w:r>
          </w:p>
        </w:tc>
        <w:tc>
          <w:tcPr>
            <w:tcW w:w="1052" w:type="pct"/>
            <w:shd w:val="clear" w:color="auto" w:fill="auto"/>
            <w:noWrap/>
            <w:vAlign w:val="center"/>
          </w:tcPr>
          <w:p w14:paraId="39FF64A9" w14:textId="77777777" w:rsidR="00660BD5" w:rsidRPr="00D85E09" w:rsidRDefault="00660BD5" w:rsidP="0043316B">
            <w:pPr>
              <w:pStyle w:val="Tabletext"/>
              <w:keepNext w:val="0"/>
              <w:widowControl w:val="0"/>
              <w:rPr>
                <w:b/>
              </w:rPr>
            </w:pPr>
            <w:r w:rsidRPr="00D85E09">
              <w:rPr>
                <w:b/>
              </w:rPr>
              <w:t>n /N (%)</w:t>
            </w:r>
          </w:p>
        </w:tc>
        <w:tc>
          <w:tcPr>
            <w:tcW w:w="1312" w:type="pct"/>
            <w:vMerge/>
            <w:shd w:val="clear" w:color="auto" w:fill="EEECE1" w:themeFill="background2"/>
            <w:vAlign w:val="center"/>
          </w:tcPr>
          <w:p w14:paraId="15C5788B" w14:textId="77777777" w:rsidR="00660BD5" w:rsidRPr="00D85E09" w:rsidRDefault="00660BD5" w:rsidP="0043316B">
            <w:pPr>
              <w:pStyle w:val="Tabletext"/>
              <w:keepNext w:val="0"/>
              <w:widowControl w:val="0"/>
            </w:pPr>
          </w:p>
        </w:tc>
      </w:tr>
      <w:tr w:rsidR="00315893" w:rsidRPr="00D85E09" w14:paraId="73E2552F" w14:textId="77777777" w:rsidTr="00465778">
        <w:trPr>
          <w:trHeight w:val="20"/>
          <w:jc w:val="center"/>
        </w:trPr>
        <w:tc>
          <w:tcPr>
            <w:tcW w:w="1584" w:type="pct"/>
            <w:tcBorders>
              <w:top w:val="single" w:sz="4" w:space="0" w:color="auto"/>
              <w:bottom w:val="single" w:sz="4" w:space="0" w:color="auto"/>
            </w:tcBorders>
            <w:shd w:val="clear" w:color="auto" w:fill="auto"/>
            <w:vAlign w:val="center"/>
          </w:tcPr>
          <w:p w14:paraId="5E2C55AA" w14:textId="77777777" w:rsidR="00315893" w:rsidRPr="00D85E09" w:rsidRDefault="00315893" w:rsidP="0043316B">
            <w:pPr>
              <w:pStyle w:val="Tabletext"/>
              <w:keepNext w:val="0"/>
              <w:widowControl w:val="0"/>
            </w:pPr>
            <w:r w:rsidRPr="00D85E09">
              <w:t>mRS score reduction (shift analysis)</w:t>
            </w:r>
          </w:p>
        </w:tc>
        <w:tc>
          <w:tcPr>
            <w:tcW w:w="1052" w:type="pct"/>
            <w:tcBorders>
              <w:top w:val="single" w:sz="4" w:space="0" w:color="auto"/>
              <w:bottom w:val="single" w:sz="4" w:space="0" w:color="auto"/>
            </w:tcBorders>
            <w:vAlign w:val="center"/>
          </w:tcPr>
          <w:p w14:paraId="65DF4A40" w14:textId="77777777" w:rsidR="00315893" w:rsidRPr="00D85E09" w:rsidRDefault="00315893" w:rsidP="0043316B">
            <w:pPr>
              <w:pStyle w:val="Tabletext"/>
              <w:keepNext w:val="0"/>
              <w:widowControl w:val="0"/>
              <w:rPr>
                <w:rFonts w:cs="Calibri"/>
              </w:rPr>
            </w:pPr>
            <w:r w:rsidRPr="00D85E09">
              <w:rPr>
                <w:rFonts w:cs="Calibri"/>
              </w:rPr>
              <w:t>-</w:t>
            </w:r>
          </w:p>
        </w:tc>
        <w:tc>
          <w:tcPr>
            <w:tcW w:w="1052" w:type="pct"/>
            <w:tcBorders>
              <w:top w:val="single" w:sz="4" w:space="0" w:color="auto"/>
              <w:bottom w:val="single" w:sz="4" w:space="0" w:color="auto"/>
            </w:tcBorders>
            <w:shd w:val="clear" w:color="auto" w:fill="auto"/>
            <w:vAlign w:val="center"/>
          </w:tcPr>
          <w:p w14:paraId="42305DE1" w14:textId="77777777" w:rsidR="00315893" w:rsidRPr="00D85E09" w:rsidRDefault="00315893" w:rsidP="0043316B">
            <w:pPr>
              <w:pStyle w:val="Tabletext"/>
              <w:keepNext w:val="0"/>
              <w:widowControl w:val="0"/>
              <w:rPr>
                <w:rFonts w:cs="Calibri"/>
              </w:rPr>
            </w:pPr>
            <w:r w:rsidRPr="00D85E09">
              <w:rPr>
                <w:rFonts w:cs="Calibri"/>
              </w:rPr>
              <w:t>-</w:t>
            </w:r>
          </w:p>
        </w:tc>
        <w:tc>
          <w:tcPr>
            <w:tcW w:w="1312" w:type="pct"/>
            <w:tcBorders>
              <w:top w:val="single" w:sz="4" w:space="0" w:color="auto"/>
              <w:bottom w:val="single" w:sz="4" w:space="0" w:color="auto"/>
            </w:tcBorders>
            <w:vAlign w:val="center"/>
          </w:tcPr>
          <w:p w14:paraId="548E5867" w14:textId="77777777" w:rsidR="00315893" w:rsidRPr="00D85E09" w:rsidRDefault="00315893" w:rsidP="0043316B">
            <w:pPr>
              <w:pStyle w:val="Tabletext"/>
              <w:keepNext w:val="0"/>
              <w:widowControl w:val="0"/>
            </w:pPr>
            <w:r w:rsidRPr="00D85E09">
              <w:t>2.26 (1.67, 3.06) p&lt;0·0001</w:t>
            </w:r>
            <w:r w:rsidRPr="00D85E09">
              <w:rPr>
                <w:vertAlign w:val="superscript"/>
              </w:rPr>
              <w:t>a</w:t>
            </w:r>
            <w:r w:rsidRPr="00D85E09">
              <w:t xml:space="preserve"> </w:t>
            </w:r>
          </w:p>
        </w:tc>
      </w:tr>
      <w:tr w:rsidR="00315893" w:rsidRPr="00D85E09" w14:paraId="24E21BF6" w14:textId="77777777" w:rsidTr="00465778">
        <w:trPr>
          <w:trHeight w:val="20"/>
          <w:jc w:val="center"/>
        </w:trPr>
        <w:tc>
          <w:tcPr>
            <w:tcW w:w="1584" w:type="pct"/>
            <w:tcBorders>
              <w:top w:val="single" w:sz="4" w:space="0" w:color="auto"/>
              <w:bottom w:val="single" w:sz="4" w:space="0" w:color="auto"/>
            </w:tcBorders>
            <w:shd w:val="clear" w:color="auto" w:fill="auto"/>
            <w:vAlign w:val="center"/>
          </w:tcPr>
          <w:p w14:paraId="4CEAF03F" w14:textId="77777777" w:rsidR="00315893" w:rsidRPr="00D85E09" w:rsidRDefault="00315893" w:rsidP="0043316B">
            <w:pPr>
              <w:pStyle w:val="Tabletext"/>
              <w:keepNext w:val="0"/>
              <w:widowControl w:val="0"/>
            </w:pPr>
            <w:r w:rsidRPr="00D85E09">
              <w:t>mRS score 0-2 at 90 days</w:t>
            </w:r>
          </w:p>
        </w:tc>
        <w:tc>
          <w:tcPr>
            <w:tcW w:w="1052" w:type="pct"/>
            <w:tcBorders>
              <w:top w:val="single" w:sz="4" w:space="0" w:color="auto"/>
              <w:bottom w:val="single" w:sz="4" w:space="0" w:color="auto"/>
            </w:tcBorders>
            <w:vAlign w:val="center"/>
          </w:tcPr>
          <w:p w14:paraId="6C0F8A9C" w14:textId="77777777" w:rsidR="00315893" w:rsidRPr="00D85E09" w:rsidRDefault="00315893" w:rsidP="0043316B">
            <w:pPr>
              <w:pStyle w:val="Tabletext"/>
              <w:keepNext w:val="0"/>
              <w:widowControl w:val="0"/>
              <w:rPr>
                <w:rFonts w:cs="Calibri"/>
              </w:rPr>
            </w:pPr>
            <w:r w:rsidRPr="00D85E09">
              <w:rPr>
                <w:rFonts w:cs="Calibri"/>
              </w:rPr>
              <w:t>292/633 (46.1%)</w:t>
            </w:r>
          </w:p>
        </w:tc>
        <w:tc>
          <w:tcPr>
            <w:tcW w:w="1052" w:type="pct"/>
            <w:tcBorders>
              <w:top w:val="single" w:sz="4" w:space="0" w:color="auto"/>
              <w:bottom w:val="single" w:sz="4" w:space="0" w:color="auto"/>
            </w:tcBorders>
            <w:shd w:val="clear" w:color="auto" w:fill="auto"/>
            <w:vAlign w:val="center"/>
          </w:tcPr>
          <w:p w14:paraId="2B4567D4" w14:textId="77777777" w:rsidR="00315893" w:rsidRPr="00D85E09" w:rsidRDefault="00315893" w:rsidP="0043316B">
            <w:pPr>
              <w:pStyle w:val="Tabletext"/>
              <w:keepNext w:val="0"/>
              <w:widowControl w:val="0"/>
              <w:rPr>
                <w:rFonts w:cs="Calibri"/>
              </w:rPr>
            </w:pPr>
            <w:r w:rsidRPr="00D85E09">
              <w:rPr>
                <w:rFonts w:cs="Calibri"/>
              </w:rPr>
              <w:t>170/645 (26.4%)</w:t>
            </w:r>
          </w:p>
        </w:tc>
        <w:tc>
          <w:tcPr>
            <w:tcW w:w="1312" w:type="pct"/>
            <w:tcBorders>
              <w:top w:val="single" w:sz="4" w:space="0" w:color="auto"/>
              <w:bottom w:val="single" w:sz="4" w:space="0" w:color="auto"/>
            </w:tcBorders>
            <w:vAlign w:val="center"/>
          </w:tcPr>
          <w:p w14:paraId="20ACEBE3" w14:textId="77777777" w:rsidR="00315893" w:rsidRPr="00D85E09" w:rsidRDefault="00315893" w:rsidP="0043316B">
            <w:pPr>
              <w:pStyle w:val="Tabletext"/>
              <w:keepNext w:val="0"/>
              <w:widowControl w:val="0"/>
            </w:pPr>
            <w:r w:rsidRPr="00D85E09">
              <w:t>2.39 [1.88, 3.04], p&lt;0.00001</w:t>
            </w:r>
            <w:r w:rsidRPr="00D85E09">
              <w:rPr>
                <w:vertAlign w:val="superscript"/>
              </w:rPr>
              <w:t>b</w:t>
            </w:r>
          </w:p>
        </w:tc>
      </w:tr>
      <w:tr w:rsidR="00315893" w:rsidRPr="00D85E09" w14:paraId="4715B0D9" w14:textId="77777777" w:rsidTr="00465778">
        <w:trPr>
          <w:trHeight w:val="20"/>
          <w:jc w:val="center"/>
        </w:trPr>
        <w:tc>
          <w:tcPr>
            <w:tcW w:w="1584" w:type="pct"/>
            <w:tcBorders>
              <w:top w:val="single" w:sz="4" w:space="0" w:color="auto"/>
            </w:tcBorders>
            <w:shd w:val="clear" w:color="auto" w:fill="auto"/>
            <w:vAlign w:val="center"/>
          </w:tcPr>
          <w:p w14:paraId="11578490" w14:textId="77777777" w:rsidR="00315893" w:rsidRPr="00D85E09" w:rsidRDefault="00315893" w:rsidP="0043316B">
            <w:pPr>
              <w:pStyle w:val="Tabletext"/>
              <w:keepNext w:val="0"/>
              <w:widowControl w:val="0"/>
            </w:pPr>
            <w:r w:rsidRPr="00D85E09">
              <w:t>Mortality at 90 days</w:t>
            </w:r>
          </w:p>
        </w:tc>
        <w:tc>
          <w:tcPr>
            <w:tcW w:w="1052" w:type="pct"/>
            <w:tcBorders>
              <w:top w:val="single" w:sz="4" w:space="0" w:color="auto"/>
            </w:tcBorders>
            <w:vAlign w:val="center"/>
          </w:tcPr>
          <w:p w14:paraId="658533C5" w14:textId="77777777" w:rsidR="00315893" w:rsidRPr="00D85E09" w:rsidRDefault="00315893" w:rsidP="0043316B">
            <w:pPr>
              <w:pStyle w:val="Tabletext"/>
              <w:keepNext w:val="0"/>
              <w:widowControl w:val="0"/>
              <w:rPr>
                <w:rFonts w:eastAsia="OTNEJMScalaSansLF"/>
              </w:rPr>
            </w:pPr>
            <w:r w:rsidRPr="00D85E09">
              <w:rPr>
                <w:rFonts w:eastAsia="OTNEJMScalaSansLF"/>
              </w:rPr>
              <w:t>97/634 (15.3)</w:t>
            </w:r>
          </w:p>
        </w:tc>
        <w:tc>
          <w:tcPr>
            <w:tcW w:w="1052" w:type="pct"/>
            <w:tcBorders>
              <w:top w:val="single" w:sz="4" w:space="0" w:color="auto"/>
            </w:tcBorders>
            <w:shd w:val="clear" w:color="auto" w:fill="auto"/>
            <w:vAlign w:val="center"/>
          </w:tcPr>
          <w:p w14:paraId="421FF3E5" w14:textId="77777777" w:rsidR="00315893" w:rsidRPr="00D85E09" w:rsidRDefault="00315893" w:rsidP="0043316B">
            <w:pPr>
              <w:pStyle w:val="Tabletext"/>
              <w:keepNext w:val="0"/>
              <w:widowControl w:val="0"/>
              <w:rPr>
                <w:rFonts w:eastAsia="OTNEJMScalaSansLF"/>
              </w:rPr>
            </w:pPr>
            <w:r w:rsidRPr="00D85E09">
              <w:rPr>
                <w:rFonts w:eastAsia="OTNEJMScalaSansLF"/>
              </w:rPr>
              <w:t>122/649 (18.8)</w:t>
            </w:r>
          </w:p>
        </w:tc>
        <w:tc>
          <w:tcPr>
            <w:tcW w:w="1312" w:type="pct"/>
            <w:tcBorders>
              <w:top w:val="single" w:sz="4" w:space="0" w:color="auto"/>
            </w:tcBorders>
          </w:tcPr>
          <w:p w14:paraId="5EDC5E2C" w14:textId="77777777" w:rsidR="00315893" w:rsidRPr="00D85E09" w:rsidRDefault="00315893" w:rsidP="0043316B">
            <w:pPr>
              <w:pStyle w:val="Tabletext"/>
              <w:keepNext w:val="0"/>
              <w:widowControl w:val="0"/>
            </w:pPr>
            <w:r w:rsidRPr="00D85E09">
              <w:t>0.78 [0.54, 1.12], p=0.18</w:t>
            </w:r>
            <w:r w:rsidRPr="00D85E09">
              <w:rPr>
                <w:vertAlign w:val="superscript"/>
              </w:rPr>
              <w:t>b</w:t>
            </w:r>
          </w:p>
        </w:tc>
      </w:tr>
    </w:tbl>
    <w:p w14:paraId="262E6022" w14:textId="77777777" w:rsidR="00315893" w:rsidRPr="00D85E09" w:rsidRDefault="00315893" w:rsidP="0043316B">
      <w:pPr>
        <w:pStyle w:val="TableNotes1"/>
        <w:keepNext w:val="0"/>
        <w:keepLines w:val="0"/>
        <w:widowControl w:val="0"/>
      </w:pPr>
      <w:r w:rsidRPr="00D85E09">
        <w:t>Abbreviations: CI, confidence interval; mRS, modified Rankin Scale; OR, odds ratio</w:t>
      </w:r>
    </w:p>
    <w:p w14:paraId="5C2AB006" w14:textId="1898497E" w:rsidR="00315893" w:rsidRPr="00D85E09" w:rsidRDefault="00315893" w:rsidP="0043316B">
      <w:pPr>
        <w:pStyle w:val="TableNotes1"/>
        <w:keepNext w:val="0"/>
        <w:keepLines w:val="0"/>
        <w:widowControl w:val="0"/>
        <w:numPr>
          <w:ilvl w:val="0"/>
          <w:numId w:val="53"/>
        </w:numPr>
      </w:pPr>
      <w:r w:rsidRPr="00D85E09">
        <w:t>Common odds ratio indicating the odds of improvement of one point on the mRS;</w:t>
      </w:r>
    </w:p>
    <w:p w14:paraId="6CAFAE71" w14:textId="77777777" w:rsidR="00315893" w:rsidRPr="00D85E09" w:rsidRDefault="00315893" w:rsidP="0043316B">
      <w:pPr>
        <w:pStyle w:val="TableNotes1"/>
        <w:keepNext w:val="0"/>
        <w:keepLines w:val="0"/>
        <w:widowControl w:val="0"/>
        <w:numPr>
          <w:ilvl w:val="0"/>
          <w:numId w:val="53"/>
        </w:numPr>
      </w:pPr>
      <w:r w:rsidRPr="00D85E09">
        <w:t>OR [95% CI] calculated using Review Manager 5.3 for this submission.</w:t>
      </w:r>
    </w:p>
    <w:p w14:paraId="2AC42435" w14:textId="77777777" w:rsidR="00315893" w:rsidRPr="00D85E09" w:rsidRDefault="00315893" w:rsidP="0043316B">
      <w:pPr>
        <w:pStyle w:val="Tablefootnote"/>
        <w:widowControl w:val="0"/>
        <w:spacing w:after="0"/>
        <w:rPr>
          <w:lang w:val="en-AU"/>
        </w:rPr>
      </w:pPr>
    </w:p>
    <w:p w14:paraId="41ADC22C" w14:textId="77777777" w:rsidR="00315893" w:rsidRPr="00D85E09" w:rsidRDefault="00315893" w:rsidP="0043316B">
      <w:pPr>
        <w:pStyle w:val="Heading5"/>
        <w:widowControl w:val="0"/>
        <w:rPr>
          <w:lang w:val="en-AU"/>
        </w:rPr>
      </w:pPr>
      <w:r w:rsidRPr="00D85E09">
        <w:rPr>
          <w:lang w:val="en-AU"/>
        </w:rPr>
        <w:t>Appropriate form of economic evaluation</w:t>
      </w:r>
    </w:p>
    <w:p w14:paraId="41FEDF50" w14:textId="13887022" w:rsidR="00315893" w:rsidRPr="00D85E09" w:rsidRDefault="00315893" w:rsidP="0043316B">
      <w:pPr>
        <w:widowControl w:val="0"/>
      </w:pPr>
      <w:r w:rsidRPr="00D85E09">
        <w:t>The evidence presented in Section B clearly demonstrates that treatment with MT in addition to usual care is superior to usual care alone in terms of effectiveness and non-inferior in terms of safety. A modelled cost-utility analysis is presented to support the cost-effectiveness of MT in addition to usual care.</w:t>
      </w:r>
    </w:p>
    <w:p w14:paraId="74428EB5" w14:textId="77777777" w:rsidR="00931C70" w:rsidRPr="00D85E09" w:rsidRDefault="00931C70" w:rsidP="0043316B">
      <w:pPr>
        <w:widowControl w:val="0"/>
      </w:pPr>
    </w:p>
    <w:p w14:paraId="4712CBDF" w14:textId="77777777" w:rsidR="0040507E" w:rsidRPr="00D85E09" w:rsidRDefault="0040507E" w:rsidP="0043316B">
      <w:pPr>
        <w:widowControl w:val="0"/>
        <w:spacing w:after="0" w:line="240" w:lineRule="auto"/>
        <w:rPr>
          <w:b/>
          <w:bCs/>
          <w:sz w:val="28"/>
        </w:rPr>
        <w:sectPr w:rsidR="0040507E" w:rsidRPr="00D85E09" w:rsidSect="0040506E">
          <w:headerReference w:type="default" r:id="rId38"/>
          <w:pgSz w:w="11907" w:h="16834" w:code="9"/>
          <w:pgMar w:top="1701" w:right="1418" w:bottom="1418" w:left="1701" w:header="720" w:footer="720" w:gutter="0"/>
          <w:paperSrc w:first="4035" w:other="4035"/>
          <w:cols w:space="720"/>
          <w:noEndnote/>
        </w:sectPr>
      </w:pPr>
    </w:p>
    <w:p w14:paraId="3723F9F6" w14:textId="77777777" w:rsidR="0040506E" w:rsidRPr="00D85E09" w:rsidRDefault="0040506E" w:rsidP="0043316B">
      <w:pPr>
        <w:pStyle w:val="Heading1"/>
        <w:keepNext w:val="0"/>
        <w:pageBreakBefore w:val="0"/>
        <w:widowControl w:val="0"/>
        <w:rPr>
          <w:lang w:val="en-AU"/>
        </w:rPr>
      </w:pPr>
      <w:bookmarkStart w:id="347" w:name="_Toc191822178"/>
      <w:bookmarkStart w:id="348" w:name="_Toc191822228"/>
      <w:bookmarkStart w:id="349" w:name="_Toc191822278"/>
      <w:bookmarkStart w:id="350" w:name="_Toc258501795"/>
      <w:bookmarkStart w:id="351" w:name="_Toc273301505"/>
      <w:bookmarkStart w:id="352" w:name="_Toc367090366"/>
      <w:bookmarkStart w:id="353" w:name="_Toc453065277"/>
      <w:r w:rsidRPr="00D85E09">
        <w:rPr>
          <w:lang w:val="en-AU"/>
        </w:rPr>
        <w:lastRenderedPageBreak/>
        <w:t>Translating the clinical evaluation to the listing requested for inclusion in the economic evaluation</w:t>
      </w:r>
      <w:bookmarkEnd w:id="347"/>
      <w:bookmarkEnd w:id="348"/>
      <w:bookmarkEnd w:id="349"/>
      <w:bookmarkEnd w:id="350"/>
      <w:bookmarkEnd w:id="351"/>
      <w:bookmarkEnd w:id="352"/>
      <w:bookmarkEnd w:id="353"/>
    </w:p>
    <w:tbl>
      <w:tblPr>
        <w:tblStyle w:val="TableGrid"/>
        <w:tblW w:w="0" w:type="auto"/>
        <w:tblLook w:val="04A0" w:firstRow="1" w:lastRow="0" w:firstColumn="1" w:lastColumn="0" w:noHBand="0" w:noVBand="1"/>
        <w:tblDescription w:val="Summary: Translating the clinical evaluation to the listing requested for inclusion in the economic evalutation"/>
      </w:tblPr>
      <w:tblGrid>
        <w:gridCol w:w="9004"/>
      </w:tblGrid>
      <w:tr w:rsidR="003B28A8" w:rsidRPr="00D85E09" w14:paraId="1BC22E60" w14:textId="77777777" w:rsidTr="00BE6331">
        <w:trPr>
          <w:tblHeader/>
        </w:trPr>
        <w:tc>
          <w:tcPr>
            <w:tcW w:w="9004" w:type="dxa"/>
            <w:shd w:val="clear" w:color="auto" w:fill="F2F2F2" w:themeFill="background1" w:themeFillShade="F2"/>
          </w:tcPr>
          <w:p w14:paraId="17DB1885" w14:textId="77777777" w:rsidR="003B28A8" w:rsidRPr="00D85E09" w:rsidRDefault="003B28A8" w:rsidP="0043316B">
            <w:pPr>
              <w:pStyle w:val="NoSpacing"/>
              <w:widowControl w:val="0"/>
              <w:rPr>
                <w:b/>
                <w:lang w:val="en-AU"/>
              </w:rPr>
            </w:pPr>
            <w:r w:rsidRPr="00D85E09">
              <w:rPr>
                <w:b/>
                <w:lang w:val="en-AU"/>
              </w:rPr>
              <w:t>Summary</w:t>
            </w:r>
          </w:p>
          <w:p w14:paraId="3310E241" w14:textId="164BD5C9" w:rsidR="003B28A8" w:rsidRPr="00D85E09" w:rsidRDefault="007A5498" w:rsidP="0043316B">
            <w:pPr>
              <w:pStyle w:val="NoSpacing"/>
              <w:widowControl w:val="0"/>
              <w:numPr>
                <w:ilvl w:val="0"/>
                <w:numId w:val="31"/>
              </w:numPr>
              <w:rPr>
                <w:lang w:val="en-AU"/>
              </w:rPr>
            </w:pPr>
            <w:r w:rsidRPr="00D85E09">
              <w:rPr>
                <w:rFonts w:eastAsia="MS Gothic"/>
                <w:lang w:val="en-AU" w:bidi="en-US"/>
              </w:rPr>
              <w:t>The submission presents subgroup analyses from an IPD meta-analysis of the five eligible RCTs of MT vs usual care. The results show the</w:t>
            </w:r>
            <w:r w:rsidRPr="00D85E09">
              <w:rPr>
                <w:lang w:val="en-AU"/>
              </w:rPr>
              <w:t xml:space="preserve"> efficacy of MT is consistent across several key patient/circumstances of use subgroups, supporting the use of an ITT approach in the base case of the economic evaluation.</w:t>
            </w:r>
          </w:p>
          <w:p w14:paraId="077FF51D" w14:textId="2ED3754E" w:rsidR="003B28A8" w:rsidRPr="00D85E09" w:rsidRDefault="007A5498" w:rsidP="0043316B">
            <w:pPr>
              <w:pStyle w:val="NoSpacing"/>
              <w:widowControl w:val="0"/>
              <w:numPr>
                <w:ilvl w:val="0"/>
                <w:numId w:val="31"/>
              </w:numPr>
              <w:rPr>
                <w:lang w:val="en-AU"/>
              </w:rPr>
            </w:pPr>
            <w:r w:rsidRPr="00D85E09">
              <w:rPr>
                <w:lang w:val="en-AU"/>
              </w:rPr>
              <w:t>For patients who are eligible for IV</w:t>
            </w:r>
            <w:r w:rsidR="00D32933" w:rsidRPr="00D85E09">
              <w:rPr>
                <w:lang w:val="en-AU"/>
              </w:rPr>
              <w:t>-</w:t>
            </w:r>
            <w:r w:rsidRPr="00D85E09">
              <w:rPr>
                <w:lang w:val="en-AU"/>
              </w:rPr>
              <w:t>tPA, the baseline characteristics of patients in the Australian EXTEND-IA study appear to be similar to those of the meta-analysed IPD population. Patients who are contraindicated to IV</w:t>
            </w:r>
            <w:r w:rsidR="00D32933" w:rsidRPr="00D85E09">
              <w:rPr>
                <w:lang w:val="en-AU"/>
              </w:rPr>
              <w:t>-</w:t>
            </w:r>
            <w:r w:rsidRPr="00D85E09">
              <w:rPr>
                <w:lang w:val="en-AU"/>
              </w:rPr>
              <w:t>tPA in the pivotal trials are also likely to reflect Australian patients. This further supports the use of an ITT approach in the economic evaluation.</w:t>
            </w:r>
          </w:p>
          <w:p w14:paraId="22BDE557" w14:textId="41C0AF60" w:rsidR="003B28A8" w:rsidRPr="00D85E09" w:rsidRDefault="003B28A8" w:rsidP="0043316B">
            <w:pPr>
              <w:pStyle w:val="NoSpacing"/>
              <w:widowControl w:val="0"/>
              <w:numPr>
                <w:ilvl w:val="0"/>
                <w:numId w:val="31"/>
              </w:numPr>
              <w:rPr>
                <w:lang w:val="en-AU"/>
              </w:rPr>
            </w:pPr>
            <w:r w:rsidRPr="00D85E09">
              <w:rPr>
                <w:lang w:val="en-AU"/>
              </w:rPr>
              <w:t>The base case ICER is expressed in terms of costs per additional QALY. Utility values are identified via a literature review. The base case values are informed by Sturm et al (2002)</w:t>
            </w:r>
            <w:r w:rsidR="000A6FB7" w:rsidRPr="00D85E09">
              <w:rPr>
                <w:lang w:val="en-AU"/>
              </w:rPr>
              <w:t>, reporting utility values from</w:t>
            </w:r>
            <w:r w:rsidRPr="00D85E09">
              <w:rPr>
                <w:lang w:val="en-AU"/>
              </w:rPr>
              <w:t xml:space="preserve"> </w:t>
            </w:r>
            <w:r w:rsidR="000A6FB7" w:rsidRPr="00D85E09">
              <w:rPr>
                <w:lang w:val="en-AU"/>
              </w:rPr>
              <w:t xml:space="preserve">the North East Melbourne Stroke Incidence Study (NEMESIS). While providing Australian estimates, this may be conservative; a sensitivity analysis will present an ICER of </w:t>
            </w:r>
            <w:r w:rsidR="00166C2D" w:rsidRPr="00D85E09">
              <w:rPr>
                <w:lang w:val="en-AU"/>
              </w:rPr>
              <w:t>$8500</w:t>
            </w:r>
            <w:r w:rsidR="000A6FB7" w:rsidRPr="00D85E09">
              <w:rPr>
                <w:lang w:val="en-AU"/>
              </w:rPr>
              <w:t xml:space="preserve"> (based on Rivero-Arias et al 2010; vs </w:t>
            </w:r>
            <w:r w:rsidR="00166C2D" w:rsidRPr="00D85E09">
              <w:rPr>
                <w:lang w:val="en-AU"/>
              </w:rPr>
              <w:t>$12,880</w:t>
            </w:r>
            <w:r w:rsidR="000A6FB7" w:rsidRPr="00D85E09">
              <w:rPr>
                <w:lang w:val="en-AU"/>
              </w:rPr>
              <w:t xml:space="preserve"> in the base case analysis).</w:t>
            </w:r>
          </w:p>
          <w:p w14:paraId="4B3D4D3E" w14:textId="5E196086" w:rsidR="000A6FB7" w:rsidRPr="00D85E09" w:rsidRDefault="000A6FB7" w:rsidP="0043316B">
            <w:pPr>
              <w:pStyle w:val="NoSpacing"/>
              <w:widowControl w:val="0"/>
              <w:numPr>
                <w:ilvl w:val="0"/>
                <w:numId w:val="31"/>
              </w:numPr>
              <w:rPr>
                <w:lang w:val="en-AU"/>
              </w:rPr>
            </w:pPr>
            <w:r w:rsidRPr="00D85E09">
              <w:rPr>
                <w:lang w:val="en-AU"/>
              </w:rPr>
              <w:t>The proposed MBS fee is $3500. The total per-procedural cost is</w:t>
            </w:r>
            <w:r w:rsidR="00166C2D" w:rsidRPr="00D85E09">
              <w:rPr>
                <w:lang w:val="en-AU"/>
              </w:rPr>
              <w:t xml:space="preserve"> $18,308.49</w:t>
            </w:r>
            <w:r w:rsidRPr="00D85E09">
              <w:rPr>
                <w:lang w:val="en-AU"/>
              </w:rPr>
              <w:t>.</w:t>
            </w:r>
          </w:p>
          <w:p w14:paraId="37D48370" w14:textId="67EA726A" w:rsidR="000A6FB7" w:rsidRPr="00D85E09" w:rsidRDefault="000A6FB7" w:rsidP="0043316B">
            <w:pPr>
              <w:pStyle w:val="NoSpacing"/>
              <w:widowControl w:val="0"/>
              <w:numPr>
                <w:ilvl w:val="0"/>
                <w:numId w:val="31"/>
              </w:numPr>
              <w:rPr>
                <w:lang w:val="en-AU"/>
              </w:rPr>
            </w:pPr>
            <w:r w:rsidRPr="00D85E09">
              <w:rPr>
                <w:lang w:val="en-AU"/>
              </w:rPr>
              <w:t xml:space="preserve">Cost savings as a result of superior functional outcomes </w:t>
            </w:r>
            <w:r w:rsidR="006D6A96" w:rsidRPr="00D85E09">
              <w:rPr>
                <w:lang w:val="en-AU"/>
              </w:rPr>
              <w:t xml:space="preserve">offered by MT </w:t>
            </w:r>
            <w:r w:rsidRPr="00D85E09">
              <w:rPr>
                <w:lang w:val="en-AU"/>
              </w:rPr>
              <w:t xml:space="preserve">are estimated based on the published evidence, identified via a literature review. Expectedly, patients with mRS 5 (i.e., bedridden, incontinent, constant care) incur far more costly care ($17,943 per annum) than those </w:t>
            </w:r>
            <w:r w:rsidR="006D6A96" w:rsidRPr="00D85E09">
              <w:rPr>
                <w:lang w:val="en-AU"/>
              </w:rPr>
              <w:t xml:space="preserve">who are less dependent (e.g., $1,431 per annum for mRS 0-1) even in the long run (Gloede et al 2014; see Section </w:t>
            </w:r>
            <w:r w:rsidR="006D6A96" w:rsidRPr="00D85E09">
              <w:rPr>
                <w:lang w:val="en-AU"/>
              </w:rPr>
              <w:fldChar w:fldCharType="begin"/>
            </w:r>
            <w:r w:rsidR="006D6A96" w:rsidRPr="00D85E09">
              <w:rPr>
                <w:lang w:val="en-AU"/>
              </w:rPr>
              <w:instrText xml:space="preserve"> REF _Ref452371316 \r \h </w:instrText>
            </w:r>
            <w:r w:rsidR="006D6A96" w:rsidRPr="00D85E09">
              <w:rPr>
                <w:lang w:val="en-AU"/>
              </w:rPr>
            </w:r>
            <w:r w:rsidR="006D6A96" w:rsidRPr="00D85E09">
              <w:rPr>
                <w:lang w:val="en-AU"/>
              </w:rPr>
              <w:fldChar w:fldCharType="separate"/>
            </w:r>
            <w:r w:rsidR="00A456ED">
              <w:rPr>
                <w:lang w:val="en-AU"/>
              </w:rPr>
              <w:t>C.5</w:t>
            </w:r>
            <w:r w:rsidR="006D6A96" w:rsidRPr="00D85E09">
              <w:rPr>
                <w:lang w:val="en-AU"/>
              </w:rPr>
              <w:fldChar w:fldCharType="end"/>
            </w:r>
            <w:r w:rsidR="006D6A96" w:rsidRPr="00D85E09">
              <w:rPr>
                <w:lang w:val="en-AU"/>
              </w:rPr>
              <w:t>).</w:t>
            </w:r>
          </w:p>
          <w:p w14:paraId="7751BDE8" w14:textId="2CA55A24" w:rsidR="003B28A8" w:rsidRPr="00D85E09" w:rsidRDefault="006D6A96" w:rsidP="0043316B">
            <w:pPr>
              <w:pStyle w:val="NoSpacing"/>
              <w:widowControl w:val="0"/>
              <w:numPr>
                <w:ilvl w:val="0"/>
                <w:numId w:val="31"/>
              </w:numPr>
              <w:rPr>
                <w:lang w:val="en-AU"/>
              </w:rPr>
            </w:pPr>
            <w:r w:rsidRPr="00D85E09">
              <w:rPr>
                <w:lang w:val="en-AU"/>
              </w:rPr>
              <w:t xml:space="preserve">Extrapolation is an important element of the Section D model because much of the functional benefits offered by MT over usual care at Day 90 (i.e., demonstrated through RCT evidence) will persist into the future. The model accounts for the risk of stroke recurrence and changes in mRS (e.g., “rehabilitation” effects) beyond the trial data availability, as informed by the published evidence (see Section </w:t>
            </w:r>
            <w:r w:rsidRPr="00D85E09">
              <w:rPr>
                <w:lang w:val="en-AU"/>
              </w:rPr>
              <w:fldChar w:fldCharType="begin"/>
            </w:r>
            <w:r w:rsidRPr="00D85E09">
              <w:rPr>
                <w:lang w:val="en-AU"/>
              </w:rPr>
              <w:instrText xml:space="preserve"> REF _Ref451421814 \r \h </w:instrText>
            </w:r>
            <w:r w:rsidRPr="00D85E09">
              <w:rPr>
                <w:lang w:val="en-AU"/>
              </w:rPr>
            </w:r>
            <w:r w:rsidRPr="00D85E09">
              <w:rPr>
                <w:lang w:val="en-AU"/>
              </w:rPr>
              <w:fldChar w:fldCharType="separate"/>
            </w:r>
            <w:r w:rsidR="00A456ED">
              <w:rPr>
                <w:lang w:val="en-AU"/>
              </w:rPr>
              <w:t>C.6</w:t>
            </w:r>
            <w:r w:rsidRPr="00D85E09">
              <w:rPr>
                <w:lang w:val="en-AU"/>
              </w:rPr>
              <w:fldChar w:fldCharType="end"/>
            </w:r>
            <w:r w:rsidRPr="00D85E09">
              <w:rPr>
                <w:lang w:val="en-AU"/>
              </w:rPr>
              <w:t xml:space="preserve"> and </w:t>
            </w:r>
            <w:r w:rsidRPr="00D85E09">
              <w:rPr>
                <w:lang w:val="en-AU"/>
              </w:rPr>
              <w:fldChar w:fldCharType="begin"/>
            </w:r>
            <w:r w:rsidRPr="00D85E09">
              <w:rPr>
                <w:lang w:val="en-AU"/>
              </w:rPr>
              <w:instrText xml:space="preserve"> REF _Ref452371484 \r \h </w:instrText>
            </w:r>
            <w:r w:rsidRPr="00D85E09">
              <w:rPr>
                <w:lang w:val="en-AU"/>
              </w:rPr>
            </w:r>
            <w:r w:rsidRPr="00D85E09">
              <w:rPr>
                <w:lang w:val="en-AU"/>
              </w:rPr>
              <w:fldChar w:fldCharType="separate"/>
            </w:r>
            <w:r w:rsidR="00A456ED">
              <w:rPr>
                <w:lang w:val="en-AU"/>
              </w:rPr>
              <w:t>C.7</w:t>
            </w:r>
            <w:r w:rsidRPr="00D85E09">
              <w:rPr>
                <w:lang w:val="en-AU"/>
              </w:rPr>
              <w:fldChar w:fldCharType="end"/>
            </w:r>
            <w:r w:rsidRPr="00D85E09">
              <w:rPr>
                <w:lang w:val="en-AU"/>
              </w:rPr>
              <w:t>).</w:t>
            </w:r>
          </w:p>
          <w:p w14:paraId="521D989F" w14:textId="6DD152F6" w:rsidR="006D6A96" w:rsidRPr="00D85E09" w:rsidRDefault="006D6A96" w:rsidP="0043316B">
            <w:pPr>
              <w:pStyle w:val="NoSpacing"/>
              <w:widowControl w:val="0"/>
              <w:numPr>
                <w:ilvl w:val="0"/>
                <w:numId w:val="31"/>
              </w:numPr>
              <w:rPr>
                <w:lang w:val="en-AU"/>
              </w:rPr>
            </w:pPr>
            <w:r w:rsidRPr="00D85E09">
              <w:rPr>
                <w:lang w:val="en-AU"/>
              </w:rPr>
              <w:t xml:space="preserve">The modelling of stroke recurrence and associated mRS transitions adds considerable complexity to the model; </w:t>
            </w:r>
            <w:r w:rsidR="00E31E93" w:rsidRPr="00D85E09">
              <w:rPr>
                <w:lang w:val="en-AU"/>
              </w:rPr>
              <w:t>it</w:t>
            </w:r>
            <w:r w:rsidRPr="00D85E09">
              <w:rPr>
                <w:lang w:val="en-AU"/>
              </w:rPr>
              <w:t xml:space="preserve"> otherwise has a readily understood, pragmatic design (</w:t>
            </w:r>
            <w:r w:rsidR="00E31E93" w:rsidRPr="00D85E09">
              <w:rPr>
                <w:lang w:val="en-AU"/>
              </w:rPr>
              <w:t xml:space="preserve">i.e., </w:t>
            </w:r>
            <w:r w:rsidRPr="00D85E09">
              <w:rPr>
                <w:lang w:val="en-AU"/>
              </w:rPr>
              <w:t>in principle</w:t>
            </w:r>
            <w:r w:rsidR="00E31E93" w:rsidRPr="00D85E09">
              <w:rPr>
                <w:lang w:val="en-AU"/>
              </w:rPr>
              <w:t>, simply following</w:t>
            </w:r>
            <w:r w:rsidRPr="00D85E09">
              <w:rPr>
                <w:lang w:val="en-AU"/>
              </w:rPr>
              <w:t xml:space="preserve"> post-stroke mRS changes over time). Sensitivity analysis explores </w:t>
            </w:r>
            <w:r w:rsidR="0070191F" w:rsidRPr="00D85E09">
              <w:rPr>
                <w:lang w:val="en-AU"/>
              </w:rPr>
              <w:t>a</w:t>
            </w:r>
            <w:r w:rsidRPr="00D85E09">
              <w:rPr>
                <w:lang w:val="en-AU"/>
              </w:rPr>
              <w:t xml:space="preserve">lternative </w:t>
            </w:r>
            <w:r w:rsidR="0070191F" w:rsidRPr="00D85E09">
              <w:rPr>
                <w:lang w:val="en-AU"/>
              </w:rPr>
              <w:t>m</w:t>
            </w:r>
            <w:r w:rsidRPr="00D85E09">
              <w:rPr>
                <w:lang w:val="en-AU"/>
              </w:rPr>
              <w:t xml:space="preserve">odel designs without the </w:t>
            </w:r>
            <w:r w:rsidR="00E31E93" w:rsidRPr="00D85E09">
              <w:rPr>
                <w:lang w:val="en-AU"/>
              </w:rPr>
              <w:t xml:space="preserve">explicit </w:t>
            </w:r>
            <w:r w:rsidRPr="00D85E09">
              <w:rPr>
                <w:lang w:val="en-AU"/>
              </w:rPr>
              <w:t>modelling of recurrent stroke</w:t>
            </w:r>
            <w:r w:rsidR="00E31E93" w:rsidRPr="00D85E09">
              <w:rPr>
                <w:lang w:val="en-AU"/>
              </w:rPr>
              <w:t xml:space="preserve"> (but the published long-term mRS data are assumed to have</w:t>
            </w:r>
            <w:r w:rsidR="006554F2" w:rsidRPr="00D85E09">
              <w:rPr>
                <w:lang w:val="en-AU"/>
              </w:rPr>
              <w:t xml:space="preserve"> already</w:t>
            </w:r>
            <w:r w:rsidR="00E31E93" w:rsidRPr="00D85E09">
              <w:rPr>
                <w:lang w:val="en-AU"/>
              </w:rPr>
              <w:t xml:space="preserve"> captured the impacts of stroke recurrence)</w:t>
            </w:r>
            <w:r w:rsidRPr="00D85E09">
              <w:rPr>
                <w:lang w:val="en-AU"/>
              </w:rPr>
              <w:t xml:space="preserve">; returning ICERs of </w:t>
            </w:r>
            <w:r w:rsidR="00166C2D" w:rsidRPr="00D85E09">
              <w:rPr>
                <w:lang w:val="en-AU"/>
              </w:rPr>
              <w:t>$8801-$15,953</w:t>
            </w:r>
            <w:r w:rsidRPr="00D85E09">
              <w:rPr>
                <w:lang w:val="en-AU"/>
              </w:rPr>
              <w:t xml:space="preserve">, providing further confidence to </w:t>
            </w:r>
            <w:r w:rsidR="0031636D" w:rsidRPr="00D85E09">
              <w:rPr>
                <w:lang w:val="en-AU"/>
              </w:rPr>
              <w:t>MT’s</w:t>
            </w:r>
            <w:r w:rsidRPr="00D85E09">
              <w:rPr>
                <w:lang w:val="en-AU"/>
              </w:rPr>
              <w:t xml:space="preserve"> favo</w:t>
            </w:r>
            <w:r w:rsidR="0031636D" w:rsidRPr="00D85E09">
              <w:rPr>
                <w:lang w:val="en-AU"/>
              </w:rPr>
              <w:t>u</w:t>
            </w:r>
            <w:r w:rsidRPr="00D85E09">
              <w:rPr>
                <w:lang w:val="en-AU"/>
              </w:rPr>
              <w:t>rable cost-</w:t>
            </w:r>
            <w:r w:rsidR="0031636D" w:rsidRPr="00D85E09">
              <w:rPr>
                <w:lang w:val="en-AU"/>
              </w:rPr>
              <w:t>effectiveness</w:t>
            </w:r>
            <w:r w:rsidRPr="00D85E09">
              <w:rPr>
                <w:lang w:val="en-AU"/>
              </w:rPr>
              <w:t xml:space="preserve"> of MT </w:t>
            </w:r>
            <w:r w:rsidR="0031636D" w:rsidRPr="00D85E09">
              <w:rPr>
                <w:lang w:val="en-AU"/>
              </w:rPr>
              <w:t xml:space="preserve">(see Section </w:t>
            </w:r>
            <w:r w:rsidR="0031636D" w:rsidRPr="00D85E09">
              <w:rPr>
                <w:lang w:val="en-AU"/>
              </w:rPr>
              <w:fldChar w:fldCharType="begin"/>
            </w:r>
            <w:r w:rsidR="0031636D" w:rsidRPr="00D85E09">
              <w:rPr>
                <w:lang w:val="en-AU"/>
              </w:rPr>
              <w:instrText xml:space="preserve"> REF _Ref452371484 \r \h </w:instrText>
            </w:r>
            <w:r w:rsidR="0031636D" w:rsidRPr="00D85E09">
              <w:rPr>
                <w:lang w:val="en-AU"/>
              </w:rPr>
            </w:r>
            <w:r w:rsidR="0031636D" w:rsidRPr="00D85E09">
              <w:rPr>
                <w:lang w:val="en-AU"/>
              </w:rPr>
              <w:fldChar w:fldCharType="separate"/>
            </w:r>
            <w:r w:rsidR="00A456ED">
              <w:rPr>
                <w:lang w:val="en-AU"/>
              </w:rPr>
              <w:t>C.7</w:t>
            </w:r>
            <w:r w:rsidR="0031636D" w:rsidRPr="00D85E09">
              <w:rPr>
                <w:lang w:val="en-AU"/>
              </w:rPr>
              <w:fldChar w:fldCharType="end"/>
            </w:r>
            <w:r w:rsidR="00E31E93" w:rsidRPr="00D85E09">
              <w:rPr>
                <w:lang w:val="en-AU"/>
              </w:rPr>
              <w:t xml:space="preserve"> and Section D</w:t>
            </w:r>
            <w:r w:rsidR="0031636D" w:rsidRPr="00D85E09">
              <w:rPr>
                <w:lang w:val="en-AU"/>
              </w:rPr>
              <w:t>).</w:t>
            </w:r>
          </w:p>
          <w:p w14:paraId="1C4EF2B8" w14:textId="29C4A098" w:rsidR="003B28A8" w:rsidRPr="00D85E09" w:rsidRDefault="003B28A8" w:rsidP="0043316B">
            <w:pPr>
              <w:pStyle w:val="NoSpacing"/>
              <w:widowControl w:val="0"/>
              <w:rPr>
                <w:lang w:val="en-AU"/>
              </w:rPr>
            </w:pPr>
          </w:p>
        </w:tc>
      </w:tr>
    </w:tbl>
    <w:p w14:paraId="64252C89" w14:textId="32407EDD" w:rsidR="003B28A8" w:rsidRPr="00D85E09" w:rsidRDefault="003B28A8" w:rsidP="0043316B">
      <w:pPr>
        <w:widowControl w:val="0"/>
      </w:pPr>
    </w:p>
    <w:p w14:paraId="2D015EDF" w14:textId="31C816F3" w:rsidR="00051AAA" w:rsidRPr="00D85E09" w:rsidRDefault="00051AAA" w:rsidP="0043316B">
      <w:pPr>
        <w:pStyle w:val="Heading2"/>
        <w:widowControl w:val="0"/>
        <w:ind w:left="851" w:hanging="851"/>
        <w:rPr>
          <w:lang w:val="en-AU"/>
        </w:rPr>
      </w:pPr>
      <w:bookmarkStart w:id="354" w:name="_Toc453065278"/>
      <w:r w:rsidRPr="00D85E09">
        <w:rPr>
          <w:lang w:val="en-AU"/>
        </w:rPr>
        <w:t>Identification of issues to be addressed</w:t>
      </w:r>
      <w:bookmarkEnd w:id="354"/>
    </w:p>
    <w:p w14:paraId="17BF921A" w14:textId="366EC7E1" w:rsidR="003C2588" w:rsidRPr="00D85E09" w:rsidRDefault="003C2588" w:rsidP="0043316B">
      <w:pPr>
        <w:widowControl w:val="0"/>
      </w:pPr>
      <w:bookmarkStart w:id="355" w:name="_Ref367441160"/>
      <w:r w:rsidRPr="00D85E09">
        <w:t xml:space="preserve">Translation issues addressed in Section C are summarised in </w:t>
      </w:r>
      <w:r w:rsidR="00890478" w:rsidRPr="00D85E09">
        <w:fldChar w:fldCharType="begin"/>
      </w:r>
      <w:r w:rsidR="00890478" w:rsidRPr="00D85E09">
        <w:instrText xml:space="preserve"> REF _Ref451435442 \h </w:instrText>
      </w:r>
      <w:r w:rsidR="00890478" w:rsidRPr="00D85E09">
        <w:fldChar w:fldCharType="separate"/>
      </w:r>
      <w:r w:rsidR="00A456ED" w:rsidRPr="00D85E09">
        <w:t xml:space="preserve">Table </w:t>
      </w:r>
      <w:r w:rsidR="00A456ED">
        <w:rPr>
          <w:noProof/>
        </w:rPr>
        <w:t>40</w:t>
      </w:r>
      <w:r w:rsidR="00890478" w:rsidRPr="00D85E09">
        <w:fldChar w:fldCharType="end"/>
      </w:r>
      <w:r w:rsidRPr="00D85E09">
        <w:t xml:space="preserve"> below. Applicability issues address the relevance of the clinical trial data to </w:t>
      </w:r>
      <w:r w:rsidR="00890478" w:rsidRPr="00D85E09">
        <w:t>the requested MBS listing</w:t>
      </w:r>
      <w:r w:rsidRPr="00D85E09">
        <w:t xml:space="preserve">, and the likely Australian population. </w:t>
      </w:r>
      <w:r w:rsidR="00CD4B98" w:rsidRPr="00D85E09">
        <w:t xml:space="preserve">These issues are important </w:t>
      </w:r>
      <w:r w:rsidR="00F13ABE" w:rsidRPr="00D85E09">
        <w:t xml:space="preserve">because, while the overall evidence base from the 5 RCTs as a whole would be able to provide adequate and </w:t>
      </w:r>
      <w:r w:rsidR="00F13ABE" w:rsidRPr="00D85E09">
        <w:lastRenderedPageBreak/>
        <w:t xml:space="preserve">applicable clinical evidence for MSAC’s consideration, each of these studies individually may raise applicability concerns </w:t>
      </w:r>
      <w:r w:rsidR="00CD4B98" w:rsidRPr="00D85E09">
        <w:t>in terms of patient characteristics and circumstances of use.</w:t>
      </w:r>
    </w:p>
    <w:p w14:paraId="5FA86BF5" w14:textId="45F462EB" w:rsidR="00CD4B98" w:rsidRPr="00D85E09" w:rsidRDefault="00CD4B98" w:rsidP="0043316B">
      <w:pPr>
        <w:widowControl w:val="0"/>
      </w:pPr>
      <w:r w:rsidRPr="00D85E09">
        <w:t xml:space="preserve">Key transformation issues presented in the submission include the identification of utility values and cost data. Because the economic model relies on clinical data that demonstrate improvements in post-stroke functional outcomes, these inputs needed to be reported by </w:t>
      </w:r>
      <w:r w:rsidR="00F13ABE" w:rsidRPr="00D85E09">
        <w:t>post-stroke disability levels (e.g., by mRS scores)</w:t>
      </w:r>
      <w:r w:rsidRPr="00D85E09">
        <w:t>.</w:t>
      </w:r>
    </w:p>
    <w:p w14:paraId="73A8B959" w14:textId="277EDC14" w:rsidR="00A41E60" w:rsidRPr="00D85E09" w:rsidRDefault="00CD4B98" w:rsidP="0043316B">
      <w:pPr>
        <w:widowControl w:val="0"/>
      </w:pPr>
      <w:r w:rsidRPr="00D85E09">
        <w:t>Finally, extrapolation is an important element of the Section D model because the benefits offered by MT over usual care will persist into the future. This is particularly relevant for a fair assessment of MT’s cost-effectiveness because all intervention costs are absorbed at baseline, while its cost / health benefits are accrued in the long run. Therefore, the submission includes separate pre-modelling studies to address long-term risk of stroke recurrence and functional outcomes</w:t>
      </w:r>
      <w:r w:rsidR="00AE7607" w:rsidRPr="00D85E09">
        <w:t xml:space="preserve"> (including mortality</w:t>
      </w:r>
      <w:bookmarkStart w:id="356" w:name="_Ref449970211"/>
      <w:bookmarkStart w:id="357" w:name="_Ref367458943"/>
      <w:bookmarkEnd w:id="355"/>
      <w:r w:rsidR="00A41E60" w:rsidRPr="00D85E09">
        <w:t>).</w:t>
      </w:r>
    </w:p>
    <w:p w14:paraId="2ADB8012" w14:textId="77777777" w:rsidR="00A41E60" w:rsidRPr="00D85E09" w:rsidRDefault="00A41E60" w:rsidP="0043316B">
      <w:pPr>
        <w:widowControl w:val="0"/>
        <w:spacing w:after="0"/>
        <w:sectPr w:rsidR="00A41E60" w:rsidRPr="00D85E09">
          <w:headerReference w:type="default" r:id="rId39"/>
          <w:pgSz w:w="11907" w:h="16840"/>
          <w:pgMar w:top="1701" w:right="1418" w:bottom="1418" w:left="1701" w:header="709" w:footer="709" w:gutter="0"/>
          <w:cols w:space="720"/>
        </w:sectPr>
      </w:pPr>
    </w:p>
    <w:p w14:paraId="41CD0C61" w14:textId="043ADB2B" w:rsidR="00A41E60" w:rsidRPr="00D85E09" w:rsidRDefault="00A41E60" w:rsidP="0043316B">
      <w:pPr>
        <w:pStyle w:val="Caption"/>
        <w:keepNext w:val="0"/>
        <w:widowControl w:val="0"/>
        <w:rPr>
          <w:lang w:val="en-AU"/>
        </w:rPr>
      </w:pPr>
      <w:bookmarkStart w:id="358" w:name="_Ref451435442"/>
      <w:bookmarkStart w:id="359" w:name="_Toc453065376"/>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40</w:t>
      </w:r>
      <w:r w:rsidRPr="00D85E09">
        <w:rPr>
          <w:lang w:val="en-AU"/>
        </w:rPr>
        <w:fldChar w:fldCharType="end"/>
      </w:r>
      <w:bookmarkEnd w:id="358"/>
      <w:r w:rsidRPr="00D85E09">
        <w:rPr>
          <w:lang w:val="en-AU"/>
        </w:rPr>
        <w:tab/>
        <w:t>Summary of translation issues</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40. Summary of translation issues"/>
      </w:tblPr>
      <w:tblGrid>
        <w:gridCol w:w="2093"/>
        <w:gridCol w:w="4284"/>
        <w:gridCol w:w="2378"/>
        <w:gridCol w:w="5182"/>
      </w:tblGrid>
      <w:tr w:rsidR="00EC3F95" w:rsidRPr="00D85E09" w14:paraId="567C10B2" w14:textId="77777777" w:rsidTr="000C3ACF">
        <w:trPr>
          <w:tblHeader/>
        </w:trPr>
        <w:tc>
          <w:tcPr>
            <w:tcW w:w="751" w:type="pct"/>
            <w:tcBorders>
              <w:top w:val="single" w:sz="4" w:space="0" w:color="auto"/>
              <w:left w:val="single" w:sz="4" w:space="0" w:color="auto"/>
              <w:bottom w:val="single" w:sz="4" w:space="0" w:color="auto"/>
              <w:right w:val="single" w:sz="4" w:space="0" w:color="auto"/>
            </w:tcBorders>
            <w:hideMark/>
          </w:tcPr>
          <w:p w14:paraId="7260B6E8" w14:textId="77777777" w:rsidR="00A41E60" w:rsidRPr="00D85E09" w:rsidRDefault="00A41E60" w:rsidP="0043316B">
            <w:pPr>
              <w:pStyle w:val="Tabletext"/>
              <w:keepNext w:val="0"/>
              <w:widowControl w:val="0"/>
              <w:rPr>
                <w:b/>
              </w:rPr>
            </w:pPr>
            <w:r w:rsidRPr="00D85E09">
              <w:rPr>
                <w:b/>
              </w:rPr>
              <w:t>Issue</w:t>
            </w:r>
          </w:p>
        </w:tc>
        <w:tc>
          <w:tcPr>
            <w:tcW w:w="1537" w:type="pct"/>
            <w:tcBorders>
              <w:top w:val="single" w:sz="4" w:space="0" w:color="auto"/>
              <w:left w:val="single" w:sz="4" w:space="0" w:color="auto"/>
              <w:bottom w:val="single" w:sz="4" w:space="0" w:color="auto"/>
              <w:right w:val="single" w:sz="4" w:space="0" w:color="auto"/>
            </w:tcBorders>
            <w:hideMark/>
          </w:tcPr>
          <w:p w14:paraId="0355E20A" w14:textId="77777777" w:rsidR="00A41E60" w:rsidRPr="00D85E09" w:rsidRDefault="00A41E60" w:rsidP="0043316B">
            <w:pPr>
              <w:pStyle w:val="Tabletext"/>
              <w:keepNext w:val="0"/>
              <w:widowControl w:val="0"/>
              <w:rPr>
                <w:b/>
              </w:rPr>
            </w:pPr>
            <w:r w:rsidRPr="00D85E09">
              <w:rPr>
                <w:b/>
              </w:rPr>
              <w:t>Identification of issue</w:t>
            </w:r>
          </w:p>
        </w:tc>
        <w:tc>
          <w:tcPr>
            <w:tcW w:w="853" w:type="pct"/>
            <w:tcBorders>
              <w:top w:val="single" w:sz="4" w:space="0" w:color="auto"/>
              <w:left w:val="single" w:sz="4" w:space="0" w:color="auto"/>
              <w:bottom w:val="single" w:sz="4" w:space="0" w:color="auto"/>
              <w:right w:val="single" w:sz="4" w:space="0" w:color="auto"/>
            </w:tcBorders>
            <w:hideMark/>
          </w:tcPr>
          <w:p w14:paraId="10CD4193" w14:textId="77777777" w:rsidR="00A41E60" w:rsidRPr="00D85E09" w:rsidRDefault="00A41E60" w:rsidP="0043316B">
            <w:pPr>
              <w:pStyle w:val="Tabletext"/>
              <w:keepNext w:val="0"/>
              <w:widowControl w:val="0"/>
              <w:rPr>
                <w:b/>
              </w:rPr>
            </w:pPr>
            <w:r w:rsidRPr="00D85E09">
              <w:rPr>
                <w:b/>
              </w:rPr>
              <w:t>Research question</w:t>
            </w:r>
          </w:p>
        </w:tc>
        <w:tc>
          <w:tcPr>
            <w:tcW w:w="1859" w:type="pct"/>
            <w:tcBorders>
              <w:top w:val="single" w:sz="4" w:space="0" w:color="auto"/>
              <w:left w:val="single" w:sz="4" w:space="0" w:color="auto"/>
              <w:bottom w:val="single" w:sz="4" w:space="0" w:color="auto"/>
              <w:right w:val="single" w:sz="4" w:space="0" w:color="auto"/>
            </w:tcBorders>
            <w:hideMark/>
          </w:tcPr>
          <w:p w14:paraId="2D5950C3" w14:textId="77777777" w:rsidR="00A41E60" w:rsidRPr="00D85E09" w:rsidRDefault="00A41E60" w:rsidP="0043316B">
            <w:pPr>
              <w:pStyle w:val="Tabletext"/>
              <w:keepNext w:val="0"/>
              <w:widowControl w:val="0"/>
              <w:rPr>
                <w:b/>
              </w:rPr>
            </w:pPr>
            <w:r w:rsidRPr="00D85E09">
              <w:rPr>
                <w:b/>
              </w:rPr>
              <w:t>Pre-modelling study</w:t>
            </w:r>
          </w:p>
        </w:tc>
      </w:tr>
      <w:tr w:rsidR="00A41E60" w:rsidRPr="00D85E09" w14:paraId="46B4F7BB" w14:textId="77777777" w:rsidTr="00A41E60">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70995DEB" w14:textId="77777777" w:rsidR="00A41E60" w:rsidRPr="00D85E09" w:rsidRDefault="00A41E60" w:rsidP="0043316B">
            <w:pPr>
              <w:pStyle w:val="Tabletext"/>
              <w:keepNext w:val="0"/>
              <w:widowControl w:val="0"/>
              <w:rPr>
                <w:rFonts w:eastAsia="MS Gothic"/>
                <w:lang w:bidi="en-US"/>
              </w:rPr>
            </w:pPr>
            <w:r w:rsidRPr="00D85E09">
              <w:rPr>
                <w:rFonts w:eastAsia="MS Gothic"/>
                <w:i/>
                <w:lang w:bidi="en-US"/>
              </w:rPr>
              <w:t>Applicability issues</w:t>
            </w:r>
          </w:p>
        </w:tc>
      </w:tr>
      <w:tr w:rsidR="00EC3F95" w:rsidRPr="00D85E09" w14:paraId="0F72A12D" w14:textId="77777777" w:rsidTr="000C3ACF">
        <w:tc>
          <w:tcPr>
            <w:tcW w:w="751" w:type="pct"/>
            <w:tcBorders>
              <w:top w:val="single" w:sz="4" w:space="0" w:color="auto"/>
              <w:left w:val="single" w:sz="4" w:space="0" w:color="auto"/>
              <w:bottom w:val="single" w:sz="4" w:space="0" w:color="auto"/>
              <w:right w:val="single" w:sz="4" w:space="0" w:color="auto"/>
            </w:tcBorders>
            <w:shd w:val="clear" w:color="auto" w:fill="FFFFFF"/>
            <w:hideMark/>
          </w:tcPr>
          <w:p w14:paraId="2790A869"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Issue 1: Applicability of the clinical trial data to the requested MBS listing</w:t>
            </w:r>
          </w:p>
          <w:p w14:paraId="73999810" w14:textId="63CF278E" w:rsidR="00A41E60" w:rsidRPr="00D85E09" w:rsidRDefault="00A41E60" w:rsidP="0043316B">
            <w:pPr>
              <w:pStyle w:val="Tabletext"/>
              <w:keepNext w:val="0"/>
              <w:widowControl w:val="0"/>
              <w:rPr>
                <w:rFonts w:eastAsia="MS Gothic"/>
                <w:lang w:bidi="en-US"/>
              </w:rPr>
            </w:pPr>
            <w:r w:rsidRPr="00D85E09">
              <w:rPr>
                <w:rFonts w:eastAsia="MS Gothic"/>
                <w:lang w:bidi="en-US"/>
              </w:rPr>
              <w:t>(Section</w:t>
            </w:r>
            <w:r w:rsidR="00B5717D" w:rsidRPr="00D85E09">
              <w:rPr>
                <w:rFonts w:eastAsia="MS Gothic"/>
                <w:lang w:bidi="en-US"/>
              </w:rPr>
              <w:t xml:space="preserve"> </w:t>
            </w:r>
            <w:r w:rsidR="00B5717D" w:rsidRPr="00D85E09">
              <w:rPr>
                <w:rFonts w:eastAsia="MS Gothic"/>
                <w:lang w:bidi="en-US"/>
              </w:rPr>
              <w:fldChar w:fldCharType="begin"/>
            </w:r>
            <w:r w:rsidR="00B5717D" w:rsidRPr="00D85E09">
              <w:rPr>
                <w:rFonts w:eastAsia="MS Gothic"/>
                <w:lang w:bidi="en-US"/>
              </w:rPr>
              <w:instrText xml:space="preserve"> REF _Ref452472669 \r \h </w:instrText>
            </w:r>
            <w:r w:rsidR="00B5717D" w:rsidRPr="00D85E09">
              <w:rPr>
                <w:rFonts w:eastAsia="MS Gothic"/>
                <w:lang w:bidi="en-US"/>
              </w:rPr>
            </w:r>
            <w:r w:rsidR="00B5717D" w:rsidRPr="00D85E09">
              <w:rPr>
                <w:rFonts w:eastAsia="MS Gothic"/>
                <w:lang w:bidi="en-US"/>
              </w:rPr>
              <w:fldChar w:fldCharType="separate"/>
            </w:r>
            <w:r w:rsidR="00A456ED">
              <w:rPr>
                <w:rFonts w:eastAsia="MS Gothic"/>
                <w:lang w:bidi="en-US"/>
              </w:rPr>
              <w:t>C.2</w:t>
            </w:r>
            <w:r w:rsidR="00B5717D" w:rsidRPr="00D85E09">
              <w:rPr>
                <w:rFonts w:eastAsia="MS Gothic"/>
                <w:lang w:bidi="en-US"/>
              </w:rPr>
              <w:fldChar w:fldCharType="end"/>
            </w:r>
            <w:r w:rsidRPr="00D85E09">
              <w:rPr>
                <w:rFonts w:eastAsia="MS Gothic"/>
                <w:lang w:bidi="en-US"/>
              </w:rPr>
              <w:t>)</w:t>
            </w:r>
          </w:p>
        </w:tc>
        <w:tc>
          <w:tcPr>
            <w:tcW w:w="1537" w:type="pct"/>
            <w:tcBorders>
              <w:top w:val="single" w:sz="4" w:space="0" w:color="auto"/>
              <w:left w:val="single" w:sz="4" w:space="0" w:color="auto"/>
              <w:bottom w:val="single" w:sz="4" w:space="0" w:color="auto"/>
              <w:right w:val="single" w:sz="4" w:space="0" w:color="auto"/>
            </w:tcBorders>
            <w:shd w:val="clear" w:color="auto" w:fill="FFFFFF"/>
            <w:hideMark/>
          </w:tcPr>
          <w:p w14:paraId="666B886F" w14:textId="6F010503" w:rsidR="00A41E60" w:rsidRPr="00D85E09" w:rsidRDefault="00A41E60" w:rsidP="0043316B">
            <w:pPr>
              <w:pStyle w:val="Tabletext"/>
              <w:keepNext w:val="0"/>
              <w:widowControl w:val="0"/>
              <w:rPr>
                <w:rFonts w:eastAsia="MS Gothic"/>
                <w:lang w:bidi="en-US"/>
              </w:rPr>
            </w:pPr>
            <w:r w:rsidRPr="00D85E09">
              <w:t>The targeted population is relatively broad, limited only to “patients with confirmed diagnosis of acute ischaemic stroke caused by large vessel occlusion</w:t>
            </w:r>
            <w:r w:rsidR="00006478" w:rsidRPr="00D85E09">
              <w:t xml:space="preserve"> of the anterior circulation</w:t>
            </w:r>
            <w:r w:rsidRPr="00D85E09">
              <w:t xml:space="preserve">”. Despite demonstrating uniformly favourable results for MT relative to usual care, each of the 5 pivotal RCTs had some differences in terms of the populations enrolled and circumstances of use. </w:t>
            </w:r>
          </w:p>
        </w:tc>
        <w:tc>
          <w:tcPr>
            <w:tcW w:w="853" w:type="pct"/>
            <w:tcBorders>
              <w:top w:val="single" w:sz="4" w:space="0" w:color="auto"/>
              <w:left w:val="single" w:sz="4" w:space="0" w:color="auto"/>
              <w:bottom w:val="single" w:sz="4" w:space="0" w:color="auto"/>
              <w:right w:val="single" w:sz="4" w:space="0" w:color="auto"/>
            </w:tcBorders>
            <w:shd w:val="clear" w:color="auto" w:fill="FFFFFF"/>
            <w:hideMark/>
          </w:tcPr>
          <w:p w14:paraId="465DF672" w14:textId="0BE4940F" w:rsidR="00A41E60" w:rsidRPr="00D85E09" w:rsidRDefault="00A41E60" w:rsidP="0043316B">
            <w:pPr>
              <w:pStyle w:val="Tabletext"/>
              <w:keepNext w:val="0"/>
              <w:widowControl w:val="0"/>
              <w:rPr>
                <w:rFonts w:eastAsia="MS Gothic"/>
                <w:lang w:bidi="en-US"/>
              </w:rPr>
            </w:pPr>
            <w:r w:rsidRPr="00D85E09">
              <w:t xml:space="preserve">What is the relationship between population / circumstances of use variables and the clinical efficacy of MT, and therefore the applicability of the clinical trial evidence to the proposed MBS listing? </w:t>
            </w:r>
          </w:p>
        </w:tc>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1DC45160" w14:textId="5E9A4D56" w:rsidR="00A41E60" w:rsidRPr="00D85E09" w:rsidRDefault="00A41E60" w:rsidP="0043316B">
            <w:pPr>
              <w:pStyle w:val="Tabletext"/>
              <w:keepNext w:val="0"/>
              <w:widowControl w:val="0"/>
              <w:rPr>
                <w:rFonts w:eastAsia="MS Gothic"/>
                <w:lang w:bidi="en-US"/>
              </w:rPr>
            </w:pPr>
            <w:r w:rsidRPr="00D85E09">
              <w:rPr>
                <w:rFonts w:eastAsia="MS Gothic"/>
                <w:lang w:bidi="en-US"/>
              </w:rPr>
              <w:t>The submission presents subgroup analyses from an IPD meta-analysis of the five eligible RCTs of MT vs usual care. The results show the</w:t>
            </w:r>
            <w:r w:rsidRPr="00D85E09">
              <w:t xml:space="preserve"> efficacy of MT is consistent across several key patient/circumstances of use subgr</w:t>
            </w:r>
            <w:r w:rsidR="007A5498" w:rsidRPr="00D85E09">
              <w:t xml:space="preserve">oups, supporting the use of an </w:t>
            </w:r>
            <w:r w:rsidRPr="00D85E09">
              <w:t>ITT approach in the base case of the economic evaluation.</w:t>
            </w:r>
          </w:p>
        </w:tc>
      </w:tr>
      <w:tr w:rsidR="00EC3F95" w:rsidRPr="00D85E09" w14:paraId="08BFB983" w14:textId="77777777" w:rsidTr="000C3ACF">
        <w:tc>
          <w:tcPr>
            <w:tcW w:w="751" w:type="pct"/>
            <w:tcBorders>
              <w:top w:val="single" w:sz="4" w:space="0" w:color="auto"/>
              <w:left w:val="single" w:sz="4" w:space="0" w:color="auto"/>
              <w:bottom w:val="single" w:sz="4" w:space="0" w:color="auto"/>
              <w:right w:val="single" w:sz="4" w:space="0" w:color="auto"/>
            </w:tcBorders>
            <w:shd w:val="clear" w:color="auto" w:fill="FFFFFF"/>
            <w:hideMark/>
          </w:tcPr>
          <w:p w14:paraId="3B9DF1E5"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Issue 2: Applicability of clinical trial data to Australian patients with AIS</w:t>
            </w:r>
          </w:p>
          <w:p w14:paraId="3555C106" w14:textId="72409092" w:rsidR="00A41E60" w:rsidRPr="00D85E09" w:rsidRDefault="00A41E60" w:rsidP="0043316B">
            <w:pPr>
              <w:pStyle w:val="Tabletext"/>
              <w:keepNext w:val="0"/>
              <w:widowControl w:val="0"/>
              <w:rPr>
                <w:rFonts w:eastAsia="MS Gothic"/>
                <w:b/>
                <w:lang w:bidi="en-US"/>
              </w:rPr>
            </w:pPr>
            <w:r w:rsidRPr="00D85E09">
              <w:rPr>
                <w:rFonts w:eastAsia="MS Gothic"/>
                <w:lang w:bidi="en-US"/>
              </w:rPr>
              <w:t xml:space="preserve">(Section </w:t>
            </w:r>
            <w:r w:rsidRPr="00D85E09">
              <w:rPr>
                <w:rFonts w:eastAsia="MS Gothic"/>
                <w:lang w:bidi="en-US"/>
              </w:rPr>
              <w:fldChar w:fldCharType="begin"/>
            </w:r>
            <w:r w:rsidRPr="00D85E09">
              <w:rPr>
                <w:rFonts w:eastAsia="MS Gothic"/>
                <w:lang w:bidi="en-US"/>
              </w:rPr>
              <w:instrText xml:space="preserve"> REF _Ref450641779 \r \h </w:instrText>
            </w:r>
            <w:r w:rsidRPr="00D85E09">
              <w:rPr>
                <w:rFonts w:eastAsia="MS Gothic"/>
                <w:lang w:bidi="en-US"/>
              </w:rPr>
            </w:r>
            <w:r w:rsidRPr="00D85E09">
              <w:rPr>
                <w:rFonts w:eastAsia="MS Gothic"/>
                <w:lang w:bidi="en-US"/>
              </w:rPr>
              <w:fldChar w:fldCharType="separate"/>
            </w:r>
            <w:r w:rsidR="00A456ED">
              <w:rPr>
                <w:rFonts w:eastAsia="MS Gothic"/>
                <w:lang w:bidi="en-US"/>
              </w:rPr>
              <w:t>C.3</w:t>
            </w:r>
            <w:r w:rsidRPr="00D85E09">
              <w:rPr>
                <w:rFonts w:eastAsia="MS Gothic"/>
                <w:lang w:bidi="en-US"/>
              </w:rPr>
              <w:fldChar w:fldCharType="end"/>
            </w:r>
            <w:r w:rsidRPr="00D85E09">
              <w:rPr>
                <w:rFonts w:eastAsia="MS Gothic"/>
                <w:lang w:bidi="en-US"/>
              </w:rPr>
              <w:t>)</w:t>
            </w:r>
          </w:p>
        </w:tc>
        <w:tc>
          <w:tcPr>
            <w:tcW w:w="1537" w:type="pct"/>
            <w:tcBorders>
              <w:top w:val="single" w:sz="4" w:space="0" w:color="auto"/>
              <w:left w:val="single" w:sz="4" w:space="0" w:color="auto"/>
              <w:bottom w:val="single" w:sz="4" w:space="0" w:color="auto"/>
              <w:right w:val="single" w:sz="4" w:space="0" w:color="auto"/>
            </w:tcBorders>
            <w:shd w:val="clear" w:color="auto" w:fill="FFFFFF"/>
            <w:hideMark/>
          </w:tcPr>
          <w:p w14:paraId="35DACD0F" w14:textId="7276B149" w:rsidR="00A41E60" w:rsidRPr="00D85E09" w:rsidRDefault="00A41E60" w:rsidP="0043316B">
            <w:pPr>
              <w:pStyle w:val="Tabletext"/>
              <w:keepNext w:val="0"/>
              <w:widowControl w:val="0"/>
              <w:rPr>
                <w:rFonts w:eastAsia="MS Gothic"/>
                <w:lang w:bidi="en-US"/>
              </w:rPr>
            </w:pPr>
            <w:r w:rsidRPr="00D85E09">
              <w:t xml:space="preserve">Whilst Issue 1 investigates the applicability of the clinical trial data to the proposed MBS listing through assessing the impact of potential clinical effect modifiers, Section </w:t>
            </w:r>
            <w:r w:rsidRPr="00D85E09">
              <w:rPr>
                <w:rFonts w:eastAsia="MS Gothic"/>
                <w:lang w:bidi="en-US"/>
              </w:rPr>
              <w:fldChar w:fldCharType="begin"/>
            </w:r>
            <w:r w:rsidRPr="00D85E09">
              <w:rPr>
                <w:rFonts w:eastAsia="MS Gothic"/>
                <w:lang w:bidi="en-US"/>
              </w:rPr>
              <w:instrText xml:space="preserve"> REF _Ref450641779 \r \h </w:instrText>
            </w:r>
            <w:r w:rsidRPr="00D85E09">
              <w:rPr>
                <w:rFonts w:eastAsia="MS Gothic"/>
                <w:lang w:bidi="en-US"/>
              </w:rPr>
            </w:r>
            <w:r w:rsidRPr="00D85E09">
              <w:rPr>
                <w:rFonts w:eastAsia="MS Gothic"/>
                <w:lang w:bidi="en-US"/>
              </w:rPr>
              <w:fldChar w:fldCharType="separate"/>
            </w:r>
            <w:r w:rsidR="00A456ED">
              <w:rPr>
                <w:rFonts w:eastAsia="MS Gothic"/>
                <w:lang w:bidi="en-US"/>
              </w:rPr>
              <w:t>C.3</w:t>
            </w:r>
            <w:r w:rsidRPr="00D85E09">
              <w:rPr>
                <w:rFonts w:eastAsia="MS Gothic"/>
                <w:lang w:bidi="en-US"/>
              </w:rPr>
              <w:fldChar w:fldCharType="end"/>
            </w:r>
            <w:r w:rsidRPr="00D85E09">
              <w:rPr>
                <w:rFonts w:eastAsia="MS Gothic"/>
                <w:lang w:bidi="en-US"/>
              </w:rPr>
              <w:t xml:space="preserve"> </w:t>
            </w:r>
            <w:r w:rsidRPr="00D85E09">
              <w:t>focusses on the applicability of the trial data to Australian patients who would be considered eligible for MT.</w:t>
            </w:r>
          </w:p>
        </w:tc>
        <w:tc>
          <w:tcPr>
            <w:tcW w:w="853" w:type="pct"/>
            <w:tcBorders>
              <w:top w:val="single" w:sz="4" w:space="0" w:color="auto"/>
              <w:left w:val="single" w:sz="4" w:space="0" w:color="auto"/>
              <w:bottom w:val="single" w:sz="4" w:space="0" w:color="auto"/>
              <w:right w:val="single" w:sz="4" w:space="0" w:color="auto"/>
            </w:tcBorders>
            <w:shd w:val="clear" w:color="auto" w:fill="FFFFFF"/>
            <w:hideMark/>
          </w:tcPr>
          <w:p w14:paraId="25F99609"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Are the patients enrolled in the pivotal clinical trials similar to those who are likely to receive MT in Australian clinical practice?</w:t>
            </w:r>
          </w:p>
        </w:tc>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72FDAC16" w14:textId="69553CEA" w:rsidR="00A41E60" w:rsidRPr="00D85E09" w:rsidRDefault="00A41E60" w:rsidP="0043316B">
            <w:pPr>
              <w:pStyle w:val="Tabletext"/>
              <w:keepNext w:val="0"/>
              <w:widowControl w:val="0"/>
              <w:rPr>
                <w:rFonts w:eastAsia="MS Gothic"/>
                <w:lang w:bidi="en-US"/>
              </w:rPr>
            </w:pPr>
            <w:r w:rsidRPr="00D85E09">
              <w:rPr>
                <w:rFonts w:eastAsia="MS Gothic"/>
                <w:lang w:bidi="en-US"/>
              </w:rPr>
              <w:t xml:space="preserve">The pre-modelling study compares the characteristics of all trial participants in the pivotal five RCTs to Australian patients in the EXTEND-IA trial (which was undertaken in solely in Australia and New Zealand). </w:t>
            </w:r>
            <w:r w:rsidRPr="00D85E09">
              <w:t>Overall, the baseline characteristics of patients in the EXTEND-IA study appear to be similar to those of the meta-analysed IPD population.</w:t>
            </w:r>
            <w:r w:rsidR="007A5498" w:rsidRPr="00D85E09">
              <w:t xml:space="preserve"> Patients who are contraindicated to IV</w:t>
            </w:r>
            <w:r w:rsidR="00D32933" w:rsidRPr="00D85E09">
              <w:t>-</w:t>
            </w:r>
            <w:r w:rsidR="007A5498" w:rsidRPr="00D85E09">
              <w:t xml:space="preserve">tPA in the pivotal trials are also likely to reflect Australian patients. This further supports the use of an ITT approach in the economic evaluation. </w:t>
            </w:r>
          </w:p>
        </w:tc>
      </w:tr>
      <w:tr w:rsidR="00A41E60" w:rsidRPr="00D85E09" w14:paraId="349D736F" w14:textId="77777777" w:rsidTr="00A41E60">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3E3C9142" w14:textId="77777777" w:rsidR="00A41E60" w:rsidRPr="00D85E09" w:rsidRDefault="00A41E60" w:rsidP="0043316B">
            <w:pPr>
              <w:pStyle w:val="Tabletext"/>
              <w:keepNext w:val="0"/>
              <w:widowControl w:val="0"/>
              <w:rPr>
                <w:rFonts w:eastAsia="MS Gothic"/>
                <w:lang w:bidi="en-US"/>
              </w:rPr>
            </w:pPr>
            <w:r w:rsidRPr="00D85E09">
              <w:rPr>
                <w:rFonts w:eastAsia="MS Gothic"/>
                <w:i/>
                <w:lang w:bidi="en-US"/>
              </w:rPr>
              <w:t>Transformation issues</w:t>
            </w:r>
          </w:p>
        </w:tc>
      </w:tr>
      <w:tr w:rsidR="00EC3F95" w:rsidRPr="00D85E09" w14:paraId="0BC9342B" w14:textId="77777777" w:rsidTr="000C3ACF">
        <w:trPr>
          <w:cantSplit/>
        </w:trPr>
        <w:tc>
          <w:tcPr>
            <w:tcW w:w="751" w:type="pct"/>
            <w:tcBorders>
              <w:top w:val="single" w:sz="4" w:space="0" w:color="auto"/>
              <w:left w:val="single" w:sz="4" w:space="0" w:color="auto"/>
              <w:bottom w:val="single" w:sz="4" w:space="0" w:color="auto"/>
              <w:right w:val="single" w:sz="4" w:space="0" w:color="auto"/>
            </w:tcBorders>
            <w:shd w:val="clear" w:color="auto" w:fill="FFFFFF"/>
            <w:hideMark/>
          </w:tcPr>
          <w:p w14:paraId="176236BA" w14:textId="6167D001" w:rsidR="00A41E60" w:rsidRPr="00D85E09" w:rsidRDefault="00A41E60" w:rsidP="0043316B">
            <w:pPr>
              <w:pStyle w:val="Tabletext"/>
              <w:keepNext w:val="0"/>
              <w:widowControl w:val="0"/>
              <w:rPr>
                <w:rFonts w:eastAsia="MS Gothic"/>
                <w:lang w:bidi="en-US"/>
              </w:rPr>
            </w:pPr>
            <w:r w:rsidRPr="00D85E09">
              <w:rPr>
                <w:rFonts w:eastAsia="MS Gothic"/>
                <w:lang w:bidi="en-US"/>
              </w:rPr>
              <w:lastRenderedPageBreak/>
              <w:t>Issue 3: Selection of utility data</w:t>
            </w:r>
          </w:p>
          <w:p w14:paraId="2DDA4966" w14:textId="77777777" w:rsidR="00A41E60" w:rsidRPr="00D85E09" w:rsidRDefault="00A41E60" w:rsidP="0043316B">
            <w:pPr>
              <w:pStyle w:val="Tabletext"/>
              <w:keepNext w:val="0"/>
              <w:widowControl w:val="0"/>
            </w:pPr>
            <w:r w:rsidRPr="00D85E09">
              <w:rPr>
                <w:rFonts w:eastAsia="MS Gothic"/>
                <w:lang w:bidi="en-US"/>
              </w:rPr>
              <w:t>(Section C.4)</w:t>
            </w:r>
          </w:p>
        </w:tc>
        <w:tc>
          <w:tcPr>
            <w:tcW w:w="1537" w:type="pct"/>
            <w:tcBorders>
              <w:top w:val="single" w:sz="4" w:space="0" w:color="auto"/>
              <w:left w:val="single" w:sz="4" w:space="0" w:color="auto"/>
              <w:bottom w:val="single" w:sz="4" w:space="0" w:color="auto"/>
              <w:right w:val="single" w:sz="4" w:space="0" w:color="auto"/>
            </w:tcBorders>
            <w:shd w:val="clear" w:color="auto" w:fill="FFFFFF"/>
            <w:hideMark/>
          </w:tcPr>
          <w:p w14:paraId="2A3EA101"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 xml:space="preserve">The Section D model employs a Markov model structure and health states are defined according to the mRS state. </w:t>
            </w:r>
            <w:r w:rsidRPr="00D85E09">
              <w:t>Two RCTs, MR CLEAN and REVACAST, reported EQ-5D at 90 days. No stratification by post-stroke disability levels was however reported in the aforementioned two RCTs.</w:t>
            </w:r>
          </w:p>
        </w:tc>
        <w:tc>
          <w:tcPr>
            <w:tcW w:w="853" w:type="pct"/>
            <w:tcBorders>
              <w:top w:val="single" w:sz="4" w:space="0" w:color="auto"/>
              <w:left w:val="single" w:sz="4" w:space="0" w:color="auto"/>
              <w:bottom w:val="single" w:sz="4" w:space="0" w:color="auto"/>
              <w:right w:val="single" w:sz="4" w:space="0" w:color="auto"/>
            </w:tcBorders>
            <w:shd w:val="clear" w:color="auto" w:fill="FFFFFF"/>
            <w:hideMark/>
          </w:tcPr>
          <w:p w14:paraId="3FB359C3" w14:textId="77777777" w:rsidR="00A41E60" w:rsidRPr="00D85E09" w:rsidRDefault="00A41E60" w:rsidP="0043316B">
            <w:pPr>
              <w:pStyle w:val="Tabletext"/>
              <w:keepNext w:val="0"/>
              <w:widowControl w:val="0"/>
            </w:pPr>
            <w:r w:rsidRPr="00D85E09">
              <w:t>What are the utility values in patients with different mRS values?</w:t>
            </w:r>
          </w:p>
        </w:tc>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5E8762BB" w14:textId="77777777" w:rsidR="00A41E60" w:rsidRPr="00D85E09" w:rsidRDefault="00A41E60" w:rsidP="0043316B">
            <w:pPr>
              <w:pStyle w:val="Tabletext"/>
              <w:keepNext w:val="0"/>
              <w:widowControl w:val="0"/>
            </w:pPr>
            <w:r w:rsidRPr="00D85E09">
              <w:t>A literature search was undertaken to identify relevant studies. An Australian study by Sturm et al (2002) was selected as the base case source of utility values. Utility values reported in this study are as follows:</w:t>
            </w:r>
          </w:p>
          <w:tbl>
            <w:tblPr>
              <w:tblStyle w:val="TableGrid"/>
              <w:tblW w:w="0" w:type="auto"/>
              <w:tblLook w:val="04A0" w:firstRow="1" w:lastRow="0" w:firstColumn="1" w:lastColumn="0" w:noHBand="0" w:noVBand="1"/>
              <w:tblDescription w:val="Pre-modelling Study-post-stroke disability by mRS and Utility score"/>
            </w:tblPr>
            <w:tblGrid>
              <w:gridCol w:w="1652"/>
              <w:gridCol w:w="1652"/>
            </w:tblGrid>
            <w:tr w:rsidR="00A41E60" w:rsidRPr="00D85E09" w14:paraId="3A8F849E" w14:textId="77777777" w:rsidTr="00BE6331">
              <w:trPr>
                <w:tblHeader/>
              </w:trPr>
              <w:tc>
                <w:tcPr>
                  <w:tcW w:w="1652" w:type="dxa"/>
                  <w:tcBorders>
                    <w:top w:val="single" w:sz="4" w:space="0" w:color="000000"/>
                    <w:left w:val="single" w:sz="4" w:space="0" w:color="000000"/>
                    <w:bottom w:val="single" w:sz="4" w:space="0" w:color="000000"/>
                    <w:right w:val="single" w:sz="4" w:space="0" w:color="000000"/>
                  </w:tcBorders>
                  <w:hideMark/>
                </w:tcPr>
                <w:p w14:paraId="0AE3986C" w14:textId="77777777" w:rsidR="00A41E60" w:rsidRPr="00D85E09" w:rsidRDefault="00A41E60" w:rsidP="0043316B">
                  <w:pPr>
                    <w:pStyle w:val="Tabletext"/>
                    <w:keepNext w:val="0"/>
                    <w:widowControl w:val="0"/>
                  </w:pPr>
                  <w:r w:rsidRPr="00D85E09">
                    <w:t>Post-stroke disability by mRS</w:t>
                  </w:r>
                </w:p>
              </w:tc>
              <w:tc>
                <w:tcPr>
                  <w:tcW w:w="1652" w:type="dxa"/>
                  <w:tcBorders>
                    <w:top w:val="single" w:sz="4" w:space="0" w:color="000000"/>
                    <w:left w:val="single" w:sz="4" w:space="0" w:color="000000"/>
                    <w:bottom w:val="single" w:sz="4" w:space="0" w:color="000000"/>
                    <w:right w:val="single" w:sz="4" w:space="0" w:color="000000"/>
                  </w:tcBorders>
                  <w:hideMark/>
                </w:tcPr>
                <w:p w14:paraId="585B1DB5" w14:textId="77777777" w:rsidR="00A41E60" w:rsidRPr="00D85E09" w:rsidRDefault="00A41E60" w:rsidP="0043316B">
                  <w:pPr>
                    <w:pStyle w:val="Tabletext"/>
                    <w:keepNext w:val="0"/>
                    <w:widowControl w:val="0"/>
                  </w:pPr>
                  <w:r w:rsidRPr="00D85E09">
                    <w:t>Utility score</w:t>
                  </w:r>
                </w:p>
              </w:tc>
            </w:tr>
            <w:tr w:rsidR="00A41E60" w:rsidRPr="00D85E09" w14:paraId="3555FE0B" w14:textId="77777777">
              <w:tc>
                <w:tcPr>
                  <w:tcW w:w="1652" w:type="dxa"/>
                  <w:tcBorders>
                    <w:top w:val="single" w:sz="4" w:space="0" w:color="000000"/>
                    <w:left w:val="single" w:sz="4" w:space="0" w:color="000000"/>
                    <w:bottom w:val="single" w:sz="4" w:space="0" w:color="000000"/>
                    <w:right w:val="single" w:sz="4" w:space="0" w:color="000000"/>
                  </w:tcBorders>
                  <w:hideMark/>
                </w:tcPr>
                <w:p w14:paraId="2EDF6F66" w14:textId="77777777" w:rsidR="00A41E60" w:rsidRPr="00D85E09" w:rsidRDefault="00A41E60" w:rsidP="0043316B">
                  <w:pPr>
                    <w:pStyle w:val="Tabletext"/>
                    <w:keepNext w:val="0"/>
                    <w:widowControl w:val="0"/>
                  </w:pPr>
                  <w:r w:rsidRPr="00D85E09">
                    <w:t>mRS 0</w:t>
                  </w:r>
                </w:p>
              </w:tc>
              <w:tc>
                <w:tcPr>
                  <w:tcW w:w="1652" w:type="dxa"/>
                  <w:tcBorders>
                    <w:top w:val="single" w:sz="4" w:space="0" w:color="000000"/>
                    <w:left w:val="single" w:sz="4" w:space="0" w:color="000000"/>
                    <w:bottom w:val="single" w:sz="4" w:space="0" w:color="000000"/>
                    <w:right w:val="single" w:sz="4" w:space="0" w:color="000000"/>
                  </w:tcBorders>
                  <w:hideMark/>
                </w:tcPr>
                <w:p w14:paraId="4CC17944" w14:textId="77777777" w:rsidR="00A41E60" w:rsidRPr="00D85E09" w:rsidRDefault="00A41E60" w:rsidP="0043316B">
                  <w:pPr>
                    <w:pStyle w:val="Tabletext"/>
                    <w:keepNext w:val="0"/>
                    <w:widowControl w:val="0"/>
                  </w:pPr>
                  <w:r w:rsidRPr="00D85E09">
                    <w:t>0.63</w:t>
                  </w:r>
                </w:p>
              </w:tc>
            </w:tr>
            <w:tr w:rsidR="00A41E60" w:rsidRPr="00D85E09" w14:paraId="721A8D42" w14:textId="77777777">
              <w:tc>
                <w:tcPr>
                  <w:tcW w:w="1652" w:type="dxa"/>
                  <w:tcBorders>
                    <w:top w:val="single" w:sz="4" w:space="0" w:color="000000"/>
                    <w:left w:val="single" w:sz="4" w:space="0" w:color="000000"/>
                    <w:bottom w:val="single" w:sz="4" w:space="0" w:color="000000"/>
                    <w:right w:val="single" w:sz="4" w:space="0" w:color="000000"/>
                  </w:tcBorders>
                  <w:hideMark/>
                </w:tcPr>
                <w:p w14:paraId="3EFFCBC1" w14:textId="77777777" w:rsidR="00A41E60" w:rsidRPr="00D85E09" w:rsidRDefault="00A41E60" w:rsidP="0043316B">
                  <w:pPr>
                    <w:pStyle w:val="Tabletext"/>
                    <w:keepNext w:val="0"/>
                    <w:widowControl w:val="0"/>
                  </w:pPr>
                  <w:r w:rsidRPr="00D85E09">
                    <w:t>mRS 1</w:t>
                  </w:r>
                </w:p>
              </w:tc>
              <w:tc>
                <w:tcPr>
                  <w:tcW w:w="1652" w:type="dxa"/>
                  <w:tcBorders>
                    <w:top w:val="single" w:sz="4" w:space="0" w:color="000000"/>
                    <w:left w:val="single" w:sz="4" w:space="0" w:color="000000"/>
                    <w:bottom w:val="single" w:sz="4" w:space="0" w:color="000000"/>
                    <w:right w:val="single" w:sz="4" w:space="0" w:color="000000"/>
                  </w:tcBorders>
                  <w:hideMark/>
                </w:tcPr>
                <w:p w14:paraId="76388A32" w14:textId="77777777" w:rsidR="00A41E60" w:rsidRPr="00D85E09" w:rsidRDefault="00A41E60" w:rsidP="0043316B">
                  <w:pPr>
                    <w:pStyle w:val="Tabletext"/>
                    <w:keepNext w:val="0"/>
                    <w:widowControl w:val="0"/>
                  </w:pPr>
                  <w:r w:rsidRPr="00D85E09">
                    <w:t>0.63</w:t>
                  </w:r>
                </w:p>
              </w:tc>
            </w:tr>
            <w:tr w:rsidR="00A41E60" w:rsidRPr="00D85E09" w14:paraId="2A74C9AE" w14:textId="77777777">
              <w:tc>
                <w:tcPr>
                  <w:tcW w:w="1652" w:type="dxa"/>
                  <w:tcBorders>
                    <w:top w:val="single" w:sz="4" w:space="0" w:color="000000"/>
                    <w:left w:val="single" w:sz="4" w:space="0" w:color="000000"/>
                    <w:bottom w:val="single" w:sz="4" w:space="0" w:color="000000"/>
                    <w:right w:val="single" w:sz="4" w:space="0" w:color="000000"/>
                  </w:tcBorders>
                  <w:hideMark/>
                </w:tcPr>
                <w:p w14:paraId="7FAA08CB" w14:textId="77777777" w:rsidR="00A41E60" w:rsidRPr="00D85E09" w:rsidRDefault="00A41E60" w:rsidP="0043316B">
                  <w:pPr>
                    <w:pStyle w:val="Tabletext"/>
                    <w:keepNext w:val="0"/>
                    <w:widowControl w:val="0"/>
                  </w:pPr>
                  <w:r w:rsidRPr="00D85E09">
                    <w:t>mRS 2</w:t>
                  </w:r>
                </w:p>
              </w:tc>
              <w:tc>
                <w:tcPr>
                  <w:tcW w:w="1652" w:type="dxa"/>
                  <w:tcBorders>
                    <w:top w:val="single" w:sz="4" w:space="0" w:color="000000"/>
                    <w:left w:val="single" w:sz="4" w:space="0" w:color="000000"/>
                    <w:bottom w:val="single" w:sz="4" w:space="0" w:color="000000"/>
                    <w:right w:val="single" w:sz="4" w:space="0" w:color="000000"/>
                  </w:tcBorders>
                  <w:hideMark/>
                </w:tcPr>
                <w:p w14:paraId="392062A3" w14:textId="77777777" w:rsidR="00A41E60" w:rsidRPr="00D85E09" w:rsidRDefault="00A41E60" w:rsidP="0043316B">
                  <w:pPr>
                    <w:pStyle w:val="Tabletext"/>
                    <w:keepNext w:val="0"/>
                    <w:widowControl w:val="0"/>
                  </w:pPr>
                  <w:r w:rsidRPr="00D85E09">
                    <w:t>0.40</w:t>
                  </w:r>
                </w:p>
              </w:tc>
            </w:tr>
            <w:tr w:rsidR="00A41E60" w:rsidRPr="00D85E09" w14:paraId="1BD0D19D" w14:textId="77777777">
              <w:tc>
                <w:tcPr>
                  <w:tcW w:w="1652" w:type="dxa"/>
                  <w:tcBorders>
                    <w:top w:val="single" w:sz="4" w:space="0" w:color="000000"/>
                    <w:left w:val="single" w:sz="4" w:space="0" w:color="000000"/>
                    <w:bottom w:val="single" w:sz="4" w:space="0" w:color="000000"/>
                    <w:right w:val="single" w:sz="4" w:space="0" w:color="000000"/>
                  </w:tcBorders>
                  <w:hideMark/>
                </w:tcPr>
                <w:p w14:paraId="5D69D01B" w14:textId="77777777" w:rsidR="00A41E60" w:rsidRPr="00D85E09" w:rsidRDefault="00A41E60" w:rsidP="0043316B">
                  <w:pPr>
                    <w:pStyle w:val="Tabletext"/>
                    <w:keepNext w:val="0"/>
                    <w:widowControl w:val="0"/>
                  </w:pPr>
                  <w:r w:rsidRPr="00D85E09">
                    <w:t>mRS 3</w:t>
                  </w:r>
                </w:p>
              </w:tc>
              <w:tc>
                <w:tcPr>
                  <w:tcW w:w="1652" w:type="dxa"/>
                  <w:tcBorders>
                    <w:top w:val="single" w:sz="4" w:space="0" w:color="000000"/>
                    <w:left w:val="single" w:sz="4" w:space="0" w:color="000000"/>
                    <w:bottom w:val="single" w:sz="4" w:space="0" w:color="000000"/>
                    <w:right w:val="single" w:sz="4" w:space="0" w:color="000000"/>
                  </w:tcBorders>
                  <w:hideMark/>
                </w:tcPr>
                <w:p w14:paraId="3F6188FB" w14:textId="77777777" w:rsidR="00A41E60" w:rsidRPr="00D85E09" w:rsidRDefault="00A41E60" w:rsidP="0043316B">
                  <w:pPr>
                    <w:pStyle w:val="Tabletext"/>
                    <w:keepNext w:val="0"/>
                    <w:widowControl w:val="0"/>
                  </w:pPr>
                  <w:r w:rsidRPr="00D85E09">
                    <w:t>0.18</w:t>
                  </w:r>
                </w:p>
              </w:tc>
            </w:tr>
            <w:tr w:rsidR="00A41E60" w:rsidRPr="00D85E09" w14:paraId="5B14326C" w14:textId="77777777">
              <w:tc>
                <w:tcPr>
                  <w:tcW w:w="1652" w:type="dxa"/>
                  <w:tcBorders>
                    <w:top w:val="single" w:sz="4" w:space="0" w:color="000000"/>
                    <w:left w:val="single" w:sz="4" w:space="0" w:color="000000"/>
                    <w:bottom w:val="single" w:sz="4" w:space="0" w:color="000000"/>
                    <w:right w:val="single" w:sz="4" w:space="0" w:color="000000"/>
                  </w:tcBorders>
                  <w:hideMark/>
                </w:tcPr>
                <w:p w14:paraId="35063200" w14:textId="77777777" w:rsidR="00A41E60" w:rsidRPr="00D85E09" w:rsidRDefault="00A41E60" w:rsidP="0043316B">
                  <w:pPr>
                    <w:pStyle w:val="Tabletext"/>
                    <w:keepNext w:val="0"/>
                    <w:widowControl w:val="0"/>
                  </w:pPr>
                  <w:r w:rsidRPr="00D85E09">
                    <w:t>mRS 4</w:t>
                  </w:r>
                </w:p>
              </w:tc>
              <w:tc>
                <w:tcPr>
                  <w:tcW w:w="1652" w:type="dxa"/>
                  <w:tcBorders>
                    <w:top w:val="single" w:sz="4" w:space="0" w:color="000000"/>
                    <w:left w:val="single" w:sz="4" w:space="0" w:color="000000"/>
                    <w:bottom w:val="single" w:sz="4" w:space="0" w:color="000000"/>
                    <w:right w:val="single" w:sz="4" w:space="0" w:color="000000"/>
                  </w:tcBorders>
                  <w:hideMark/>
                </w:tcPr>
                <w:p w14:paraId="49B90C28" w14:textId="77777777" w:rsidR="00A41E60" w:rsidRPr="00D85E09" w:rsidRDefault="00A41E60" w:rsidP="0043316B">
                  <w:pPr>
                    <w:pStyle w:val="Tabletext"/>
                    <w:keepNext w:val="0"/>
                    <w:widowControl w:val="0"/>
                  </w:pPr>
                  <w:r w:rsidRPr="00D85E09">
                    <w:t>0.06</w:t>
                  </w:r>
                </w:p>
              </w:tc>
            </w:tr>
            <w:tr w:rsidR="00A41E60" w:rsidRPr="00D85E09" w14:paraId="2F09542F" w14:textId="77777777">
              <w:tc>
                <w:tcPr>
                  <w:tcW w:w="1652" w:type="dxa"/>
                  <w:tcBorders>
                    <w:top w:val="single" w:sz="4" w:space="0" w:color="000000"/>
                    <w:left w:val="single" w:sz="4" w:space="0" w:color="000000"/>
                    <w:bottom w:val="single" w:sz="4" w:space="0" w:color="000000"/>
                    <w:right w:val="single" w:sz="4" w:space="0" w:color="000000"/>
                  </w:tcBorders>
                  <w:hideMark/>
                </w:tcPr>
                <w:p w14:paraId="30DF358C" w14:textId="77777777" w:rsidR="00A41E60" w:rsidRPr="00D85E09" w:rsidRDefault="00A41E60" w:rsidP="0043316B">
                  <w:pPr>
                    <w:pStyle w:val="Tabletext"/>
                    <w:keepNext w:val="0"/>
                    <w:widowControl w:val="0"/>
                  </w:pPr>
                  <w:r w:rsidRPr="00D85E09">
                    <w:t>mRS 5</w:t>
                  </w:r>
                </w:p>
              </w:tc>
              <w:tc>
                <w:tcPr>
                  <w:tcW w:w="1652" w:type="dxa"/>
                  <w:tcBorders>
                    <w:top w:val="single" w:sz="4" w:space="0" w:color="000000"/>
                    <w:left w:val="single" w:sz="4" w:space="0" w:color="000000"/>
                    <w:bottom w:val="single" w:sz="4" w:space="0" w:color="000000"/>
                    <w:right w:val="single" w:sz="4" w:space="0" w:color="000000"/>
                  </w:tcBorders>
                  <w:hideMark/>
                </w:tcPr>
                <w:p w14:paraId="7E160D4E" w14:textId="77777777" w:rsidR="00A41E60" w:rsidRPr="00D85E09" w:rsidRDefault="00A41E60" w:rsidP="0043316B">
                  <w:pPr>
                    <w:pStyle w:val="Tabletext"/>
                    <w:keepNext w:val="0"/>
                    <w:widowControl w:val="0"/>
                  </w:pPr>
                  <w:r w:rsidRPr="00D85E09">
                    <w:t>0.02</w:t>
                  </w:r>
                </w:p>
              </w:tc>
            </w:tr>
            <w:tr w:rsidR="00A41E60" w:rsidRPr="00D85E09" w14:paraId="4125A54A" w14:textId="77777777">
              <w:tc>
                <w:tcPr>
                  <w:tcW w:w="1652" w:type="dxa"/>
                  <w:tcBorders>
                    <w:top w:val="single" w:sz="4" w:space="0" w:color="000000"/>
                    <w:left w:val="single" w:sz="4" w:space="0" w:color="000000"/>
                    <w:bottom w:val="single" w:sz="4" w:space="0" w:color="000000"/>
                    <w:right w:val="single" w:sz="4" w:space="0" w:color="000000"/>
                  </w:tcBorders>
                  <w:hideMark/>
                </w:tcPr>
                <w:p w14:paraId="13EF69D1" w14:textId="77777777" w:rsidR="00A41E60" w:rsidRPr="00D85E09" w:rsidRDefault="00A41E60" w:rsidP="0043316B">
                  <w:pPr>
                    <w:pStyle w:val="Tabletext"/>
                    <w:keepNext w:val="0"/>
                    <w:widowControl w:val="0"/>
                  </w:pPr>
                  <w:r w:rsidRPr="00D85E09">
                    <w:t>mRS 6</w:t>
                  </w:r>
                </w:p>
              </w:tc>
              <w:tc>
                <w:tcPr>
                  <w:tcW w:w="1652" w:type="dxa"/>
                  <w:tcBorders>
                    <w:top w:val="single" w:sz="4" w:space="0" w:color="000000"/>
                    <w:left w:val="single" w:sz="4" w:space="0" w:color="000000"/>
                    <w:bottom w:val="single" w:sz="4" w:space="0" w:color="000000"/>
                    <w:right w:val="single" w:sz="4" w:space="0" w:color="000000"/>
                  </w:tcBorders>
                  <w:hideMark/>
                </w:tcPr>
                <w:p w14:paraId="62BB2920" w14:textId="77777777" w:rsidR="00A41E60" w:rsidRPr="00D85E09" w:rsidRDefault="00A41E60" w:rsidP="0043316B">
                  <w:pPr>
                    <w:pStyle w:val="Tabletext"/>
                    <w:keepNext w:val="0"/>
                    <w:widowControl w:val="0"/>
                  </w:pPr>
                  <w:r w:rsidRPr="00D85E09">
                    <w:t>0</w:t>
                  </w:r>
                </w:p>
              </w:tc>
            </w:tr>
          </w:tbl>
          <w:p w14:paraId="5C42DA9A" w14:textId="77777777" w:rsidR="00A41E60" w:rsidRPr="00D85E09" w:rsidRDefault="00A41E60" w:rsidP="0043316B">
            <w:pPr>
              <w:pStyle w:val="Tabletext"/>
              <w:keepNext w:val="0"/>
              <w:widowControl w:val="0"/>
            </w:pPr>
            <w:r w:rsidRPr="00D85E09">
              <w:t xml:space="preserve">These estimates were well corroborated with other estimates in the literature. </w:t>
            </w:r>
          </w:p>
        </w:tc>
      </w:tr>
      <w:tr w:rsidR="00EC3F95" w:rsidRPr="00D85E09" w14:paraId="6FB71389" w14:textId="77777777" w:rsidTr="000C3ACF">
        <w:tc>
          <w:tcPr>
            <w:tcW w:w="751" w:type="pct"/>
            <w:tcBorders>
              <w:top w:val="single" w:sz="4" w:space="0" w:color="auto"/>
              <w:left w:val="single" w:sz="4" w:space="0" w:color="auto"/>
              <w:bottom w:val="single" w:sz="4" w:space="0" w:color="auto"/>
              <w:right w:val="single" w:sz="4" w:space="0" w:color="auto"/>
            </w:tcBorders>
            <w:shd w:val="clear" w:color="auto" w:fill="FFFFFF"/>
            <w:hideMark/>
          </w:tcPr>
          <w:p w14:paraId="40E31084" w14:textId="1524C575" w:rsidR="00A41E60" w:rsidRPr="00D85E09" w:rsidRDefault="00A41E60" w:rsidP="0043316B">
            <w:pPr>
              <w:pStyle w:val="Tabletext"/>
              <w:keepNext w:val="0"/>
              <w:widowControl w:val="0"/>
              <w:rPr>
                <w:rFonts w:eastAsia="MS Gothic"/>
                <w:lang w:bidi="en-US"/>
              </w:rPr>
            </w:pPr>
            <w:r w:rsidRPr="00D85E09">
              <w:rPr>
                <w:rFonts w:eastAsia="MS Gothic"/>
                <w:lang w:bidi="en-US"/>
              </w:rPr>
              <w:t>Issue 4: Selection of cost data</w:t>
            </w:r>
          </w:p>
          <w:p w14:paraId="61FD68F3"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(Section C.5)</w:t>
            </w:r>
          </w:p>
        </w:tc>
        <w:tc>
          <w:tcPr>
            <w:tcW w:w="1537" w:type="pct"/>
            <w:tcBorders>
              <w:top w:val="single" w:sz="4" w:space="0" w:color="auto"/>
              <w:left w:val="single" w:sz="4" w:space="0" w:color="auto"/>
              <w:bottom w:val="single" w:sz="4" w:space="0" w:color="auto"/>
              <w:right w:val="single" w:sz="4" w:space="0" w:color="auto"/>
            </w:tcBorders>
            <w:shd w:val="clear" w:color="auto" w:fill="FFFFFF"/>
            <w:hideMark/>
          </w:tcPr>
          <w:p w14:paraId="51B019AD" w14:textId="77777777" w:rsidR="00A41E60" w:rsidRPr="00D85E09" w:rsidRDefault="00A41E60" w:rsidP="0043316B">
            <w:pPr>
              <w:pStyle w:val="Tabletext"/>
              <w:keepNext w:val="0"/>
              <w:widowControl w:val="0"/>
            </w:pPr>
            <w:r w:rsidRPr="00D85E09">
              <w:t>MT is taken as being “additional” to the care currently provided as usual care.</w:t>
            </w:r>
          </w:p>
          <w:p w14:paraId="6BD5F529" w14:textId="77777777" w:rsidR="00A41E60" w:rsidRPr="00D85E09" w:rsidRDefault="00A41E60" w:rsidP="0043316B">
            <w:pPr>
              <w:pStyle w:val="Tabletext"/>
              <w:keepNext w:val="0"/>
              <w:widowControl w:val="0"/>
              <w:rPr>
                <w:rFonts w:eastAsia="MS Gothic"/>
                <w:lang w:bidi="en-US"/>
              </w:rPr>
            </w:pPr>
            <w:r w:rsidRPr="00D85E09">
              <w:t xml:space="preserve">Management of stroke disability is costly. Functional outcomes are likely to affect the costs of stroke care in acute / mid-term (to 12 months) / long-term (post 12 months), suggesting that MT would offer long-term cost benefits over usual care. </w:t>
            </w:r>
          </w:p>
        </w:tc>
        <w:tc>
          <w:tcPr>
            <w:tcW w:w="853" w:type="pct"/>
            <w:tcBorders>
              <w:top w:val="single" w:sz="4" w:space="0" w:color="auto"/>
              <w:left w:val="single" w:sz="4" w:space="0" w:color="auto"/>
              <w:bottom w:val="single" w:sz="4" w:space="0" w:color="auto"/>
              <w:right w:val="single" w:sz="4" w:space="0" w:color="auto"/>
            </w:tcBorders>
            <w:shd w:val="clear" w:color="auto" w:fill="FFFFFF"/>
            <w:hideMark/>
          </w:tcPr>
          <w:p w14:paraId="0A2B14A4" w14:textId="77363570" w:rsidR="00A41E60" w:rsidRPr="00D85E09" w:rsidRDefault="00A41E60" w:rsidP="0043316B">
            <w:pPr>
              <w:pStyle w:val="Tabletext"/>
              <w:keepNext w:val="0"/>
              <w:widowControl w:val="0"/>
            </w:pPr>
            <w:r w:rsidRPr="00D85E09">
              <w:t>What is the per</w:t>
            </w:r>
            <w:r w:rsidR="00300BB6" w:rsidRPr="00D85E09">
              <w:t xml:space="preserve"> </w:t>
            </w:r>
            <w:r w:rsidRPr="00D85E09">
              <w:t>procedure cost of MT?</w:t>
            </w:r>
          </w:p>
          <w:p w14:paraId="31C39D0A" w14:textId="77777777" w:rsidR="00A41E60" w:rsidRPr="00D85E09" w:rsidRDefault="00A41E60" w:rsidP="0043316B">
            <w:pPr>
              <w:pStyle w:val="Tabletext"/>
              <w:keepNext w:val="0"/>
              <w:widowControl w:val="0"/>
            </w:pPr>
            <w:r w:rsidRPr="00D85E09">
              <w:t>What are the acute/12-month/long-term costs by mRS score?</w:t>
            </w:r>
          </w:p>
        </w:tc>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386C4AB8" w14:textId="742EBB78" w:rsidR="00A41E60" w:rsidRPr="00D85E09" w:rsidRDefault="00A41E60" w:rsidP="0043316B">
            <w:pPr>
              <w:pStyle w:val="Tabletext"/>
              <w:keepNext w:val="0"/>
              <w:widowControl w:val="0"/>
            </w:pPr>
            <w:r w:rsidRPr="00D85E09">
              <w:t xml:space="preserve">The total cost of MT per procedures is </w:t>
            </w:r>
            <w:r w:rsidR="00A1193B" w:rsidRPr="00D85E09">
              <w:t>$18,308.49.</w:t>
            </w:r>
          </w:p>
          <w:p w14:paraId="2D7B56A0" w14:textId="77777777" w:rsidR="00A41E60" w:rsidRPr="00D85E09" w:rsidRDefault="00A41E60" w:rsidP="0043316B">
            <w:pPr>
              <w:pStyle w:val="Tabletext"/>
              <w:keepNext w:val="0"/>
              <w:widowControl w:val="0"/>
            </w:pPr>
            <w:r w:rsidRPr="00D85E09">
              <w:t xml:space="preserve">The cost of stroke care by mRS and time frame (i.e., acute/mid-term/long-term) were derived from the literature. </w:t>
            </w:r>
          </w:p>
        </w:tc>
      </w:tr>
      <w:tr w:rsidR="00A41E60" w:rsidRPr="00D85E09" w14:paraId="7AE4B295" w14:textId="77777777" w:rsidTr="00A41E60">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5D755FAF" w14:textId="77777777" w:rsidR="00A41E60" w:rsidRPr="00D85E09" w:rsidRDefault="00A41E60" w:rsidP="0043316B">
            <w:pPr>
              <w:pStyle w:val="Tabletext"/>
              <w:keepNext w:val="0"/>
              <w:widowControl w:val="0"/>
              <w:rPr>
                <w:i/>
              </w:rPr>
            </w:pPr>
            <w:r w:rsidRPr="00D85E09">
              <w:rPr>
                <w:i/>
              </w:rPr>
              <w:t>Extrapolation issues</w:t>
            </w:r>
          </w:p>
        </w:tc>
      </w:tr>
      <w:tr w:rsidR="00EC3F95" w:rsidRPr="00D85E09" w14:paraId="5729C169" w14:textId="77777777" w:rsidTr="000C3ACF">
        <w:tc>
          <w:tcPr>
            <w:tcW w:w="751" w:type="pct"/>
            <w:tcBorders>
              <w:top w:val="single" w:sz="4" w:space="0" w:color="auto"/>
              <w:left w:val="single" w:sz="4" w:space="0" w:color="auto"/>
              <w:bottom w:val="single" w:sz="4" w:space="0" w:color="auto"/>
              <w:right w:val="single" w:sz="4" w:space="0" w:color="auto"/>
            </w:tcBorders>
            <w:shd w:val="clear" w:color="auto" w:fill="FFFFFF"/>
            <w:hideMark/>
          </w:tcPr>
          <w:p w14:paraId="32A4018E"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Issue 5: Risk of recurrent stroke</w:t>
            </w:r>
          </w:p>
          <w:p w14:paraId="58DC6F23"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(Section C.6)</w:t>
            </w:r>
          </w:p>
        </w:tc>
        <w:tc>
          <w:tcPr>
            <w:tcW w:w="1537" w:type="pct"/>
            <w:tcBorders>
              <w:top w:val="single" w:sz="4" w:space="0" w:color="auto"/>
              <w:left w:val="single" w:sz="4" w:space="0" w:color="auto"/>
              <w:bottom w:val="single" w:sz="4" w:space="0" w:color="auto"/>
              <w:right w:val="single" w:sz="4" w:space="0" w:color="auto"/>
            </w:tcBorders>
            <w:hideMark/>
          </w:tcPr>
          <w:p w14:paraId="1BA087A8" w14:textId="084492A1" w:rsidR="00A41E60" w:rsidRPr="00D85E09" w:rsidRDefault="00A41E60" w:rsidP="0043316B">
            <w:pPr>
              <w:pStyle w:val="Tabletext"/>
              <w:keepNext w:val="0"/>
              <w:widowControl w:val="0"/>
              <w:rPr>
                <w:rFonts w:eastAsia="MS Gothic"/>
                <w:lang w:bidi="en-US"/>
              </w:rPr>
            </w:pPr>
            <w:r w:rsidRPr="00D85E09">
              <w:rPr>
                <w:rFonts w:eastAsia="MS Gothic"/>
                <w:lang w:bidi="en-US"/>
              </w:rPr>
              <w:t xml:space="preserve">Extrapolation is an important element of the Section D model. To accurately reflect the cost / health implications experienced by patients who have undergone MT (or usual care), the recurrence of stroke among these patients should be considered. </w:t>
            </w:r>
          </w:p>
        </w:tc>
        <w:tc>
          <w:tcPr>
            <w:tcW w:w="853" w:type="pct"/>
            <w:tcBorders>
              <w:top w:val="single" w:sz="4" w:space="0" w:color="auto"/>
              <w:left w:val="single" w:sz="4" w:space="0" w:color="auto"/>
              <w:bottom w:val="single" w:sz="4" w:space="0" w:color="auto"/>
              <w:right w:val="single" w:sz="4" w:space="0" w:color="auto"/>
            </w:tcBorders>
            <w:shd w:val="clear" w:color="auto" w:fill="FFFFFF"/>
            <w:hideMark/>
          </w:tcPr>
          <w:p w14:paraId="7880E7C2" w14:textId="77777777" w:rsidR="00A41E60" w:rsidRPr="00D85E09" w:rsidRDefault="00A41E60" w:rsidP="0043316B">
            <w:pPr>
              <w:pStyle w:val="Tabletext"/>
              <w:keepNext w:val="0"/>
              <w:widowControl w:val="0"/>
            </w:pPr>
            <w:r w:rsidRPr="00D85E09">
              <w:t>What is the risk of recurrent stroke among AIS patients?</w:t>
            </w:r>
          </w:p>
        </w:tc>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0447F25E" w14:textId="6EA076F9" w:rsidR="00A41E60" w:rsidRPr="00D85E09" w:rsidRDefault="00A41E60" w:rsidP="0043316B">
            <w:pPr>
              <w:pStyle w:val="Tabletext"/>
              <w:keepNext w:val="0"/>
              <w:widowControl w:val="0"/>
            </w:pPr>
            <w:r w:rsidRPr="00D85E09">
              <w:t>A literature search was undertaken. Mohan et al (2011) performed a systematic review which reported the cumulative risk of recurrent stroke was 14.3% at 5 years. The recurrence risk is applied regardless of mRS (no evidence reported that the recurrence risk is mRS</w:t>
            </w:r>
            <w:r w:rsidR="00D32933" w:rsidRPr="00D85E09">
              <w:t xml:space="preserve"> </w:t>
            </w:r>
            <w:r w:rsidRPr="00D85E09">
              <w:t xml:space="preserve">dependent). </w:t>
            </w:r>
          </w:p>
        </w:tc>
      </w:tr>
      <w:tr w:rsidR="00EC3F95" w:rsidRPr="00D85E09" w14:paraId="4BFBBAF4" w14:textId="77777777" w:rsidTr="000C3ACF">
        <w:trPr>
          <w:cantSplit/>
        </w:trPr>
        <w:tc>
          <w:tcPr>
            <w:tcW w:w="751" w:type="pct"/>
            <w:tcBorders>
              <w:top w:val="single" w:sz="4" w:space="0" w:color="auto"/>
              <w:left w:val="single" w:sz="4" w:space="0" w:color="auto"/>
              <w:bottom w:val="single" w:sz="4" w:space="0" w:color="auto"/>
              <w:right w:val="single" w:sz="4" w:space="0" w:color="auto"/>
            </w:tcBorders>
            <w:shd w:val="clear" w:color="auto" w:fill="FFFFFF"/>
            <w:hideMark/>
          </w:tcPr>
          <w:p w14:paraId="77EDBAFF" w14:textId="6166C37D" w:rsidR="00A41E60" w:rsidRPr="00D85E09" w:rsidRDefault="00A41E60" w:rsidP="0043316B">
            <w:pPr>
              <w:pStyle w:val="Tabletext"/>
              <w:keepNext w:val="0"/>
              <w:widowControl w:val="0"/>
              <w:rPr>
                <w:rFonts w:eastAsia="MS Gothic"/>
                <w:lang w:bidi="en-US"/>
              </w:rPr>
            </w:pPr>
            <w:r w:rsidRPr="00D85E09">
              <w:rPr>
                <w:rFonts w:eastAsia="MS Gothic"/>
                <w:lang w:bidi="en-US"/>
              </w:rPr>
              <w:lastRenderedPageBreak/>
              <w:t>Issue 6: Long</w:t>
            </w:r>
            <w:r w:rsidR="00D32933" w:rsidRPr="00D85E09">
              <w:rPr>
                <w:rFonts w:eastAsia="MS Gothic"/>
                <w:lang w:bidi="en-US"/>
              </w:rPr>
              <w:t>-</w:t>
            </w:r>
            <w:r w:rsidRPr="00D85E09">
              <w:rPr>
                <w:rFonts w:eastAsia="MS Gothic"/>
                <w:lang w:bidi="en-US"/>
              </w:rPr>
              <w:t>term transitions in mRS scores</w:t>
            </w:r>
          </w:p>
          <w:p w14:paraId="762BD161"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(Section C.7)</w:t>
            </w:r>
          </w:p>
        </w:tc>
        <w:tc>
          <w:tcPr>
            <w:tcW w:w="1537" w:type="pct"/>
            <w:tcBorders>
              <w:top w:val="single" w:sz="4" w:space="0" w:color="auto"/>
              <w:left w:val="single" w:sz="4" w:space="0" w:color="auto"/>
              <w:bottom w:val="single" w:sz="4" w:space="0" w:color="auto"/>
              <w:right w:val="single" w:sz="4" w:space="0" w:color="auto"/>
            </w:tcBorders>
            <w:shd w:val="clear" w:color="auto" w:fill="FFFFFF"/>
            <w:hideMark/>
          </w:tcPr>
          <w:p w14:paraId="0A0C631D" w14:textId="77777777" w:rsidR="00A41E60" w:rsidRPr="00D85E09" w:rsidRDefault="00A41E60" w:rsidP="0043316B">
            <w:pPr>
              <w:pStyle w:val="Tabletext"/>
              <w:keepNext w:val="0"/>
              <w:widowControl w:val="0"/>
              <w:rPr>
                <w:rFonts w:eastAsia="MS Gothic"/>
                <w:lang w:bidi="en-US"/>
              </w:rPr>
            </w:pPr>
            <w:r w:rsidRPr="00D85E09">
              <w:rPr>
                <w:rFonts w:eastAsia="MS Gothic"/>
                <w:lang w:bidi="en-US"/>
              </w:rPr>
              <w:t xml:space="preserve">Much of the functional benefits offered by MT over usual care at Day 90 (i.e., the availability of RCT evidence) will persist into the future, and for many patients these functional benefits (and thus their QoL and cost implications) are permanent. However, the Section D model should explicitly consider any improvement (i.e., rehabilitation effects) or further deterioration of functional outcomes post Day 90 (i.e., the limit of RCT data availability). </w:t>
            </w:r>
          </w:p>
        </w:tc>
        <w:tc>
          <w:tcPr>
            <w:tcW w:w="853" w:type="pct"/>
            <w:tcBorders>
              <w:top w:val="single" w:sz="4" w:space="0" w:color="auto"/>
              <w:left w:val="single" w:sz="4" w:space="0" w:color="auto"/>
              <w:bottom w:val="single" w:sz="4" w:space="0" w:color="auto"/>
              <w:right w:val="single" w:sz="4" w:space="0" w:color="auto"/>
            </w:tcBorders>
            <w:shd w:val="clear" w:color="auto" w:fill="FFFFFF"/>
            <w:hideMark/>
          </w:tcPr>
          <w:p w14:paraId="1843002B" w14:textId="77777777" w:rsidR="00A41E60" w:rsidRPr="00D85E09" w:rsidRDefault="00A41E60" w:rsidP="0043316B">
            <w:pPr>
              <w:pStyle w:val="Tabletext"/>
              <w:keepNext w:val="0"/>
              <w:widowControl w:val="0"/>
            </w:pPr>
            <w:r w:rsidRPr="00D85E09">
              <w:t xml:space="preserve">What are long-term functional outcomes in stroke patients by mRS? </w:t>
            </w:r>
          </w:p>
        </w:tc>
        <w:tc>
          <w:tcPr>
            <w:tcW w:w="1859" w:type="pct"/>
            <w:tcBorders>
              <w:top w:val="single" w:sz="4" w:space="0" w:color="auto"/>
              <w:left w:val="single" w:sz="4" w:space="0" w:color="auto"/>
              <w:bottom w:val="single" w:sz="4" w:space="0" w:color="auto"/>
              <w:right w:val="single" w:sz="4" w:space="0" w:color="auto"/>
            </w:tcBorders>
            <w:shd w:val="clear" w:color="auto" w:fill="FFFFFF"/>
            <w:hideMark/>
          </w:tcPr>
          <w:p w14:paraId="5D6A20AD" w14:textId="33EDD72D" w:rsidR="00A41E60" w:rsidRPr="00D85E09" w:rsidRDefault="00A41E60" w:rsidP="0043316B">
            <w:pPr>
              <w:pStyle w:val="Tabletext"/>
              <w:keepNext w:val="0"/>
              <w:widowControl w:val="0"/>
            </w:pPr>
            <w:r w:rsidRPr="00D85E09">
              <w:t>A literature search was undertaken. Overall, the observational long-term data in the literature show that patients with poorer functional status (i.e., mRS 4-5) are very unlikely to exhibit any improvement in their functional status, while patients with favourable status are likely to experience “rehabilitation” effects over time or maintain their functional ability.</w:t>
            </w:r>
          </w:p>
          <w:p w14:paraId="4B746962" w14:textId="7F0D8ED7" w:rsidR="00A41E60" w:rsidRPr="00D85E09" w:rsidRDefault="00A41E60" w:rsidP="0043316B">
            <w:pPr>
              <w:pStyle w:val="Tabletext"/>
              <w:keepNext w:val="0"/>
              <w:widowControl w:val="0"/>
            </w:pPr>
            <w:r w:rsidRPr="00D85E09">
              <w:t>The base case Section D analysis will be informed by Gensicke et al, 2013, a Swiss observational study with 3 year follow</w:t>
            </w:r>
            <w:r w:rsidR="00D32933" w:rsidRPr="00D85E09">
              <w:t>-</w:t>
            </w:r>
            <w:r w:rsidRPr="00D85E09">
              <w:t xml:space="preserve">up (n=257). </w:t>
            </w:r>
          </w:p>
        </w:tc>
      </w:tr>
    </w:tbl>
    <w:p w14:paraId="13400121" w14:textId="5798738C" w:rsidR="00A41E60" w:rsidRPr="00D85E09" w:rsidRDefault="00A41E60" w:rsidP="0043316B">
      <w:pPr>
        <w:pStyle w:val="Tablefooter"/>
        <w:widowControl w:val="0"/>
      </w:pPr>
      <w:r w:rsidRPr="00D85E09">
        <w:t>Abbreviations: MT, mechanical thrombectomy; mRS, modified Rankin score; RCT, randomised control trial; AIS, acute ischaemic stroke.</w:t>
      </w:r>
    </w:p>
    <w:p w14:paraId="19780457" w14:textId="77777777" w:rsidR="00A41E60" w:rsidRPr="00D85E09" w:rsidRDefault="00A41E60" w:rsidP="0043316B">
      <w:pPr>
        <w:widowControl w:val="0"/>
        <w:spacing w:after="0"/>
        <w:sectPr w:rsidR="00A41E60" w:rsidRPr="00D85E09">
          <w:pgSz w:w="16840" w:h="11907" w:orient="landscape"/>
          <w:pgMar w:top="1701" w:right="1701" w:bottom="1418" w:left="1418" w:header="709" w:footer="709" w:gutter="0"/>
          <w:cols w:space="720"/>
        </w:sectPr>
      </w:pPr>
    </w:p>
    <w:p w14:paraId="1C33E58F" w14:textId="71D0CEFD" w:rsidR="00051AAA" w:rsidRPr="00D85E09" w:rsidRDefault="00051AAA" w:rsidP="0043316B">
      <w:pPr>
        <w:pStyle w:val="Heading2"/>
        <w:widowControl w:val="0"/>
        <w:ind w:left="851" w:hanging="851"/>
        <w:rPr>
          <w:lang w:val="en-AU"/>
        </w:rPr>
      </w:pPr>
      <w:bookmarkStart w:id="360" w:name="_Ref452472669"/>
      <w:bookmarkStart w:id="361" w:name="_Toc453065279"/>
      <w:r w:rsidRPr="00D85E09">
        <w:rPr>
          <w:lang w:val="en-AU"/>
        </w:rPr>
        <w:lastRenderedPageBreak/>
        <w:t>Applicability of clinical trial data to the requested MBS listing</w:t>
      </w:r>
      <w:bookmarkEnd w:id="356"/>
      <w:bookmarkEnd w:id="360"/>
      <w:bookmarkEnd w:id="361"/>
    </w:p>
    <w:p w14:paraId="385B80BF" w14:textId="7B02BA1B" w:rsidR="00FE0B74" w:rsidRPr="00D85E09" w:rsidRDefault="00FE0B74" w:rsidP="0043316B">
      <w:pPr>
        <w:widowControl w:val="0"/>
      </w:pPr>
      <w:r w:rsidRPr="00D85E09">
        <w:t>The requested MBS listing presented in Section A.2.3 of this submission is as follows:</w:t>
      </w:r>
    </w:p>
    <w:p w14:paraId="2966F45B" w14:textId="596BFECA" w:rsidR="00FE0B74" w:rsidRPr="00D85E09" w:rsidRDefault="00FE0B74" w:rsidP="0043316B">
      <w:pPr>
        <w:widowControl w:val="0"/>
      </w:pPr>
      <w:r w:rsidRPr="00D85E09">
        <w:t>“</w:t>
      </w:r>
      <w:r w:rsidRPr="00D85E09">
        <w:rPr>
          <w:i/>
        </w:rPr>
        <w:t>Mechanical thrombectomy of patients with a confirmed diagnosis of acute ischaemic stroke caused by large vessel occlusion</w:t>
      </w:r>
      <w:r w:rsidR="00A41E60" w:rsidRPr="00D85E09">
        <w:rPr>
          <w:i/>
        </w:rPr>
        <w:t xml:space="preserve"> </w:t>
      </w:r>
      <w:r w:rsidR="005C3D98" w:rsidRPr="00D85E09">
        <w:rPr>
          <w:i/>
        </w:rPr>
        <w:t xml:space="preserve">of the anterior circulation; procedure to be started within </w:t>
      </w:r>
      <w:r w:rsidR="00C803E0">
        <w:rPr>
          <w:i/>
        </w:rPr>
        <w:t xml:space="preserve">eight </w:t>
      </w:r>
      <w:r w:rsidR="005C3D98" w:rsidRPr="00D85E09">
        <w:rPr>
          <w:i/>
        </w:rPr>
        <w:t>hours of stroke onset; including intra-operative imaging</w:t>
      </w:r>
      <w:r w:rsidR="00A41E60" w:rsidRPr="00D85E09">
        <w:t>”</w:t>
      </w:r>
      <w:r w:rsidR="005C3D98" w:rsidRPr="00D85E09">
        <w:t>.</w:t>
      </w:r>
    </w:p>
    <w:p w14:paraId="6DB92025" w14:textId="16544E1D" w:rsidR="00FE0B74" w:rsidRPr="00D85E09" w:rsidRDefault="00FE0B74" w:rsidP="0043316B">
      <w:pPr>
        <w:widowControl w:val="0"/>
      </w:pPr>
      <w:r w:rsidRPr="00D85E09">
        <w:t>The evidence base to support this listing consists of efficacy data from five RCTs of MT versus “usual care”, with usual care comprising either intravenous tissue plasminogen activator (IV</w:t>
      </w:r>
      <w:r w:rsidR="00D32933" w:rsidRPr="00D85E09">
        <w:t>-</w:t>
      </w:r>
      <w:r w:rsidRPr="00D85E09">
        <w:t>tPA) for indicated patients, or medical management with anti-thrombotic therapy for patients contraindicated to IV</w:t>
      </w:r>
      <w:r w:rsidR="00D32933" w:rsidRPr="00D85E09">
        <w:t>-</w:t>
      </w:r>
      <w:r w:rsidRPr="00D85E09">
        <w:t>tPA. The results of these pivotal studies (MR CLEAN, ESCAPE, EXTEND</w:t>
      </w:r>
      <w:r w:rsidR="00D32933" w:rsidRPr="00D85E09">
        <w:t>-</w:t>
      </w:r>
      <w:r w:rsidRPr="00D85E09">
        <w:t xml:space="preserve">IA, SWIFT PRIME and REVASCAT) demonstrate that </w:t>
      </w:r>
      <w:r w:rsidR="00711442" w:rsidRPr="00D85E09">
        <w:t xml:space="preserve">mechanical thrombectomy </w:t>
      </w:r>
      <w:r w:rsidRPr="00D85E09">
        <w:t>significantly and consistently improves functional outcomes (without compromising safety) in patients with acute ischaemic stroke due to anterior circulation, large artery occlusion, compared with usual care. The meta-analysis of the five studies presented in Section B.6 of this submission showed that the odds ratio (OR) for achieving functional independence (90-day mRS of 0-2) was 2.42 (95% CI: 1.91, 3.08). This analysis was based on a 633 patients that received MT and 650 patients in the control arm.</w:t>
      </w:r>
    </w:p>
    <w:p w14:paraId="72132A84" w14:textId="3871B285" w:rsidR="002431C2" w:rsidRDefault="00FE0B74" w:rsidP="0043316B">
      <w:pPr>
        <w:widowControl w:val="0"/>
      </w:pPr>
      <w:r w:rsidRPr="00D85E09">
        <w:t>Despite demonstrating uniformly favourable results for MT relative to usual care, there were some differences between the studies in terms of patient</w:t>
      </w:r>
      <w:r w:rsidR="00DC519A" w:rsidRPr="00D85E09">
        <w:t xml:space="preserve"> characteristics</w:t>
      </w:r>
      <w:r w:rsidRPr="00D85E09">
        <w:t xml:space="preserve"> and circumstances of use represented by each trial. </w:t>
      </w:r>
      <w:r w:rsidRPr="00D85E09">
        <w:fldChar w:fldCharType="begin"/>
      </w:r>
      <w:r w:rsidRPr="00D85E09">
        <w:instrText xml:space="preserve"> REF _Ref446073118 \h </w:instrText>
      </w:r>
      <w:r w:rsidRPr="00D85E09">
        <w:fldChar w:fldCharType="separate"/>
      </w:r>
      <w:r w:rsidR="00A456ED" w:rsidRPr="00D85E09">
        <w:t xml:space="preserve">Table </w:t>
      </w:r>
      <w:r w:rsidR="00A456ED">
        <w:rPr>
          <w:noProof/>
        </w:rPr>
        <w:t>41</w:t>
      </w:r>
      <w:r w:rsidRPr="00D85E09">
        <w:fldChar w:fldCharType="end"/>
      </w:r>
      <w:r w:rsidRPr="00D85E09">
        <w:t xml:space="preserve"> below provides a summary of the eligibility criteria for the aforementioned characteristics in each of the five clinical trials presented in Section B. In particular, there was variability between and within the trials in relation to the neurological deficit of patients at baseline (NIHSS score), age, size of the ischaemic core (usually measured by ASPECTS), pre-stroke function (measured by mRS), the site of vessel occlusion, and time from stroke onset to the delivery of the intervention. The majority of trials also included a small proportion of patients who were ineligible of IV</w:t>
      </w:r>
      <w:r w:rsidR="00D32933" w:rsidRPr="00D85E09">
        <w:t>-</w:t>
      </w:r>
      <w:r w:rsidRPr="00D85E09">
        <w:t>tPA (MR CLEAN, ESCAPE, SWIFT PRIME, REVASCAT). In these patients the main comparison of interest for this submission is MT versus usual care (or medical management with anti-thrombotic therapy).</w:t>
      </w:r>
      <w:r w:rsidR="002431C2">
        <w:br w:type="page"/>
      </w:r>
    </w:p>
    <w:p w14:paraId="64530C8D" w14:textId="5B5EB692" w:rsidR="00FE0B74" w:rsidRPr="00D85E09" w:rsidRDefault="00FE0B74" w:rsidP="0043316B">
      <w:pPr>
        <w:pStyle w:val="Caption"/>
        <w:keepNext w:val="0"/>
        <w:widowControl w:val="0"/>
        <w:rPr>
          <w:lang w:val="en-AU"/>
        </w:rPr>
      </w:pPr>
      <w:bookmarkStart w:id="362" w:name="_Ref446073118"/>
      <w:bookmarkStart w:id="363" w:name="_Toc453065377"/>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41</w:t>
      </w:r>
      <w:r w:rsidRPr="00D85E09">
        <w:rPr>
          <w:lang w:val="en-AU"/>
        </w:rPr>
        <w:fldChar w:fldCharType="end"/>
      </w:r>
      <w:bookmarkEnd w:id="362"/>
      <w:r w:rsidRPr="00D85E09">
        <w:rPr>
          <w:lang w:val="en-AU"/>
        </w:rPr>
        <w:tab/>
        <w:t>Inclusion criteria for eligible RCTs of MT</w:t>
      </w:r>
      <w:bookmarkEnd w:id="363"/>
    </w:p>
    <w:tbl>
      <w:tblPr>
        <w:tblStyle w:val="TableGrid"/>
        <w:tblW w:w="0" w:type="auto"/>
        <w:tblLayout w:type="fixed"/>
        <w:tblLook w:val="04A0" w:firstRow="1" w:lastRow="0" w:firstColumn="1" w:lastColumn="0" w:noHBand="0" w:noVBand="1"/>
        <w:tblDescription w:val="Table 41. Inclusion criteria for eligible RCTs of MT table"/>
      </w:tblPr>
      <w:tblGrid>
        <w:gridCol w:w="1242"/>
        <w:gridCol w:w="709"/>
        <w:gridCol w:w="1134"/>
        <w:gridCol w:w="851"/>
        <w:gridCol w:w="1134"/>
        <w:gridCol w:w="1417"/>
        <w:gridCol w:w="1418"/>
        <w:gridCol w:w="1099"/>
      </w:tblGrid>
      <w:tr w:rsidR="00FE0B74" w:rsidRPr="00D85E09" w14:paraId="619CED5D" w14:textId="77777777" w:rsidTr="00BE6331">
        <w:trPr>
          <w:tblHeader/>
        </w:trPr>
        <w:tc>
          <w:tcPr>
            <w:tcW w:w="1242" w:type="dxa"/>
            <w:vMerge w:val="restart"/>
          </w:tcPr>
          <w:p w14:paraId="61156E23" w14:textId="77777777" w:rsidR="00FE0B74" w:rsidRPr="00D85E09" w:rsidRDefault="00FE0B74" w:rsidP="0043316B">
            <w:pPr>
              <w:pStyle w:val="Tabletext"/>
              <w:keepNext w:val="0"/>
              <w:widowControl w:val="0"/>
              <w:rPr>
                <w:b/>
              </w:rPr>
            </w:pPr>
            <w:r w:rsidRPr="00D85E09">
              <w:rPr>
                <w:b/>
              </w:rPr>
              <w:t>Study ID</w:t>
            </w:r>
          </w:p>
        </w:tc>
        <w:tc>
          <w:tcPr>
            <w:tcW w:w="5245" w:type="dxa"/>
            <w:gridSpan w:val="5"/>
          </w:tcPr>
          <w:p w14:paraId="0E2F2AA8" w14:textId="77777777" w:rsidR="00FE0B74" w:rsidRPr="00D85E09" w:rsidRDefault="00FE0B74" w:rsidP="0043316B">
            <w:pPr>
              <w:pStyle w:val="Tabletext"/>
              <w:keepNext w:val="0"/>
              <w:widowControl w:val="0"/>
              <w:rPr>
                <w:b/>
              </w:rPr>
            </w:pPr>
            <w:r w:rsidRPr="00D85E09">
              <w:rPr>
                <w:b/>
              </w:rPr>
              <w:t>Patient characteristics</w:t>
            </w:r>
          </w:p>
        </w:tc>
        <w:tc>
          <w:tcPr>
            <w:tcW w:w="2517" w:type="dxa"/>
            <w:gridSpan w:val="2"/>
          </w:tcPr>
          <w:p w14:paraId="42841EC3" w14:textId="77777777" w:rsidR="00FE0B74" w:rsidRPr="00D85E09" w:rsidRDefault="00FE0B74" w:rsidP="0043316B">
            <w:pPr>
              <w:pStyle w:val="Tabletext"/>
              <w:keepNext w:val="0"/>
              <w:widowControl w:val="0"/>
              <w:rPr>
                <w:b/>
              </w:rPr>
            </w:pPr>
            <w:r w:rsidRPr="00D85E09">
              <w:rPr>
                <w:b/>
              </w:rPr>
              <w:t>Circumstances of use</w:t>
            </w:r>
          </w:p>
        </w:tc>
      </w:tr>
      <w:tr w:rsidR="00FE0B74" w:rsidRPr="00D85E09" w14:paraId="5831EE25" w14:textId="77777777" w:rsidTr="00BE6331">
        <w:trPr>
          <w:tblHeader/>
        </w:trPr>
        <w:tc>
          <w:tcPr>
            <w:tcW w:w="1242" w:type="dxa"/>
            <w:vMerge/>
          </w:tcPr>
          <w:p w14:paraId="5C4AF069" w14:textId="77777777" w:rsidR="00FE0B74" w:rsidRPr="00D85E09" w:rsidRDefault="00FE0B74" w:rsidP="0043316B">
            <w:pPr>
              <w:pStyle w:val="Tabletext"/>
              <w:keepNext w:val="0"/>
              <w:widowControl w:val="0"/>
              <w:rPr>
                <w:b/>
              </w:rPr>
            </w:pPr>
          </w:p>
        </w:tc>
        <w:tc>
          <w:tcPr>
            <w:tcW w:w="709" w:type="dxa"/>
          </w:tcPr>
          <w:p w14:paraId="41F5CE00" w14:textId="77777777" w:rsidR="00FE0B74" w:rsidRPr="00D85E09" w:rsidRDefault="00FE0B74" w:rsidP="0043316B">
            <w:pPr>
              <w:pStyle w:val="Tabletext"/>
              <w:keepNext w:val="0"/>
              <w:widowControl w:val="0"/>
              <w:rPr>
                <w:b/>
              </w:rPr>
            </w:pPr>
            <w:r w:rsidRPr="00D85E09">
              <w:rPr>
                <w:b/>
              </w:rPr>
              <w:t>Age (yrs)</w:t>
            </w:r>
          </w:p>
        </w:tc>
        <w:tc>
          <w:tcPr>
            <w:tcW w:w="1134" w:type="dxa"/>
          </w:tcPr>
          <w:p w14:paraId="0DECB862" w14:textId="77777777" w:rsidR="00FE0B74" w:rsidRPr="00D85E09" w:rsidRDefault="00FE0B74" w:rsidP="0043316B">
            <w:pPr>
              <w:pStyle w:val="Tabletext"/>
              <w:keepNext w:val="0"/>
              <w:widowControl w:val="0"/>
              <w:rPr>
                <w:b/>
              </w:rPr>
            </w:pPr>
            <w:r w:rsidRPr="00D85E09">
              <w:rPr>
                <w:b/>
              </w:rPr>
              <w:t>Site of occlusion</w:t>
            </w:r>
          </w:p>
        </w:tc>
        <w:tc>
          <w:tcPr>
            <w:tcW w:w="851" w:type="dxa"/>
          </w:tcPr>
          <w:p w14:paraId="4D6A4E09" w14:textId="77777777" w:rsidR="00FE0B74" w:rsidRPr="00D85E09" w:rsidRDefault="00FE0B74" w:rsidP="0043316B">
            <w:pPr>
              <w:pStyle w:val="Tabletext"/>
              <w:keepNext w:val="0"/>
              <w:widowControl w:val="0"/>
              <w:rPr>
                <w:b/>
              </w:rPr>
            </w:pPr>
            <w:r w:rsidRPr="00D85E09">
              <w:rPr>
                <w:b/>
              </w:rPr>
              <w:t>NIHSS</w:t>
            </w:r>
          </w:p>
        </w:tc>
        <w:tc>
          <w:tcPr>
            <w:tcW w:w="1134" w:type="dxa"/>
          </w:tcPr>
          <w:p w14:paraId="02407F39" w14:textId="77777777" w:rsidR="00FE0B74" w:rsidRPr="00D85E09" w:rsidRDefault="00FE0B74" w:rsidP="0043316B">
            <w:pPr>
              <w:pStyle w:val="Tabletext"/>
              <w:keepNext w:val="0"/>
              <w:widowControl w:val="0"/>
              <w:rPr>
                <w:b/>
              </w:rPr>
            </w:pPr>
            <w:r w:rsidRPr="00D85E09">
              <w:rPr>
                <w:b/>
              </w:rPr>
              <w:t>Pre-stroke function</w:t>
            </w:r>
          </w:p>
        </w:tc>
        <w:tc>
          <w:tcPr>
            <w:tcW w:w="1417" w:type="dxa"/>
          </w:tcPr>
          <w:p w14:paraId="7F5D59E9" w14:textId="77777777" w:rsidR="00FE0B74" w:rsidRPr="00D85E09" w:rsidRDefault="00FE0B74" w:rsidP="0043316B">
            <w:pPr>
              <w:pStyle w:val="Tabletext"/>
              <w:keepNext w:val="0"/>
              <w:widowControl w:val="0"/>
              <w:rPr>
                <w:b/>
              </w:rPr>
            </w:pPr>
            <w:r w:rsidRPr="00D85E09">
              <w:rPr>
                <w:b/>
              </w:rPr>
              <w:t>ASPECTS or core size</w:t>
            </w:r>
          </w:p>
        </w:tc>
        <w:tc>
          <w:tcPr>
            <w:tcW w:w="1418" w:type="dxa"/>
          </w:tcPr>
          <w:p w14:paraId="3B4F464B" w14:textId="5B5E4FB1" w:rsidR="00FE0B74" w:rsidRPr="00D85E09" w:rsidRDefault="00FE0B74" w:rsidP="0043316B">
            <w:pPr>
              <w:pStyle w:val="Tabletext"/>
              <w:keepNext w:val="0"/>
              <w:widowControl w:val="0"/>
              <w:rPr>
                <w:b/>
              </w:rPr>
            </w:pPr>
            <w:r w:rsidRPr="00D85E09">
              <w:rPr>
                <w:b/>
              </w:rPr>
              <w:t>Time to randomisation</w:t>
            </w:r>
            <w:r w:rsidR="00660BD5" w:rsidRPr="00D85E09">
              <w:rPr>
                <w:b/>
              </w:rPr>
              <w:t xml:space="preserve"> or groin puncture</w:t>
            </w:r>
          </w:p>
        </w:tc>
        <w:tc>
          <w:tcPr>
            <w:tcW w:w="1099" w:type="dxa"/>
          </w:tcPr>
          <w:p w14:paraId="6B488562" w14:textId="5A12D009" w:rsidR="00FE0B74" w:rsidRPr="00D85E09" w:rsidRDefault="00FE0B74" w:rsidP="0043316B">
            <w:pPr>
              <w:pStyle w:val="Tabletext"/>
              <w:keepNext w:val="0"/>
              <w:widowControl w:val="0"/>
              <w:rPr>
                <w:b/>
              </w:rPr>
            </w:pPr>
            <w:r w:rsidRPr="00D85E09">
              <w:rPr>
                <w:b/>
              </w:rPr>
              <w:t>Includes patients ineligible for IV</w:t>
            </w:r>
            <w:r w:rsidR="00D32933" w:rsidRPr="00D85E09">
              <w:rPr>
                <w:b/>
              </w:rPr>
              <w:t>-</w:t>
            </w:r>
            <w:r w:rsidRPr="00D85E09">
              <w:rPr>
                <w:b/>
              </w:rPr>
              <w:t>tPA</w:t>
            </w:r>
          </w:p>
        </w:tc>
      </w:tr>
      <w:tr w:rsidR="00FE0B74" w:rsidRPr="00D85E09" w14:paraId="0F9326E3" w14:textId="77777777" w:rsidTr="00BE6331">
        <w:tc>
          <w:tcPr>
            <w:tcW w:w="1242" w:type="dxa"/>
          </w:tcPr>
          <w:p w14:paraId="0E89F0B7" w14:textId="77777777" w:rsidR="00FE0B74" w:rsidRPr="00D85E09" w:rsidRDefault="00FE0B74" w:rsidP="0043316B">
            <w:pPr>
              <w:pStyle w:val="Tabletext"/>
              <w:keepNext w:val="0"/>
              <w:widowControl w:val="0"/>
            </w:pPr>
            <w:r w:rsidRPr="00D85E09">
              <w:t xml:space="preserve">MR CLEAN </w:t>
            </w:r>
          </w:p>
        </w:tc>
        <w:tc>
          <w:tcPr>
            <w:tcW w:w="709" w:type="dxa"/>
          </w:tcPr>
          <w:p w14:paraId="5CE445D7" w14:textId="77777777" w:rsidR="00FE0B74" w:rsidRPr="00D85E09" w:rsidRDefault="00FE0B74" w:rsidP="0043316B">
            <w:pPr>
              <w:pStyle w:val="Tabletext"/>
              <w:keepNext w:val="0"/>
              <w:widowControl w:val="0"/>
            </w:pPr>
            <w:r w:rsidRPr="00D85E09">
              <w:t>&gt;18</w:t>
            </w:r>
          </w:p>
        </w:tc>
        <w:tc>
          <w:tcPr>
            <w:tcW w:w="1134" w:type="dxa"/>
          </w:tcPr>
          <w:p w14:paraId="3C582D23" w14:textId="77777777" w:rsidR="00FE0B74" w:rsidRPr="00D85E09" w:rsidRDefault="00FE0B74" w:rsidP="0043316B">
            <w:pPr>
              <w:pStyle w:val="Tabletext"/>
              <w:keepNext w:val="0"/>
              <w:widowControl w:val="0"/>
            </w:pPr>
            <w:r w:rsidRPr="00D85E09">
              <w:t>ICA, M1, M2 (anterior circulation)</w:t>
            </w:r>
          </w:p>
        </w:tc>
        <w:tc>
          <w:tcPr>
            <w:tcW w:w="851" w:type="dxa"/>
          </w:tcPr>
          <w:p w14:paraId="1DC85E00" w14:textId="77777777" w:rsidR="00FE0B74" w:rsidRPr="00D85E09" w:rsidRDefault="00FE0B74" w:rsidP="0043316B">
            <w:pPr>
              <w:pStyle w:val="Tabletext"/>
              <w:keepNext w:val="0"/>
              <w:widowControl w:val="0"/>
            </w:pPr>
            <w:r w:rsidRPr="00D85E09">
              <w:t>&gt;2</w:t>
            </w:r>
          </w:p>
        </w:tc>
        <w:tc>
          <w:tcPr>
            <w:tcW w:w="1134" w:type="dxa"/>
          </w:tcPr>
          <w:p w14:paraId="2ACAE803" w14:textId="77777777" w:rsidR="00FE0B74" w:rsidRPr="00D85E09" w:rsidRDefault="00FE0B74" w:rsidP="0043316B">
            <w:pPr>
              <w:pStyle w:val="Tabletext"/>
              <w:keepNext w:val="0"/>
              <w:widowControl w:val="0"/>
            </w:pPr>
            <w:r w:rsidRPr="00D85E09">
              <w:t>None</w:t>
            </w:r>
          </w:p>
        </w:tc>
        <w:tc>
          <w:tcPr>
            <w:tcW w:w="1417" w:type="dxa"/>
          </w:tcPr>
          <w:p w14:paraId="453395E7" w14:textId="77777777" w:rsidR="00FE0B74" w:rsidRPr="00D85E09" w:rsidRDefault="00FE0B74" w:rsidP="0043316B">
            <w:pPr>
              <w:pStyle w:val="Tabletext"/>
              <w:keepNext w:val="0"/>
              <w:widowControl w:val="0"/>
            </w:pPr>
            <w:r w:rsidRPr="00D85E09">
              <w:t>None</w:t>
            </w:r>
          </w:p>
        </w:tc>
        <w:tc>
          <w:tcPr>
            <w:tcW w:w="1418" w:type="dxa"/>
          </w:tcPr>
          <w:p w14:paraId="670A9E73" w14:textId="42F07C06" w:rsidR="00FE0B74" w:rsidRPr="00D85E09" w:rsidRDefault="00FE0B74" w:rsidP="0043316B">
            <w:pPr>
              <w:pStyle w:val="Tabletext"/>
              <w:keepNext w:val="0"/>
              <w:widowControl w:val="0"/>
            </w:pPr>
            <w:r w:rsidRPr="00D85E09">
              <w:t>6 hours to groin</w:t>
            </w:r>
            <w:r w:rsidR="009C64DD" w:rsidRPr="00D85E09">
              <w:t xml:space="preserve"> </w:t>
            </w:r>
          </w:p>
        </w:tc>
        <w:tc>
          <w:tcPr>
            <w:tcW w:w="1099" w:type="dxa"/>
          </w:tcPr>
          <w:p w14:paraId="1D6D9252" w14:textId="77777777" w:rsidR="00FE0B74" w:rsidRPr="00D85E09" w:rsidRDefault="00FE0B74" w:rsidP="0043316B">
            <w:pPr>
              <w:pStyle w:val="Tabletext"/>
              <w:keepNext w:val="0"/>
              <w:widowControl w:val="0"/>
            </w:pPr>
            <w:r w:rsidRPr="00D85E09">
              <w:t>Y</w:t>
            </w:r>
          </w:p>
        </w:tc>
      </w:tr>
      <w:tr w:rsidR="00FE0B74" w:rsidRPr="00D85E09" w14:paraId="5C935688" w14:textId="77777777" w:rsidTr="00BE6331">
        <w:tc>
          <w:tcPr>
            <w:tcW w:w="1242" w:type="dxa"/>
          </w:tcPr>
          <w:p w14:paraId="1B4796CD" w14:textId="77777777" w:rsidR="00FE0B74" w:rsidRPr="00D85E09" w:rsidRDefault="00FE0B74" w:rsidP="0043316B">
            <w:pPr>
              <w:pStyle w:val="Tabletext"/>
              <w:keepNext w:val="0"/>
              <w:widowControl w:val="0"/>
            </w:pPr>
            <w:r w:rsidRPr="00D85E09">
              <w:t xml:space="preserve">ESCAPE </w:t>
            </w:r>
          </w:p>
        </w:tc>
        <w:tc>
          <w:tcPr>
            <w:tcW w:w="709" w:type="dxa"/>
          </w:tcPr>
          <w:p w14:paraId="24710320" w14:textId="77777777" w:rsidR="00FE0B74" w:rsidRPr="00D85E09" w:rsidRDefault="00FE0B74" w:rsidP="0043316B">
            <w:pPr>
              <w:pStyle w:val="Tabletext"/>
              <w:keepNext w:val="0"/>
              <w:widowControl w:val="0"/>
            </w:pPr>
            <w:r w:rsidRPr="00D85E09">
              <w:t>&gt;18</w:t>
            </w:r>
          </w:p>
        </w:tc>
        <w:tc>
          <w:tcPr>
            <w:tcW w:w="1134" w:type="dxa"/>
          </w:tcPr>
          <w:p w14:paraId="1E91B580" w14:textId="77777777" w:rsidR="00FE0B74" w:rsidRPr="00D85E09" w:rsidRDefault="00FE0B74" w:rsidP="0043316B">
            <w:pPr>
              <w:pStyle w:val="Tabletext"/>
              <w:keepNext w:val="0"/>
              <w:widowControl w:val="0"/>
            </w:pPr>
            <w:r w:rsidRPr="00D85E09">
              <w:t>ICA, M1</w:t>
            </w:r>
          </w:p>
        </w:tc>
        <w:tc>
          <w:tcPr>
            <w:tcW w:w="851" w:type="dxa"/>
          </w:tcPr>
          <w:p w14:paraId="56EC9EEE" w14:textId="77777777" w:rsidR="00FE0B74" w:rsidRPr="00D85E09" w:rsidRDefault="00FE0B74" w:rsidP="0043316B">
            <w:pPr>
              <w:pStyle w:val="Tabletext"/>
              <w:keepNext w:val="0"/>
              <w:widowControl w:val="0"/>
            </w:pPr>
            <w:r w:rsidRPr="00D85E09">
              <w:t>&gt;5</w:t>
            </w:r>
          </w:p>
        </w:tc>
        <w:tc>
          <w:tcPr>
            <w:tcW w:w="1134" w:type="dxa"/>
          </w:tcPr>
          <w:p w14:paraId="4E99E97A" w14:textId="77777777" w:rsidR="00FE0B74" w:rsidRPr="00D85E09" w:rsidRDefault="00FE0B74" w:rsidP="0043316B">
            <w:pPr>
              <w:pStyle w:val="Tabletext"/>
              <w:keepNext w:val="0"/>
              <w:widowControl w:val="0"/>
            </w:pPr>
            <w:r w:rsidRPr="00D85E09">
              <w:t>Barthel ≥90</w:t>
            </w:r>
          </w:p>
        </w:tc>
        <w:tc>
          <w:tcPr>
            <w:tcW w:w="1417" w:type="dxa"/>
          </w:tcPr>
          <w:p w14:paraId="019EBF12" w14:textId="77753F37" w:rsidR="00FE0B74" w:rsidRPr="00D85E09" w:rsidRDefault="00FE0B74" w:rsidP="0043316B">
            <w:pPr>
              <w:pStyle w:val="Tabletext"/>
              <w:keepNext w:val="0"/>
              <w:widowControl w:val="0"/>
            </w:pPr>
            <w:r w:rsidRPr="00D85E09">
              <w:t>ASPECTS 6-10</w:t>
            </w:r>
          </w:p>
          <w:p w14:paraId="4214CF89" w14:textId="77777777" w:rsidR="00FE0B74" w:rsidRPr="00D85E09" w:rsidRDefault="00FE0B74" w:rsidP="0043316B">
            <w:pPr>
              <w:pStyle w:val="Tabletext"/>
              <w:keepNext w:val="0"/>
              <w:widowControl w:val="0"/>
            </w:pPr>
          </w:p>
        </w:tc>
        <w:tc>
          <w:tcPr>
            <w:tcW w:w="1418" w:type="dxa"/>
          </w:tcPr>
          <w:p w14:paraId="336A84E0" w14:textId="77777777" w:rsidR="00FE0B74" w:rsidRPr="00D85E09" w:rsidRDefault="00FE0B74" w:rsidP="0043316B">
            <w:pPr>
              <w:pStyle w:val="Tabletext"/>
              <w:keepNext w:val="0"/>
              <w:widowControl w:val="0"/>
            </w:pPr>
            <w:r w:rsidRPr="00D85E09">
              <w:t>12 hours to randomisation</w:t>
            </w:r>
          </w:p>
        </w:tc>
        <w:tc>
          <w:tcPr>
            <w:tcW w:w="1099" w:type="dxa"/>
          </w:tcPr>
          <w:p w14:paraId="18785CF8" w14:textId="77777777" w:rsidR="00FE0B74" w:rsidRPr="00D85E09" w:rsidRDefault="00FE0B74" w:rsidP="0043316B">
            <w:pPr>
              <w:pStyle w:val="Tabletext"/>
              <w:keepNext w:val="0"/>
              <w:widowControl w:val="0"/>
            </w:pPr>
            <w:r w:rsidRPr="00D85E09">
              <w:t>Y</w:t>
            </w:r>
          </w:p>
        </w:tc>
      </w:tr>
      <w:tr w:rsidR="00FE0B74" w:rsidRPr="00D85E09" w14:paraId="6A071F35" w14:textId="77777777" w:rsidTr="00BE6331">
        <w:tc>
          <w:tcPr>
            <w:tcW w:w="1242" w:type="dxa"/>
          </w:tcPr>
          <w:p w14:paraId="1B6B8157" w14:textId="77777777" w:rsidR="00FE0B74" w:rsidRPr="00D85E09" w:rsidRDefault="00FE0B74" w:rsidP="0043316B">
            <w:pPr>
              <w:pStyle w:val="Tabletext"/>
              <w:keepNext w:val="0"/>
              <w:widowControl w:val="0"/>
            </w:pPr>
            <w:r w:rsidRPr="00D85E09">
              <w:t xml:space="preserve">EXTEND-IA </w:t>
            </w:r>
          </w:p>
        </w:tc>
        <w:tc>
          <w:tcPr>
            <w:tcW w:w="709" w:type="dxa"/>
          </w:tcPr>
          <w:p w14:paraId="064DA998" w14:textId="77777777" w:rsidR="00FE0B74" w:rsidRPr="00D85E09" w:rsidRDefault="00FE0B74" w:rsidP="0043316B">
            <w:pPr>
              <w:pStyle w:val="Tabletext"/>
              <w:keepNext w:val="0"/>
              <w:widowControl w:val="0"/>
            </w:pPr>
            <w:r w:rsidRPr="00D85E09">
              <w:t>≥18</w:t>
            </w:r>
          </w:p>
        </w:tc>
        <w:tc>
          <w:tcPr>
            <w:tcW w:w="1134" w:type="dxa"/>
          </w:tcPr>
          <w:p w14:paraId="6C6FEE87" w14:textId="77777777" w:rsidR="00FE0B74" w:rsidRPr="00D85E09" w:rsidRDefault="00FE0B74" w:rsidP="0043316B">
            <w:pPr>
              <w:pStyle w:val="Tabletext"/>
              <w:keepNext w:val="0"/>
              <w:widowControl w:val="0"/>
            </w:pPr>
            <w:r w:rsidRPr="00D85E09">
              <w:t>ICA, M1, M2 (anterior circulation)</w:t>
            </w:r>
          </w:p>
        </w:tc>
        <w:tc>
          <w:tcPr>
            <w:tcW w:w="851" w:type="dxa"/>
          </w:tcPr>
          <w:p w14:paraId="1D1EA7BB" w14:textId="77777777" w:rsidR="00FE0B74" w:rsidRPr="00D85E09" w:rsidRDefault="00FE0B74" w:rsidP="0043316B">
            <w:pPr>
              <w:pStyle w:val="Tabletext"/>
              <w:keepNext w:val="0"/>
              <w:widowControl w:val="0"/>
            </w:pPr>
            <w:r w:rsidRPr="00D85E09">
              <w:t xml:space="preserve">None </w:t>
            </w:r>
          </w:p>
        </w:tc>
        <w:tc>
          <w:tcPr>
            <w:tcW w:w="1134" w:type="dxa"/>
          </w:tcPr>
          <w:p w14:paraId="3C157FFC" w14:textId="77777777" w:rsidR="00FE0B74" w:rsidRPr="00D85E09" w:rsidRDefault="00FE0B74" w:rsidP="0043316B">
            <w:pPr>
              <w:pStyle w:val="Tabletext"/>
              <w:keepNext w:val="0"/>
              <w:widowControl w:val="0"/>
            </w:pPr>
            <w:r w:rsidRPr="00D85E09">
              <w:t>mRS 0-1</w:t>
            </w:r>
          </w:p>
        </w:tc>
        <w:tc>
          <w:tcPr>
            <w:tcW w:w="1417" w:type="dxa"/>
          </w:tcPr>
          <w:p w14:paraId="1FDBB23A" w14:textId="2886486C" w:rsidR="00FE0B74" w:rsidRPr="00D85E09" w:rsidRDefault="00FE0B74" w:rsidP="0043316B">
            <w:pPr>
              <w:pStyle w:val="Tabletext"/>
              <w:keepNext w:val="0"/>
              <w:widowControl w:val="0"/>
            </w:pPr>
            <w:r w:rsidRPr="00D85E09">
              <w:t>Isch</w:t>
            </w:r>
            <w:r w:rsidR="00E56287" w:rsidRPr="00D85E09">
              <w:t>aemic</w:t>
            </w:r>
            <w:r w:rsidRPr="00D85E09">
              <w:t xml:space="preserve"> core &lt;70mL</w:t>
            </w:r>
          </w:p>
        </w:tc>
        <w:tc>
          <w:tcPr>
            <w:tcW w:w="1418" w:type="dxa"/>
          </w:tcPr>
          <w:p w14:paraId="4A512014" w14:textId="77777777" w:rsidR="00FE0B74" w:rsidRPr="00D85E09" w:rsidRDefault="00FE0B74" w:rsidP="0043316B">
            <w:pPr>
              <w:pStyle w:val="Tabletext"/>
              <w:keepNext w:val="0"/>
              <w:widowControl w:val="0"/>
            </w:pPr>
            <w:r w:rsidRPr="00D85E09">
              <w:t>6 hours to groin complete in 8 hours</w:t>
            </w:r>
          </w:p>
        </w:tc>
        <w:tc>
          <w:tcPr>
            <w:tcW w:w="1099" w:type="dxa"/>
          </w:tcPr>
          <w:p w14:paraId="25488445" w14:textId="77777777" w:rsidR="00FE0B74" w:rsidRPr="00D85E09" w:rsidRDefault="00FE0B74" w:rsidP="0043316B">
            <w:pPr>
              <w:pStyle w:val="Tabletext"/>
              <w:keepNext w:val="0"/>
              <w:widowControl w:val="0"/>
            </w:pPr>
            <w:r w:rsidRPr="00D85E09">
              <w:t>N</w:t>
            </w:r>
          </w:p>
        </w:tc>
      </w:tr>
      <w:tr w:rsidR="00FE0B74" w:rsidRPr="00D85E09" w14:paraId="401B3987" w14:textId="77777777" w:rsidTr="00BE6331">
        <w:tc>
          <w:tcPr>
            <w:tcW w:w="1242" w:type="dxa"/>
          </w:tcPr>
          <w:p w14:paraId="2E4533C9" w14:textId="77777777" w:rsidR="00FE0B74" w:rsidRPr="00D85E09" w:rsidRDefault="00FE0B74" w:rsidP="0043316B">
            <w:pPr>
              <w:pStyle w:val="Tabletext"/>
              <w:keepNext w:val="0"/>
              <w:widowControl w:val="0"/>
            </w:pPr>
            <w:r w:rsidRPr="00D85E09">
              <w:t>SWIFT PRIME</w:t>
            </w:r>
          </w:p>
          <w:p w14:paraId="2FE05F57" w14:textId="77777777" w:rsidR="00FE0B74" w:rsidRPr="00D85E09" w:rsidRDefault="00FE0B74" w:rsidP="0043316B">
            <w:pPr>
              <w:pStyle w:val="Tabletext"/>
              <w:keepNext w:val="0"/>
              <w:widowControl w:val="0"/>
            </w:pPr>
          </w:p>
        </w:tc>
        <w:tc>
          <w:tcPr>
            <w:tcW w:w="709" w:type="dxa"/>
          </w:tcPr>
          <w:p w14:paraId="4DB664B8" w14:textId="77777777" w:rsidR="00FE0B74" w:rsidRPr="00D85E09" w:rsidRDefault="00FE0B74" w:rsidP="0043316B">
            <w:pPr>
              <w:pStyle w:val="Tabletext"/>
              <w:keepNext w:val="0"/>
              <w:widowControl w:val="0"/>
            </w:pPr>
            <w:r w:rsidRPr="00D85E09">
              <w:t>18-80</w:t>
            </w:r>
          </w:p>
        </w:tc>
        <w:tc>
          <w:tcPr>
            <w:tcW w:w="1134" w:type="dxa"/>
          </w:tcPr>
          <w:p w14:paraId="6942D80F" w14:textId="77777777" w:rsidR="00FE0B74" w:rsidRPr="00D85E09" w:rsidRDefault="00FE0B74" w:rsidP="0043316B">
            <w:pPr>
              <w:pStyle w:val="Tabletext"/>
              <w:keepNext w:val="0"/>
              <w:widowControl w:val="0"/>
            </w:pPr>
            <w:r w:rsidRPr="00D85E09">
              <w:t>ICA, M1</w:t>
            </w:r>
          </w:p>
        </w:tc>
        <w:tc>
          <w:tcPr>
            <w:tcW w:w="851" w:type="dxa"/>
          </w:tcPr>
          <w:p w14:paraId="4467A2E5" w14:textId="77777777" w:rsidR="00FE0B74" w:rsidRPr="00D85E09" w:rsidRDefault="00FE0B74" w:rsidP="0043316B">
            <w:pPr>
              <w:pStyle w:val="Tabletext"/>
              <w:keepNext w:val="0"/>
              <w:widowControl w:val="0"/>
            </w:pPr>
            <w:r w:rsidRPr="00D85E09">
              <w:t>8-29</w:t>
            </w:r>
          </w:p>
        </w:tc>
        <w:tc>
          <w:tcPr>
            <w:tcW w:w="1134" w:type="dxa"/>
          </w:tcPr>
          <w:p w14:paraId="56E11729" w14:textId="77777777" w:rsidR="00FE0B74" w:rsidRPr="00D85E09" w:rsidRDefault="00FE0B74" w:rsidP="0043316B">
            <w:pPr>
              <w:pStyle w:val="Tabletext"/>
              <w:keepNext w:val="0"/>
              <w:widowControl w:val="0"/>
            </w:pPr>
            <w:r w:rsidRPr="00D85E09">
              <w:t>mRS 0-1</w:t>
            </w:r>
          </w:p>
        </w:tc>
        <w:tc>
          <w:tcPr>
            <w:tcW w:w="1417" w:type="dxa"/>
          </w:tcPr>
          <w:p w14:paraId="14427649" w14:textId="73F1BB8E" w:rsidR="00FE0B74" w:rsidRPr="00D85E09" w:rsidRDefault="00FE0B74" w:rsidP="0043316B">
            <w:pPr>
              <w:pStyle w:val="Tabletext"/>
              <w:keepNext w:val="0"/>
              <w:widowControl w:val="0"/>
            </w:pPr>
            <w:r w:rsidRPr="00D85E09">
              <w:t>Isch</w:t>
            </w:r>
            <w:r w:rsidR="00E56287" w:rsidRPr="00D85E09">
              <w:t>aemic</w:t>
            </w:r>
            <w:r w:rsidRPr="00D85E09">
              <w:t xml:space="preserve"> core &lt;50 mL (1st 72 or MRI</w:t>
            </w:r>
            <w:r w:rsidR="00902135" w:rsidRPr="00D85E09">
              <w:t>)</w:t>
            </w:r>
            <w:r w:rsidRPr="00D85E09">
              <w:t xml:space="preserve"> ASPECTS 6-10 (remaining 125 pts)</w:t>
            </w:r>
          </w:p>
        </w:tc>
        <w:tc>
          <w:tcPr>
            <w:tcW w:w="1418" w:type="dxa"/>
          </w:tcPr>
          <w:p w14:paraId="54C081B2" w14:textId="77777777" w:rsidR="00FE0B74" w:rsidRPr="00D85E09" w:rsidRDefault="00FE0B74" w:rsidP="0043316B">
            <w:pPr>
              <w:pStyle w:val="Tabletext"/>
              <w:keepNext w:val="0"/>
              <w:widowControl w:val="0"/>
            </w:pPr>
            <w:r w:rsidRPr="00D85E09">
              <w:t>6 hours to groin</w:t>
            </w:r>
          </w:p>
        </w:tc>
        <w:tc>
          <w:tcPr>
            <w:tcW w:w="1099" w:type="dxa"/>
          </w:tcPr>
          <w:p w14:paraId="783C65D3" w14:textId="77777777" w:rsidR="00FE0B74" w:rsidRPr="00D85E09" w:rsidRDefault="00FE0B74" w:rsidP="0043316B">
            <w:pPr>
              <w:pStyle w:val="Tabletext"/>
              <w:keepNext w:val="0"/>
              <w:widowControl w:val="0"/>
            </w:pPr>
            <w:r w:rsidRPr="00D85E09">
              <w:t>Y</w:t>
            </w:r>
          </w:p>
        </w:tc>
      </w:tr>
      <w:tr w:rsidR="00FE0B74" w:rsidRPr="00D85E09" w14:paraId="0DC21D4F" w14:textId="77777777" w:rsidTr="00BE6331">
        <w:tc>
          <w:tcPr>
            <w:tcW w:w="1242" w:type="dxa"/>
          </w:tcPr>
          <w:p w14:paraId="6F7ABCD8" w14:textId="77777777" w:rsidR="00FE0B74" w:rsidRPr="00D85E09" w:rsidRDefault="00FE0B74" w:rsidP="0043316B">
            <w:pPr>
              <w:pStyle w:val="Tabletext"/>
              <w:keepNext w:val="0"/>
              <w:widowControl w:val="0"/>
            </w:pPr>
            <w:r w:rsidRPr="00D85E09">
              <w:t>REVASCAT</w:t>
            </w:r>
          </w:p>
          <w:p w14:paraId="52AB8B46" w14:textId="77777777" w:rsidR="00FE0B74" w:rsidRPr="00D85E09" w:rsidRDefault="00FE0B74" w:rsidP="0043316B">
            <w:pPr>
              <w:pStyle w:val="Tabletext"/>
              <w:keepNext w:val="0"/>
              <w:widowControl w:val="0"/>
            </w:pPr>
          </w:p>
        </w:tc>
        <w:tc>
          <w:tcPr>
            <w:tcW w:w="709" w:type="dxa"/>
          </w:tcPr>
          <w:p w14:paraId="1A0AF059" w14:textId="77777777" w:rsidR="00FE0B74" w:rsidRPr="00D85E09" w:rsidRDefault="00FE0B74" w:rsidP="0043316B">
            <w:pPr>
              <w:pStyle w:val="Tabletext"/>
              <w:keepNext w:val="0"/>
              <w:widowControl w:val="0"/>
            </w:pPr>
            <w:r w:rsidRPr="00D85E09">
              <w:t>18-80 (85)</w:t>
            </w:r>
          </w:p>
        </w:tc>
        <w:tc>
          <w:tcPr>
            <w:tcW w:w="1134" w:type="dxa"/>
          </w:tcPr>
          <w:p w14:paraId="30B339BC" w14:textId="77777777" w:rsidR="00FE0B74" w:rsidRPr="00D85E09" w:rsidRDefault="00FE0B74" w:rsidP="0043316B">
            <w:pPr>
              <w:pStyle w:val="Tabletext"/>
              <w:keepNext w:val="0"/>
              <w:widowControl w:val="0"/>
            </w:pPr>
            <w:r w:rsidRPr="00D85E09">
              <w:t>ICA, M1</w:t>
            </w:r>
          </w:p>
        </w:tc>
        <w:tc>
          <w:tcPr>
            <w:tcW w:w="851" w:type="dxa"/>
          </w:tcPr>
          <w:p w14:paraId="66BAAC00" w14:textId="77777777" w:rsidR="00FE0B74" w:rsidRPr="00D85E09" w:rsidRDefault="00FE0B74" w:rsidP="0043316B">
            <w:pPr>
              <w:pStyle w:val="Tabletext"/>
              <w:keepNext w:val="0"/>
              <w:widowControl w:val="0"/>
            </w:pPr>
            <w:r w:rsidRPr="00D85E09">
              <w:t>≥6</w:t>
            </w:r>
          </w:p>
        </w:tc>
        <w:tc>
          <w:tcPr>
            <w:tcW w:w="1134" w:type="dxa"/>
          </w:tcPr>
          <w:p w14:paraId="22655983" w14:textId="77777777" w:rsidR="00FE0B74" w:rsidRPr="00D85E09" w:rsidRDefault="00FE0B74" w:rsidP="0043316B">
            <w:pPr>
              <w:pStyle w:val="Tabletext"/>
              <w:keepNext w:val="0"/>
              <w:widowControl w:val="0"/>
            </w:pPr>
            <w:r w:rsidRPr="00D85E09">
              <w:t>mRS 0-1</w:t>
            </w:r>
          </w:p>
        </w:tc>
        <w:tc>
          <w:tcPr>
            <w:tcW w:w="1417" w:type="dxa"/>
          </w:tcPr>
          <w:p w14:paraId="2527C471" w14:textId="77777777" w:rsidR="00FE0B74" w:rsidRPr="00D85E09" w:rsidRDefault="00FE0B74" w:rsidP="0043316B">
            <w:pPr>
              <w:pStyle w:val="Tabletext"/>
              <w:keepNext w:val="0"/>
              <w:widowControl w:val="0"/>
            </w:pPr>
            <w:r w:rsidRPr="00D85E09">
              <w:t>ASPECTS 6-10</w:t>
            </w:r>
          </w:p>
        </w:tc>
        <w:tc>
          <w:tcPr>
            <w:tcW w:w="1418" w:type="dxa"/>
          </w:tcPr>
          <w:p w14:paraId="01A7F254" w14:textId="77777777" w:rsidR="00FE0B74" w:rsidRPr="00D85E09" w:rsidRDefault="00FE0B74" w:rsidP="0043316B">
            <w:pPr>
              <w:pStyle w:val="Tabletext"/>
              <w:keepNext w:val="0"/>
              <w:widowControl w:val="0"/>
            </w:pPr>
            <w:r w:rsidRPr="00D85E09">
              <w:t>8 hours to groin</w:t>
            </w:r>
          </w:p>
        </w:tc>
        <w:tc>
          <w:tcPr>
            <w:tcW w:w="1099" w:type="dxa"/>
          </w:tcPr>
          <w:p w14:paraId="23083ABD" w14:textId="77777777" w:rsidR="00FE0B74" w:rsidRPr="00D85E09" w:rsidRDefault="00FE0B74" w:rsidP="0043316B">
            <w:pPr>
              <w:pStyle w:val="Tabletext"/>
              <w:keepNext w:val="0"/>
              <w:widowControl w:val="0"/>
            </w:pPr>
            <w:r w:rsidRPr="00D85E09">
              <w:t>Y</w:t>
            </w:r>
          </w:p>
        </w:tc>
      </w:tr>
    </w:tbl>
    <w:p w14:paraId="6AEB2AF6" w14:textId="2041CF6E" w:rsidR="00FE0B74" w:rsidRPr="00D85E09" w:rsidRDefault="00FE0B74" w:rsidP="0043316B">
      <w:pPr>
        <w:pStyle w:val="Tablefootnote"/>
        <w:widowControl w:val="0"/>
        <w:spacing w:after="360"/>
        <w:rPr>
          <w:lang w:val="en-AU"/>
        </w:rPr>
      </w:pPr>
      <w:r w:rsidRPr="00D85E09">
        <w:rPr>
          <w:lang w:val="en-AU"/>
        </w:rPr>
        <w:t xml:space="preserve">Abbreviations: ASPECTS, Alberta Stroke Program Early CT Score; CT, computed tomography; CTP, CT perfusion; DWI, diffusion weighted imaging; ICA, internal carotid artery; MRI, magnetic resonance imaging; mRS, modified Rankin </w:t>
      </w:r>
      <w:r w:rsidR="00F67AF7" w:rsidRPr="00D85E09">
        <w:rPr>
          <w:lang w:val="en-AU"/>
        </w:rPr>
        <w:t>s</w:t>
      </w:r>
      <w:r w:rsidRPr="00D85E09">
        <w:rPr>
          <w:lang w:val="en-AU"/>
        </w:rPr>
        <w:t>cale; NIHSS, National Institute of Health Stroke Scale</w:t>
      </w:r>
    </w:p>
    <w:p w14:paraId="03043707" w14:textId="697CF340" w:rsidR="00302091" w:rsidRPr="00D85E09" w:rsidRDefault="00FE0B74" w:rsidP="0043316B">
      <w:pPr>
        <w:widowControl w:val="0"/>
      </w:pPr>
      <w:r w:rsidRPr="00D85E09">
        <w:t>Based on the aforementioned within-trial eligibility criteria, some clinical practice guidelines have restricted their recommendations for MT to certain subpopulations. For example, the AHA/ASA guidelines (Powers et al, 2015) further recommend limiting the use of MT to patients with pre-stroke mRS score 0–1, causative occlusion of the ICA or proximal MCA (M1), age ≥18 years, NIHSS score ≥6 ASPECTS ≥6, and ability to initiate treatment within 6 hrs of symptom onset. This guideline also states there is inadequate data for a recommendation for endovascular therapy in patients with time or non-time based contraindications to IV</w:t>
      </w:r>
      <w:r w:rsidR="00D32933" w:rsidRPr="00D85E09">
        <w:t>-</w:t>
      </w:r>
      <w:r w:rsidRPr="00D85E09">
        <w:t>tPA (Powers et al, 2015). The EUnetHTA also cites insufficient evidence for this patient group EUnetHTA, 2015).</w:t>
      </w:r>
      <w:r w:rsidR="009B68B0" w:rsidRPr="00D85E09">
        <w:t xml:space="preserve"> However, in practice, use of mechanical thrombectomy in selected patients beyond six hours of stroke onset may be determined appropriate by treating clinicians - where clinical assessment indicates the patient is likely to benefit from treatment (i.e. evidence of salvageable brain).</w:t>
      </w:r>
    </w:p>
    <w:p w14:paraId="709DEB0A" w14:textId="552C8F29" w:rsidR="00302091" w:rsidRPr="00D85E09" w:rsidRDefault="00302091" w:rsidP="0043316B">
      <w:pPr>
        <w:widowControl w:val="0"/>
      </w:pPr>
      <w:r w:rsidRPr="00D85E09">
        <w:t>With regards to defining the proposed patient populations for this evaluation – patient selection should be aligned with clinical practice guidelines. However, as patient treatment is determined on a case-by-case basis, there should be sufficient flexibility to meet the needs of clinical practice where patient treatment decisions are made on a case-by-case basis in an acute emergency setting. Hence, t</w:t>
      </w:r>
      <w:r w:rsidR="00FE0B74" w:rsidRPr="00D85E09">
        <w:t xml:space="preserve">he population targeted in this submission is </w:t>
      </w:r>
      <w:r w:rsidR="00FE0B74" w:rsidRPr="00D85E09">
        <w:lastRenderedPageBreak/>
        <w:t>relatively broad, limited only to “</w:t>
      </w:r>
      <w:r w:rsidR="00FE0B74" w:rsidRPr="00D85E09">
        <w:rPr>
          <w:i/>
        </w:rPr>
        <w:t>patients with confirmed diagnosis of acute ischaemic stroke caused by large vessel occlusion</w:t>
      </w:r>
      <w:r w:rsidR="00FE0B74" w:rsidRPr="00D85E09">
        <w:t xml:space="preserve">”. </w:t>
      </w:r>
      <w:r w:rsidRPr="00D85E09">
        <w:t>This reflects the aim of clinical practice: to identify all patients with LVO isch</w:t>
      </w:r>
      <w:r w:rsidR="00E56287" w:rsidRPr="00D85E09">
        <w:t>aemic</w:t>
      </w:r>
      <w:r w:rsidRPr="00D85E09">
        <w:t xml:space="preserve"> stroke who could </w:t>
      </w:r>
      <w:r w:rsidR="009B68B0" w:rsidRPr="00D85E09">
        <w:t xml:space="preserve">potentially </w:t>
      </w:r>
      <w:r w:rsidRPr="00D85E09">
        <w:t>benefit from mechanical thrombectomy.</w:t>
      </w:r>
    </w:p>
    <w:p w14:paraId="67796D1B" w14:textId="080C124F" w:rsidR="00FE0B74" w:rsidRPr="00D85E09" w:rsidRDefault="00FE0B74" w:rsidP="0043316B">
      <w:pPr>
        <w:widowControl w:val="0"/>
      </w:pPr>
      <w:r w:rsidRPr="00D85E09">
        <w:t xml:space="preserve">Therefore, this pre-modelling study aims to examine the relationship between population variables and the clinical efficacy of MT, thus establishing the applicability of the clinical trial evidence to the proposed MBS listing. In addition to </w:t>
      </w:r>
      <w:r w:rsidR="00FA0190" w:rsidRPr="00D85E09">
        <w:t>applicability of the trial population</w:t>
      </w:r>
      <w:r w:rsidRPr="00D85E09">
        <w:t xml:space="preserve">, this Section C issue </w:t>
      </w:r>
      <w:r w:rsidR="00FA0190" w:rsidRPr="00D85E09">
        <w:t xml:space="preserve">also </w:t>
      </w:r>
      <w:r w:rsidRPr="00D85E09">
        <w:t xml:space="preserve">addresses important applicability issues </w:t>
      </w:r>
      <w:r w:rsidR="00FA0190" w:rsidRPr="00D85E09">
        <w:t>around</w:t>
      </w:r>
      <w:r w:rsidRPr="00D85E09">
        <w:t xml:space="preserve"> circumstances of use, e.g. concurrent use of IV</w:t>
      </w:r>
      <w:r w:rsidR="00D32933" w:rsidRPr="00D85E09">
        <w:t>-</w:t>
      </w:r>
      <w:r w:rsidRPr="00D85E09">
        <w:t>tPA, types of pre-procedural imaging tests, and time to the commencement of procedure.</w:t>
      </w:r>
    </w:p>
    <w:p w14:paraId="55FC430F" w14:textId="60CAD7B0" w:rsidR="00FA0190" w:rsidRPr="00D85E09" w:rsidRDefault="00FA0190" w:rsidP="0043316B">
      <w:pPr>
        <w:widowControl w:val="0"/>
      </w:pPr>
      <w:r w:rsidRPr="00D85E09">
        <w:t xml:space="preserve">Note that this pre-modelling study examines the applicability of trial evidence to the requested MBS listing by assessing the importance of potential effect modifiers. Another pre-modelling study presented in Section </w:t>
      </w:r>
      <w:r w:rsidRPr="00D85E09">
        <w:fldChar w:fldCharType="begin"/>
      </w:r>
      <w:r w:rsidRPr="00D85E09">
        <w:instrText xml:space="preserve"> REF _Ref450641779 \r \h </w:instrText>
      </w:r>
      <w:r w:rsidRPr="00D85E09">
        <w:fldChar w:fldCharType="separate"/>
      </w:r>
      <w:r w:rsidR="00A456ED">
        <w:t>C.3</w:t>
      </w:r>
      <w:r w:rsidRPr="00D85E09">
        <w:fldChar w:fldCharType="end"/>
      </w:r>
      <w:r w:rsidRPr="00D85E09">
        <w:t xml:space="preserve"> specifically examines the applicability of the trial population to Australian patients who would likely become eligible for MT under the proposed listing by comparing the patient characteristics in the pivotal RCTs with those in the EXTEND-IA trial (which was undertaken solely in Australia and New Zealand</w:t>
      </w:r>
      <w:r w:rsidR="00B15F26" w:rsidRPr="00D85E09">
        <w:t>).</w:t>
      </w:r>
    </w:p>
    <w:p w14:paraId="0DFA6DDA" w14:textId="745D253B" w:rsidR="00051AAA" w:rsidRPr="00D85E09" w:rsidRDefault="00051AAA" w:rsidP="0043316B">
      <w:pPr>
        <w:pStyle w:val="Heading3"/>
        <w:keepNext w:val="0"/>
        <w:widowControl w:val="0"/>
        <w:tabs>
          <w:tab w:val="clear" w:pos="993"/>
        </w:tabs>
        <w:autoSpaceDE/>
        <w:autoSpaceDN/>
        <w:adjustRightInd/>
        <w:ind w:left="907" w:hanging="907"/>
        <w:rPr>
          <w:lang w:val="en-AU"/>
        </w:rPr>
      </w:pPr>
      <w:bookmarkStart w:id="364" w:name="_Toc453065280"/>
      <w:r w:rsidRPr="00D85E09">
        <w:rPr>
          <w:lang w:val="en-AU"/>
        </w:rPr>
        <w:t>Focus</w:t>
      </w:r>
      <w:r w:rsidR="00E56287" w:rsidRPr="00D85E09">
        <w:rPr>
          <w:lang w:val="en-AU"/>
        </w:rPr>
        <w:t>ed</w:t>
      </w:r>
      <w:r w:rsidRPr="00D85E09">
        <w:rPr>
          <w:lang w:val="en-AU"/>
        </w:rPr>
        <w:t xml:space="preserve"> analytical plan</w:t>
      </w:r>
      <w:bookmarkEnd w:id="364"/>
    </w:p>
    <w:p w14:paraId="20C3DC53" w14:textId="42B334B7" w:rsidR="00303C94" w:rsidRPr="00D85E09" w:rsidRDefault="00303C94" w:rsidP="0043316B">
      <w:pPr>
        <w:pStyle w:val="Heading4"/>
        <w:keepLines w:val="0"/>
        <w:widowControl w:val="0"/>
        <w:rPr>
          <w:lang w:val="en-AU"/>
        </w:rPr>
      </w:pPr>
      <w:r w:rsidRPr="00D85E09">
        <w:rPr>
          <w:lang w:val="en-AU"/>
        </w:rPr>
        <w:t>Approach to the pre</w:t>
      </w:r>
      <w:r w:rsidR="00300BB6" w:rsidRPr="00D85E09">
        <w:rPr>
          <w:lang w:val="en-AU"/>
        </w:rPr>
        <w:t>-modelling</w:t>
      </w:r>
      <w:r w:rsidRPr="00D85E09">
        <w:rPr>
          <w:lang w:val="en-AU"/>
        </w:rPr>
        <w:t xml:space="preserve"> study</w:t>
      </w:r>
    </w:p>
    <w:p w14:paraId="32D19D5B" w14:textId="578E86D3" w:rsidR="00051AAA" w:rsidRPr="00D85E09" w:rsidRDefault="00F57A11" w:rsidP="0043316B">
      <w:pPr>
        <w:widowControl w:val="0"/>
      </w:pPr>
      <w:r w:rsidRPr="00D85E09">
        <w:t>The main approach used in this pre</w:t>
      </w:r>
      <w:r w:rsidR="00300BB6" w:rsidRPr="00D85E09">
        <w:t>-modelling</w:t>
      </w:r>
      <w:r w:rsidRPr="00D85E09">
        <w:t xml:space="preserve"> study is </w:t>
      </w:r>
      <w:r w:rsidR="00051AAA" w:rsidRPr="00D85E09">
        <w:t xml:space="preserve">assessing the clinical efficacy of MT in various subpopulations. </w:t>
      </w:r>
      <w:r w:rsidRPr="00D85E09">
        <w:t xml:space="preserve">More specifically, </w:t>
      </w:r>
      <w:r w:rsidR="00051AAA" w:rsidRPr="00D85E09">
        <w:t xml:space="preserve">the pre-modelling study </w:t>
      </w:r>
      <w:r w:rsidR="00FE0B74" w:rsidRPr="00D85E09">
        <w:t>presents</w:t>
      </w:r>
      <w:r w:rsidR="00051AAA" w:rsidRPr="00D85E09">
        <w:t xml:space="preserve"> data from a recently</w:t>
      </w:r>
      <w:r w:rsidR="00300BB6" w:rsidRPr="00D85E09">
        <w:t xml:space="preserve"> </w:t>
      </w:r>
      <w:r w:rsidR="00051AAA" w:rsidRPr="00D85E09">
        <w:t xml:space="preserve">published meta-analysis of </w:t>
      </w:r>
      <w:r w:rsidR="0070191F" w:rsidRPr="00D85E09">
        <w:t>IPD</w:t>
      </w:r>
      <w:r w:rsidR="00051AAA" w:rsidRPr="00D85E09">
        <w:t xml:space="preserve"> from the five eligible studies of MT </w:t>
      </w:r>
      <w:r w:rsidRPr="00D85E09">
        <w:t>also presented in Section B of this submission</w:t>
      </w:r>
      <w:r w:rsidR="00FE0B74" w:rsidRPr="00D85E09">
        <w:t xml:space="preserve"> </w:t>
      </w:r>
      <w:r w:rsidR="00051AAA" w:rsidRPr="00D85E09">
        <w:t xml:space="preserve">(Goyal et al, 2016). This analysis was performed by the Highly Effective Reperfusion evaluated in Multiple Endovascular Stroke Trials (HERMES) collaboration, which was funded by Medtronic but </w:t>
      </w:r>
      <w:r w:rsidR="00DC519A" w:rsidRPr="00D85E09">
        <w:t xml:space="preserve">conducted independently by </w:t>
      </w:r>
      <w:r w:rsidR="00051AAA" w:rsidRPr="00D85E09">
        <w:t>investigators from the RCTs included in the meta-analysis. The group’s objective was to provide additional information about the degree of precision of adjusted effect size estimates, safety outcome estimates, and estimates by clinical subgroups.</w:t>
      </w:r>
    </w:p>
    <w:p w14:paraId="2E8E7830" w14:textId="487516D8" w:rsidR="00051AAA" w:rsidRPr="00D85E09" w:rsidRDefault="00051AAA" w:rsidP="0043316B">
      <w:pPr>
        <w:widowControl w:val="0"/>
      </w:pPr>
      <w:r w:rsidRPr="00D85E09">
        <w:t xml:space="preserve">The </w:t>
      </w:r>
      <w:r w:rsidR="00DC519A" w:rsidRPr="00D85E09">
        <w:t>patient</w:t>
      </w:r>
      <w:r w:rsidRPr="00D85E09">
        <w:t xml:space="preserve"> variables considered in this IPD meta-analysis were selected on the basis of qualitative and quantitative differences between the trial protocols. These include demographic characteristics such as age and sex, and disease characteristics such as baseline stroke severity (based on NIHSS), baseline ASPECTS and location of the occlusion (ICA, M1 or M2). </w:t>
      </w:r>
      <w:r w:rsidR="00CB7215" w:rsidRPr="00D85E09">
        <w:t>The pre-modelling study also compares the imaging techniques used to select patients in the pivotal trials with those likely to be used in the Australian healthcare setting.</w:t>
      </w:r>
    </w:p>
    <w:p w14:paraId="2AA591E5" w14:textId="46FFCA13" w:rsidR="00051AAA" w:rsidRPr="00D85E09" w:rsidRDefault="00CB7215" w:rsidP="0043316B">
      <w:pPr>
        <w:widowControl w:val="0"/>
      </w:pPr>
      <w:r w:rsidRPr="00D85E09">
        <w:lastRenderedPageBreak/>
        <w:t>Importantly,</w:t>
      </w:r>
      <w:r w:rsidR="00051AAA" w:rsidRPr="00D85E09">
        <w:t xml:space="preserve"> </w:t>
      </w:r>
      <w:r w:rsidRPr="00D85E09">
        <w:t>the IPD meta-analysis</w:t>
      </w:r>
      <w:r w:rsidR="00051AAA" w:rsidRPr="00D85E09">
        <w:t xml:space="preserve"> includes a subgroup analysis </w:t>
      </w:r>
      <w:r w:rsidRPr="00D85E09">
        <w:t>for patients that did and did not receive</w:t>
      </w:r>
      <w:r w:rsidR="00051AAA" w:rsidRPr="00D85E09">
        <w:t xml:space="preserve"> IV</w:t>
      </w:r>
      <w:r w:rsidR="00D32933" w:rsidRPr="00D85E09">
        <w:t>-</w:t>
      </w:r>
      <w:r w:rsidR="0013188A" w:rsidRPr="00D85E09">
        <w:t>tPA</w:t>
      </w:r>
      <w:r w:rsidR="00051AAA" w:rsidRPr="00D85E09">
        <w:t xml:space="preserve">. This is a particularly </w:t>
      </w:r>
      <w:r w:rsidRPr="00D85E09">
        <w:t xml:space="preserve">relevant issue </w:t>
      </w:r>
      <w:r w:rsidR="00051AAA" w:rsidRPr="00D85E09">
        <w:t>in the context of this submission, as the proposed MBS population includes patients that are eligible and ine</w:t>
      </w:r>
      <w:r w:rsidR="00F349F0" w:rsidRPr="00D85E09">
        <w:t>ligible for treatment with IV</w:t>
      </w:r>
      <w:r w:rsidR="00D32933" w:rsidRPr="00D85E09">
        <w:t>-</w:t>
      </w:r>
      <w:r w:rsidR="00F349F0" w:rsidRPr="00D85E09">
        <w:t>t</w:t>
      </w:r>
      <w:r w:rsidR="00051AAA" w:rsidRPr="00D85E09">
        <w:t xml:space="preserve">PA. The efficacy of MT in this subgroup of patients is further supported by data from registry and observational studies that include a large number of patients receiving </w:t>
      </w:r>
      <w:r w:rsidR="00DC519A" w:rsidRPr="00D85E09">
        <w:t xml:space="preserve">mechanical thrombectomy </w:t>
      </w:r>
      <w:r w:rsidR="00F349F0" w:rsidRPr="00D85E09">
        <w:t xml:space="preserve">without </w:t>
      </w:r>
      <w:r w:rsidR="00DC519A" w:rsidRPr="00D85E09">
        <w:t xml:space="preserve">concomitant </w:t>
      </w:r>
      <w:r w:rsidR="00F349F0" w:rsidRPr="00D85E09">
        <w:t>IV</w:t>
      </w:r>
      <w:r w:rsidR="00D32933" w:rsidRPr="00D85E09">
        <w:t>-</w:t>
      </w:r>
      <w:r w:rsidR="00F349F0" w:rsidRPr="00D85E09">
        <w:t>t</w:t>
      </w:r>
      <w:r w:rsidR="00051AAA" w:rsidRPr="00D85E09">
        <w:t>PA.</w:t>
      </w:r>
    </w:p>
    <w:p w14:paraId="4A54E9C1" w14:textId="050A7152" w:rsidR="00303C94" w:rsidRPr="00D85E09" w:rsidRDefault="00303C94" w:rsidP="0043316B">
      <w:pPr>
        <w:pStyle w:val="Heading4"/>
        <w:keepLines w:val="0"/>
        <w:widowControl w:val="0"/>
        <w:rPr>
          <w:lang w:val="en-AU"/>
        </w:rPr>
      </w:pPr>
      <w:r w:rsidRPr="00D85E09">
        <w:rPr>
          <w:lang w:val="en-AU"/>
        </w:rPr>
        <w:t>Methodology of the IPD meta-analysis (Goyal et al, 2016)</w:t>
      </w:r>
    </w:p>
    <w:p w14:paraId="36985D04" w14:textId="7083046D" w:rsidR="00303C94" w:rsidRPr="00D85E09" w:rsidRDefault="00303C94" w:rsidP="0043316B">
      <w:pPr>
        <w:widowControl w:val="0"/>
      </w:pPr>
      <w:r w:rsidRPr="00D85E09">
        <w:t>The main research question for the IPD meta-analysis was “</w:t>
      </w:r>
      <w:r w:rsidRPr="00D85E09">
        <w:rPr>
          <w:i/>
        </w:rPr>
        <w:t>Do patients with acute isch</w:t>
      </w:r>
      <w:r w:rsidR="00E56287" w:rsidRPr="00D85E09">
        <w:rPr>
          <w:i/>
        </w:rPr>
        <w:t>aemic</w:t>
      </w:r>
      <w:r w:rsidRPr="00D85E09">
        <w:rPr>
          <w:i/>
        </w:rPr>
        <w:t xml:space="preserve"> stroke and proximal anterior circulation occlusions benefit from additional mechanical thrombectomy compared with standard care (which includes </w:t>
      </w:r>
      <w:r w:rsidR="00F67AF7" w:rsidRPr="00D85E09">
        <w:rPr>
          <w:i/>
        </w:rPr>
        <w:t>IV</w:t>
      </w:r>
      <w:r w:rsidR="00D32933" w:rsidRPr="00D85E09">
        <w:rPr>
          <w:i/>
        </w:rPr>
        <w:t>-</w:t>
      </w:r>
      <w:r w:rsidRPr="00D85E09">
        <w:rPr>
          <w:i/>
        </w:rPr>
        <w:t>tPA in eligible patients)?</w:t>
      </w:r>
      <w:r w:rsidRPr="00D85E09">
        <w:t xml:space="preserve">” (Goyal et al, 2016). The full report for the IPD analysis is provided with the submission as </w:t>
      </w:r>
      <w:r w:rsidR="00164B46">
        <w:t>Appendix C</w:t>
      </w:r>
      <w:r w:rsidRPr="00D85E09">
        <w:t>; however, the methods are summarised below.</w:t>
      </w:r>
    </w:p>
    <w:p w14:paraId="0E353C5F" w14:textId="0C79987B" w:rsidR="00303C94" w:rsidRPr="00D85E09" w:rsidRDefault="00303C94" w:rsidP="0043316B">
      <w:pPr>
        <w:widowControl w:val="0"/>
      </w:pPr>
      <w:r w:rsidRPr="00D85E09">
        <w:t>The study included controlled trials in endovascular stroke</w:t>
      </w:r>
      <w:r w:rsidR="00DC519A" w:rsidRPr="00D85E09">
        <w:t xml:space="preserve"> therapy</w:t>
      </w:r>
      <w:r w:rsidRPr="00D85E09">
        <w:t xml:space="preserve"> that used </w:t>
      </w:r>
      <w:r w:rsidR="00DC519A" w:rsidRPr="00D85E09">
        <w:t xml:space="preserve">brain </w:t>
      </w:r>
      <w:r w:rsidRPr="00D85E09">
        <w:t>imaging to identify patients with anterior circulation ischaemic stroke and assessed treatment with modern neurothrombectomy devices. The five studies that fit these criteria are the same five RCTs that are presented in Section B of this submission: MR CLEAN, ESCAPE, REVASCAT, SWIFT PRIME, and EXTEND-IA. The IPD analysis included pooled patient-level data from each of these trials.</w:t>
      </w:r>
    </w:p>
    <w:p w14:paraId="2B59BACA" w14:textId="0A0F6005" w:rsidR="00303C94" w:rsidRPr="00D85E09" w:rsidRDefault="00303C94" w:rsidP="0043316B">
      <w:pPr>
        <w:widowControl w:val="0"/>
      </w:pPr>
      <w:r w:rsidRPr="00D85E09">
        <w:t>The pre-specified primary outcome in the meta-analysis was the degree of disability on the mRS at 90 days. In statistical modelling of the full mRS, scores of 5 (severe disability) and 6 (death) were merged into a single category.</w:t>
      </w:r>
    </w:p>
    <w:p w14:paraId="2C5FACA7" w14:textId="77777777" w:rsidR="00303C94" w:rsidRPr="00D85E09" w:rsidRDefault="00303C94" w:rsidP="0043316B">
      <w:pPr>
        <w:widowControl w:val="0"/>
      </w:pPr>
      <w:r w:rsidRPr="00D85E09">
        <w:t>Pre-specified secondary outcomes were:</w:t>
      </w:r>
    </w:p>
    <w:p w14:paraId="6D6F5144" w14:textId="77777777" w:rsidR="00303C94" w:rsidRPr="00D85E09" w:rsidRDefault="00303C94" w:rsidP="0043316B">
      <w:pPr>
        <w:pStyle w:val="ListParagraph"/>
        <w:widowControl w:val="0"/>
        <w:numPr>
          <w:ilvl w:val="0"/>
          <w:numId w:val="20"/>
        </w:numPr>
      </w:pPr>
      <w:r w:rsidRPr="00D85E09">
        <w:t>Proportion of patients with functional independence (mRS 0–2) at 90 days</w:t>
      </w:r>
    </w:p>
    <w:p w14:paraId="628D8C4C" w14:textId="77777777" w:rsidR="00303C94" w:rsidRPr="00D85E09" w:rsidRDefault="00303C94" w:rsidP="0043316B">
      <w:pPr>
        <w:pStyle w:val="ListParagraph"/>
        <w:widowControl w:val="0"/>
        <w:numPr>
          <w:ilvl w:val="0"/>
          <w:numId w:val="20"/>
        </w:numPr>
      </w:pPr>
      <w:r w:rsidRPr="00D85E09">
        <w:t>Stroke severity as measured with the NIHSS at 24 h after stroke onset</w:t>
      </w:r>
    </w:p>
    <w:p w14:paraId="6B4C1D58" w14:textId="77777777" w:rsidR="00303C94" w:rsidRPr="00D85E09" w:rsidRDefault="00303C94" w:rsidP="0043316B">
      <w:pPr>
        <w:pStyle w:val="ListParagraph"/>
        <w:widowControl w:val="0"/>
        <w:numPr>
          <w:ilvl w:val="0"/>
          <w:numId w:val="20"/>
        </w:numPr>
      </w:pPr>
      <w:r w:rsidRPr="00D85E09">
        <w:t>Proportion of patients with NIHSS score 0–2 at 24 h</w:t>
      </w:r>
    </w:p>
    <w:p w14:paraId="620E9BB9" w14:textId="77777777" w:rsidR="00303C94" w:rsidRPr="00D85E09" w:rsidRDefault="00303C94" w:rsidP="0043316B">
      <w:pPr>
        <w:pStyle w:val="ListParagraph"/>
        <w:widowControl w:val="0"/>
        <w:numPr>
          <w:ilvl w:val="0"/>
          <w:numId w:val="20"/>
        </w:numPr>
      </w:pPr>
      <w:r w:rsidRPr="00D85E09">
        <w:t>Proportion of patients with major early neurological recovery at 24 h, defined as a reduction in NIHSS score from baseline of at least 8 points or reaching 0-1</w:t>
      </w:r>
    </w:p>
    <w:p w14:paraId="6578F17B" w14:textId="33725726" w:rsidR="00303C94" w:rsidRPr="00D85E09" w:rsidRDefault="00303C94" w:rsidP="0043316B">
      <w:pPr>
        <w:pStyle w:val="ListParagraph"/>
        <w:widowControl w:val="0"/>
        <w:numPr>
          <w:ilvl w:val="0"/>
          <w:numId w:val="20"/>
        </w:numPr>
      </w:pPr>
      <w:r w:rsidRPr="00D85E09">
        <w:t>Change in NIHSS score from baseline to 24 h</w:t>
      </w:r>
    </w:p>
    <w:p w14:paraId="6BD4DD63" w14:textId="77777777" w:rsidR="00303C94" w:rsidRPr="00D85E09" w:rsidRDefault="00303C94" w:rsidP="0043316B">
      <w:pPr>
        <w:pStyle w:val="ListParagraph"/>
        <w:widowControl w:val="0"/>
        <w:numPr>
          <w:ilvl w:val="0"/>
          <w:numId w:val="20"/>
        </w:numPr>
      </w:pPr>
      <w:r w:rsidRPr="00D85E09">
        <w:t>Technical efficacy was assessed through the degree of revascularisation at the end of the endovascular procedure, defined using the mTICI scale score of 2b or 3 (corresponding to reperfusion of at least 50% of the affected vascular territory)</w:t>
      </w:r>
    </w:p>
    <w:p w14:paraId="603E19C5" w14:textId="6C07F2E0" w:rsidR="00303C94" w:rsidRPr="00D85E09" w:rsidRDefault="00303C94" w:rsidP="0043316B">
      <w:pPr>
        <w:widowControl w:val="0"/>
      </w:pPr>
      <w:r w:rsidRPr="00D85E09">
        <w:t>Safety outcomes were:</w:t>
      </w:r>
    </w:p>
    <w:p w14:paraId="496F8FAE" w14:textId="4383A4E1" w:rsidR="00303C94" w:rsidRPr="00D85E09" w:rsidRDefault="00303C94" w:rsidP="0043316B">
      <w:pPr>
        <w:pStyle w:val="ListParagraph"/>
        <w:widowControl w:val="0"/>
        <w:numPr>
          <w:ilvl w:val="0"/>
          <w:numId w:val="27"/>
        </w:numPr>
      </w:pPr>
      <w:r w:rsidRPr="00D85E09">
        <w:t>Proportion of patients with symptomatic ICH (as defined by each trial)</w:t>
      </w:r>
    </w:p>
    <w:p w14:paraId="57E7DC61" w14:textId="77777777" w:rsidR="00303C94" w:rsidRPr="00D85E09" w:rsidRDefault="00303C94" w:rsidP="0043316B">
      <w:pPr>
        <w:pStyle w:val="ListParagraph"/>
        <w:widowControl w:val="0"/>
        <w:numPr>
          <w:ilvl w:val="0"/>
          <w:numId w:val="27"/>
        </w:numPr>
      </w:pPr>
      <w:r w:rsidRPr="00D85E09">
        <w:lastRenderedPageBreak/>
        <w:t>Neuroradiological parenchymal haematoma type 2 (blood clot occupying &gt;30% of the infarcted territory with substantial mass effect) within 5 days</w:t>
      </w:r>
    </w:p>
    <w:p w14:paraId="74FE4ABB" w14:textId="77777777" w:rsidR="00303C94" w:rsidRPr="00D85E09" w:rsidRDefault="00303C94" w:rsidP="0043316B">
      <w:pPr>
        <w:pStyle w:val="ListParagraph"/>
        <w:widowControl w:val="0"/>
        <w:numPr>
          <w:ilvl w:val="0"/>
          <w:numId w:val="27"/>
        </w:numPr>
      </w:pPr>
      <w:r w:rsidRPr="00D85E09">
        <w:t>Mortality within 90 days.</w:t>
      </w:r>
    </w:p>
    <w:p w14:paraId="5A85CB70" w14:textId="1F5437E0" w:rsidR="00303C94" w:rsidRPr="00D85E09" w:rsidRDefault="00303C94" w:rsidP="0043316B">
      <w:pPr>
        <w:widowControl w:val="0"/>
      </w:pPr>
      <w:r w:rsidRPr="00D85E09">
        <w:t>The statistical analyses used a mixed methods ordinal logistic regression with "trial" and “trial*treatment” as random effects variables. Unadjusted and adjusted analyses were presented; the pre-specified covariates included in the adjusted analysis included age, sex, baseline stroke severity, site of occlusion, IV</w:t>
      </w:r>
      <w:r w:rsidR="00D32933" w:rsidRPr="00D85E09">
        <w:t>-</w:t>
      </w:r>
      <w:r w:rsidRPr="00D85E09">
        <w:t>tPA (yes/no), ASPECTS score, and time to randomisation.</w:t>
      </w:r>
    </w:p>
    <w:p w14:paraId="59DA69EB" w14:textId="77777777" w:rsidR="00303C94" w:rsidRPr="00D85E09" w:rsidRDefault="00303C94" w:rsidP="0043316B">
      <w:pPr>
        <w:widowControl w:val="0"/>
      </w:pPr>
      <w:r w:rsidRPr="00D85E09">
        <w:t>Finally, the IPD meta-analysis aimed to identify treatment effect modifiers by undertaking subgroup analyses based on clinically relevant variables. These were undertaken for the primary outcome (mRS at 90 days) as well as mRS 0-2 vs. 3-6 at 90 days, and mortality at 90 days.</w:t>
      </w:r>
    </w:p>
    <w:p w14:paraId="2B1E3B3B" w14:textId="77777777" w:rsidR="00303C94" w:rsidRPr="00D85E09" w:rsidRDefault="00303C94" w:rsidP="0043316B">
      <w:pPr>
        <w:widowControl w:val="0"/>
      </w:pPr>
      <w:r w:rsidRPr="00D85E09">
        <w:t>Subgroup analyses for the following variables were reported:</w:t>
      </w:r>
    </w:p>
    <w:p w14:paraId="41D31EA0" w14:textId="77777777" w:rsidR="00303C94" w:rsidRPr="00D85E09" w:rsidRDefault="00303C94" w:rsidP="0043316B">
      <w:pPr>
        <w:pStyle w:val="ListParagraph"/>
        <w:widowControl w:val="0"/>
        <w:numPr>
          <w:ilvl w:val="0"/>
          <w:numId w:val="28"/>
        </w:numPr>
      </w:pPr>
      <w:r w:rsidRPr="00D85E09">
        <w:t>Age</w:t>
      </w:r>
    </w:p>
    <w:p w14:paraId="5B4AB1F2" w14:textId="48E5F1B6" w:rsidR="00303C94" w:rsidRPr="00D85E09" w:rsidRDefault="00303C94" w:rsidP="0043316B">
      <w:pPr>
        <w:pStyle w:val="ListParagraph"/>
        <w:widowControl w:val="0"/>
        <w:numPr>
          <w:ilvl w:val="0"/>
          <w:numId w:val="29"/>
        </w:numPr>
        <w:ind w:firstLine="414"/>
      </w:pPr>
      <w:r w:rsidRPr="00D85E09">
        <w:t>Dichotomi</w:t>
      </w:r>
      <w:r w:rsidR="00E56287" w:rsidRPr="00D85E09">
        <w:t>s</w:t>
      </w:r>
      <w:r w:rsidRPr="00D85E09">
        <w:t>ed at 18-79 vs. 80 and older</w:t>
      </w:r>
    </w:p>
    <w:p w14:paraId="5B99783D" w14:textId="07DC057E" w:rsidR="00303C94" w:rsidRPr="00D85E09" w:rsidRDefault="00303C94" w:rsidP="0043316B">
      <w:pPr>
        <w:pStyle w:val="ListParagraph"/>
        <w:widowControl w:val="0"/>
        <w:numPr>
          <w:ilvl w:val="0"/>
          <w:numId w:val="29"/>
        </w:numPr>
        <w:ind w:firstLine="414"/>
      </w:pPr>
      <w:r w:rsidRPr="00D85E09">
        <w:t>More granularly divided as: 18-49, 50-59, 60-69, 70-79, 80 and older</w:t>
      </w:r>
    </w:p>
    <w:p w14:paraId="29A6A882" w14:textId="42BC3102" w:rsidR="00303C94" w:rsidRPr="00D85E09" w:rsidRDefault="00303C94" w:rsidP="0043316B">
      <w:pPr>
        <w:pStyle w:val="ListParagraph"/>
        <w:widowControl w:val="0"/>
        <w:numPr>
          <w:ilvl w:val="0"/>
          <w:numId w:val="29"/>
        </w:numPr>
        <w:ind w:firstLine="414"/>
      </w:pPr>
      <w:r w:rsidRPr="00D85E09">
        <w:t>Continuous</w:t>
      </w:r>
    </w:p>
    <w:p w14:paraId="799B4FBA" w14:textId="2AA1E1D2" w:rsidR="00303C94" w:rsidRPr="00D85E09" w:rsidRDefault="00303C94" w:rsidP="0043316B">
      <w:pPr>
        <w:pStyle w:val="ListParagraph"/>
        <w:widowControl w:val="0"/>
        <w:numPr>
          <w:ilvl w:val="0"/>
          <w:numId w:val="28"/>
        </w:numPr>
      </w:pPr>
      <w:r w:rsidRPr="00D85E09">
        <w:t>Sex (Male vs. Female)</w:t>
      </w:r>
    </w:p>
    <w:p w14:paraId="564E7DDE" w14:textId="2978D942" w:rsidR="00303C94" w:rsidRPr="00D85E09" w:rsidRDefault="00303C94" w:rsidP="0043316B">
      <w:pPr>
        <w:pStyle w:val="ListParagraph"/>
        <w:widowControl w:val="0"/>
        <w:numPr>
          <w:ilvl w:val="0"/>
          <w:numId w:val="28"/>
        </w:numPr>
      </w:pPr>
      <w:r w:rsidRPr="00D85E09">
        <w:t>Baseline Stroke Severity, NIHSS: &lt;10, 11-15, 16-20, &gt;20 Baseline Stroke Severity, NIHSS: continuous</w:t>
      </w:r>
    </w:p>
    <w:p w14:paraId="1C3F8BB0" w14:textId="2A33E378" w:rsidR="00303C94" w:rsidRPr="00D85E09" w:rsidRDefault="00303C94" w:rsidP="0043316B">
      <w:pPr>
        <w:pStyle w:val="ListParagraph"/>
        <w:widowControl w:val="0"/>
        <w:numPr>
          <w:ilvl w:val="0"/>
          <w:numId w:val="28"/>
        </w:numPr>
      </w:pPr>
      <w:r w:rsidRPr="00D85E09">
        <w:t>Time from onset to endovascular treatment strategy selection (randomi</w:t>
      </w:r>
      <w:r w:rsidR="00E56287" w:rsidRPr="00D85E09">
        <w:t>s</w:t>
      </w:r>
      <w:r w:rsidRPr="00D85E09">
        <w:t>ation): 0- 300 minutes vs. greater than 300 minutes</w:t>
      </w:r>
    </w:p>
    <w:p w14:paraId="4CDE90D7" w14:textId="1B83A749" w:rsidR="00303C94" w:rsidRPr="00D85E09" w:rsidRDefault="00303C94" w:rsidP="0043316B">
      <w:pPr>
        <w:pStyle w:val="ListParagraph"/>
        <w:widowControl w:val="0"/>
        <w:numPr>
          <w:ilvl w:val="0"/>
          <w:numId w:val="28"/>
        </w:numPr>
      </w:pPr>
      <w:r w:rsidRPr="00D85E09">
        <w:t>Baseline ASPECTS as trichotomy – 0-5, 6-8, 9-</w:t>
      </w:r>
      <w:r w:rsidR="00902135" w:rsidRPr="00D85E09">
        <w:t>10</w:t>
      </w:r>
    </w:p>
    <w:p w14:paraId="116760E6" w14:textId="565650F4" w:rsidR="00303C94" w:rsidRPr="00D85E09" w:rsidRDefault="00303C94" w:rsidP="0043316B">
      <w:pPr>
        <w:pStyle w:val="ListParagraph"/>
        <w:widowControl w:val="0"/>
        <w:numPr>
          <w:ilvl w:val="0"/>
          <w:numId w:val="28"/>
        </w:numPr>
      </w:pPr>
      <w:r w:rsidRPr="00D85E09">
        <w:t>Baseline site of thrombi on vascular imaging (trichotomous: ICA, M1, M2) as adjudicated by core lab</w:t>
      </w:r>
    </w:p>
    <w:p w14:paraId="45FD1465" w14:textId="77777777" w:rsidR="00303C94" w:rsidRPr="00D85E09" w:rsidRDefault="00303C94" w:rsidP="0043316B">
      <w:pPr>
        <w:pStyle w:val="ListParagraph"/>
        <w:widowControl w:val="0"/>
        <w:numPr>
          <w:ilvl w:val="0"/>
          <w:numId w:val="28"/>
        </w:numPr>
      </w:pPr>
      <w:r w:rsidRPr="00D85E09">
        <w:t>Concomitant ipsilateral carotid artery occlusion or carotid artery stenosis (yes vs no)</w:t>
      </w:r>
    </w:p>
    <w:p w14:paraId="1904536A" w14:textId="00034739" w:rsidR="00303C94" w:rsidRPr="00D85E09" w:rsidRDefault="00303C94" w:rsidP="0043316B">
      <w:pPr>
        <w:pStyle w:val="ListParagraph"/>
        <w:widowControl w:val="0"/>
        <w:numPr>
          <w:ilvl w:val="0"/>
          <w:numId w:val="28"/>
        </w:numPr>
      </w:pPr>
      <w:r w:rsidRPr="00D85E09">
        <w:t>IV</w:t>
      </w:r>
      <w:r w:rsidR="00D32933" w:rsidRPr="00D85E09">
        <w:t>-</w:t>
      </w:r>
      <w:r w:rsidRPr="00D85E09">
        <w:t>tPA (yes vs. no)</w:t>
      </w:r>
    </w:p>
    <w:p w14:paraId="041B5393" w14:textId="601D1438" w:rsidR="00700F28" w:rsidRPr="00D85E09" w:rsidRDefault="00303C94" w:rsidP="0043316B">
      <w:pPr>
        <w:widowControl w:val="0"/>
      </w:pPr>
      <w:r w:rsidRPr="00D85E09">
        <w:t xml:space="preserve">The efficacy of MT in the ITT population and relevant subpopulations are discussed in the results section below. </w:t>
      </w:r>
      <w:r w:rsidR="00700F28" w:rsidRPr="00D85E09">
        <w:t>The potential clinical effect modifiers are categorised as:</w:t>
      </w:r>
    </w:p>
    <w:p w14:paraId="056DF224" w14:textId="696E53C4" w:rsidR="00700F28" w:rsidRPr="00D85E09" w:rsidRDefault="00700F28" w:rsidP="0043316B">
      <w:pPr>
        <w:pStyle w:val="ListParagraph"/>
        <w:widowControl w:val="0"/>
        <w:numPr>
          <w:ilvl w:val="0"/>
          <w:numId w:val="30"/>
        </w:numPr>
      </w:pPr>
      <w:r w:rsidRPr="00D85E09">
        <w:t>Population applicability issues, including age and sex, baseline stroke severity based on NIHSS, the size and extent of the infarct based on ASPECTS and location of the occlusion (ICA, M1 or M2); and</w:t>
      </w:r>
    </w:p>
    <w:p w14:paraId="3CC0C511" w14:textId="4331FF88" w:rsidR="00303C94" w:rsidRPr="00D85E09" w:rsidRDefault="00700F28" w:rsidP="0043316B">
      <w:pPr>
        <w:pStyle w:val="ListParagraph"/>
        <w:widowControl w:val="0"/>
        <w:numPr>
          <w:ilvl w:val="0"/>
          <w:numId w:val="30"/>
        </w:numPr>
      </w:pPr>
      <w:r w:rsidRPr="00D85E09">
        <w:t xml:space="preserve">Circumstances of use applicability issues, including time to delivery of the </w:t>
      </w:r>
      <w:r w:rsidRPr="00D85E09">
        <w:lastRenderedPageBreak/>
        <w:t>intervention, eligibility for IV</w:t>
      </w:r>
      <w:r w:rsidR="00D32933" w:rsidRPr="00D85E09">
        <w:t>-</w:t>
      </w:r>
      <w:r w:rsidRPr="00D85E09">
        <w:t>tPA and type of imaging tests used in patient selection.</w:t>
      </w:r>
    </w:p>
    <w:p w14:paraId="1DA8F49B" w14:textId="025A78AB" w:rsidR="00700F28" w:rsidRPr="00D85E09" w:rsidRDefault="00700F28" w:rsidP="0043316B">
      <w:pPr>
        <w:widowControl w:val="0"/>
      </w:pPr>
      <w:r w:rsidRPr="00D85E09">
        <w:t>Note that the IPD analysis by Goyal et al (2016) did not examine the impact of different imaging strategies to select patients on clinical efficacy. Nonetheless, imaging remains an important element of patient selection; in fact, the use of up-to-date non-invasive arterial imaging is one of the factors attributed to the success of recent studies of MT when compared to earlier thrombectomy trials (Vo et al, 2015). Therefore, the use of different imaging modalities is included as a potential effect modifier d</w:t>
      </w:r>
      <w:r w:rsidR="00A4252A" w:rsidRPr="00D85E09">
        <w:t>espite the fact that it was not explicitly assessed in the IPD meta-analysis by Goyal et al (2016).</w:t>
      </w:r>
    </w:p>
    <w:p w14:paraId="2CDACA78" w14:textId="77777777" w:rsidR="00051AAA" w:rsidRPr="00D85E09" w:rsidRDefault="00051AAA" w:rsidP="0043316B">
      <w:pPr>
        <w:pStyle w:val="Heading3"/>
        <w:keepNext w:val="0"/>
        <w:widowControl w:val="0"/>
        <w:tabs>
          <w:tab w:val="clear" w:pos="993"/>
        </w:tabs>
        <w:autoSpaceDE/>
        <w:autoSpaceDN/>
        <w:adjustRightInd/>
        <w:ind w:left="907" w:hanging="907"/>
        <w:rPr>
          <w:lang w:val="en-AU"/>
        </w:rPr>
      </w:pPr>
      <w:bookmarkStart w:id="365" w:name="_Toc453065281"/>
      <w:r w:rsidRPr="00D85E09">
        <w:rPr>
          <w:lang w:val="en-AU"/>
        </w:rPr>
        <w:t>Results of the pre-modelling study</w:t>
      </w:r>
      <w:bookmarkEnd w:id="365"/>
    </w:p>
    <w:p w14:paraId="48F6B0E2" w14:textId="77777777" w:rsidR="00051AAA" w:rsidRPr="00D85E09" w:rsidRDefault="00051AAA" w:rsidP="0043316B">
      <w:pPr>
        <w:pStyle w:val="Heading4"/>
        <w:keepLines w:val="0"/>
        <w:widowControl w:val="0"/>
        <w:rPr>
          <w:lang w:val="en-AU"/>
        </w:rPr>
      </w:pPr>
      <w:r w:rsidRPr="00D85E09">
        <w:rPr>
          <w:lang w:val="en-AU"/>
        </w:rPr>
        <w:t>Efficacy of MT in the ITT population</w:t>
      </w:r>
    </w:p>
    <w:p w14:paraId="3AECB534" w14:textId="2A23248F" w:rsidR="00051AAA" w:rsidRPr="00D85E09" w:rsidRDefault="00051AAA" w:rsidP="0043316B">
      <w:pPr>
        <w:widowControl w:val="0"/>
      </w:pPr>
      <w:r w:rsidRPr="00D85E09">
        <w:t>The IPD meta-analysis included 1,287 patients including 634 assigned to MT and 653 ass</w:t>
      </w:r>
      <w:r w:rsidR="0058554B" w:rsidRPr="00D85E09">
        <w:t>igned to usual care. The number of patients assigned to MT</w:t>
      </w:r>
      <w:r w:rsidRPr="00D85E09">
        <w:t xml:space="preserve"> correspond</w:t>
      </w:r>
      <w:r w:rsidR="0058554B" w:rsidRPr="00D85E09">
        <w:t>s</w:t>
      </w:r>
      <w:r w:rsidRPr="00D85E09">
        <w:t xml:space="preserve"> exactly to the </w:t>
      </w:r>
      <w:r w:rsidR="0058554B" w:rsidRPr="00D85E09">
        <w:t xml:space="preserve">number in the </w:t>
      </w:r>
      <w:r w:rsidRPr="00D85E09">
        <w:t>combined ITT populations for the five eligible studies presented i</w:t>
      </w:r>
      <w:r w:rsidR="0058554B" w:rsidRPr="00D85E09">
        <w:t>n Section B of this submission. However, the number of patients assigned to usual care in the IPD meta-analysis is slightly higher than that reported for the five combined studies in Section B (653 vs. 648). The reason for this discrepancy is unclear.</w:t>
      </w:r>
    </w:p>
    <w:p w14:paraId="25F06355" w14:textId="360E5359" w:rsidR="00051AAA" w:rsidRPr="00D85E09" w:rsidRDefault="00051AAA" w:rsidP="0043316B">
      <w:pPr>
        <w:widowControl w:val="0"/>
      </w:pPr>
      <w:r w:rsidRPr="00D85E09">
        <w:fldChar w:fldCharType="begin"/>
      </w:r>
      <w:r w:rsidRPr="00D85E09">
        <w:instrText xml:space="preserve"> REF _Ref446504092 \h </w:instrText>
      </w:r>
      <w:r w:rsidRPr="00D85E09">
        <w:fldChar w:fldCharType="separate"/>
      </w:r>
      <w:r w:rsidR="00A456ED" w:rsidRPr="00D85E09">
        <w:t xml:space="preserve">Table </w:t>
      </w:r>
      <w:r w:rsidR="00A456ED">
        <w:rPr>
          <w:noProof/>
        </w:rPr>
        <w:t>42</w:t>
      </w:r>
      <w:r w:rsidRPr="00D85E09">
        <w:fldChar w:fldCharType="end"/>
      </w:r>
      <w:r w:rsidRPr="00D85E09">
        <w:t xml:space="preserve"> presents the efficacy outcomes from the meta-analysis for the ITT population. The primary outcome is reported as a common OR, which indicates the odds that the intervention would lead to improvement of 1 or more points on the mRS in a shift analysis. This analysis shows reduced chance of disability at 90 days in patients assigned to thrombectomy versus those assigned to control (common OR 2·26, 95% CI 1·67, 3·06; p&lt;0·0001).</w:t>
      </w:r>
    </w:p>
    <w:p w14:paraId="121F8CBF" w14:textId="160F3A0E" w:rsidR="00051AAA" w:rsidRPr="00D85E09" w:rsidRDefault="00051AAA" w:rsidP="0043316B">
      <w:pPr>
        <w:widowControl w:val="0"/>
      </w:pPr>
      <w:r w:rsidRPr="00D85E09">
        <w:t>Similarly, the proportion of patients achieving functional independence (mRS 0-2) at 90 days was higher in the endovascular thrombectomy population than in the control population (common OR 2·35, 95% CI 1.85, 2.98; p&lt;0·0001). This result is very close to the aggregate-level meta-analysis presented in Section B</w:t>
      </w:r>
      <w:r w:rsidR="0058554B" w:rsidRPr="00D85E09">
        <w:t>.6.2</w:t>
      </w:r>
      <w:r w:rsidRPr="00D85E09">
        <w:t xml:space="preserve"> of this submission, which reports an OR for functional independence of 2.39 (95% CI: 1.88, 3.04).</w:t>
      </w:r>
    </w:p>
    <w:p w14:paraId="5F673F32" w14:textId="52CFCB9C" w:rsidR="00181227" w:rsidRDefault="00051AAA" w:rsidP="0043316B">
      <w:pPr>
        <w:widowControl w:val="0"/>
      </w:pPr>
      <w:r w:rsidRPr="00D85E09">
        <w:t>The IPD meta-analysis also demonstrated large differences in favour of MT for the proportions of patients with an NIHSS score 0-2 at 24 hrs, and neurological recovery at 24 hrs.</w:t>
      </w:r>
      <w:r w:rsidR="00181227">
        <w:br w:type="page"/>
      </w:r>
    </w:p>
    <w:p w14:paraId="16F049C4" w14:textId="2A220DD9" w:rsidR="00051AAA" w:rsidRPr="00D85E09" w:rsidRDefault="00051AAA" w:rsidP="0043316B">
      <w:pPr>
        <w:pStyle w:val="Caption"/>
        <w:keepNext w:val="0"/>
        <w:widowControl w:val="0"/>
        <w:rPr>
          <w:lang w:val="en-AU"/>
        </w:rPr>
      </w:pPr>
      <w:bookmarkStart w:id="366" w:name="_Ref446504092"/>
      <w:bookmarkStart w:id="367" w:name="_Toc453065378"/>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42</w:t>
      </w:r>
      <w:r w:rsidRPr="00D85E09">
        <w:rPr>
          <w:lang w:val="en-AU"/>
        </w:rPr>
        <w:fldChar w:fldCharType="end"/>
      </w:r>
      <w:bookmarkEnd w:id="366"/>
      <w:r w:rsidRPr="00D85E09">
        <w:rPr>
          <w:lang w:val="en-AU"/>
        </w:rPr>
        <w:tab/>
        <w:t>Efficacy outcomes from IPD meta-analysis</w:t>
      </w:r>
      <w:bookmarkEnd w:id="367"/>
    </w:p>
    <w:tbl>
      <w:tblPr>
        <w:tblStyle w:val="TableGrid"/>
        <w:tblW w:w="9004" w:type="dxa"/>
        <w:tblLayout w:type="fixed"/>
        <w:tblCellMar>
          <w:left w:w="57" w:type="dxa"/>
          <w:right w:w="57" w:type="dxa"/>
        </w:tblCellMar>
        <w:tblLook w:val="04A0" w:firstRow="1" w:lastRow="0" w:firstColumn="1" w:lastColumn="0" w:noHBand="0" w:noVBand="1"/>
        <w:tblDescription w:val="Table 42. Efficacy outcomes from IPD meta-analysis table"/>
      </w:tblPr>
      <w:tblGrid>
        <w:gridCol w:w="1384"/>
        <w:gridCol w:w="941"/>
        <w:gridCol w:w="851"/>
        <w:gridCol w:w="709"/>
        <w:gridCol w:w="1279"/>
        <w:gridCol w:w="1280"/>
        <w:gridCol w:w="1280"/>
        <w:gridCol w:w="1280"/>
      </w:tblGrid>
      <w:tr w:rsidR="00051AAA" w:rsidRPr="00D85E09" w14:paraId="1F6315D3" w14:textId="77777777" w:rsidTr="00BE6331">
        <w:trPr>
          <w:tblHeader/>
        </w:trPr>
        <w:tc>
          <w:tcPr>
            <w:tcW w:w="1384" w:type="dxa"/>
          </w:tcPr>
          <w:p w14:paraId="1B4AAD8F" w14:textId="77777777" w:rsidR="00051AAA" w:rsidRPr="00D85E09" w:rsidRDefault="00051AAA" w:rsidP="0043316B">
            <w:pPr>
              <w:pStyle w:val="Tabletext"/>
              <w:keepNext w:val="0"/>
              <w:widowControl w:val="0"/>
              <w:rPr>
                <w:b/>
              </w:rPr>
            </w:pPr>
            <w:r w:rsidRPr="00D85E09">
              <w:rPr>
                <w:b/>
              </w:rPr>
              <w:t>Outcome</w:t>
            </w:r>
          </w:p>
        </w:tc>
        <w:tc>
          <w:tcPr>
            <w:tcW w:w="941" w:type="dxa"/>
          </w:tcPr>
          <w:p w14:paraId="1AF11A1F" w14:textId="77777777" w:rsidR="00051AAA" w:rsidRPr="00D85E09" w:rsidRDefault="00051AAA" w:rsidP="0043316B">
            <w:pPr>
              <w:pStyle w:val="Tabletext"/>
              <w:keepNext w:val="0"/>
              <w:widowControl w:val="0"/>
              <w:rPr>
                <w:b/>
              </w:rPr>
            </w:pPr>
            <w:r w:rsidRPr="00D85E09">
              <w:rPr>
                <w:b/>
              </w:rPr>
              <w:t>MT (n/N)</w:t>
            </w:r>
          </w:p>
        </w:tc>
        <w:tc>
          <w:tcPr>
            <w:tcW w:w="851" w:type="dxa"/>
          </w:tcPr>
          <w:p w14:paraId="2E83E291" w14:textId="77777777" w:rsidR="00051AAA" w:rsidRPr="00D85E09" w:rsidRDefault="00051AAA" w:rsidP="0043316B">
            <w:pPr>
              <w:pStyle w:val="Tabletext"/>
              <w:keepNext w:val="0"/>
              <w:widowControl w:val="0"/>
              <w:rPr>
                <w:b/>
              </w:rPr>
            </w:pPr>
            <w:r w:rsidRPr="00D85E09">
              <w:rPr>
                <w:b/>
              </w:rPr>
              <w:t>Control (n/N)</w:t>
            </w:r>
          </w:p>
        </w:tc>
        <w:tc>
          <w:tcPr>
            <w:tcW w:w="709" w:type="dxa"/>
          </w:tcPr>
          <w:p w14:paraId="14979D36" w14:textId="77777777" w:rsidR="00051AAA" w:rsidRPr="00D85E09" w:rsidRDefault="00051AAA" w:rsidP="0043316B">
            <w:pPr>
              <w:pStyle w:val="Tabletext"/>
              <w:keepNext w:val="0"/>
              <w:widowControl w:val="0"/>
              <w:rPr>
                <w:b/>
              </w:rPr>
            </w:pPr>
            <w:r w:rsidRPr="00D85E09">
              <w:rPr>
                <w:b/>
              </w:rPr>
              <w:t>RD (%)</w:t>
            </w:r>
          </w:p>
        </w:tc>
        <w:tc>
          <w:tcPr>
            <w:tcW w:w="1279" w:type="dxa"/>
          </w:tcPr>
          <w:p w14:paraId="1776CD81" w14:textId="77777777" w:rsidR="00051AAA" w:rsidRPr="00D85E09" w:rsidRDefault="00051AAA" w:rsidP="0043316B">
            <w:pPr>
              <w:pStyle w:val="Tabletext"/>
              <w:keepNext w:val="0"/>
              <w:widowControl w:val="0"/>
              <w:rPr>
                <w:b/>
              </w:rPr>
            </w:pPr>
            <w:r w:rsidRPr="00D85E09">
              <w:rPr>
                <w:b/>
              </w:rPr>
              <w:t>RR (95% CI)</w:t>
            </w:r>
          </w:p>
        </w:tc>
        <w:tc>
          <w:tcPr>
            <w:tcW w:w="1280" w:type="dxa"/>
          </w:tcPr>
          <w:p w14:paraId="43B679C5" w14:textId="77777777" w:rsidR="00051AAA" w:rsidRPr="00D85E09" w:rsidRDefault="00051AAA" w:rsidP="0043316B">
            <w:pPr>
              <w:pStyle w:val="Tabletext"/>
              <w:keepNext w:val="0"/>
              <w:widowControl w:val="0"/>
              <w:rPr>
                <w:b/>
              </w:rPr>
            </w:pPr>
            <w:r w:rsidRPr="00D85E09">
              <w:rPr>
                <w:b/>
              </w:rPr>
              <w:t>OR (95% CI)</w:t>
            </w:r>
          </w:p>
        </w:tc>
        <w:tc>
          <w:tcPr>
            <w:tcW w:w="1280" w:type="dxa"/>
          </w:tcPr>
          <w:p w14:paraId="4A6A6557" w14:textId="77777777" w:rsidR="00051AAA" w:rsidRPr="00D85E09" w:rsidRDefault="00051AAA" w:rsidP="0043316B">
            <w:pPr>
              <w:pStyle w:val="Tabletext"/>
              <w:keepNext w:val="0"/>
              <w:widowControl w:val="0"/>
              <w:rPr>
                <w:b/>
              </w:rPr>
            </w:pPr>
            <w:r w:rsidRPr="00D85E09">
              <w:rPr>
                <w:b/>
              </w:rPr>
              <w:t>Adjusted RR (95% CI)</w:t>
            </w:r>
          </w:p>
        </w:tc>
        <w:tc>
          <w:tcPr>
            <w:tcW w:w="1280" w:type="dxa"/>
          </w:tcPr>
          <w:p w14:paraId="6EBE8E39" w14:textId="77777777" w:rsidR="00051AAA" w:rsidRPr="00D85E09" w:rsidRDefault="00051AAA" w:rsidP="0043316B">
            <w:pPr>
              <w:pStyle w:val="Tabletext"/>
              <w:keepNext w:val="0"/>
              <w:widowControl w:val="0"/>
              <w:rPr>
                <w:b/>
              </w:rPr>
            </w:pPr>
            <w:r w:rsidRPr="00D85E09">
              <w:rPr>
                <w:b/>
              </w:rPr>
              <w:t>Adjusted OR (95% CI)</w:t>
            </w:r>
          </w:p>
        </w:tc>
      </w:tr>
      <w:tr w:rsidR="00051AAA" w:rsidRPr="00D85E09" w14:paraId="041A10DF" w14:textId="77777777" w:rsidTr="00051AAA">
        <w:tc>
          <w:tcPr>
            <w:tcW w:w="9004" w:type="dxa"/>
            <w:gridSpan w:val="8"/>
          </w:tcPr>
          <w:p w14:paraId="3748EF88" w14:textId="77777777" w:rsidR="00051AAA" w:rsidRPr="00D85E09" w:rsidRDefault="00051AAA" w:rsidP="0043316B">
            <w:pPr>
              <w:pStyle w:val="Tabletext"/>
              <w:keepNext w:val="0"/>
              <w:widowControl w:val="0"/>
            </w:pPr>
            <w:r w:rsidRPr="00D85E09">
              <w:t>Primary outcome</w:t>
            </w:r>
          </w:p>
        </w:tc>
      </w:tr>
      <w:tr w:rsidR="00051AAA" w:rsidRPr="00D85E09" w14:paraId="30C30614" w14:textId="77777777" w:rsidTr="00051AAA">
        <w:tc>
          <w:tcPr>
            <w:tcW w:w="1384" w:type="dxa"/>
          </w:tcPr>
          <w:p w14:paraId="7705F407" w14:textId="77777777" w:rsidR="00051AAA" w:rsidRPr="00D85E09" w:rsidRDefault="00051AAA" w:rsidP="0043316B">
            <w:pPr>
              <w:pStyle w:val="Tabletext"/>
              <w:keepNext w:val="0"/>
              <w:widowControl w:val="0"/>
            </w:pPr>
            <w:r w:rsidRPr="00D85E09">
              <w:t>mRS score reduction (shift analysis)</w:t>
            </w:r>
            <w:r w:rsidRPr="00D85E09">
              <w:rPr>
                <w:vertAlign w:val="superscript"/>
              </w:rPr>
              <w:t>a</w:t>
            </w:r>
          </w:p>
        </w:tc>
        <w:tc>
          <w:tcPr>
            <w:tcW w:w="941" w:type="dxa"/>
          </w:tcPr>
          <w:p w14:paraId="3A6FB983" w14:textId="77777777" w:rsidR="00051AAA" w:rsidRPr="00D85E09" w:rsidRDefault="00051AAA" w:rsidP="0043316B">
            <w:pPr>
              <w:pStyle w:val="Tabletext"/>
              <w:keepNext w:val="0"/>
              <w:widowControl w:val="0"/>
            </w:pPr>
            <w:r w:rsidRPr="00D85E09">
              <w:t>NA</w:t>
            </w:r>
          </w:p>
        </w:tc>
        <w:tc>
          <w:tcPr>
            <w:tcW w:w="851" w:type="dxa"/>
          </w:tcPr>
          <w:p w14:paraId="6B2CB1ED" w14:textId="77777777" w:rsidR="00051AAA" w:rsidRPr="00D85E09" w:rsidRDefault="00051AAA" w:rsidP="0043316B">
            <w:pPr>
              <w:pStyle w:val="Tabletext"/>
              <w:keepNext w:val="0"/>
              <w:widowControl w:val="0"/>
            </w:pPr>
            <w:r w:rsidRPr="00D85E09">
              <w:t>NA</w:t>
            </w:r>
          </w:p>
        </w:tc>
        <w:tc>
          <w:tcPr>
            <w:tcW w:w="709" w:type="dxa"/>
          </w:tcPr>
          <w:p w14:paraId="2CB2BB0C" w14:textId="77777777" w:rsidR="00051AAA" w:rsidRPr="00D85E09" w:rsidRDefault="00051AAA" w:rsidP="0043316B">
            <w:pPr>
              <w:pStyle w:val="Tabletext"/>
              <w:keepNext w:val="0"/>
              <w:widowControl w:val="0"/>
            </w:pPr>
            <w:r w:rsidRPr="00D85E09">
              <w:t>NA</w:t>
            </w:r>
          </w:p>
        </w:tc>
        <w:tc>
          <w:tcPr>
            <w:tcW w:w="1279" w:type="dxa"/>
          </w:tcPr>
          <w:p w14:paraId="5FBE8F0D" w14:textId="77777777" w:rsidR="00051AAA" w:rsidRPr="00D85E09" w:rsidRDefault="00051AAA" w:rsidP="0043316B">
            <w:pPr>
              <w:pStyle w:val="Tabletext"/>
              <w:keepNext w:val="0"/>
              <w:widowControl w:val="0"/>
            </w:pPr>
            <w:r w:rsidRPr="00D85E09">
              <w:t>NA</w:t>
            </w:r>
          </w:p>
        </w:tc>
        <w:tc>
          <w:tcPr>
            <w:tcW w:w="1280" w:type="dxa"/>
          </w:tcPr>
          <w:p w14:paraId="2C82E1CE" w14:textId="5F207967" w:rsidR="00051AAA" w:rsidRPr="00D85E09" w:rsidRDefault="00051AAA" w:rsidP="0043316B">
            <w:pPr>
              <w:pStyle w:val="Tabletext"/>
              <w:keepNext w:val="0"/>
              <w:widowControl w:val="0"/>
            </w:pPr>
            <w:r w:rsidRPr="00D85E09">
              <w:t>2·26</w:t>
            </w:r>
          </w:p>
          <w:p w14:paraId="341D6DE2" w14:textId="77777777" w:rsidR="00051AAA" w:rsidRPr="00D85E09" w:rsidRDefault="00051AAA" w:rsidP="0043316B">
            <w:pPr>
              <w:pStyle w:val="Tabletext"/>
              <w:keepNext w:val="0"/>
              <w:widowControl w:val="0"/>
            </w:pPr>
            <w:r w:rsidRPr="00D85E09">
              <w:t>(1·67, 3·06)</w:t>
            </w:r>
          </w:p>
          <w:p w14:paraId="680D4CF8" w14:textId="77777777" w:rsidR="00051AAA" w:rsidRPr="00D85E09" w:rsidRDefault="00051AAA" w:rsidP="0043316B">
            <w:pPr>
              <w:pStyle w:val="Tabletext"/>
              <w:keepNext w:val="0"/>
              <w:widowControl w:val="0"/>
            </w:pPr>
            <w:r w:rsidRPr="00D85E09">
              <w:t xml:space="preserve">p&lt;0·0001 </w:t>
            </w:r>
            <w:r w:rsidRPr="00D85E09">
              <w:rPr>
                <w:vertAlign w:val="superscript"/>
              </w:rPr>
              <w:t>a</w:t>
            </w:r>
          </w:p>
        </w:tc>
        <w:tc>
          <w:tcPr>
            <w:tcW w:w="1280" w:type="dxa"/>
          </w:tcPr>
          <w:p w14:paraId="614EA613" w14:textId="77777777" w:rsidR="00051AAA" w:rsidRPr="00D85E09" w:rsidRDefault="00051AAA" w:rsidP="0043316B">
            <w:pPr>
              <w:pStyle w:val="Tabletext"/>
              <w:keepNext w:val="0"/>
              <w:widowControl w:val="0"/>
            </w:pPr>
            <w:r w:rsidRPr="00D85E09">
              <w:t>NA</w:t>
            </w:r>
          </w:p>
        </w:tc>
        <w:tc>
          <w:tcPr>
            <w:tcW w:w="1280" w:type="dxa"/>
          </w:tcPr>
          <w:p w14:paraId="21461AE5" w14:textId="49A3EC02" w:rsidR="00051AAA" w:rsidRPr="00D85E09" w:rsidRDefault="00051AAA" w:rsidP="0043316B">
            <w:pPr>
              <w:pStyle w:val="Tabletext"/>
              <w:keepNext w:val="0"/>
              <w:widowControl w:val="0"/>
            </w:pPr>
            <w:r w:rsidRPr="00D85E09">
              <w:t>2·49</w:t>
            </w:r>
          </w:p>
          <w:p w14:paraId="19827D90" w14:textId="77777777" w:rsidR="00051AAA" w:rsidRPr="00D85E09" w:rsidRDefault="00051AAA" w:rsidP="0043316B">
            <w:pPr>
              <w:pStyle w:val="Tabletext"/>
              <w:keepNext w:val="0"/>
              <w:widowControl w:val="0"/>
            </w:pPr>
            <w:r w:rsidRPr="00D85E09">
              <w:t>(1·76, 3·53)</w:t>
            </w:r>
          </w:p>
          <w:p w14:paraId="3E17C3E5" w14:textId="77777777" w:rsidR="00051AAA" w:rsidRPr="00D85E09" w:rsidRDefault="00051AAA" w:rsidP="0043316B">
            <w:pPr>
              <w:pStyle w:val="Tabletext"/>
              <w:keepNext w:val="0"/>
              <w:widowControl w:val="0"/>
            </w:pPr>
            <w:r w:rsidRPr="00D85E09">
              <w:t xml:space="preserve">p&lt;0·0001 </w:t>
            </w:r>
            <w:r w:rsidRPr="00D85E09">
              <w:rPr>
                <w:vertAlign w:val="superscript"/>
              </w:rPr>
              <w:t>a</w:t>
            </w:r>
          </w:p>
        </w:tc>
      </w:tr>
      <w:tr w:rsidR="00051AAA" w:rsidRPr="00D85E09" w14:paraId="06436341" w14:textId="77777777" w:rsidTr="00051AAA">
        <w:tc>
          <w:tcPr>
            <w:tcW w:w="9004" w:type="dxa"/>
            <w:gridSpan w:val="8"/>
          </w:tcPr>
          <w:p w14:paraId="44CCF798" w14:textId="77777777" w:rsidR="00051AAA" w:rsidRPr="00D85E09" w:rsidRDefault="00051AAA" w:rsidP="0043316B">
            <w:pPr>
              <w:pStyle w:val="Tabletext"/>
              <w:keepNext w:val="0"/>
              <w:widowControl w:val="0"/>
            </w:pPr>
            <w:r w:rsidRPr="00D85E09">
              <w:t>Secondary outcomes</w:t>
            </w:r>
          </w:p>
        </w:tc>
      </w:tr>
      <w:tr w:rsidR="00051AAA" w:rsidRPr="00D85E09" w14:paraId="2C28B87E" w14:textId="77777777" w:rsidTr="00051AAA">
        <w:tc>
          <w:tcPr>
            <w:tcW w:w="1384" w:type="dxa"/>
          </w:tcPr>
          <w:p w14:paraId="624370B4" w14:textId="77777777" w:rsidR="00051AAA" w:rsidRPr="00D85E09" w:rsidRDefault="00051AAA" w:rsidP="0043316B">
            <w:pPr>
              <w:pStyle w:val="Tabletext"/>
              <w:keepNext w:val="0"/>
              <w:widowControl w:val="0"/>
            </w:pPr>
            <w:r w:rsidRPr="00D85E09">
              <w:t>mRS 0-2 at 90 days</w:t>
            </w:r>
          </w:p>
        </w:tc>
        <w:tc>
          <w:tcPr>
            <w:tcW w:w="941" w:type="dxa"/>
          </w:tcPr>
          <w:p w14:paraId="50479D27" w14:textId="77777777" w:rsidR="00051AAA" w:rsidRPr="00D85E09" w:rsidRDefault="00051AAA" w:rsidP="0043316B">
            <w:pPr>
              <w:pStyle w:val="Tabletext"/>
              <w:keepNext w:val="0"/>
              <w:widowControl w:val="0"/>
            </w:pPr>
            <w:r w:rsidRPr="00D85E09">
              <w:t>46·0%</w:t>
            </w:r>
          </w:p>
          <w:p w14:paraId="6664D35B" w14:textId="77777777" w:rsidR="00051AAA" w:rsidRPr="00D85E09" w:rsidRDefault="00051AAA" w:rsidP="0043316B">
            <w:pPr>
              <w:pStyle w:val="Tabletext"/>
              <w:keepNext w:val="0"/>
              <w:widowControl w:val="0"/>
            </w:pPr>
            <w:r w:rsidRPr="00D85E09">
              <w:t>(291/633)</w:t>
            </w:r>
          </w:p>
        </w:tc>
        <w:tc>
          <w:tcPr>
            <w:tcW w:w="851" w:type="dxa"/>
          </w:tcPr>
          <w:p w14:paraId="450D435E" w14:textId="77777777" w:rsidR="00051AAA" w:rsidRPr="00D85E09" w:rsidRDefault="00051AAA" w:rsidP="0043316B">
            <w:pPr>
              <w:pStyle w:val="Tabletext"/>
              <w:keepNext w:val="0"/>
              <w:widowControl w:val="0"/>
            </w:pPr>
            <w:r w:rsidRPr="00D85E09">
              <w:t>26·5%</w:t>
            </w:r>
          </w:p>
          <w:p w14:paraId="28DE49E9" w14:textId="77777777" w:rsidR="00051AAA" w:rsidRPr="00D85E09" w:rsidRDefault="00051AAA" w:rsidP="0043316B">
            <w:pPr>
              <w:pStyle w:val="Tabletext"/>
              <w:keepNext w:val="0"/>
              <w:widowControl w:val="0"/>
            </w:pPr>
            <w:r w:rsidRPr="00D85E09">
              <w:t>(171/645)</w:t>
            </w:r>
          </w:p>
        </w:tc>
        <w:tc>
          <w:tcPr>
            <w:tcW w:w="709" w:type="dxa"/>
          </w:tcPr>
          <w:p w14:paraId="72C64489" w14:textId="77777777" w:rsidR="00051AAA" w:rsidRPr="00D85E09" w:rsidRDefault="00051AAA" w:rsidP="0043316B">
            <w:pPr>
              <w:pStyle w:val="Tabletext"/>
              <w:keepNext w:val="0"/>
              <w:widowControl w:val="0"/>
            </w:pPr>
            <w:r w:rsidRPr="00D85E09">
              <w:t>19·5</w:t>
            </w:r>
          </w:p>
        </w:tc>
        <w:tc>
          <w:tcPr>
            <w:tcW w:w="1279" w:type="dxa"/>
          </w:tcPr>
          <w:p w14:paraId="3B403441" w14:textId="5F7CD25D" w:rsidR="00051AAA" w:rsidRPr="00D85E09" w:rsidRDefault="00051AAA" w:rsidP="0043316B">
            <w:pPr>
              <w:pStyle w:val="Tabletext"/>
              <w:keepNext w:val="0"/>
              <w:widowControl w:val="0"/>
            </w:pPr>
            <w:r w:rsidRPr="00D85E09">
              <w:t>1·7</w:t>
            </w:r>
          </w:p>
          <w:p w14:paraId="29217E73" w14:textId="77777777" w:rsidR="00051AAA" w:rsidRPr="00D85E09" w:rsidRDefault="00051AAA" w:rsidP="0043316B">
            <w:pPr>
              <w:pStyle w:val="Tabletext"/>
              <w:keepNext w:val="0"/>
              <w:widowControl w:val="0"/>
            </w:pPr>
            <w:r w:rsidRPr="00D85E09">
              <w:t>(1·41, 2·05)</w:t>
            </w:r>
          </w:p>
          <w:p w14:paraId="04FCDDA5" w14:textId="77777777" w:rsidR="00051AAA" w:rsidRPr="00D85E09" w:rsidRDefault="00051AAA" w:rsidP="0043316B">
            <w:pPr>
              <w:pStyle w:val="Tabletext"/>
              <w:keepNext w:val="0"/>
              <w:widowControl w:val="0"/>
            </w:pPr>
            <w:r w:rsidRPr="00D85E09">
              <w:t>p&lt;0·0001</w:t>
            </w:r>
          </w:p>
        </w:tc>
        <w:tc>
          <w:tcPr>
            <w:tcW w:w="1280" w:type="dxa"/>
          </w:tcPr>
          <w:p w14:paraId="73CFAA93" w14:textId="7F046C99" w:rsidR="00051AAA" w:rsidRPr="00D85E09" w:rsidRDefault="00051AAA" w:rsidP="0043316B">
            <w:pPr>
              <w:pStyle w:val="Tabletext"/>
              <w:keepNext w:val="0"/>
              <w:widowControl w:val="0"/>
            </w:pPr>
            <w:r w:rsidRPr="00D85E09">
              <w:t>2·35</w:t>
            </w:r>
          </w:p>
          <w:p w14:paraId="00CFCCFB" w14:textId="77777777" w:rsidR="00051AAA" w:rsidRPr="00D85E09" w:rsidRDefault="00051AAA" w:rsidP="0043316B">
            <w:pPr>
              <w:pStyle w:val="Tabletext"/>
              <w:keepNext w:val="0"/>
              <w:widowControl w:val="0"/>
            </w:pPr>
            <w:r w:rsidRPr="00D85E09">
              <w:t>(1·85, 2·98)</w:t>
            </w:r>
          </w:p>
          <w:p w14:paraId="3EF76B29" w14:textId="77777777" w:rsidR="00051AAA" w:rsidRPr="00D85E09" w:rsidRDefault="00051AAA" w:rsidP="0043316B">
            <w:pPr>
              <w:pStyle w:val="Tabletext"/>
              <w:keepNext w:val="0"/>
              <w:widowControl w:val="0"/>
            </w:pPr>
            <w:r w:rsidRPr="00D85E09">
              <w:t>p&lt;0·0001</w:t>
            </w:r>
          </w:p>
        </w:tc>
        <w:tc>
          <w:tcPr>
            <w:tcW w:w="1280" w:type="dxa"/>
          </w:tcPr>
          <w:p w14:paraId="34D6E3A8" w14:textId="451FF7B9" w:rsidR="00051AAA" w:rsidRPr="00D85E09" w:rsidRDefault="00051AAA" w:rsidP="0043316B">
            <w:pPr>
              <w:pStyle w:val="Tabletext"/>
              <w:keepNext w:val="0"/>
              <w:widowControl w:val="0"/>
            </w:pPr>
            <w:r w:rsidRPr="00D85E09">
              <w:t>1·73</w:t>
            </w:r>
          </w:p>
          <w:p w14:paraId="32E86838" w14:textId="77777777" w:rsidR="00051AAA" w:rsidRPr="00D85E09" w:rsidRDefault="00051AAA" w:rsidP="0043316B">
            <w:pPr>
              <w:pStyle w:val="Tabletext"/>
              <w:keepNext w:val="0"/>
              <w:widowControl w:val="0"/>
            </w:pPr>
            <w:r w:rsidRPr="00D85E09">
              <w:t>(1·43, 2·09)</w:t>
            </w:r>
          </w:p>
          <w:p w14:paraId="18F2EB10" w14:textId="77777777" w:rsidR="00051AAA" w:rsidRPr="00D85E09" w:rsidRDefault="00051AAA" w:rsidP="0043316B">
            <w:pPr>
              <w:pStyle w:val="Tabletext"/>
              <w:keepNext w:val="0"/>
              <w:widowControl w:val="0"/>
            </w:pPr>
            <w:r w:rsidRPr="00D85E09">
              <w:t>p&lt;0·0001</w:t>
            </w:r>
          </w:p>
        </w:tc>
        <w:tc>
          <w:tcPr>
            <w:tcW w:w="1280" w:type="dxa"/>
          </w:tcPr>
          <w:p w14:paraId="3A307990" w14:textId="555C464A" w:rsidR="00051AAA" w:rsidRPr="00D85E09" w:rsidRDefault="00051AAA" w:rsidP="0043316B">
            <w:pPr>
              <w:pStyle w:val="Tabletext"/>
              <w:keepNext w:val="0"/>
              <w:widowControl w:val="0"/>
            </w:pPr>
            <w:r w:rsidRPr="00D85E09">
              <w:t>2·71</w:t>
            </w:r>
          </w:p>
          <w:p w14:paraId="70B45E5A" w14:textId="77777777" w:rsidR="00051AAA" w:rsidRPr="00D85E09" w:rsidRDefault="00051AAA" w:rsidP="0043316B">
            <w:pPr>
              <w:pStyle w:val="Tabletext"/>
              <w:keepNext w:val="0"/>
              <w:widowControl w:val="0"/>
            </w:pPr>
            <w:r w:rsidRPr="00D85E09">
              <w:t>(2·07, 3·55)</w:t>
            </w:r>
          </w:p>
          <w:p w14:paraId="5294A91E" w14:textId="77777777" w:rsidR="00051AAA" w:rsidRPr="00D85E09" w:rsidRDefault="00051AAA" w:rsidP="0043316B">
            <w:pPr>
              <w:pStyle w:val="Tabletext"/>
              <w:keepNext w:val="0"/>
              <w:widowControl w:val="0"/>
            </w:pPr>
            <w:r w:rsidRPr="00D85E09">
              <w:t>p&lt;0·0001</w:t>
            </w:r>
          </w:p>
        </w:tc>
      </w:tr>
      <w:tr w:rsidR="00051AAA" w:rsidRPr="00D85E09" w14:paraId="28A181DD" w14:textId="77777777" w:rsidTr="00051AAA">
        <w:tc>
          <w:tcPr>
            <w:tcW w:w="1384" w:type="dxa"/>
          </w:tcPr>
          <w:p w14:paraId="313A9663" w14:textId="77777777" w:rsidR="00051AAA" w:rsidRPr="00D85E09" w:rsidRDefault="00051AAA" w:rsidP="0043316B">
            <w:pPr>
              <w:pStyle w:val="Tabletext"/>
              <w:keepNext w:val="0"/>
              <w:widowControl w:val="0"/>
            </w:pPr>
            <w:r w:rsidRPr="00D85E09">
              <w:t>NIHSS score 0-2 at 24 hrs</w:t>
            </w:r>
          </w:p>
        </w:tc>
        <w:tc>
          <w:tcPr>
            <w:tcW w:w="941" w:type="dxa"/>
          </w:tcPr>
          <w:p w14:paraId="2FA81AEC" w14:textId="77777777" w:rsidR="00051AAA" w:rsidRPr="00D85E09" w:rsidRDefault="00051AAA" w:rsidP="0043316B">
            <w:pPr>
              <w:pStyle w:val="Tabletext"/>
              <w:keepNext w:val="0"/>
              <w:widowControl w:val="0"/>
            </w:pPr>
            <w:r w:rsidRPr="00D85E09">
              <w:t>21·0%</w:t>
            </w:r>
          </w:p>
          <w:p w14:paraId="5F1DAA19" w14:textId="77777777" w:rsidR="00051AAA" w:rsidRPr="00D85E09" w:rsidRDefault="00051AAA" w:rsidP="0043316B">
            <w:pPr>
              <w:pStyle w:val="Tabletext"/>
              <w:keepNext w:val="0"/>
              <w:widowControl w:val="0"/>
            </w:pPr>
            <w:r w:rsidRPr="00D85E09">
              <w:t>(129/615)</w:t>
            </w:r>
          </w:p>
        </w:tc>
        <w:tc>
          <w:tcPr>
            <w:tcW w:w="851" w:type="dxa"/>
          </w:tcPr>
          <w:p w14:paraId="10135D2C" w14:textId="77777777" w:rsidR="00051AAA" w:rsidRPr="00D85E09" w:rsidRDefault="00051AAA" w:rsidP="0043316B">
            <w:pPr>
              <w:pStyle w:val="Tabletext"/>
              <w:keepNext w:val="0"/>
              <w:widowControl w:val="0"/>
            </w:pPr>
            <w:r w:rsidRPr="00D85E09">
              <w:t>8·3%</w:t>
            </w:r>
          </w:p>
          <w:p w14:paraId="51EA1D87" w14:textId="77777777" w:rsidR="00051AAA" w:rsidRPr="00D85E09" w:rsidRDefault="00051AAA" w:rsidP="0043316B">
            <w:pPr>
              <w:pStyle w:val="Tabletext"/>
              <w:keepNext w:val="0"/>
              <w:widowControl w:val="0"/>
            </w:pPr>
            <w:r w:rsidRPr="00D85E09">
              <w:t>(52/630)</w:t>
            </w:r>
          </w:p>
        </w:tc>
        <w:tc>
          <w:tcPr>
            <w:tcW w:w="709" w:type="dxa"/>
          </w:tcPr>
          <w:p w14:paraId="1D7B94E5" w14:textId="77777777" w:rsidR="00051AAA" w:rsidRPr="00D85E09" w:rsidRDefault="00051AAA" w:rsidP="0043316B">
            <w:pPr>
              <w:pStyle w:val="Tabletext"/>
              <w:keepNext w:val="0"/>
              <w:widowControl w:val="0"/>
            </w:pPr>
            <w:r w:rsidRPr="00D85E09">
              <w:t>12·7</w:t>
            </w:r>
          </w:p>
        </w:tc>
        <w:tc>
          <w:tcPr>
            <w:tcW w:w="1279" w:type="dxa"/>
          </w:tcPr>
          <w:p w14:paraId="290BC84B" w14:textId="1A1141D7" w:rsidR="00051AAA" w:rsidRPr="00D85E09" w:rsidRDefault="00051AAA" w:rsidP="0043316B">
            <w:pPr>
              <w:pStyle w:val="Tabletext"/>
              <w:keepNext w:val="0"/>
              <w:widowControl w:val="0"/>
            </w:pPr>
            <w:r w:rsidRPr="00D85E09">
              <w:t>2·47</w:t>
            </w:r>
          </w:p>
          <w:p w14:paraId="440FBA71" w14:textId="77777777" w:rsidR="00051AAA" w:rsidRPr="00D85E09" w:rsidRDefault="00051AAA" w:rsidP="0043316B">
            <w:pPr>
              <w:pStyle w:val="Tabletext"/>
              <w:keepNext w:val="0"/>
              <w:widowControl w:val="0"/>
            </w:pPr>
            <w:r w:rsidRPr="00D85E09">
              <w:t>(1·79, 3·41)</w:t>
            </w:r>
          </w:p>
          <w:p w14:paraId="2A7048AF" w14:textId="77777777" w:rsidR="00051AAA" w:rsidRPr="00D85E09" w:rsidRDefault="00051AAA" w:rsidP="0043316B">
            <w:pPr>
              <w:pStyle w:val="Tabletext"/>
              <w:keepNext w:val="0"/>
              <w:widowControl w:val="0"/>
            </w:pPr>
            <w:r w:rsidRPr="00D85E09">
              <w:t>p&lt;0·0001</w:t>
            </w:r>
          </w:p>
        </w:tc>
        <w:tc>
          <w:tcPr>
            <w:tcW w:w="1280" w:type="dxa"/>
          </w:tcPr>
          <w:p w14:paraId="30A12DED" w14:textId="24F35178" w:rsidR="00051AAA" w:rsidRPr="00D85E09" w:rsidRDefault="00051AAA" w:rsidP="0043316B">
            <w:pPr>
              <w:pStyle w:val="Tabletext"/>
              <w:keepNext w:val="0"/>
              <w:widowControl w:val="0"/>
            </w:pPr>
            <w:r w:rsidRPr="00D85E09">
              <w:t>2·91</w:t>
            </w:r>
          </w:p>
          <w:p w14:paraId="326BBA76" w14:textId="77777777" w:rsidR="00051AAA" w:rsidRPr="00D85E09" w:rsidRDefault="00051AAA" w:rsidP="0043316B">
            <w:pPr>
              <w:pStyle w:val="Tabletext"/>
              <w:keepNext w:val="0"/>
              <w:widowControl w:val="0"/>
            </w:pPr>
            <w:r w:rsidRPr="00D85E09">
              <w:t>(2·06, 4·12)</w:t>
            </w:r>
          </w:p>
          <w:p w14:paraId="69DD00C7" w14:textId="77777777" w:rsidR="00051AAA" w:rsidRPr="00D85E09" w:rsidRDefault="00051AAA" w:rsidP="0043316B">
            <w:pPr>
              <w:pStyle w:val="Tabletext"/>
              <w:keepNext w:val="0"/>
              <w:widowControl w:val="0"/>
            </w:pPr>
            <w:r w:rsidRPr="00D85E09">
              <w:t>p&lt;0·0001</w:t>
            </w:r>
          </w:p>
        </w:tc>
        <w:tc>
          <w:tcPr>
            <w:tcW w:w="1280" w:type="dxa"/>
          </w:tcPr>
          <w:p w14:paraId="5E73D02C" w14:textId="2021B2DD" w:rsidR="00051AAA" w:rsidRPr="00D85E09" w:rsidRDefault="00051AAA" w:rsidP="0043316B">
            <w:pPr>
              <w:pStyle w:val="Tabletext"/>
              <w:keepNext w:val="0"/>
              <w:widowControl w:val="0"/>
            </w:pPr>
            <w:r w:rsidRPr="00D85E09">
              <w:t>2·66</w:t>
            </w:r>
          </w:p>
          <w:p w14:paraId="1C0607D2" w14:textId="77777777" w:rsidR="00051AAA" w:rsidRPr="00D85E09" w:rsidRDefault="00051AAA" w:rsidP="0043316B">
            <w:pPr>
              <w:pStyle w:val="Tabletext"/>
              <w:keepNext w:val="0"/>
              <w:widowControl w:val="0"/>
            </w:pPr>
            <w:r w:rsidRPr="00D85E09">
              <w:t>(1·92, 3·67)</w:t>
            </w:r>
          </w:p>
          <w:p w14:paraId="2E66C2FB" w14:textId="77777777" w:rsidR="00051AAA" w:rsidRPr="00D85E09" w:rsidRDefault="00051AAA" w:rsidP="0043316B">
            <w:pPr>
              <w:pStyle w:val="Tabletext"/>
              <w:keepNext w:val="0"/>
              <w:widowControl w:val="0"/>
            </w:pPr>
            <w:r w:rsidRPr="00D85E09">
              <w:t>p&lt;0·0001</w:t>
            </w:r>
          </w:p>
        </w:tc>
        <w:tc>
          <w:tcPr>
            <w:tcW w:w="1280" w:type="dxa"/>
          </w:tcPr>
          <w:p w14:paraId="3752D9CC" w14:textId="736299B7" w:rsidR="00051AAA" w:rsidRPr="00D85E09" w:rsidRDefault="00051AAA" w:rsidP="0043316B">
            <w:pPr>
              <w:pStyle w:val="Tabletext"/>
              <w:keepNext w:val="0"/>
              <w:widowControl w:val="0"/>
            </w:pPr>
            <w:r w:rsidRPr="00D85E09">
              <w:t>3·77</w:t>
            </w:r>
          </w:p>
          <w:p w14:paraId="007A2CF2" w14:textId="77777777" w:rsidR="00051AAA" w:rsidRPr="00D85E09" w:rsidRDefault="00051AAA" w:rsidP="0043316B">
            <w:pPr>
              <w:pStyle w:val="Tabletext"/>
              <w:keepNext w:val="0"/>
              <w:widowControl w:val="0"/>
            </w:pPr>
            <w:r w:rsidRPr="00D85E09">
              <w:t>(2·49, 5·71)</w:t>
            </w:r>
          </w:p>
          <w:p w14:paraId="6A1AFE7A" w14:textId="77777777" w:rsidR="00051AAA" w:rsidRPr="00D85E09" w:rsidRDefault="00051AAA" w:rsidP="0043316B">
            <w:pPr>
              <w:pStyle w:val="Tabletext"/>
              <w:keepNext w:val="0"/>
              <w:widowControl w:val="0"/>
            </w:pPr>
            <w:r w:rsidRPr="00D85E09">
              <w:t>p&lt;0·0001</w:t>
            </w:r>
          </w:p>
        </w:tc>
      </w:tr>
      <w:tr w:rsidR="00051AAA" w:rsidRPr="00D85E09" w14:paraId="55260379" w14:textId="77777777" w:rsidTr="00051AAA">
        <w:tc>
          <w:tcPr>
            <w:tcW w:w="1384" w:type="dxa"/>
          </w:tcPr>
          <w:p w14:paraId="56FFBDAC" w14:textId="77777777" w:rsidR="00051AAA" w:rsidRPr="00D85E09" w:rsidRDefault="00051AAA" w:rsidP="0043316B">
            <w:pPr>
              <w:pStyle w:val="Tabletext"/>
              <w:keepNext w:val="0"/>
              <w:widowControl w:val="0"/>
            </w:pPr>
            <w:r w:rsidRPr="00D85E09">
              <w:t>Early neurological recovery at 24 hrs</w:t>
            </w:r>
          </w:p>
        </w:tc>
        <w:tc>
          <w:tcPr>
            <w:tcW w:w="941" w:type="dxa"/>
          </w:tcPr>
          <w:p w14:paraId="2C1C46C7" w14:textId="77777777" w:rsidR="00051AAA" w:rsidRPr="00D85E09" w:rsidRDefault="00051AAA" w:rsidP="0043316B">
            <w:pPr>
              <w:pStyle w:val="Tabletext"/>
              <w:keepNext w:val="0"/>
              <w:widowControl w:val="0"/>
            </w:pPr>
            <w:r w:rsidRPr="00D85E09">
              <w:t>50·2%</w:t>
            </w:r>
          </w:p>
          <w:p w14:paraId="53D40B38" w14:textId="77777777" w:rsidR="00051AAA" w:rsidRPr="00D85E09" w:rsidRDefault="00051AAA" w:rsidP="0043316B">
            <w:pPr>
              <w:pStyle w:val="Tabletext"/>
              <w:keepNext w:val="0"/>
              <w:widowControl w:val="0"/>
            </w:pPr>
            <w:r w:rsidRPr="00D85E09">
              <w:t>(309/616)</w:t>
            </w:r>
          </w:p>
        </w:tc>
        <w:tc>
          <w:tcPr>
            <w:tcW w:w="851" w:type="dxa"/>
          </w:tcPr>
          <w:p w14:paraId="08BF55C3" w14:textId="77777777" w:rsidR="00051AAA" w:rsidRPr="00D85E09" w:rsidRDefault="00051AAA" w:rsidP="0043316B">
            <w:pPr>
              <w:pStyle w:val="Tabletext"/>
              <w:keepNext w:val="0"/>
              <w:widowControl w:val="0"/>
            </w:pPr>
            <w:r w:rsidRPr="00D85E09">
              <w:t>21·2%</w:t>
            </w:r>
          </w:p>
          <w:p w14:paraId="2F49DB54" w14:textId="77777777" w:rsidR="00051AAA" w:rsidRPr="00D85E09" w:rsidRDefault="00051AAA" w:rsidP="0043316B">
            <w:pPr>
              <w:pStyle w:val="Tabletext"/>
              <w:keepNext w:val="0"/>
              <w:widowControl w:val="0"/>
            </w:pPr>
            <w:r w:rsidRPr="00D85E09">
              <w:t>(134/633)</w:t>
            </w:r>
          </w:p>
        </w:tc>
        <w:tc>
          <w:tcPr>
            <w:tcW w:w="709" w:type="dxa"/>
          </w:tcPr>
          <w:p w14:paraId="3F6FF5EA" w14:textId="77777777" w:rsidR="00051AAA" w:rsidRPr="00D85E09" w:rsidRDefault="00051AAA" w:rsidP="0043316B">
            <w:pPr>
              <w:pStyle w:val="Tabletext"/>
              <w:keepNext w:val="0"/>
              <w:widowControl w:val="0"/>
            </w:pPr>
            <w:r w:rsidRPr="00D85E09">
              <w:t>29·0</w:t>
            </w:r>
          </w:p>
        </w:tc>
        <w:tc>
          <w:tcPr>
            <w:tcW w:w="1279" w:type="dxa"/>
          </w:tcPr>
          <w:p w14:paraId="4539E807" w14:textId="5369D234" w:rsidR="00051AAA" w:rsidRPr="00D85E09" w:rsidRDefault="00051AAA" w:rsidP="0043316B">
            <w:pPr>
              <w:pStyle w:val="Tabletext"/>
              <w:keepNext w:val="0"/>
              <w:widowControl w:val="0"/>
            </w:pPr>
            <w:r w:rsidRPr="00D85E09">
              <w:t>2·34</w:t>
            </w:r>
          </w:p>
          <w:p w14:paraId="59871C19" w14:textId="77777777" w:rsidR="00051AAA" w:rsidRPr="00D85E09" w:rsidRDefault="00051AAA" w:rsidP="0043316B">
            <w:pPr>
              <w:pStyle w:val="Tabletext"/>
              <w:keepNext w:val="0"/>
              <w:widowControl w:val="0"/>
            </w:pPr>
            <w:r w:rsidRPr="00D85E09">
              <w:t>(1·91, 2·87)</w:t>
            </w:r>
          </w:p>
          <w:p w14:paraId="2F4DD6D5" w14:textId="77777777" w:rsidR="00051AAA" w:rsidRPr="00D85E09" w:rsidRDefault="00051AAA" w:rsidP="0043316B">
            <w:pPr>
              <w:pStyle w:val="Tabletext"/>
              <w:keepNext w:val="0"/>
              <w:widowControl w:val="0"/>
            </w:pPr>
            <w:r w:rsidRPr="00D85E09">
              <w:t>p&lt;0·0001</w:t>
            </w:r>
          </w:p>
        </w:tc>
        <w:tc>
          <w:tcPr>
            <w:tcW w:w="1280" w:type="dxa"/>
          </w:tcPr>
          <w:p w14:paraId="5837647F" w14:textId="02C6E29B" w:rsidR="00051AAA" w:rsidRPr="00D85E09" w:rsidRDefault="00051AAA" w:rsidP="0043316B">
            <w:pPr>
              <w:pStyle w:val="Tabletext"/>
              <w:keepNext w:val="0"/>
              <w:widowControl w:val="0"/>
            </w:pPr>
            <w:r w:rsidRPr="00D85E09">
              <w:t>4·04</w:t>
            </w:r>
          </w:p>
          <w:p w14:paraId="6017420A" w14:textId="77777777" w:rsidR="00051AAA" w:rsidRPr="00D85E09" w:rsidRDefault="00051AAA" w:rsidP="0043316B">
            <w:pPr>
              <w:pStyle w:val="Tabletext"/>
              <w:keepNext w:val="0"/>
              <w:widowControl w:val="0"/>
            </w:pPr>
            <w:r w:rsidRPr="00D85E09">
              <w:t>(2·75, 5·93)</w:t>
            </w:r>
          </w:p>
          <w:p w14:paraId="774D54AB" w14:textId="77777777" w:rsidR="00051AAA" w:rsidRPr="00D85E09" w:rsidRDefault="00051AAA" w:rsidP="0043316B">
            <w:pPr>
              <w:pStyle w:val="Tabletext"/>
              <w:keepNext w:val="0"/>
              <w:widowControl w:val="0"/>
            </w:pPr>
            <w:r w:rsidRPr="00D85E09">
              <w:t>p&lt;0·0001</w:t>
            </w:r>
          </w:p>
        </w:tc>
        <w:tc>
          <w:tcPr>
            <w:tcW w:w="1280" w:type="dxa"/>
          </w:tcPr>
          <w:p w14:paraId="6CB6188F" w14:textId="7A8E5D27" w:rsidR="00051AAA" w:rsidRPr="00D85E09" w:rsidRDefault="00051AAA" w:rsidP="0043316B">
            <w:pPr>
              <w:pStyle w:val="Tabletext"/>
              <w:keepNext w:val="0"/>
              <w:widowControl w:val="0"/>
            </w:pPr>
            <w:r w:rsidRPr="00D85E09">
              <w:t>2·34</w:t>
            </w:r>
          </w:p>
          <w:p w14:paraId="20D90A21" w14:textId="77777777" w:rsidR="00051AAA" w:rsidRPr="00D85E09" w:rsidRDefault="00051AAA" w:rsidP="0043316B">
            <w:pPr>
              <w:pStyle w:val="Tabletext"/>
              <w:keepNext w:val="0"/>
              <w:widowControl w:val="0"/>
            </w:pPr>
            <w:r w:rsidRPr="00D85E09">
              <w:t>(1·91, 2·87)</w:t>
            </w:r>
          </w:p>
          <w:p w14:paraId="41666848" w14:textId="77777777" w:rsidR="00051AAA" w:rsidRPr="00D85E09" w:rsidRDefault="00051AAA" w:rsidP="0043316B">
            <w:pPr>
              <w:pStyle w:val="Tabletext"/>
              <w:keepNext w:val="0"/>
              <w:widowControl w:val="0"/>
            </w:pPr>
            <w:r w:rsidRPr="00D85E09">
              <w:t>p&lt;0·0001</w:t>
            </w:r>
          </w:p>
        </w:tc>
        <w:tc>
          <w:tcPr>
            <w:tcW w:w="1280" w:type="dxa"/>
          </w:tcPr>
          <w:p w14:paraId="10BB7943" w14:textId="61F1384C" w:rsidR="00051AAA" w:rsidRPr="00D85E09" w:rsidRDefault="00051AAA" w:rsidP="0043316B">
            <w:pPr>
              <w:pStyle w:val="Tabletext"/>
              <w:keepNext w:val="0"/>
              <w:widowControl w:val="0"/>
            </w:pPr>
            <w:r w:rsidRPr="00D85E09">
              <w:t>4·36</w:t>
            </w:r>
          </w:p>
          <w:p w14:paraId="0327B06C" w14:textId="77777777" w:rsidR="00051AAA" w:rsidRPr="00D85E09" w:rsidRDefault="00051AAA" w:rsidP="0043316B">
            <w:pPr>
              <w:pStyle w:val="Tabletext"/>
              <w:keepNext w:val="0"/>
              <w:widowControl w:val="0"/>
            </w:pPr>
            <w:r w:rsidRPr="00D85E09">
              <w:t>(3·03, 6·27)</w:t>
            </w:r>
          </w:p>
          <w:p w14:paraId="24A7D1BD" w14:textId="77777777" w:rsidR="00051AAA" w:rsidRPr="00D85E09" w:rsidRDefault="00051AAA" w:rsidP="0043316B">
            <w:pPr>
              <w:pStyle w:val="Tabletext"/>
              <w:keepNext w:val="0"/>
              <w:widowControl w:val="0"/>
            </w:pPr>
            <w:r w:rsidRPr="00D85E09">
              <w:t>p&lt;0·0001</w:t>
            </w:r>
          </w:p>
        </w:tc>
      </w:tr>
    </w:tbl>
    <w:p w14:paraId="2E601233" w14:textId="77777777" w:rsidR="00051AAA" w:rsidRPr="00D85E09" w:rsidRDefault="00051AAA" w:rsidP="0043316B">
      <w:pPr>
        <w:pStyle w:val="Tablefootnote"/>
        <w:widowControl w:val="0"/>
        <w:spacing w:after="0"/>
        <w:rPr>
          <w:lang w:val="en-AU"/>
        </w:rPr>
      </w:pPr>
      <w:r w:rsidRPr="00D85E09">
        <w:rPr>
          <w:lang w:val="en-AU"/>
        </w:rPr>
        <w:t>NIHSS, National Institutes of Health Stroke Scale; mRS, modified Rankin Scale</w:t>
      </w:r>
    </w:p>
    <w:p w14:paraId="36A6EED1" w14:textId="77777777" w:rsidR="00051AAA" w:rsidRPr="00D85E09" w:rsidRDefault="00051AAA" w:rsidP="0043316B">
      <w:pPr>
        <w:pStyle w:val="Tablefootnote"/>
        <w:widowControl w:val="0"/>
        <w:spacing w:after="0"/>
        <w:rPr>
          <w:lang w:val="en-AU"/>
        </w:rPr>
      </w:pPr>
      <w:r w:rsidRPr="00D85E09">
        <w:rPr>
          <w:vertAlign w:val="superscript"/>
          <w:lang w:val="en-AU"/>
        </w:rPr>
        <w:t>a</w:t>
      </w:r>
      <w:r w:rsidRPr="00D85E09">
        <w:rPr>
          <w:lang w:val="en-AU"/>
        </w:rPr>
        <w:t xml:space="preserve"> Common odds raio indicating the odds of improvement of one point on the mRS; OR, odds ratio; RD, risk difference; RR, rate ratio</w:t>
      </w:r>
    </w:p>
    <w:p w14:paraId="3D249BEC" w14:textId="77777777" w:rsidR="00051AAA" w:rsidRPr="00D85E09" w:rsidRDefault="00051AAA" w:rsidP="0043316B">
      <w:pPr>
        <w:pStyle w:val="Tablefootnote"/>
        <w:widowControl w:val="0"/>
        <w:spacing w:after="360"/>
        <w:rPr>
          <w:lang w:val="en-AU"/>
        </w:rPr>
      </w:pPr>
      <w:r w:rsidRPr="00D85E09">
        <w:rPr>
          <w:lang w:val="en-AU"/>
        </w:rPr>
        <w:t>Source: Goyal et al (2016); Table 2</w:t>
      </w:r>
    </w:p>
    <w:p w14:paraId="407E77F6" w14:textId="1C127E52" w:rsidR="00051AAA" w:rsidRPr="00D85E09" w:rsidRDefault="00051AAA" w:rsidP="0043316B">
      <w:pPr>
        <w:widowControl w:val="0"/>
      </w:pPr>
      <w:r w:rsidRPr="00D85E09">
        <w:t xml:space="preserve">The distributions of patients in different mRS categories at 90 days in the IPD meta-analysis and aggregate-level meta-analysis are presented in </w:t>
      </w:r>
      <w:r w:rsidRPr="00D85E09">
        <w:fldChar w:fldCharType="begin"/>
      </w:r>
      <w:r w:rsidRPr="00D85E09">
        <w:instrText xml:space="preserve"> REF _Ref446512153 \h </w:instrText>
      </w:r>
      <w:r w:rsidRPr="00D85E09">
        <w:fldChar w:fldCharType="separate"/>
      </w:r>
      <w:r w:rsidR="00A456ED" w:rsidRPr="00D85E09">
        <w:t xml:space="preserve">Figure </w:t>
      </w:r>
      <w:r w:rsidR="00A456ED">
        <w:rPr>
          <w:noProof/>
        </w:rPr>
        <w:t>8</w:t>
      </w:r>
      <w:r w:rsidRPr="00D85E09">
        <w:fldChar w:fldCharType="end"/>
      </w:r>
      <w:r w:rsidRPr="00D85E09">
        <w:t xml:space="preserve"> and </w:t>
      </w:r>
      <w:r w:rsidRPr="00D85E09">
        <w:fldChar w:fldCharType="begin"/>
      </w:r>
      <w:r w:rsidRPr="00D85E09">
        <w:instrText xml:space="preserve"> REF _Ref446512520 \h </w:instrText>
      </w:r>
      <w:r w:rsidRPr="00D85E09">
        <w:fldChar w:fldCharType="separate"/>
      </w:r>
      <w:r w:rsidR="00A456ED" w:rsidRPr="00D85E09">
        <w:t xml:space="preserve">Figure </w:t>
      </w:r>
      <w:r w:rsidR="00A456ED">
        <w:rPr>
          <w:noProof/>
        </w:rPr>
        <w:t>9</w:t>
      </w:r>
      <w:r w:rsidRPr="00D85E09">
        <w:fldChar w:fldCharType="end"/>
      </w:r>
      <w:r w:rsidRPr="00D85E09">
        <w:t>, respectively. Overall, the results reported by Goyal et al (2016) are very similar to those presented in Section B of this submission.</w:t>
      </w:r>
    </w:p>
    <w:p w14:paraId="4ECD004B" w14:textId="5807852C" w:rsidR="00181227" w:rsidRDefault="00051AAA" w:rsidP="0043316B">
      <w:pPr>
        <w:widowControl w:val="0"/>
      </w:pPr>
      <w:r w:rsidRPr="00D85E09">
        <w:t xml:space="preserve">It should be noted that IPD meta-analyses can improve the quality of data and produce more reliable results, and for this reason they are considered to be a ‘gold standard’ for systematic review methodology (Riley et al, 2010). The Cochrane </w:t>
      </w:r>
      <w:r w:rsidR="00F67AF7" w:rsidRPr="00D85E09">
        <w:t>C</w:t>
      </w:r>
      <w:r w:rsidRPr="00D85E09">
        <w:t>ollaboration notes that the main advantages of adopting an IPD approach relate mostly to improving quality of the data and/or the quality of the analysis. Data quality can be improved through the inclusion of all trials and all randomised participants and detailed checking. Participant level data also allows more comprehensive and appropriate analyses such as time-to-event and subgroup analyses. The collaborative nature of the projects may help achieve a more global and balanced interpretation of the meta-analysis results as well as providing a basis for future collaborations on primary research (Cochrane Collaboration, 2016). On this basis, the results of the IPD meta-analysis were selected for inclusion in the base</w:t>
      </w:r>
      <w:r w:rsidR="00D32933" w:rsidRPr="00D85E09">
        <w:t xml:space="preserve"> </w:t>
      </w:r>
      <w:r w:rsidRPr="00D85E09">
        <w:t>case economic evaluation presented in Section D of this submission.</w:t>
      </w:r>
      <w:r w:rsidR="00181227">
        <w:br w:type="page"/>
      </w:r>
    </w:p>
    <w:p w14:paraId="2991149D" w14:textId="60F048E5" w:rsidR="00051AAA" w:rsidRPr="00D85E09" w:rsidRDefault="00051AAA" w:rsidP="0043316B">
      <w:pPr>
        <w:pStyle w:val="Caption"/>
        <w:keepNext w:val="0"/>
        <w:widowControl w:val="0"/>
        <w:rPr>
          <w:lang w:val="en-AU"/>
        </w:rPr>
      </w:pPr>
      <w:bookmarkStart w:id="368" w:name="_Ref446512153"/>
      <w:bookmarkStart w:id="369" w:name="_Toc453065455"/>
      <w:r w:rsidRPr="00D85E09">
        <w:rPr>
          <w:lang w:val="en-AU"/>
        </w:rPr>
        <w:lastRenderedPageBreak/>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8</w:t>
      </w:r>
      <w:r w:rsidRPr="00D85E09">
        <w:rPr>
          <w:lang w:val="en-AU"/>
        </w:rPr>
        <w:fldChar w:fldCharType="end"/>
      </w:r>
      <w:bookmarkEnd w:id="368"/>
      <w:r w:rsidRPr="00D85E09">
        <w:rPr>
          <w:lang w:val="en-AU"/>
        </w:rPr>
        <w:tab/>
        <w:t>Scores on the mRS in the IPD meta-analysis</w:t>
      </w:r>
      <w:bookmarkEnd w:id="369"/>
    </w:p>
    <w:p w14:paraId="3DD09CEF" w14:textId="77777777" w:rsidR="00051AAA" w:rsidRPr="00D85E09" w:rsidRDefault="00051AAA" w:rsidP="0043316B">
      <w:pPr>
        <w:pStyle w:val="Tablefootnote"/>
        <w:widowControl w:val="0"/>
        <w:spacing w:after="0"/>
        <w:rPr>
          <w:lang w:val="en-AU"/>
        </w:rPr>
      </w:pPr>
      <w:r w:rsidRPr="00D85E09">
        <w:rPr>
          <w:noProof/>
          <w:lang w:val="en-AU"/>
        </w:rPr>
        <w:drawing>
          <wp:inline distT="0" distB="0" distL="0" distR="0" wp14:anchorId="2988971D" wp14:editId="7F14F49F">
            <wp:extent cx="2505075" cy="276225"/>
            <wp:effectExtent l="0" t="0" r="9525" b="9525"/>
            <wp:docPr id="11" name="Picture 11" descr="Scores onthe mRS in the IPD meta-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05075" cy="276225"/>
                    </a:xfrm>
                    <a:prstGeom prst="rect">
                      <a:avLst/>
                    </a:prstGeom>
                  </pic:spPr>
                </pic:pic>
              </a:graphicData>
            </a:graphic>
          </wp:inline>
        </w:drawing>
      </w:r>
    </w:p>
    <w:p w14:paraId="072144C2" w14:textId="77777777" w:rsidR="00051AAA" w:rsidRPr="00D85E09" w:rsidRDefault="00051AAA" w:rsidP="0043316B">
      <w:pPr>
        <w:pStyle w:val="Tablefootnote"/>
        <w:widowControl w:val="0"/>
        <w:spacing w:after="0"/>
        <w:rPr>
          <w:lang w:val="en-AU"/>
        </w:rPr>
      </w:pPr>
      <w:r w:rsidRPr="00D85E09">
        <w:rPr>
          <w:noProof/>
          <w:lang w:val="en-AU"/>
        </w:rPr>
        <w:drawing>
          <wp:inline distT="0" distB="0" distL="0" distR="0" wp14:anchorId="18D9608F" wp14:editId="1E85E981">
            <wp:extent cx="5572125" cy="1038225"/>
            <wp:effectExtent l="0" t="0" r="9525" b="9525"/>
            <wp:docPr id="12" name="Picture 12" descr="Diagram shows control population (n-645) and intervention population (n-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72125" cy="1038225"/>
                    </a:xfrm>
                    <a:prstGeom prst="rect">
                      <a:avLst/>
                    </a:prstGeom>
                  </pic:spPr>
                </pic:pic>
              </a:graphicData>
            </a:graphic>
          </wp:inline>
        </w:drawing>
      </w:r>
    </w:p>
    <w:p w14:paraId="22578857" w14:textId="4C828506" w:rsidR="00051AAA" w:rsidRPr="00D85E09" w:rsidRDefault="00051AAA" w:rsidP="0043316B">
      <w:pPr>
        <w:pStyle w:val="Tablefootnote"/>
        <w:widowControl w:val="0"/>
        <w:spacing w:after="0"/>
        <w:rPr>
          <w:lang w:val="en-AU"/>
        </w:rPr>
      </w:pPr>
      <w:r w:rsidRPr="00D85E09">
        <w:rPr>
          <w:lang w:val="en-AU"/>
        </w:rPr>
        <w:t>Abbreviations:</w:t>
      </w:r>
      <w:r w:rsidR="004D28E1" w:rsidRPr="00D85E09">
        <w:rPr>
          <w:lang w:val="en-AU"/>
        </w:rPr>
        <w:t xml:space="preserve"> </w:t>
      </w:r>
      <w:r w:rsidRPr="00D85E09">
        <w:rPr>
          <w:lang w:val="en-AU"/>
        </w:rPr>
        <w:t>IPD, individual pati</w:t>
      </w:r>
      <w:r w:rsidR="00A1193B" w:rsidRPr="00D85E09">
        <w:rPr>
          <w:lang w:val="en-AU"/>
        </w:rPr>
        <w:t>ent data;</w:t>
      </w:r>
      <w:r w:rsidRPr="00D85E09">
        <w:rPr>
          <w:lang w:val="en-AU"/>
        </w:rPr>
        <w:t xml:space="preserve"> mRS, modified Rankin Scale</w:t>
      </w:r>
    </w:p>
    <w:p w14:paraId="13163E7C" w14:textId="77777777" w:rsidR="00051AAA" w:rsidRPr="00D85E09" w:rsidRDefault="00051AAA" w:rsidP="0043316B">
      <w:pPr>
        <w:pStyle w:val="Tablefootnote"/>
        <w:widowControl w:val="0"/>
        <w:spacing w:after="360"/>
        <w:rPr>
          <w:lang w:val="en-AU"/>
        </w:rPr>
      </w:pPr>
      <w:r w:rsidRPr="00D85E09">
        <w:rPr>
          <w:lang w:val="en-AU"/>
        </w:rPr>
        <w:t>Source: Goyal et al (2016); Figure 1</w:t>
      </w:r>
    </w:p>
    <w:p w14:paraId="5767DC75" w14:textId="45E0BF55" w:rsidR="00051AAA" w:rsidRPr="00D85E09" w:rsidRDefault="00051AAA" w:rsidP="0043316B">
      <w:pPr>
        <w:pStyle w:val="Caption"/>
        <w:keepNext w:val="0"/>
        <w:widowControl w:val="0"/>
        <w:rPr>
          <w:lang w:val="en-AU"/>
        </w:rPr>
      </w:pPr>
      <w:bookmarkStart w:id="370" w:name="_Ref446512520"/>
      <w:bookmarkStart w:id="371" w:name="_Toc453065456"/>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9</w:t>
      </w:r>
      <w:r w:rsidRPr="00D85E09">
        <w:rPr>
          <w:lang w:val="en-AU"/>
        </w:rPr>
        <w:fldChar w:fldCharType="end"/>
      </w:r>
      <w:bookmarkEnd w:id="370"/>
      <w:r w:rsidRPr="00D85E09">
        <w:rPr>
          <w:lang w:val="en-AU"/>
        </w:rPr>
        <w:tab/>
        <w:t>Scores on the mRS in the aggregate-level meta-analysis</w:t>
      </w:r>
      <w:bookmarkEnd w:id="371"/>
    </w:p>
    <w:p w14:paraId="4681644C" w14:textId="14BF99C1" w:rsidR="00051AAA" w:rsidRPr="00D85E09" w:rsidRDefault="004D28E1" w:rsidP="0043316B">
      <w:pPr>
        <w:widowControl w:val="0"/>
      </w:pPr>
      <w:r w:rsidRPr="00D85E09">
        <w:rPr>
          <w:noProof/>
          <w:lang w:eastAsia="en-AU"/>
        </w:rPr>
        <w:drawing>
          <wp:inline distT="0" distB="0" distL="0" distR="0" wp14:anchorId="157A3830" wp14:editId="054F83D4">
            <wp:extent cx="5581650" cy="3638743"/>
            <wp:effectExtent l="0" t="0" r="0" b="0"/>
            <wp:docPr id="13" name="Picture 13" descr="Scores onthe mRS inthe agregate-level meta-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80676" cy="3638108"/>
                    </a:xfrm>
                    <a:prstGeom prst="rect">
                      <a:avLst/>
                    </a:prstGeom>
                  </pic:spPr>
                </pic:pic>
              </a:graphicData>
            </a:graphic>
          </wp:inline>
        </w:drawing>
      </w:r>
    </w:p>
    <w:p w14:paraId="51756102" w14:textId="617B6A84" w:rsidR="004D28E1" w:rsidRPr="00D85E09" w:rsidRDefault="004D28E1" w:rsidP="0043316B">
      <w:pPr>
        <w:pStyle w:val="Tablefootnote"/>
        <w:widowControl w:val="0"/>
        <w:spacing w:after="0"/>
        <w:rPr>
          <w:lang w:val="en-AU"/>
        </w:rPr>
      </w:pPr>
      <w:r w:rsidRPr="00D85E09">
        <w:rPr>
          <w:lang w:val="en-AU"/>
        </w:rPr>
        <w:t>Abbreviations: mRS, modified Rankin Scale</w:t>
      </w:r>
    </w:p>
    <w:p w14:paraId="45F7013A" w14:textId="6A82215D" w:rsidR="004D28E1" w:rsidRPr="00D85E09" w:rsidRDefault="004D28E1" w:rsidP="0043316B">
      <w:pPr>
        <w:pStyle w:val="Tablefootnote"/>
        <w:widowControl w:val="0"/>
        <w:spacing w:after="360"/>
        <w:rPr>
          <w:lang w:val="en-AU"/>
        </w:rPr>
      </w:pPr>
      <w:r w:rsidRPr="00D85E09">
        <w:rPr>
          <w:lang w:val="en-AU"/>
        </w:rPr>
        <w:t xml:space="preserve">Source: Section B.6.1; </w:t>
      </w:r>
      <w:r w:rsidR="00310EA3" w:rsidRPr="00D85E09">
        <w:rPr>
          <w:lang w:val="en-AU"/>
        </w:rPr>
        <w:fldChar w:fldCharType="begin"/>
      </w:r>
      <w:r w:rsidR="00310EA3" w:rsidRPr="00D85E09">
        <w:rPr>
          <w:lang w:val="en-AU"/>
        </w:rPr>
        <w:instrText xml:space="preserve"> REF _Ref452547803 \h </w:instrText>
      </w:r>
      <w:r w:rsidR="00310EA3" w:rsidRPr="00D85E09">
        <w:rPr>
          <w:lang w:val="en-AU"/>
        </w:rPr>
      </w:r>
      <w:r w:rsidR="00310EA3" w:rsidRPr="00D85E09">
        <w:rPr>
          <w:lang w:val="en-AU"/>
        </w:rPr>
        <w:fldChar w:fldCharType="separate"/>
      </w:r>
      <w:r w:rsidR="00A456ED" w:rsidRPr="00D85E09">
        <w:rPr>
          <w:lang w:val="en-AU"/>
        </w:rPr>
        <w:t xml:space="preserve">Figure </w:t>
      </w:r>
      <w:r w:rsidR="00A456ED">
        <w:rPr>
          <w:noProof/>
          <w:lang w:val="en-AU"/>
        </w:rPr>
        <w:t>4</w:t>
      </w:r>
      <w:r w:rsidR="00310EA3" w:rsidRPr="00D85E09">
        <w:rPr>
          <w:lang w:val="en-AU"/>
        </w:rPr>
        <w:fldChar w:fldCharType="end"/>
      </w:r>
    </w:p>
    <w:p w14:paraId="6CF191BF" w14:textId="77777777" w:rsidR="00051AAA" w:rsidRPr="00D85E09" w:rsidRDefault="00051AAA" w:rsidP="0043316B">
      <w:pPr>
        <w:pStyle w:val="Heading4"/>
        <w:keepLines w:val="0"/>
        <w:widowControl w:val="0"/>
        <w:rPr>
          <w:lang w:val="en-AU"/>
        </w:rPr>
      </w:pPr>
      <w:r w:rsidRPr="00D85E09">
        <w:rPr>
          <w:lang w:val="en-AU"/>
        </w:rPr>
        <w:t>Potential clinical effect modifiers</w:t>
      </w:r>
    </w:p>
    <w:p w14:paraId="0A7139EF" w14:textId="6998D168" w:rsidR="00051AAA" w:rsidRPr="00D85E09" w:rsidRDefault="00051AAA" w:rsidP="0043316B">
      <w:pPr>
        <w:widowControl w:val="0"/>
      </w:pPr>
      <w:r w:rsidRPr="00D85E09">
        <w:fldChar w:fldCharType="begin"/>
      </w:r>
      <w:r w:rsidRPr="00D85E09">
        <w:instrText xml:space="preserve"> REF _Ref446593525 \h  \* MERGEFORMAT </w:instrText>
      </w:r>
      <w:r w:rsidRPr="00D85E09">
        <w:fldChar w:fldCharType="separate"/>
      </w:r>
      <w:r w:rsidR="00A456ED" w:rsidRPr="00D85E09">
        <w:t xml:space="preserve">Figure </w:t>
      </w:r>
      <w:r w:rsidR="00A456ED">
        <w:t>10</w:t>
      </w:r>
      <w:r w:rsidRPr="00D85E09">
        <w:fldChar w:fldCharType="end"/>
      </w:r>
      <w:r w:rsidRPr="00D85E09">
        <w:t xml:space="preserve"> is a </w:t>
      </w:r>
      <w:r w:rsidR="00F67AF7" w:rsidRPr="00D85E09">
        <w:t>f</w:t>
      </w:r>
      <w:r w:rsidRPr="00D85E09">
        <w:t>orest plot showing the adjusted treatment effect for mRS at 90 days in pre-specified subgroups within the pooled trial populations. The outcomes are reported as a common OR, which indicates the odds that the intervention would lead to improvement of 1 or more points on the mRS in a shift analysis. Overall, the data suggest the efficacy of MT is relatively consistent in patients with different demographic and disease characteristics. None of the potential effect modifiers examined in the IPD analysis were associated with a statistically significant probability of interaction (p&lt;0.05).</w:t>
      </w:r>
    </w:p>
    <w:p w14:paraId="34C84EBB" w14:textId="28F8D333" w:rsidR="00051AAA" w:rsidRPr="00D85E09" w:rsidRDefault="00051AAA" w:rsidP="0043316B">
      <w:pPr>
        <w:widowControl w:val="0"/>
      </w:pPr>
      <w:r w:rsidRPr="00D85E09">
        <w:lastRenderedPageBreak/>
        <w:t>The impact of various potential clinical effect modifiers are discussed in further detail under the headings b</w:t>
      </w:r>
      <w:r w:rsidR="00FA0190" w:rsidRPr="00D85E09">
        <w:t>elow. These include: population</w:t>
      </w:r>
      <w:r w:rsidRPr="00D85E09">
        <w:t xml:space="preserve"> chara</w:t>
      </w:r>
      <w:r w:rsidR="00FA0190" w:rsidRPr="00D85E09">
        <w:t xml:space="preserve">cteristics, such as age and sex, </w:t>
      </w:r>
      <w:r w:rsidRPr="00D85E09">
        <w:t xml:space="preserve">baseline stroke severity (based on NIHSS), </w:t>
      </w:r>
      <w:r w:rsidR="00D7617B" w:rsidRPr="00D85E09">
        <w:t xml:space="preserve">the size and extent of the infarct (based on </w:t>
      </w:r>
      <w:r w:rsidRPr="00D85E09">
        <w:t>ASPECTS</w:t>
      </w:r>
      <w:r w:rsidR="00D7617B" w:rsidRPr="00D85E09">
        <w:t>)</w:t>
      </w:r>
      <w:r w:rsidR="00FA0190" w:rsidRPr="00D85E09">
        <w:t xml:space="preserve"> and</w:t>
      </w:r>
      <w:r w:rsidRPr="00D85E09">
        <w:t xml:space="preserve"> location of the occlusion (ICA, M1 or M2)</w:t>
      </w:r>
      <w:r w:rsidR="00FA0190" w:rsidRPr="00D85E09">
        <w:t>; and variables related to circumstances of use, including</w:t>
      </w:r>
      <w:r w:rsidRPr="00D85E09">
        <w:t xml:space="preserve"> time to delivery of the intervention and eligibility for </w:t>
      </w:r>
      <w:r w:rsidR="002B4E52" w:rsidRPr="00D85E09">
        <w:t>IV</w:t>
      </w:r>
      <w:r w:rsidR="00D32933" w:rsidRPr="00D85E09">
        <w:t>-</w:t>
      </w:r>
      <w:r w:rsidR="002B4E52" w:rsidRPr="00D85E09">
        <w:t>tPA</w:t>
      </w:r>
      <w:r w:rsidRPr="00D85E09">
        <w:t>.</w:t>
      </w:r>
    </w:p>
    <w:p w14:paraId="0D74B010" w14:textId="67903C56" w:rsidR="00051AAA" w:rsidRPr="00D85E09" w:rsidRDefault="00051AAA" w:rsidP="0043316B">
      <w:pPr>
        <w:pStyle w:val="Caption"/>
        <w:keepNext w:val="0"/>
        <w:widowControl w:val="0"/>
        <w:rPr>
          <w:lang w:val="en-AU"/>
        </w:rPr>
      </w:pPr>
      <w:bookmarkStart w:id="372" w:name="_Ref446593525"/>
      <w:bookmarkStart w:id="373" w:name="_Toc453065457"/>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10</w:t>
      </w:r>
      <w:r w:rsidRPr="00D85E09">
        <w:rPr>
          <w:lang w:val="en-AU"/>
        </w:rPr>
        <w:fldChar w:fldCharType="end"/>
      </w:r>
      <w:bookmarkEnd w:id="372"/>
      <w:r w:rsidRPr="00D85E09">
        <w:rPr>
          <w:lang w:val="en-AU"/>
        </w:rPr>
        <w:tab/>
        <w:t>Forest plot showing adjusted treatment effect for mRS at 90 days in pre-specified subgroups</w:t>
      </w:r>
      <w:r w:rsidR="0058554B" w:rsidRPr="00D85E09">
        <w:rPr>
          <w:lang w:val="en-AU"/>
        </w:rPr>
        <w:t xml:space="preserve"> (cOR that </w:t>
      </w:r>
      <w:r w:rsidR="00423708" w:rsidRPr="00D85E09">
        <w:rPr>
          <w:lang w:val="en-AU"/>
        </w:rPr>
        <w:t xml:space="preserve">the intervention would lead to improvement of </w:t>
      </w:r>
      <w:r w:rsidR="00423708" w:rsidRPr="00D85E09">
        <w:rPr>
          <w:rFonts w:cs="Arial"/>
          <w:lang w:val="en-AU"/>
        </w:rPr>
        <w:t>≥</w:t>
      </w:r>
      <w:r w:rsidR="00423708" w:rsidRPr="00D85E09">
        <w:rPr>
          <w:lang w:val="en-AU"/>
        </w:rPr>
        <w:t xml:space="preserve"> 1 point on the mRS)</w:t>
      </w:r>
      <w:bookmarkEnd w:id="373"/>
    </w:p>
    <w:p w14:paraId="50931C18" w14:textId="77777777" w:rsidR="00051AAA" w:rsidRPr="00D85E09" w:rsidRDefault="00051AAA" w:rsidP="0043316B">
      <w:pPr>
        <w:widowControl w:val="0"/>
        <w:spacing w:after="0"/>
      </w:pPr>
      <w:r w:rsidRPr="00D85E09">
        <w:rPr>
          <w:noProof/>
          <w:lang w:eastAsia="en-AU"/>
        </w:rPr>
        <w:drawing>
          <wp:inline distT="0" distB="0" distL="0" distR="0" wp14:anchorId="2A73508A" wp14:editId="51B618FB">
            <wp:extent cx="5055079" cy="5122032"/>
            <wp:effectExtent l="0" t="0" r="0" b="2540"/>
            <wp:docPr id="14" name="Picture 14" descr="Forest plot showing adjusted treatment effect for mRS at 90 days in pre-specified subgroups (cOR that the intervention would lead to improvement of ≥ point onthe 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58744" cy="5125746"/>
                    </a:xfrm>
                    <a:prstGeom prst="rect">
                      <a:avLst/>
                    </a:prstGeom>
                  </pic:spPr>
                </pic:pic>
              </a:graphicData>
            </a:graphic>
          </wp:inline>
        </w:drawing>
      </w:r>
    </w:p>
    <w:p w14:paraId="36A9AD18" w14:textId="03E3223E" w:rsidR="00051AAA" w:rsidRPr="00D85E09" w:rsidRDefault="00051AAA" w:rsidP="0043316B">
      <w:pPr>
        <w:pStyle w:val="Tablefootnote"/>
        <w:widowControl w:val="0"/>
        <w:spacing w:before="0" w:after="0"/>
        <w:rPr>
          <w:lang w:val="en-AU"/>
        </w:rPr>
      </w:pPr>
      <w:r w:rsidRPr="00D85E09">
        <w:rPr>
          <w:lang w:val="en-AU"/>
        </w:rPr>
        <w:t xml:space="preserve">Abbreviations: cOR, common odds ratio; mRS, modified Rankin </w:t>
      </w:r>
      <w:r w:rsidR="00F67AF7" w:rsidRPr="00D85E09">
        <w:rPr>
          <w:lang w:val="en-AU"/>
        </w:rPr>
        <w:t>s</w:t>
      </w:r>
      <w:r w:rsidRPr="00D85E09">
        <w:rPr>
          <w:lang w:val="en-AU"/>
        </w:rPr>
        <w:t>cale; ASPECTS, Alberta Stroke Program Early CT score; ICA, internal carotid artery; NIHSS, National Institutes of Health Stroke Scale</w:t>
      </w:r>
    </w:p>
    <w:p w14:paraId="26624C89" w14:textId="77777777" w:rsidR="00051AAA" w:rsidRPr="00D85E09" w:rsidRDefault="00051AAA" w:rsidP="0043316B">
      <w:pPr>
        <w:pStyle w:val="Tablefootnote"/>
        <w:widowControl w:val="0"/>
        <w:spacing w:before="0" w:after="360"/>
        <w:rPr>
          <w:lang w:val="en-AU"/>
        </w:rPr>
      </w:pPr>
      <w:r w:rsidRPr="00D85E09">
        <w:rPr>
          <w:lang w:val="en-AU"/>
        </w:rPr>
        <w:t>Source: Goyal et al, 2016; Figure 2</w:t>
      </w:r>
    </w:p>
    <w:p w14:paraId="53CFC4A1" w14:textId="64B72C4D" w:rsidR="00FA0190" w:rsidRPr="00D85E09" w:rsidRDefault="00FA0190" w:rsidP="0043316B">
      <w:pPr>
        <w:pStyle w:val="Heading5"/>
        <w:widowControl w:val="0"/>
        <w:rPr>
          <w:lang w:val="en-AU"/>
        </w:rPr>
      </w:pPr>
      <w:r w:rsidRPr="00D85E09">
        <w:rPr>
          <w:lang w:val="en-AU"/>
        </w:rPr>
        <w:t>Population applicability issues</w:t>
      </w:r>
    </w:p>
    <w:p w14:paraId="241EDCF1" w14:textId="343441DF" w:rsidR="00051AAA" w:rsidRPr="00D85E09" w:rsidRDefault="00FA0190" w:rsidP="0043316B">
      <w:pPr>
        <w:pStyle w:val="Heading6"/>
        <w:widowControl w:val="0"/>
        <w:rPr>
          <w:lang w:val="en-AU"/>
        </w:rPr>
      </w:pPr>
      <w:r w:rsidRPr="00D85E09">
        <w:rPr>
          <w:lang w:val="en-AU"/>
        </w:rPr>
        <w:t>Age and sex</w:t>
      </w:r>
    </w:p>
    <w:p w14:paraId="3ED906B7" w14:textId="55E2B50B" w:rsidR="00D7617B" w:rsidRPr="00D85E09" w:rsidRDefault="00D7617B" w:rsidP="0043316B">
      <w:pPr>
        <w:widowControl w:val="0"/>
        <w:rPr>
          <w:rFonts w:eastAsia="ScalaLancetPro"/>
        </w:rPr>
      </w:pPr>
      <w:r w:rsidRPr="00D85E09">
        <w:rPr>
          <w:rStyle w:val="apple-converted-space"/>
          <w:shd w:val="clear" w:color="auto" w:fill="FFFFFF"/>
        </w:rPr>
        <w:t>V</w:t>
      </w:r>
      <w:r w:rsidRPr="00D85E09">
        <w:rPr>
          <w:shd w:val="clear" w:color="auto" w:fill="FFFFFF"/>
        </w:rPr>
        <w:t xml:space="preserve">ery elderly patients are at a higher risk of poor outcomes compared to younger patients; </w:t>
      </w:r>
      <w:r w:rsidRPr="00D85E09">
        <w:rPr>
          <w:shd w:val="clear" w:color="auto" w:fill="FFFFFF"/>
        </w:rPr>
        <w:lastRenderedPageBreak/>
        <w:t>and early retrospective studies of thrombectomy reported a high rate of mortality in patients aged over 80 years (Villwock et al, 2014). However, in the recent cohort of RCTs of MT versus usual care,</w:t>
      </w:r>
      <w:r w:rsidR="0050601B" w:rsidRPr="00D85E09">
        <w:rPr>
          <w:shd w:val="clear" w:color="auto" w:fill="FFFFFF"/>
        </w:rPr>
        <w:t xml:space="preserve"> </w:t>
      </w:r>
      <w:r w:rsidR="00051AAA" w:rsidRPr="00D85E09">
        <w:t xml:space="preserve">results </w:t>
      </w:r>
      <w:r w:rsidR="0050601B" w:rsidRPr="00D85E09">
        <w:t xml:space="preserve">for the primary outcome </w:t>
      </w:r>
      <w:r w:rsidR="00051AAA" w:rsidRPr="00D85E09">
        <w:t xml:space="preserve">were relatively consistent across the different age categories with a trend towards greater clinical efficacy relative to the control in patients aged 80 years or over, and decreased clinical efficacy the relatively small subgroup of patients (n=158) aged 18-49 years. </w:t>
      </w:r>
      <w:r w:rsidR="0050601B" w:rsidRPr="00D85E09">
        <w:t xml:space="preserve">On this basis, age is not considered a </w:t>
      </w:r>
      <w:r w:rsidR="00051AAA" w:rsidRPr="00D85E09">
        <w:rPr>
          <w:rFonts w:eastAsia="ScalaLancetPro"/>
        </w:rPr>
        <w:t>treatment effect</w:t>
      </w:r>
      <w:r w:rsidR="0050601B" w:rsidRPr="00D85E09">
        <w:rPr>
          <w:rFonts w:eastAsia="ScalaLancetPro"/>
        </w:rPr>
        <w:t xml:space="preserve"> m</w:t>
      </w:r>
      <w:r w:rsidR="00F349F0" w:rsidRPr="00D85E09">
        <w:rPr>
          <w:rFonts w:eastAsia="ScalaLancetPro"/>
        </w:rPr>
        <w:t>odifier for MT relative to IV</w:t>
      </w:r>
      <w:r w:rsidR="00D32933" w:rsidRPr="00D85E09">
        <w:rPr>
          <w:rFonts w:eastAsia="ScalaLancetPro"/>
        </w:rPr>
        <w:t>-</w:t>
      </w:r>
      <w:r w:rsidR="00F349F0" w:rsidRPr="00D85E09">
        <w:rPr>
          <w:rFonts w:eastAsia="ScalaLancetPro"/>
        </w:rPr>
        <w:t>t</w:t>
      </w:r>
      <w:r w:rsidR="0050601B" w:rsidRPr="00D85E09">
        <w:rPr>
          <w:rFonts w:eastAsia="ScalaLancetPro"/>
        </w:rPr>
        <w:t>PA. Accordingly, clinical practice guidelines recommend that “high age alone is not a reason to withhold mechanical thrombectomy as an adjunctive treatment” (ESO, 2014)</w:t>
      </w:r>
    </w:p>
    <w:p w14:paraId="4F0ED3BB" w14:textId="0D68F236" w:rsidR="00051AAA" w:rsidRPr="00D85E09" w:rsidRDefault="00051AAA" w:rsidP="0043316B">
      <w:pPr>
        <w:widowControl w:val="0"/>
      </w:pPr>
      <w:r w:rsidRPr="00D85E09">
        <w:t>The effects of the intervention were roughly equal in males and females.</w:t>
      </w:r>
    </w:p>
    <w:p w14:paraId="06DD8008" w14:textId="77777777" w:rsidR="00051AAA" w:rsidRPr="00D85E09" w:rsidRDefault="00051AAA" w:rsidP="0043316B">
      <w:pPr>
        <w:pStyle w:val="Heading6"/>
        <w:widowControl w:val="0"/>
        <w:rPr>
          <w:lang w:val="en-AU"/>
        </w:rPr>
      </w:pPr>
      <w:r w:rsidRPr="00D85E09">
        <w:rPr>
          <w:lang w:val="en-AU"/>
        </w:rPr>
        <w:t>Disease characteristics</w:t>
      </w:r>
    </w:p>
    <w:p w14:paraId="7A85773D" w14:textId="759016DE" w:rsidR="00051AAA" w:rsidRPr="00D85E09" w:rsidRDefault="00051AAA" w:rsidP="0043316B">
      <w:pPr>
        <w:widowControl w:val="0"/>
        <w:rPr>
          <w:rFonts w:eastAsia="ScalaLancetPro"/>
        </w:rPr>
      </w:pPr>
      <w:r w:rsidRPr="00D85E09">
        <w:rPr>
          <w:rFonts w:eastAsia="ScalaLancetPro"/>
        </w:rPr>
        <w:t>Contrary to previous studies that have identified patients with most severe strokes (baseline NIHSS score ≥20) as deriving most benefit from MT (</w:t>
      </w:r>
      <w:r w:rsidR="00901370" w:rsidRPr="00D85E09">
        <w:rPr>
          <w:rFonts w:eastAsia="ScalaLancetPro"/>
        </w:rPr>
        <w:t>Almekhlafi et al, 2014)</w:t>
      </w:r>
      <w:r w:rsidRPr="00D85E09">
        <w:rPr>
          <w:rFonts w:eastAsia="ScalaLancetPro"/>
        </w:rPr>
        <w:t>, this IPD analysis shows a similar effect on disability across the entire NIHSS severity range. However, few patients with minor strokes were available for analysis. The authors suggest that in clinical practice, treatment of patients with mild strokes and confirmed LVO should be determined based on specific clinical and radiological features of the individual case, bearing in mind the risk of subsequent clinical deterioration with best medical therapy in patients with LVO.</w:t>
      </w:r>
    </w:p>
    <w:p w14:paraId="6D3C522C" w14:textId="7D5B8AF8" w:rsidR="00051AAA" w:rsidRPr="00D85E09" w:rsidRDefault="00051AAA" w:rsidP="0043316B">
      <w:pPr>
        <w:widowControl w:val="0"/>
        <w:rPr>
          <w:rFonts w:eastAsia="ScalaLancetPro"/>
        </w:rPr>
      </w:pPr>
      <w:r w:rsidRPr="00D85E09">
        <w:rPr>
          <w:rFonts w:eastAsia="ScalaLancetPro"/>
        </w:rPr>
        <w:t>The extent of pre-treatment infarction on baseline imaging (determined by ASPECTS) has been recognised as a critical predictor of clinical outcome in patients treated with reperfusion therapies. For that reason, most studies exclude patients who present with signs of a large infarct on baseline brain imaging. In the IPD analysis, similar benefits were observed in patients with high baseline ASPECTS (9–10) and those with moderate baseline ASPECTS (6–8). Clinical data from a small subgroup with more extensive irreversible inju</w:t>
      </w:r>
      <w:r w:rsidR="00B972D4" w:rsidRPr="00D85E09">
        <w:rPr>
          <w:rFonts w:eastAsia="ScalaLancetPro"/>
        </w:rPr>
        <w:t>ry (ASPECTS 0-5) found a small</w:t>
      </w:r>
      <w:r w:rsidRPr="00D85E09">
        <w:rPr>
          <w:rFonts w:eastAsia="ScalaLancetPro"/>
        </w:rPr>
        <w:t xml:space="preserve"> benefit associated with endovascular therapy; however</w:t>
      </w:r>
      <w:r w:rsidR="008155B7" w:rsidRPr="00D85E09">
        <w:rPr>
          <w:rFonts w:eastAsia="ScalaLancetPro"/>
        </w:rPr>
        <w:t>,</w:t>
      </w:r>
      <w:r w:rsidRPr="00D85E09">
        <w:rPr>
          <w:rFonts w:eastAsia="ScalaLancetPro"/>
        </w:rPr>
        <w:t xml:space="preserve"> the effect was not statistically significant (common OR 1.24, 95% CI 0.62-2.49).</w:t>
      </w:r>
    </w:p>
    <w:p w14:paraId="3E295B4B" w14:textId="77777777" w:rsidR="00051AAA" w:rsidRPr="00D85E09" w:rsidRDefault="00051AAA" w:rsidP="0043316B">
      <w:pPr>
        <w:widowControl w:val="0"/>
        <w:rPr>
          <w:rFonts w:eastAsia="ScalaLancetPro"/>
        </w:rPr>
      </w:pPr>
      <w:r w:rsidRPr="00D85E09">
        <w:rPr>
          <w:rFonts w:eastAsia="ScalaLancetPro"/>
        </w:rPr>
        <w:t xml:space="preserve">In terms of location of the occlusion, the results suggest the relative clinical efficacy of MT is greatest in patients with occlusions in the ICA (common OR 3.96, 95% CI 1.65-9.49). Patients with occlusions in the M1 segment of the middle cerebral artery also derive a substantial and statistically significant benefit (common OR 2.29, 95% CI 1.73-3.04), while the benefit in patients with occlusions of the M2 middle cerebral artery segment remains inconclusive due to the small sample size. Three of the five included trials restricted </w:t>
      </w:r>
      <w:r w:rsidRPr="00D85E09">
        <w:rPr>
          <w:rFonts w:eastAsia="ScalaLancetPro"/>
        </w:rPr>
        <w:lastRenderedPageBreak/>
        <w:t>enrolment to patients with more proximal occlusions and the remaining two enrolled only a few patients with distal occlusions. Furthermore, most of the patients with M2 occlusions included in the IPD analysis were misclassified as having M1 occlusion at the time of enrolment, and were subsequently adjudicated by the core lab as M2 occlusion. These adjusted patients are therefore likely to include a disproportionate proportion of proximal and large M2 occlusions. These off-target enrolments highlight the challenge associated with poor standardisation in distinguishing between M1 and M2 segment stroke.</w:t>
      </w:r>
    </w:p>
    <w:p w14:paraId="214C87AA" w14:textId="00774691" w:rsidR="00303C94" w:rsidRPr="00D85E09" w:rsidRDefault="00303C94" w:rsidP="0043316B">
      <w:pPr>
        <w:pStyle w:val="Heading5"/>
        <w:widowControl w:val="0"/>
        <w:rPr>
          <w:lang w:val="en-AU"/>
        </w:rPr>
      </w:pPr>
      <w:r w:rsidRPr="00D85E09">
        <w:rPr>
          <w:lang w:val="en-AU"/>
        </w:rPr>
        <w:t>Circumstances of use applicability issues</w:t>
      </w:r>
    </w:p>
    <w:p w14:paraId="53A02915" w14:textId="3E92D044" w:rsidR="00051AAA" w:rsidRPr="00D85E09" w:rsidRDefault="00051AAA" w:rsidP="0043316B">
      <w:pPr>
        <w:pStyle w:val="Heading6"/>
        <w:widowControl w:val="0"/>
        <w:rPr>
          <w:lang w:val="en-AU"/>
        </w:rPr>
      </w:pPr>
      <w:r w:rsidRPr="00D85E09">
        <w:rPr>
          <w:lang w:val="en-AU"/>
        </w:rPr>
        <w:t>Time to delivery of intervention</w:t>
      </w:r>
    </w:p>
    <w:p w14:paraId="4254E67E" w14:textId="58C7EF13" w:rsidR="00051AAA" w:rsidRPr="00D85E09" w:rsidRDefault="00051AAA" w:rsidP="0043316B">
      <w:pPr>
        <w:widowControl w:val="0"/>
        <w:rPr>
          <w:rFonts w:eastAsia="ScalaLancetPro"/>
        </w:rPr>
      </w:pPr>
      <w:r w:rsidRPr="00D85E09">
        <w:rPr>
          <w:rFonts w:eastAsia="ScalaLancetPro"/>
        </w:rPr>
        <w:fldChar w:fldCharType="begin"/>
      </w:r>
      <w:r w:rsidRPr="00D85E09">
        <w:rPr>
          <w:rFonts w:eastAsia="ScalaLancetPro"/>
        </w:rPr>
        <w:instrText xml:space="preserve"> REF _Ref446073118 \h  \* MERGEFORMAT </w:instrText>
      </w:r>
      <w:r w:rsidRPr="00D85E09">
        <w:rPr>
          <w:rFonts w:eastAsia="ScalaLancetPro"/>
        </w:rPr>
      </w:r>
      <w:r w:rsidRPr="00D85E09">
        <w:rPr>
          <w:rFonts w:eastAsia="ScalaLancetPro"/>
        </w:rPr>
        <w:fldChar w:fldCharType="separate"/>
      </w:r>
      <w:r w:rsidR="00A456ED" w:rsidRPr="00A456ED">
        <w:rPr>
          <w:rFonts w:eastAsia="ScalaLancetPro"/>
        </w:rPr>
        <w:t>Table 41</w:t>
      </w:r>
      <w:r w:rsidRPr="00D85E09">
        <w:rPr>
          <w:rFonts w:eastAsia="ScalaLancetPro"/>
        </w:rPr>
        <w:fldChar w:fldCharType="end"/>
      </w:r>
      <w:r w:rsidRPr="00D85E09">
        <w:rPr>
          <w:rFonts w:eastAsia="ScalaLancetPro"/>
        </w:rPr>
        <w:t xml:space="preserve"> shows that although the majority of trials specified that MT should be administered within 6 hours of stroke onset, one study (ESCAPE) allowed patients to be randomised up to 12 hours after onset, and another permitted groin puncture up to 8 hours after onset (REVASCAT). Aggregate data from REVASCAT and ESCAPE with treatment permitted out to 8 and 12 hours show a benefit, but ESCAPE enrolled too few patients after 6 hours to provide useful data and REVASCAT provides no data about patients who underwent groin puncture between 6 and 8 hours. How much the net benefit in these two trials was driven by those treated at shorter times is unclear </w:t>
      </w:r>
      <w:r w:rsidR="00DF71AE" w:rsidRPr="00D85E09">
        <w:rPr>
          <w:rFonts w:eastAsia="ScalaLancetPro"/>
        </w:rPr>
        <w:t>(Powers et al, 2015). Of note, t</w:t>
      </w:r>
      <w:r w:rsidRPr="00D85E09">
        <w:rPr>
          <w:rFonts w:eastAsia="ScalaLancetPro"/>
        </w:rPr>
        <w:t>he positive effect in the MR CLEAN trial was time</w:t>
      </w:r>
      <w:r w:rsidR="00300BB6" w:rsidRPr="00D85E09">
        <w:rPr>
          <w:rFonts w:eastAsia="ScalaLancetPro"/>
        </w:rPr>
        <w:t>-</w:t>
      </w:r>
      <w:r w:rsidRPr="00D85E09">
        <w:rPr>
          <w:rFonts w:eastAsia="ScalaLancetPro"/>
        </w:rPr>
        <w:t>dependent, with adjusted common OR decreasing from 3.0 (95% CI: 1.6–5.6) at 3.5 hours after onset to reperfusion time, to 1.5 (95% CI: 1.1–2.2) at 6 hours (Berkhemer et al, 2015).</w:t>
      </w:r>
    </w:p>
    <w:p w14:paraId="4E1B3DC6" w14:textId="0FDDAA1D" w:rsidR="00051AAA" w:rsidRPr="00D85E09" w:rsidRDefault="00051AAA" w:rsidP="0043316B">
      <w:pPr>
        <w:widowControl w:val="0"/>
        <w:rPr>
          <w:rFonts w:eastAsia="ScalaLancetPro"/>
        </w:rPr>
      </w:pPr>
      <w:r w:rsidRPr="00D85E09">
        <w:rPr>
          <w:rFonts w:eastAsia="ScalaLancetPro"/>
        </w:rPr>
        <w:t xml:space="preserve">The IPD meta-analysis aimed to assess the impact of process times by dichotomising patients according to whether they were randomised before or after 300 minutes. </w:t>
      </w:r>
      <w:r w:rsidRPr="00D85E09">
        <w:rPr>
          <w:rFonts w:eastAsia="ScalaLancetPro"/>
        </w:rPr>
        <w:fldChar w:fldCharType="begin"/>
      </w:r>
      <w:r w:rsidRPr="00D85E09">
        <w:rPr>
          <w:rFonts w:eastAsia="ScalaLancetPro"/>
        </w:rPr>
        <w:instrText xml:space="preserve"> REF _Ref446593525 \h </w:instrText>
      </w:r>
      <w:r w:rsidRPr="00D85E09">
        <w:rPr>
          <w:rFonts w:eastAsia="ScalaLancetPro"/>
        </w:rPr>
      </w:r>
      <w:r w:rsidRPr="00D85E09">
        <w:rPr>
          <w:rFonts w:eastAsia="ScalaLancetPro"/>
        </w:rPr>
        <w:fldChar w:fldCharType="separate"/>
      </w:r>
      <w:r w:rsidR="00A456ED" w:rsidRPr="00D85E09">
        <w:t xml:space="preserve">Figure </w:t>
      </w:r>
      <w:r w:rsidR="00A456ED">
        <w:rPr>
          <w:noProof/>
        </w:rPr>
        <w:t>10</w:t>
      </w:r>
      <w:r w:rsidRPr="00D85E09">
        <w:rPr>
          <w:rFonts w:eastAsia="ScalaLancetPro"/>
        </w:rPr>
        <w:fldChar w:fldCharType="end"/>
      </w:r>
      <w:r w:rsidRPr="00D85E09">
        <w:rPr>
          <w:rFonts w:eastAsia="ScalaLancetPro"/>
        </w:rPr>
        <w:t xml:space="preserve"> shows the intervention had greater relative clinical efficacy in patients randomised fewer than 300 minutes from stroke symptom onset. This generally corresponds to start of the endovascular procedure less than 8 hours from symptom onset, which is within the 8-hour TGA-approved window for treatment for many endovascular devices, but outside the </w:t>
      </w:r>
      <w:r w:rsidRPr="00D85E09">
        <w:t>6-</w:t>
      </w:r>
      <w:r w:rsidRPr="00D85E09">
        <w:rPr>
          <w:rFonts w:eastAsia="ScalaLancetPro"/>
        </w:rPr>
        <w:t>hour window recommended by the Australian NSF guidelines (NSF, 2010).</w:t>
      </w:r>
    </w:p>
    <w:p w14:paraId="79021665" w14:textId="7E0653D5" w:rsidR="00423708" w:rsidRPr="00D85E09" w:rsidRDefault="00051AAA" w:rsidP="0043316B">
      <w:pPr>
        <w:widowControl w:val="0"/>
        <w:rPr>
          <w:rFonts w:eastAsia="ScalaLancetPro"/>
        </w:rPr>
      </w:pPr>
      <w:r w:rsidRPr="00D85E09">
        <w:rPr>
          <w:rFonts w:eastAsia="ScalaLancetPro"/>
        </w:rPr>
        <w:t xml:space="preserve">Therefore, there remains some uncertainty about the magnitude of the benefit of MT in patients who receive the intervention 8 hours after stroke onset; however it should be noted that even in this subgroup of patients, there remains a statistically significant benefit relative to usual care. These findings underline the necessity to treat as early as possible; </w:t>
      </w:r>
      <w:r w:rsidR="00CB7EDD" w:rsidRPr="00D85E09">
        <w:rPr>
          <w:rFonts w:eastAsia="ScalaLancetPro"/>
        </w:rPr>
        <w:t xml:space="preserve">and </w:t>
      </w:r>
      <w:r w:rsidRPr="00D85E09">
        <w:rPr>
          <w:rFonts w:eastAsia="ScalaLancetPro"/>
        </w:rPr>
        <w:t>after 6 hours from stroke onset the decision to administer MT should be made in consideration of other patient factors such as imaging</w:t>
      </w:r>
      <w:r w:rsidR="00CB7EDD" w:rsidRPr="00D85E09">
        <w:rPr>
          <w:rFonts w:eastAsia="ScalaLancetPro"/>
        </w:rPr>
        <w:t xml:space="preserve"> identifying salvageable brain, showing likelihood of good neurological outcomes</w:t>
      </w:r>
    </w:p>
    <w:p w14:paraId="061DB225" w14:textId="637C1DA1" w:rsidR="00051AAA" w:rsidRPr="00D85E09" w:rsidRDefault="00051AAA" w:rsidP="0043316B">
      <w:pPr>
        <w:widowControl w:val="0"/>
        <w:rPr>
          <w:rFonts w:eastAsia="ScalaLancetPro"/>
        </w:rPr>
      </w:pPr>
      <w:r w:rsidRPr="00D85E09">
        <w:rPr>
          <w:rFonts w:eastAsia="ScalaLancetPro"/>
        </w:rPr>
        <w:lastRenderedPageBreak/>
        <w:t xml:space="preserve">It should also be noted that </w:t>
      </w:r>
      <w:r w:rsidR="001F6D5D" w:rsidRPr="00D85E09">
        <w:rPr>
          <w:rFonts w:eastAsia="ScalaLancetPro"/>
        </w:rPr>
        <w:t xml:space="preserve">one </w:t>
      </w:r>
      <w:r w:rsidRPr="00D85E09">
        <w:rPr>
          <w:rFonts w:eastAsia="ScalaLancetPro"/>
        </w:rPr>
        <w:t>of the included s</w:t>
      </w:r>
      <w:r w:rsidR="00E25DE4" w:rsidRPr="00D85E09">
        <w:rPr>
          <w:rFonts w:eastAsia="ScalaLancetPro"/>
        </w:rPr>
        <w:t xml:space="preserve">tudies (REVASCAT) </w:t>
      </w:r>
      <w:r w:rsidR="001F6D5D" w:rsidRPr="00D85E09">
        <w:rPr>
          <w:rFonts w:eastAsia="ScalaLancetPro"/>
        </w:rPr>
        <w:t xml:space="preserve">included patients who did not respond to or were contraindicated to </w:t>
      </w:r>
      <w:r w:rsidRPr="00D85E09">
        <w:rPr>
          <w:rFonts w:eastAsia="ScalaLancetPro"/>
        </w:rPr>
        <w:t xml:space="preserve">V tPA. As such, patients enrolled in the </w:t>
      </w:r>
      <w:r w:rsidR="004068B2" w:rsidRPr="00D85E09">
        <w:rPr>
          <w:rFonts w:eastAsia="ScalaLancetPro"/>
        </w:rPr>
        <w:t>control</w:t>
      </w:r>
      <w:r w:rsidRPr="00D85E09">
        <w:rPr>
          <w:rFonts w:eastAsia="ScalaLancetPro"/>
        </w:rPr>
        <w:t xml:space="preserve"> arm of th</w:t>
      </w:r>
      <w:r w:rsidR="001F6D5D" w:rsidRPr="00D85E09">
        <w:rPr>
          <w:rFonts w:eastAsia="ScalaLancetPro"/>
        </w:rPr>
        <w:t>is</w:t>
      </w:r>
      <w:r w:rsidRPr="00D85E09">
        <w:rPr>
          <w:rFonts w:eastAsia="ScalaLancetPro"/>
        </w:rPr>
        <w:t xml:space="preserve"> studies were essentially “refractory” to </w:t>
      </w:r>
      <w:r w:rsidR="008E6A38" w:rsidRPr="00D85E09">
        <w:rPr>
          <w:rFonts w:eastAsia="ScalaLancetPro"/>
        </w:rPr>
        <w:t>IV</w:t>
      </w:r>
      <w:r w:rsidR="00D32933" w:rsidRPr="00D85E09">
        <w:rPr>
          <w:rFonts w:eastAsia="ScalaLancetPro"/>
        </w:rPr>
        <w:t>-</w:t>
      </w:r>
      <w:r w:rsidR="008E6A38" w:rsidRPr="00D85E09">
        <w:rPr>
          <w:rFonts w:eastAsia="ScalaLancetPro"/>
        </w:rPr>
        <w:t>tPA</w:t>
      </w:r>
      <w:r w:rsidR="004068B2" w:rsidRPr="00D85E09">
        <w:rPr>
          <w:rFonts w:eastAsia="ScalaLancetPro"/>
        </w:rPr>
        <w:t>, with very low rates of good outcomes</w:t>
      </w:r>
      <w:r w:rsidRPr="00D85E09">
        <w:rPr>
          <w:rFonts w:eastAsia="ScalaLancetPro"/>
        </w:rPr>
        <w:t xml:space="preserve">. </w:t>
      </w:r>
      <w:r w:rsidR="00A2081E" w:rsidRPr="00D85E09">
        <w:rPr>
          <w:rFonts w:eastAsia="ScalaLancetPro"/>
        </w:rPr>
        <w:t>In effect t</w:t>
      </w:r>
      <w:r w:rsidR="004068B2" w:rsidRPr="00D85E09">
        <w:rPr>
          <w:rFonts w:eastAsia="ScalaLancetPro"/>
        </w:rPr>
        <w:t xml:space="preserve">his approach </w:t>
      </w:r>
      <w:r w:rsidR="00A2081E" w:rsidRPr="00D85E09">
        <w:rPr>
          <w:rFonts w:eastAsia="ScalaLancetPro"/>
        </w:rPr>
        <w:t xml:space="preserve">considers whether its possible to </w:t>
      </w:r>
      <w:r w:rsidRPr="00D85E09">
        <w:rPr>
          <w:rFonts w:eastAsia="ScalaLancetPro"/>
        </w:rPr>
        <w:t>minimise unnecessary treatment with MT</w:t>
      </w:r>
      <w:r w:rsidR="009B69C4" w:rsidRPr="00D85E09">
        <w:rPr>
          <w:rFonts w:eastAsia="ScalaLancetPro"/>
        </w:rPr>
        <w:t xml:space="preserve"> (i.e. determine whether patient responds to IV</w:t>
      </w:r>
      <w:r w:rsidR="00D32933" w:rsidRPr="00D85E09">
        <w:rPr>
          <w:rFonts w:eastAsia="ScalaLancetPro"/>
        </w:rPr>
        <w:t>-</w:t>
      </w:r>
      <w:r w:rsidR="009B69C4" w:rsidRPr="00D85E09">
        <w:rPr>
          <w:rFonts w:eastAsia="ScalaLancetPro"/>
        </w:rPr>
        <w:t>tPA before deciding whether MT is necessary)</w:t>
      </w:r>
      <w:r w:rsidR="001F6D5D" w:rsidRPr="00D85E09">
        <w:rPr>
          <w:rFonts w:eastAsia="ScalaLancetPro"/>
        </w:rPr>
        <w:t>. H</w:t>
      </w:r>
      <w:r w:rsidR="004068B2" w:rsidRPr="00D85E09">
        <w:rPr>
          <w:rFonts w:eastAsia="ScalaLancetPro"/>
        </w:rPr>
        <w:t xml:space="preserve">owever, </w:t>
      </w:r>
      <w:r w:rsidR="001F6D5D" w:rsidRPr="00D85E09">
        <w:rPr>
          <w:rFonts w:eastAsia="ScalaLancetPro"/>
        </w:rPr>
        <w:t xml:space="preserve">this approach </w:t>
      </w:r>
      <w:r w:rsidRPr="00D85E09">
        <w:rPr>
          <w:rFonts w:eastAsia="ScalaLancetPro"/>
        </w:rPr>
        <w:t>can also cause critical delays in the time to reperfusion</w:t>
      </w:r>
      <w:r w:rsidR="004068B2" w:rsidRPr="00D85E09">
        <w:rPr>
          <w:rFonts w:eastAsia="ScalaLancetPro"/>
        </w:rPr>
        <w:t xml:space="preserve"> (Lee and Demchuk, 2015)</w:t>
      </w:r>
      <w:r w:rsidRPr="00D85E09">
        <w:rPr>
          <w:rFonts w:eastAsia="ScalaLancetPro"/>
        </w:rPr>
        <w:t xml:space="preserve">. On this basis, clinical practice guidelines specifically recommend </w:t>
      </w:r>
      <w:r w:rsidR="00F54A2F" w:rsidRPr="00D85E09">
        <w:rPr>
          <w:rFonts w:eastAsia="ScalaLancetPro"/>
          <w:i/>
        </w:rPr>
        <w:t xml:space="preserve">“observing patients after intravenous r-tPA to assess for clinical response before pursuing endovascular therapy is not required to achieve beneficial outcomes and is not recommended. (Class III; Level of Evidence B-R)” </w:t>
      </w:r>
      <w:r w:rsidRPr="00D85E09">
        <w:rPr>
          <w:rFonts w:eastAsia="ScalaLancetPro"/>
        </w:rPr>
        <w:t>(Powers et al, 2015).</w:t>
      </w:r>
    </w:p>
    <w:p w14:paraId="3C47E76B" w14:textId="1FD2377C" w:rsidR="00051AAA" w:rsidRPr="00D85E09" w:rsidRDefault="00051AAA" w:rsidP="0043316B">
      <w:pPr>
        <w:pStyle w:val="Heading6"/>
        <w:widowControl w:val="0"/>
        <w:rPr>
          <w:lang w:val="en-AU"/>
        </w:rPr>
      </w:pPr>
      <w:r w:rsidRPr="00D85E09">
        <w:rPr>
          <w:lang w:val="en-AU"/>
        </w:rPr>
        <w:t xml:space="preserve">Eligibility for </w:t>
      </w:r>
      <w:r w:rsidR="008E6A38" w:rsidRPr="00D85E09">
        <w:rPr>
          <w:lang w:val="en-AU"/>
        </w:rPr>
        <w:t>IV</w:t>
      </w:r>
      <w:r w:rsidR="00D32933" w:rsidRPr="00D85E09">
        <w:rPr>
          <w:lang w:val="en-AU"/>
        </w:rPr>
        <w:t>-</w:t>
      </w:r>
      <w:r w:rsidR="008E6A38" w:rsidRPr="00D85E09">
        <w:rPr>
          <w:lang w:val="en-AU"/>
        </w:rPr>
        <w:t>tPA</w:t>
      </w:r>
    </w:p>
    <w:p w14:paraId="2D85D3A2" w14:textId="6BB5B49D" w:rsidR="00051AAA" w:rsidRPr="00D85E09" w:rsidRDefault="00051AAA" w:rsidP="0043316B">
      <w:pPr>
        <w:widowControl w:val="0"/>
        <w:rPr>
          <w:rFonts w:eastAsia="ScalaLancetPro"/>
        </w:rPr>
      </w:pPr>
      <w:r w:rsidRPr="00D85E09">
        <w:rPr>
          <w:rFonts w:eastAsia="ScalaLancetPro"/>
        </w:rPr>
        <w:t>Finally, the IPD analysis provides the best available evidence for the relative efficacy of MT in patients that did and did not receive IV</w:t>
      </w:r>
      <w:r w:rsidR="00D32933" w:rsidRPr="00D85E09">
        <w:rPr>
          <w:rFonts w:eastAsia="ScalaLancetPro"/>
        </w:rPr>
        <w:t>-</w:t>
      </w:r>
      <w:r w:rsidR="008E6A38" w:rsidRPr="00D85E09">
        <w:rPr>
          <w:rFonts w:eastAsia="ScalaLancetPro"/>
        </w:rPr>
        <w:t>tPA</w:t>
      </w:r>
      <w:r w:rsidRPr="00D85E09">
        <w:rPr>
          <w:rFonts w:eastAsia="ScalaLancetPro"/>
        </w:rPr>
        <w:t>. Whilst four of the five RCTs included in the meta-analysis enrolled some patients that were ineligible for treatment with IV</w:t>
      </w:r>
      <w:r w:rsidR="00D32933" w:rsidRPr="00D85E09">
        <w:rPr>
          <w:rFonts w:eastAsia="ScalaLancetPro"/>
        </w:rPr>
        <w:t>-</w:t>
      </w:r>
      <w:r w:rsidRPr="00D85E09">
        <w:rPr>
          <w:rFonts w:eastAsia="ScalaLancetPro"/>
        </w:rPr>
        <w:t xml:space="preserve">tPA (SWIFT PRIME, MR CLEAN, ESCAPE and REVASCAT), individually they were not sufficiently powered to assess the benefit of endovascular therapy in this subgroup. By comparison, the IPD meta-analysis of 188 </w:t>
      </w:r>
      <w:r w:rsidR="008E6A38" w:rsidRPr="00D85E09">
        <w:rPr>
          <w:rFonts w:eastAsia="ScalaLancetPro"/>
        </w:rPr>
        <w:t>IV</w:t>
      </w:r>
      <w:r w:rsidR="00D32933" w:rsidRPr="00D85E09">
        <w:rPr>
          <w:rFonts w:eastAsia="ScalaLancetPro"/>
        </w:rPr>
        <w:t>-</w:t>
      </w:r>
      <w:r w:rsidR="008E6A38" w:rsidRPr="00D85E09">
        <w:rPr>
          <w:rFonts w:eastAsia="ScalaLancetPro"/>
        </w:rPr>
        <w:t xml:space="preserve">tPA </w:t>
      </w:r>
      <w:r w:rsidRPr="00D85E09">
        <w:rPr>
          <w:rFonts w:eastAsia="ScalaLancetPro"/>
        </w:rPr>
        <w:t>ineligible patients showed a statistically significant benefit in this group of patients, with a similar effect size to that of the ITT population. On the basis of these data, the authors conclude “</w:t>
      </w:r>
      <w:r w:rsidRPr="00D85E09">
        <w:rPr>
          <w:rFonts w:eastAsia="ScalaLancetPro"/>
          <w:i/>
        </w:rPr>
        <w:t>this finding does not mean that alteplase should be withheld before thrombectomy in alteplase-eligible patients. Rather, endovascular reperfusion should be pursued for LVO AIS, irrespective of eligibility for alteplase</w:t>
      </w:r>
      <w:r w:rsidRPr="00D85E09">
        <w:rPr>
          <w:rFonts w:eastAsia="ScalaLancetPro"/>
        </w:rPr>
        <w:t>” (Goyal et al, 2016).</w:t>
      </w:r>
    </w:p>
    <w:p w14:paraId="0214A694" w14:textId="00CD823E" w:rsidR="00181227" w:rsidRDefault="00051AAA" w:rsidP="0043316B">
      <w:pPr>
        <w:widowControl w:val="0"/>
      </w:pPr>
      <w:r w:rsidRPr="00D85E09">
        <w:rPr>
          <w:rFonts w:eastAsia="ScalaLancetPro"/>
        </w:rPr>
        <w:fldChar w:fldCharType="begin"/>
      </w:r>
      <w:r w:rsidRPr="00D85E09">
        <w:rPr>
          <w:rFonts w:eastAsia="ScalaLancetPro"/>
        </w:rPr>
        <w:instrText xml:space="preserve"> REF _Ref447120003 \h </w:instrText>
      </w:r>
      <w:r w:rsidRPr="00D85E09">
        <w:rPr>
          <w:rFonts w:eastAsia="ScalaLancetPro"/>
        </w:rPr>
      </w:r>
      <w:r w:rsidRPr="00D85E09">
        <w:rPr>
          <w:rFonts w:eastAsia="ScalaLancetPro"/>
        </w:rPr>
        <w:fldChar w:fldCharType="separate"/>
      </w:r>
      <w:r w:rsidR="00A456ED" w:rsidRPr="00D85E09">
        <w:t xml:space="preserve">Figure </w:t>
      </w:r>
      <w:r w:rsidR="00A456ED">
        <w:rPr>
          <w:noProof/>
        </w:rPr>
        <w:t>11</w:t>
      </w:r>
      <w:r w:rsidRPr="00D85E09">
        <w:rPr>
          <w:rFonts w:eastAsia="ScalaLancetPro"/>
        </w:rPr>
        <w:fldChar w:fldCharType="end"/>
      </w:r>
      <w:r w:rsidRPr="00D85E09">
        <w:rPr>
          <w:rFonts w:eastAsia="ScalaLancetPro"/>
        </w:rPr>
        <w:t xml:space="preserve"> presents the distribution of scores on the mRS after 90 days for patients that were eligible or ineligible for </w:t>
      </w:r>
      <w:r w:rsidR="008E6A38" w:rsidRPr="00D85E09">
        <w:rPr>
          <w:rFonts w:eastAsia="ScalaLancetPro"/>
        </w:rPr>
        <w:t>IV</w:t>
      </w:r>
      <w:r w:rsidR="00D32933" w:rsidRPr="00D85E09">
        <w:rPr>
          <w:rFonts w:eastAsia="ScalaLancetPro"/>
        </w:rPr>
        <w:t>-</w:t>
      </w:r>
      <w:r w:rsidR="008E6A38" w:rsidRPr="00D85E09">
        <w:rPr>
          <w:rFonts w:eastAsia="ScalaLancetPro"/>
        </w:rPr>
        <w:t>tPA</w:t>
      </w:r>
      <w:r w:rsidRPr="00D85E09">
        <w:rPr>
          <w:rFonts w:eastAsia="ScalaLancetPro"/>
        </w:rPr>
        <w:t xml:space="preserve">. Notably there are differences between the control arms of the two groups, suggesting that ineligibility for </w:t>
      </w:r>
      <w:r w:rsidR="008E6A38" w:rsidRPr="00D85E09">
        <w:rPr>
          <w:rFonts w:eastAsia="ScalaLancetPro"/>
        </w:rPr>
        <w:t>IV</w:t>
      </w:r>
      <w:r w:rsidR="00D32933" w:rsidRPr="00D85E09">
        <w:rPr>
          <w:rFonts w:eastAsia="ScalaLancetPro"/>
        </w:rPr>
        <w:t>-</w:t>
      </w:r>
      <w:r w:rsidR="008E6A38" w:rsidRPr="00D85E09">
        <w:rPr>
          <w:rFonts w:eastAsia="ScalaLancetPro"/>
        </w:rPr>
        <w:t xml:space="preserve">tPA </w:t>
      </w:r>
      <w:r w:rsidRPr="00D85E09">
        <w:rPr>
          <w:rFonts w:eastAsia="ScalaLancetPro"/>
        </w:rPr>
        <w:t xml:space="preserve">is a risk factor for a very poor outcome (mRS 5-6). However, in both populations, the intervention results in a higher proportion of patients who are functionally independent, with mRS scores of 0-2. As discussed above, this translates to similar odds of an </w:t>
      </w:r>
      <w:r w:rsidRPr="00D85E09">
        <w:t>improvement of 1 or more points on the mRS in a shift analysis.</w:t>
      </w:r>
      <w:r w:rsidR="00181227">
        <w:br w:type="page"/>
      </w:r>
    </w:p>
    <w:p w14:paraId="6D471C22" w14:textId="0F8A58DA" w:rsidR="00051AAA" w:rsidRPr="00D85E09" w:rsidRDefault="00051AAA" w:rsidP="0043316B">
      <w:pPr>
        <w:pStyle w:val="Caption"/>
        <w:keepNext w:val="0"/>
        <w:widowControl w:val="0"/>
        <w:rPr>
          <w:lang w:val="en-AU"/>
        </w:rPr>
      </w:pPr>
      <w:bookmarkStart w:id="374" w:name="_Ref447120003"/>
      <w:bookmarkStart w:id="375" w:name="_Toc453065458"/>
      <w:r w:rsidRPr="00D85E09">
        <w:rPr>
          <w:lang w:val="en-AU"/>
        </w:rPr>
        <w:lastRenderedPageBreak/>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11</w:t>
      </w:r>
      <w:r w:rsidRPr="00D85E09">
        <w:rPr>
          <w:lang w:val="en-AU"/>
        </w:rPr>
        <w:fldChar w:fldCharType="end"/>
      </w:r>
      <w:bookmarkEnd w:id="374"/>
      <w:r w:rsidRPr="00D85E09">
        <w:rPr>
          <w:lang w:val="en-AU"/>
        </w:rPr>
        <w:tab/>
        <w:t>Distribution of scores on the mRS by eligibility for alteplase</w:t>
      </w:r>
      <w:bookmarkEnd w:id="375"/>
    </w:p>
    <w:p w14:paraId="5C0F302D" w14:textId="77777777" w:rsidR="00051AAA" w:rsidRPr="00D85E09" w:rsidRDefault="00051AAA" w:rsidP="0043316B">
      <w:pPr>
        <w:widowControl w:val="0"/>
        <w:spacing w:after="0"/>
      </w:pPr>
      <w:r w:rsidRPr="00D85E09">
        <w:rPr>
          <w:lang w:eastAsia="en-AU"/>
        </w:rPr>
        <w:t xml:space="preserve"> </w:t>
      </w:r>
      <w:r w:rsidRPr="00D85E09">
        <w:rPr>
          <w:noProof/>
          <w:lang w:eastAsia="en-AU"/>
        </w:rPr>
        <w:drawing>
          <wp:inline distT="0" distB="0" distL="0" distR="0" wp14:anchorId="1720BBD7" wp14:editId="566C5E8C">
            <wp:extent cx="2533650" cy="276225"/>
            <wp:effectExtent l="0" t="0" r="0" b="9525"/>
            <wp:docPr id="15" name="Picture 15" descr="Distribution of scores on the mRS by eligibility for altep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33650" cy="276225"/>
                    </a:xfrm>
                    <a:prstGeom prst="rect">
                      <a:avLst/>
                    </a:prstGeom>
                  </pic:spPr>
                </pic:pic>
              </a:graphicData>
            </a:graphic>
          </wp:inline>
        </w:drawing>
      </w:r>
      <w:r w:rsidRPr="00D85E09">
        <w:rPr>
          <w:noProof/>
          <w:lang w:eastAsia="en-AU"/>
        </w:rPr>
        <w:drawing>
          <wp:inline distT="0" distB="0" distL="0" distR="0" wp14:anchorId="7C99DD7D" wp14:editId="4B87D57A">
            <wp:extent cx="5562600" cy="2695575"/>
            <wp:effectExtent l="0" t="0" r="0" b="9525"/>
            <wp:docPr id="16" name="Picture 16" descr="Diagram shows ineligible for alteplase and received altep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62600" cy="2695575"/>
                    </a:xfrm>
                    <a:prstGeom prst="rect">
                      <a:avLst/>
                    </a:prstGeom>
                  </pic:spPr>
                </pic:pic>
              </a:graphicData>
            </a:graphic>
          </wp:inline>
        </w:drawing>
      </w:r>
    </w:p>
    <w:p w14:paraId="4DB80770" w14:textId="77777777" w:rsidR="00051AAA" w:rsidRPr="00D85E09" w:rsidRDefault="00051AAA" w:rsidP="0043316B">
      <w:pPr>
        <w:pStyle w:val="Tablefootnote"/>
        <w:widowControl w:val="0"/>
        <w:spacing w:before="0" w:after="0"/>
        <w:rPr>
          <w:lang w:val="en-AU"/>
        </w:rPr>
      </w:pPr>
      <w:r w:rsidRPr="00D85E09">
        <w:rPr>
          <w:lang w:val="en-AU"/>
        </w:rPr>
        <w:t>Abbreviations: mRS, modified Rankin Scale</w:t>
      </w:r>
    </w:p>
    <w:p w14:paraId="28022C68" w14:textId="77777777" w:rsidR="00051AAA" w:rsidRPr="00D85E09" w:rsidRDefault="00051AAA" w:rsidP="0043316B">
      <w:pPr>
        <w:pStyle w:val="Tablefootnote"/>
        <w:widowControl w:val="0"/>
        <w:spacing w:after="360"/>
        <w:rPr>
          <w:lang w:val="en-AU"/>
        </w:rPr>
      </w:pPr>
      <w:r w:rsidRPr="00D85E09">
        <w:rPr>
          <w:lang w:val="en-AU"/>
        </w:rPr>
        <w:t>Source: Goyal et al (2016); Figure 1</w:t>
      </w:r>
    </w:p>
    <w:p w14:paraId="766E47A7" w14:textId="7E6F1A99" w:rsidR="002431C2" w:rsidRDefault="00051AAA" w:rsidP="0043316B">
      <w:pPr>
        <w:widowControl w:val="0"/>
      </w:pPr>
      <w:r w:rsidRPr="00D85E09">
        <w:t>The results reported in the IPD meta-analysis are supported by evidence from observational studies and registries. The Solitaire Flow Restoration Thrombectomy for Acute Revascularization (STAR) study was an international, prospective, single-arm study of MT in patients with large vessel anterior circulation strokes treated within 8 hours of symptom onset (Pereira et al, 2013). The study included a substantial proportion (41%) of patients who were treated directly with MT, i.e. without IV</w:t>
      </w:r>
      <w:r w:rsidR="00D32933" w:rsidRPr="00D85E09">
        <w:t>-</w:t>
      </w:r>
      <w:r w:rsidRPr="00D85E09">
        <w:t>tPA. At some study sites, primary inclusion of patients to thrombectom</w:t>
      </w:r>
      <w:r w:rsidR="00F349F0" w:rsidRPr="00D85E09">
        <w:t>y, despite eligibility for IV</w:t>
      </w:r>
      <w:r w:rsidR="00D32933" w:rsidRPr="00D85E09">
        <w:t>-</w:t>
      </w:r>
      <w:r w:rsidR="00F349F0" w:rsidRPr="00D85E09">
        <w:t>t</w:t>
      </w:r>
      <w:r w:rsidRPr="00D85E09">
        <w:t xml:space="preserve">PA, was performed on the basis of local standard stroke treatment protocol. The primary end point was the revascularization rate (thrombolysis in cerebral infarction ≥2b) of the occluded vessel as determined by an independent core laboratory. The secondary end point was the rate of good functional outcome (defined as 90-day modified Rankin scale, 0–2). These results, presented in </w:t>
      </w:r>
      <w:r w:rsidRPr="00D85E09">
        <w:fldChar w:fldCharType="begin"/>
      </w:r>
      <w:r w:rsidRPr="00D85E09">
        <w:instrText xml:space="preserve"> REF _Ref447121408 \h </w:instrText>
      </w:r>
      <w:r w:rsidRPr="00D85E09">
        <w:fldChar w:fldCharType="separate"/>
      </w:r>
      <w:r w:rsidR="00A456ED" w:rsidRPr="00D85E09">
        <w:t xml:space="preserve">Table </w:t>
      </w:r>
      <w:r w:rsidR="00A456ED">
        <w:rPr>
          <w:noProof/>
        </w:rPr>
        <w:t>43</w:t>
      </w:r>
      <w:r w:rsidRPr="00D85E09">
        <w:fldChar w:fldCharType="end"/>
      </w:r>
      <w:r w:rsidRPr="00D85E09">
        <w:t xml:space="preserve"> below, also show similar overall rates of efficacy in patients who received MT plus IV</w:t>
      </w:r>
      <w:r w:rsidR="00D32933" w:rsidRPr="00D85E09">
        <w:t>-</w:t>
      </w:r>
      <w:r w:rsidRPr="00D85E09">
        <w:t>tPA, and MT alone. The overall rates of functional independence at 90 days are slightly higher than those observed in the ITT population of the IPD meta-analysis (57.9% vs. 46%).</w:t>
      </w:r>
      <w:r w:rsidR="002431C2">
        <w:br w:type="page"/>
      </w:r>
    </w:p>
    <w:p w14:paraId="7FBFC282" w14:textId="34DD92E0" w:rsidR="00051AAA" w:rsidRPr="00D85E09" w:rsidRDefault="00051AAA" w:rsidP="0043316B">
      <w:pPr>
        <w:pStyle w:val="Caption"/>
        <w:keepNext w:val="0"/>
        <w:widowControl w:val="0"/>
        <w:rPr>
          <w:lang w:val="en-AU"/>
        </w:rPr>
      </w:pPr>
      <w:bookmarkStart w:id="376" w:name="_Ref447121408"/>
      <w:bookmarkStart w:id="377" w:name="_Toc453065379"/>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43</w:t>
      </w:r>
      <w:r w:rsidRPr="00D85E09">
        <w:rPr>
          <w:lang w:val="en-AU"/>
        </w:rPr>
        <w:fldChar w:fldCharType="end"/>
      </w:r>
      <w:bookmarkEnd w:id="376"/>
      <w:r w:rsidRPr="00D85E09">
        <w:rPr>
          <w:lang w:val="en-AU"/>
        </w:rPr>
        <w:tab/>
        <w:t>Efficacy outcomes from STAR study</w:t>
      </w:r>
      <w:bookmarkEnd w:id="377"/>
    </w:p>
    <w:tbl>
      <w:tblPr>
        <w:tblStyle w:val="TableGrid"/>
        <w:tblW w:w="5000" w:type="pct"/>
        <w:tblCellMar>
          <w:left w:w="57" w:type="dxa"/>
          <w:right w:w="57" w:type="dxa"/>
        </w:tblCellMar>
        <w:tblLook w:val="04A0" w:firstRow="1" w:lastRow="0" w:firstColumn="1" w:lastColumn="0" w:noHBand="0" w:noVBand="1"/>
        <w:tblDescription w:val="Table 43. Efficacy outcomes from STAR study"/>
      </w:tblPr>
      <w:tblGrid>
        <w:gridCol w:w="2387"/>
        <w:gridCol w:w="1633"/>
        <w:gridCol w:w="1633"/>
        <w:gridCol w:w="1634"/>
        <w:gridCol w:w="1615"/>
      </w:tblGrid>
      <w:tr w:rsidR="00051AAA" w:rsidRPr="00D85E09" w14:paraId="373DFEEF" w14:textId="77777777" w:rsidTr="00BE6331">
        <w:trPr>
          <w:tblHeader/>
        </w:trPr>
        <w:tc>
          <w:tcPr>
            <w:tcW w:w="1341" w:type="pct"/>
            <w:tcBorders>
              <w:bottom w:val="single" w:sz="4" w:space="0" w:color="000000"/>
            </w:tcBorders>
          </w:tcPr>
          <w:p w14:paraId="7A95E431" w14:textId="77777777" w:rsidR="00051AAA" w:rsidRPr="00D85E09" w:rsidRDefault="00051AAA" w:rsidP="0043316B">
            <w:pPr>
              <w:pStyle w:val="Tabletext"/>
              <w:keepNext w:val="0"/>
              <w:widowControl w:val="0"/>
              <w:rPr>
                <w:b/>
              </w:rPr>
            </w:pPr>
            <w:r w:rsidRPr="00D85E09">
              <w:rPr>
                <w:b/>
              </w:rPr>
              <w:t>Outcome</w:t>
            </w:r>
          </w:p>
        </w:tc>
        <w:tc>
          <w:tcPr>
            <w:tcW w:w="917" w:type="pct"/>
            <w:tcBorders>
              <w:bottom w:val="single" w:sz="4" w:space="0" w:color="000000"/>
            </w:tcBorders>
          </w:tcPr>
          <w:p w14:paraId="63602C73" w14:textId="77777777" w:rsidR="00051AAA" w:rsidRPr="00D85E09" w:rsidRDefault="00051AAA" w:rsidP="0043316B">
            <w:pPr>
              <w:pStyle w:val="Tabletext"/>
              <w:keepNext w:val="0"/>
              <w:widowControl w:val="0"/>
              <w:jc w:val="center"/>
              <w:rPr>
                <w:b/>
              </w:rPr>
            </w:pPr>
            <w:r w:rsidRPr="00D85E09">
              <w:rPr>
                <w:b/>
              </w:rPr>
              <w:t>ITT (n/N)</w:t>
            </w:r>
          </w:p>
        </w:tc>
        <w:tc>
          <w:tcPr>
            <w:tcW w:w="917" w:type="pct"/>
            <w:tcBorders>
              <w:bottom w:val="single" w:sz="4" w:space="0" w:color="000000"/>
            </w:tcBorders>
          </w:tcPr>
          <w:p w14:paraId="7B963355" w14:textId="6F32963C" w:rsidR="00051AAA" w:rsidRPr="00D85E09" w:rsidRDefault="00F349F0" w:rsidP="0043316B">
            <w:pPr>
              <w:pStyle w:val="Tabletext"/>
              <w:keepNext w:val="0"/>
              <w:widowControl w:val="0"/>
              <w:jc w:val="center"/>
              <w:rPr>
                <w:b/>
              </w:rPr>
            </w:pPr>
            <w:r w:rsidRPr="00D85E09">
              <w:rPr>
                <w:b/>
              </w:rPr>
              <w:t>MT + IV</w:t>
            </w:r>
            <w:r w:rsidR="00D32933" w:rsidRPr="00D85E09">
              <w:rPr>
                <w:b/>
              </w:rPr>
              <w:t>-</w:t>
            </w:r>
            <w:r w:rsidRPr="00D85E09">
              <w:rPr>
                <w:b/>
              </w:rPr>
              <w:t>t</w:t>
            </w:r>
            <w:r w:rsidR="00051AAA" w:rsidRPr="00D85E09">
              <w:rPr>
                <w:b/>
              </w:rPr>
              <w:t>PA (n/N)</w:t>
            </w:r>
          </w:p>
        </w:tc>
        <w:tc>
          <w:tcPr>
            <w:tcW w:w="918" w:type="pct"/>
            <w:tcBorders>
              <w:bottom w:val="single" w:sz="4" w:space="0" w:color="000000"/>
            </w:tcBorders>
          </w:tcPr>
          <w:p w14:paraId="4C3C31E0" w14:textId="77777777" w:rsidR="00051AAA" w:rsidRPr="00D85E09" w:rsidRDefault="00051AAA" w:rsidP="0043316B">
            <w:pPr>
              <w:pStyle w:val="Tabletext"/>
              <w:keepNext w:val="0"/>
              <w:widowControl w:val="0"/>
              <w:jc w:val="center"/>
              <w:rPr>
                <w:b/>
              </w:rPr>
            </w:pPr>
            <w:r w:rsidRPr="00D85E09">
              <w:rPr>
                <w:b/>
              </w:rPr>
              <w:t>MT (n/N)</w:t>
            </w:r>
          </w:p>
        </w:tc>
        <w:tc>
          <w:tcPr>
            <w:tcW w:w="907" w:type="pct"/>
            <w:tcBorders>
              <w:bottom w:val="single" w:sz="4" w:space="0" w:color="000000"/>
            </w:tcBorders>
          </w:tcPr>
          <w:p w14:paraId="3C522ABA" w14:textId="77777777" w:rsidR="00051AAA" w:rsidRPr="00D85E09" w:rsidRDefault="00051AAA" w:rsidP="0043316B">
            <w:pPr>
              <w:pStyle w:val="Tabletext"/>
              <w:keepNext w:val="0"/>
              <w:widowControl w:val="0"/>
              <w:jc w:val="center"/>
              <w:rPr>
                <w:b/>
              </w:rPr>
            </w:pPr>
            <w:r w:rsidRPr="00D85E09">
              <w:rPr>
                <w:b/>
              </w:rPr>
              <w:t>p-value</w:t>
            </w:r>
          </w:p>
        </w:tc>
      </w:tr>
      <w:tr w:rsidR="00051AAA" w:rsidRPr="00D85E09" w14:paraId="4F822CC2" w14:textId="77777777" w:rsidTr="00051AAA">
        <w:tc>
          <w:tcPr>
            <w:tcW w:w="1341" w:type="pct"/>
            <w:tcBorders>
              <w:bottom w:val="nil"/>
            </w:tcBorders>
          </w:tcPr>
          <w:p w14:paraId="6069D6BD" w14:textId="77777777" w:rsidR="00051AAA" w:rsidRPr="00D85E09" w:rsidRDefault="00051AAA" w:rsidP="0043316B">
            <w:pPr>
              <w:pStyle w:val="Tabletext"/>
              <w:keepNext w:val="0"/>
              <w:widowControl w:val="0"/>
            </w:pPr>
            <w:r w:rsidRPr="00D85E09">
              <w:t xml:space="preserve">TICI revascularisation </w:t>
            </w:r>
          </w:p>
        </w:tc>
        <w:tc>
          <w:tcPr>
            <w:tcW w:w="917" w:type="pct"/>
            <w:tcBorders>
              <w:bottom w:val="nil"/>
            </w:tcBorders>
          </w:tcPr>
          <w:p w14:paraId="575FE82D" w14:textId="77777777" w:rsidR="00051AAA" w:rsidRPr="00D85E09" w:rsidRDefault="00051AAA" w:rsidP="0043316B">
            <w:pPr>
              <w:pStyle w:val="Tabletext"/>
              <w:keepNext w:val="0"/>
              <w:widowControl w:val="0"/>
              <w:jc w:val="center"/>
            </w:pPr>
          </w:p>
        </w:tc>
        <w:tc>
          <w:tcPr>
            <w:tcW w:w="917" w:type="pct"/>
            <w:tcBorders>
              <w:bottom w:val="nil"/>
            </w:tcBorders>
          </w:tcPr>
          <w:p w14:paraId="155AE62F" w14:textId="77777777" w:rsidR="00051AAA" w:rsidRPr="00D85E09" w:rsidRDefault="00051AAA" w:rsidP="0043316B">
            <w:pPr>
              <w:pStyle w:val="Tabletext"/>
              <w:keepNext w:val="0"/>
              <w:widowControl w:val="0"/>
              <w:jc w:val="center"/>
            </w:pPr>
          </w:p>
        </w:tc>
        <w:tc>
          <w:tcPr>
            <w:tcW w:w="918" w:type="pct"/>
            <w:tcBorders>
              <w:bottom w:val="nil"/>
            </w:tcBorders>
          </w:tcPr>
          <w:p w14:paraId="5B3D58C3" w14:textId="77777777" w:rsidR="00051AAA" w:rsidRPr="00D85E09" w:rsidRDefault="00051AAA" w:rsidP="0043316B">
            <w:pPr>
              <w:pStyle w:val="Tabletext"/>
              <w:keepNext w:val="0"/>
              <w:widowControl w:val="0"/>
              <w:jc w:val="center"/>
            </w:pPr>
          </w:p>
        </w:tc>
        <w:tc>
          <w:tcPr>
            <w:tcW w:w="907" w:type="pct"/>
            <w:tcBorders>
              <w:bottom w:val="nil"/>
            </w:tcBorders>
          </w:tcPr>
          <w:p w14:paraId="5B8319D0" w14:textId="77777777" w:rsidR="00051AAA" w:rsidRPr="00D85E09" w:rsidRDefault="00051AAA" w:rsidP="0043316B">
            <w:pPr>
              <w:pStyle w:val="Tabletext"/>
              <w:keepNext w:val="0"/>
              <w:widowControl w:val="0"/>
              <w:jc w:val="center"/>
            </w:pPr>
          </w:p>
        </w:tc>
      </w:tr>
      <w:tr w:rsidR="00051AAA" w:rsidRPr="00D85E09" w14:paraId="3B5A3226" w14:textId="77777777" w:rsidTr="00051AAA">
        <w:tc>
          <w:tcPr>
            <w:tcW w:w="1341" w:type="pct"/>
            <w:tcBorders>
              <w:top w:val="nil"/>
              <w:bottom w:val="nil"/>
            </w:tcBorders>
          </w:tcPr>
          <w:p w14:paraId="4FFBF368" w14:textId="77777777" w:rsidR="00051AAA" w:rsidRPr="00D85E09" w:rsidRDefault="00051AAA" w:rsidP="0043316B">
            <w:pPr>
              <w:pStyle w:val="Tabletext"/>
              <w:keepNext w:val="0"/>
              <w:widowControl w:val="0"/>
              <w:ind w:left="284"/>
            </w:pPr>
            <w:r w:rsidRPr="00D85E09">
              <w:t>0</w:t>
            </w:r>
          </w:p>
        </w:tc>
        <w:tc>
          <w:tcPr>
            <w:tcW w:w="917" w:type="pct"/>
            <w:tcBorders>
              <w:top w:val="nil"/>
              <w:bottom w:val="nil"/>
            </w:tcBorders>
          </w:tcPr>
          <w:p w14:paraId="0FB5A9F6" w14:textId="77777777" w:rsidR="00051AAA" w:rsidRPr="00D85E09" w:rsidRDefault="00051AAA" w:rsidP="0043316B">
            <w:pPr>
              <w:pStyle w:val="Tabletext"/>
              <w:keepNext w:val="0"/>
              <w:widowControl w:val="0"/>
              <w:jc w:val="center"/>
            </w:pPr>
            <w:r w:rsidRPr="00D85E09">
              <w:t>4.7% (9/190)</w:t>
            </w:r>
          </w:p>
        </w:tc>
        <w:tc>
          <w:tcPr>
            <w:tcW w:w="917" w:type="pct"/>
            <w:tcBorders>
              <w:top w:val="nil"/>
              <w:bottom w:val="nil"/>
            </w:tcBorders>
          </w:tcPr>
          <w:p w14:paraId="4745F94A" w14:textId="77777777" w:rsidR="00051AAA" w:rsidRPr="00D85E09" w:rsidRDefault="00051AAA" w:rsidP="0043316B">
            <w:pPr>
              <w:pStyle w:val="Tabletext"/>
              <w:keepNext w:val="0"/>
              <w:widowControl w:val="0"/>
              <w:jc w:val="center"/>
            </w:pPr>
            <w:r w:rsidRPr="00D85E09">
              <w:t>4.5% (5/110)</w:t>
            </w:r>
          </w:p>
        </w:tc>
        <w:tc>
          <w:tcPr>
            <w:tcW w:w="918" w:type="pct"/>
            <w:tcBorders>
              <w:top w:val="nil"/>
              <w:bottom w:val="nil"/>
            </w:tcBorders>
          </w:tcPr>
          <w:p w14:paraId="62796B31" w14:textId="77777777" w:rsidR="00051AAA" w:rsidRPr="00D85E09" w:rsidRDefault="00051AAA" w:rsidP="0043316B">
            <w:pPr>
              <w:pStyle w:val="Tabletext"/>
              <w:keepNext w:val="0"/>
              <w:widowControl w:val="0"/>
              <w:jc w:val="center"/>
            </w:pPr>
            <w:r w:rsidRPr="00D85E09">
              <w:t>5.0% (4/80)</w:t>
            </w:r>
          </w:p>
        </w:tc>
        <w:tc>
          <w:tcPr>
            <w:tcW w:w="907" w:type="pct"/>
            <w:tcBorders>
              <w:top w:val="nil"/>
              <w:bottom w:val="nil"/>
            </w:tcBorders>
          </w:tcPr>
          <w:p w14:paraId="67121270" w14:textId="77777777" w:rsidR="00051AAA" w:rsidRPr="00D85E09" w:rsidRDefault="00051AAA" w:rsidP="0043316B">
            <w:pPr>
              <w:pStyle w:val="Tabletext"/>
              <w:keepNext w:val="0"/>
              <w:widowControl w:val="0"/>
              <w:jc w:val="center"/>
            </w:pPr>
            <w:r w:rsidRPr="00D85E09">
              <w:t>0.989</w:t>
            </w:r>
          </w:p>
        </w:tc>
      </w:tr>
      <w:tr w:rsidR="00051AAA" w:rsidRPr="00D85E09" w14:paraId="01065D05" w14:textId="77777777" w:rsidTr="00051AAA">
        <w:tc>
          <w:tcPr>
            <w:tcW w:w="1341" w:type="pct"/>
            <w:tcBorders>
              <w:top w:val="nil"/>
              <w:bottom w:val="nil"/>
            </w:tcBorders>
          </w:tcPr>
          <w:p w14:paraId="0E429F05" w14:textId="77777777" w:rsidR="00051AAA" w:rsidRPr="00D85E09" w:rsidRDefault="00051AAA" w:rsidP="0043316B">
            <w:pPr>
              <w:pStyle w:val="Tabletext"/>
              <w:keepNext w:val="0"/>
              <w:widowControl w:val="0"/>
              <w:ind w:left="284"/>
            </w:pPr>
            <w:r w:rsidRPr="00D85E09">
              <w:t>1</w:t>
            </w:r>
          </w:p>
        </w:tc>
        <w:tc>
          <w:tcPr>
            <w:tcW w:w="917" w:type="pct"/>
            <w:tcBorders>
              <w:top w:val="nil"/>
              <w:bottom w:val="nil"/>
            </w:tcBorders>
          </w:tcPr>
          <w:p w14:paraId="2CDB33AC" w14:textId="77777777" w:rsidR="00051AAA" w:rsidRPr="00D85E09" w:rsidRDefault="00051AAA" w:rsidP="0043316B">
            <w:pPr>
              <w:pStyle w:val="Tabletext"/>
              <w:keepNext w:val="0"/>
              <w:widowControl w:val="0"/>
              <w:jc w:val="center"/>
            </w:pPr>
            <w:r w:rsidRPr="00D85E09">
              <w:t>0.5% (1/190)</w:t>
            </w:r>
          </w:p>
        </w:tc>
        <w:tc>
          <w:tcPr>
            <w:tcW w:w="917" w:type="pct"/>
            <w:tcBorders>
              <w:top w:val="nil"/>
              <w:bottom w:val="nil"/>
            </w:tcBorders>
          </w:tcPr>
          <w:p w14:paraId="705A1171" w14:textId="77777777" w:rsidR="00051AAA" w:rsidRPr="00D85E09" w:rsidRDefault="00051AAA" w:rsidP="0043316B">
            <w:pPr>
              <w:pStyle w:val="Tabletext"/>
              <w:keepNext w:val="0"/>
              <w:widowControl w:val="0"/>
              <w:jc w:val="center"/>
            </w:pPr>
            <w:r w:rsidRPr="00D85E09">
              <w:t>0.9% (1/110)</w:t>
            </w:r>
          </w:p>
        </w:tc>
        <w:tc>
          <w:tcPr>
            <w:tcW w:w="918" w:type="pct"/>
            <w:tcBorders>
              <w:top w:val="nil"/>
              <w:bottom w:val="nil"/>
            </w:tcBorders>
          </w:tcPr>
          <w:p w14:paraId="4A5C1296" w14:textId="77777777" w:rsidR="00051AAA" w:rsidRPr="00D85E09" w:rsidRDefault="00051AAA" w:rsidP="0043316B">
            <w:pPr>
              <w:pStyle w:val="Tabletext"/>
              <w:keepNext w:val="0"/>
              <w:widowControl w:val="0"/>
              <w:jc w:val="center"/>
            </w:pPr>
            <w:r w:rsidRPr="00D85E09">
              <w:t>0.0% (0/80)</w:t>
            </w:r>
          </w:p>
        </w:tc>
        <w:tc>
          <w:tcPr>
            <w:tcW w:w="907" w:type="pct"/>
            <w:tcBorders>
              <w:top w:val="nil"/>
              <w:bottom w:val="nil"/>
            </w:tcBorders>
          </w:tcPr>
          <w:p w14:paraId="4941EBF8" w14:textId="77777777" w:rsidR="00051AAA" w:rsidRPr="00D85E09" w:rsidRDefault="00051AAA" w:rsidP="0043316B">
            <w:pPr>
              <w:pStyle w:val="Tabletext"/>
              <w:keepNext w:val="0"/>
              <w:widowControl w:val="0"/>
              <w:jc w:val="center"/>
            </w:pPr>
          </w:p>
        </w:tc>
      </w:tr>
      <w:tr w:rsidR="00051AAA" w:rsidRPr="00D85E09" w14:paraId="5080D49C" w14:textId="77777777" w:rsidTr="00051AAA">
        <w:tc>
          <w:tcPr>
            <w:tcW w:w="1341" w:type="pct"/>
            <w:tcBorders>
              <w:top w:val="nil"/>
              <w:bottom w:val="nil"/>
            </w:tcBorders>
          </w:tcPr>
          <w:p w14:paraId="6C2B26B6" w14:textId="77777777" w:rsidR="00051AAA" w:rsidRPr="00D85E09" w:rsidRDefault="00051AAA" w:rsidP="0043316B">
            <w:pPr>
              <w:pStyle w:val="Tabletext"/>
              <w:keepNext w:val="0"/>
              <w:widowControl w:val="0"/>
              <w:ind w:left="284"/>
            </w:pPr>
            <w:r w:rsidRPr="00D85E09">
              <w:t>2a</w:t>
            </w:r>
          </w:p>
        </w:tc>
        <w:tc>
          <w:tcPr>
            <w:tcW w:w="917" w:type="pct"/>
            <w:tcBorders>
              <w:top w:val="nil"/>
              <w:bottom w:val="nil"/>
            </w:tcBorders>
          </w:tcPr>
          <w:p w14:paraId="4E79002A" w14:textId="77777777" w:rsidR="00051AAA" w:rsidRPr="00D85E09" w:rsidRDefault="00051AAA" w:rsidP="0043316B">
            <w:pPr>
              <w:pStyle w:val="Tabletext"/>
              <w:keepNext w:val="0"/>
              <w:widowControl w:val="0"/>
              <w:jc w:val="center"/>
            </w:pPr>
            <w:r w:rsidRPr="00D85E09">
              <w:t>10.5% (20/190)</w:t>
            </w:r>
          </w:p>
        </w:tc>
        <w:tc>
          <w:tcPr>
            <w:tcW w:w="917" w:type="pct"/>
            <w:tcBorders>
              <w:top w:val="nil"/>
              <w:bottom w:val="nil"/>
            </w:tcBorders>
          </w:tcPr>
          <w:p w14:paraId="13082DCB" w14:textId="77777777" w:rsidR="00051AAA" w:rsidRPr="00D85E09" w:rsidRDefault="00051AAA" w:rsidP="0043316B">
            <w:pPr>
              <w:pStyle w:val="Tabletext"/>
              <w:keepNext w:val="0"/>
              <w:widowControl w:val="0"/>
              <w:jc w:val="center"/>
            </w:pPr>
            <w:r w:rsidRPr="00D85E09">
              <w:t>10.0% (11/110)</w:t>
            </w:r>
          </w:p>
        </w:tc>
        <w:tc>
          <w:tcPr>
            <w:tcW w:w="918" w:type="pct"/>
            <w:tcBorders>
              <w:top w:val="nil"/>
              <w:bottom w:val="nil"/>
            </w:tcBorders>
          </w:tcPr>
          <w:p w14:paraId="3BD172C1" w14:textId="77777777" w:rsidR="00051AAA" w:rsidRPr="00D85E09" w:rsidRDefault="00051AAA" w:rsidP="0043316B">
            <w:pPr>
              <w:pStyle w:val="Tabletext"/>
              <w:keepNext w:val="0"/>
              <w:widowControl w:val="0"/>
              <w:jc w:val="center"/>
            </w:pPr>
            <w:r w:rsidRPr="00D85E09">
              <w:t>11.3% (9/80)</w:t>
            </w:r>
          </w:p>
        </w:tc>
        <w:tc>
          <w:tcPr>
            <w:tcW w:w="907" w:type="pct"/>
            <w:tcBorders>
              <w:top w:val="nil"/>
              <w:bottom w:val="nil"/>
            </w:tcBorders>
          </w:tcPr>
          <w:p w14:paraId="6D2C1DD1" w14:textId="77777777" w:rsidR="00051AAA" w:rsidRPr="00D85E09" w:rsidRDefault="00051AAA" w:rsidP="0043316B">
            <w:pPr>
              <w:pStyle w:val="Tabletext"/>
              <w:keepNext w:val="0"/>
              <w:widowControl w:val="0"/>
              <w:jc w:val="center"/>
            </w:pPr>
          </w:p>
        </w:tc>
      </w:tr>
      <w:tr w:rsidR="00051AAA" w:rsidRPr="00D85E09" w14:paraId="0A8AF11C" w14:textId="77777777" w:rsidTr="00051AAA">
        <w:tc>
          <w:tcPr>
            <w:tcW w:w="1341" w:type="pct"/>
            <w:tcBorders>
              <w:top w:val="nil"/>
              <w:bottom w:val="nil"/>
            </w:tcBorders>
          </w:tcPr>
          <w:p w14:paraId="79693DE9" w14:textId="77777777" w:rsidR="00051AAA" w:rsidRPr="00D85E09" w:rsidRDefault="00051AAA" w:rsidP="0043316B">
            <w:pPr>
              <w:pStyle w:val="Tabletext"/>
              <w:keepNext w:val="0"/>
              <w:widowControl w:val="0"/>
              <w:ind w:left="284"/>
            </w:pPr>
            <w:r w:rsidRPr="00D85E09">
              <w:t>2b</w:t>
            </w:r>
          </w:p>
        </w:tc>
        <w:tc>
          <w:tcPr>
            <w:tcW w:w="917" w:type="pct"/>
            <w:tcBorders>
              <w:top w:val="nil"/>
              <w:bottom w:val="nil"/>
            </w:tcBorders>
          </w:tcPr>
          <w:p w14:paraId="5578FA4C" w14:textId="77777777" w:rsidR="00051AAA" w:rsidRPr="00D85E09" w:rsidRDefault="00051AAA" w:rsidP="0043316B">
            <w:pPr>
              <w:pStyle w:val="Tabletext"/>
              <w:keepNext w:val="0"/>
              <w:widowControl w:val="0"/>
              <w:jc w:val="center"/>
            </w:pPr>
            <w:r w:rsidRPr="00D85E09">
              <w:t>29.5% (56/190)</w:t>
            </w:r>
          </w:p>
        </w:tc>
        <w:tc>
          <w:tcPr>
            <w:tcW w:w="917" w:type="pct"/>
            <w:tcBorders>
              <w:top w:val="nil"/>
              <w:bottom w:val="nil"/>
            </w:tcBorders>
          </w:tcPr>
          <w:p w14:paraId="1D27099B" w14:textId="77777777" w:rsidR="00051AAA" w:rsidRPr="00D85E09" w:rsidRDefault="00051AAA" w:rsidP="0043316B">
            <w:pPr>
              <w:pStyle w:val="Tabletext"/>
              <w:keepNext w:val="0"/>
              <w:widowControl w:val="0"/>
              <w:jc w:val="center"/>
            </w:pPr>
            <w:r w:rsidRPr="00D85E09">
              <w:t>29.1% (32/110)</w:t>
            </w:r>
          </w:p>
        </w:tc>
        <w:tc>
          <w:tcPr>
            <w:tcW w:w="918" w:type="pct"/>
            <w:tcBorders>
              <w:top w:val="nil"/>
              <w:bottom w:val="nil"/>
            </w:tcBorders>
          </w:tcPr>
          <w:p w14:paraId="7DA84A88" w14:textId="77777777" w:rsidR="00051AAA" w:rsidRPr="00D85E09" w:rsidRDefault="00051AAA" w:rsidP="0043316B">
            <w:pPr>
              <w:pStyle w:val="Tabletext"/>
              <w:keepNext w:val="0"/>
              <w:widowControl w:val="0"/>
              <w:jc w:val="center"/>
            </w:pPr>
            <w:r w:rsidRPr="00D85E09">
              <w:t>30.0% (24/80)</w:t>
            </w:r>
          </w:p>
        </w:tc>
        <w:tc>
          <w:tcPr>
            <w:tcW w:w="907" w:type="pct"/>
            <w:tcBorders>
              <w:top w:val="nil"/>
              <w:bottom w:val="nil"/>
            </w:tcBorders>
          </w:tcPr>
          <w:p w14:paraId="3C4051B2" w14:textId="77777777" w:rsidR="00051AAA" w:rsidRPr="00D85E09" w:rsidRDefault="00051AAA" w:rsidP="0043316B">
            <w:pPr>
              <w:pStyle w:val="Tabletext"/>
              <w:keepNext w:val="0"/>
              <w:widowControl w:val="0"/>
              <w:jc w:val="center"/>
            </w:pPr>
          </w:p>
        </w:tc>
      </w:tr>
      <w:tr w:rsidR="00051AAA" w:rsidRPr="00D85E09" w14:paraId="04AD7AC6" w14:textId="77777777" w:rsidTr="00051AAA">
        <w:tc>
          <w:tcPr>
            <w:tcW w:w="1341" w:type="pct"/>
            <w:tcBorders>
              <w:top w:val="nil"/>
            </w:tcBorders>
          </w:tcPr>
          <w:p w14:paraId="0F5071AD" w14:textId="77777777" w:rsidR="00051AAA" w:rsidRPr="00D85E09" w:rsidRDefault="00051AAA" w:rsidP="0043316B">
            <w:pPr>
              <w:pStyle w:val="Tabletext"/>
              <w:keepNext w:val="0"/>
              <w:widowControl w:val="0"/>
              <w:ind w:left="284"/>
            </w:pPr>
            <w:r w:rsidRPr="00D85E09">
              <w:t>3</w:t>
            </w:r>
          </w:p>
        </w:tc>
        <w:tc>
          <w:tcPr>
            <w:tcW w:w="917" w:type="pct"/>
            <w:tcBorders>
              <w:top w:val="nil"/>
            </w:tcBorders>
          </w:tcPr>
          <w:p w14:paraId="1C25BDA9" w14:textId="77777777" w:rsidR="00051AAA" w:rsidRPr="00D85E09" w:rsidRDefault="00051AAA" w:rsidP="0043316B">
            <w:pPr>
              <w:pStyle w:val="Tabletext"/>
              <w:keepNext w:val="0"/>
              <w:widowControl w:val="0"/>
              <w:jc w:val="center"/>
            </w:pPr>
            <w:r w:rsidRPr="00D85E09">
              <w:t>54.7% (104/190)</w:t>
            </w:r>
          </w:p>
        </w:tc>
        <w:tc>
          <w:tcPr>
            <w:tcW w:w="917" w:type="pct"/>
            <w:tcBorders>
              <w:top w:val="nil"/>
            </w:tcBorders>
          </w:tcPr>
          <w:p w14:paraId="6EE9BEA1" w14:textId="77777777" w:rsidR="00051AAA" w:rsidRPr="00D85E09" w:rsidRDefault="00051AAA" w:rsidP="0043316B">
            <w:pPr>
              <w:pStyle w:val="Tabletext"/>
              <w:keepNext w:val="0"/>
              <w:widowControl w:val="0"/>
              <w:jc w:val="center"/>
            </w:pPr>
            <w:r w:rsidRPr="00D85E09">
              <w:t>55.5% (61/110)</w:t>
            </w:r>
          </w:p>
        </w:tc>
        <w:tc>
          <w:tcPr>
            <w:tcW w:w="918" w:type="pct"/>
            <w:tcBorders>
              <w:top w:val="nil"/>
            </w:tcBorders>
          </w:tcPr>
          <w:p w14:paraId="18431636" w14:textId="77777777" w:rsidR="00051AAA" w:rsidRPr="00D85E09" w:rsidRDefault="00051AAA" w:rsidP="0043316B">
            <w:pPr>
              <w:pStyle w:val="Tabletext"/>
              <w:keepNext w:val="0"/>
              <w:widowControl w:val="0"/>
              <w:jc w:val="center"/>
            </w:pPr>
            <w:r w:rsidRPr="00D85E09">
              <w:t>53.8% (43/80)</w:t>
            </w:r>
          </w:p>
        </w:tc>
        <w:tc>
          <w:tcPr>
            <w:tcW w:w="907" w:type="pct"/>
            <w:tcBorders>
              <w:top w:val="nil"/>
            </w:tcBorders>
          </w:tcPr>
          <w:p w14:paraId="60B7C27F" w14:textId="77777777" w:rsidR="00051AAA" w:rsidRPr="00D85E09" w:rsidRDefault="00051AAA" w:rsidP="0043316B">
            <w:pPr>
              <w:pStyle w:val="Tabletext"/>
              <w:keepNext w:val="0"/>
              <w:widowControl w:val="0"/>
              <w:jc w:val="center"/>
            </w:pPr>
          </w:p>
        </w:tc>
      </w:tr>
      <w:tr w:rsidR="00051AAA" w:rsidRPr="00D85E09" w14:paraId="16AEA325" w14:textId="77777777" w:rsidTr="00051AAA">
        <w:tc>
          <w:tcPr>
            <w:tcW w:w="1341" w:type="pct"/>
          </w:tcPr>
          <w:p w14:paraId="0E4BC258" w14:textId="77777777" w:rsidR="00051AAA" w:rsidRPr="00D85E09" w:rsidRDefault="00051AAA" w:rsidP="0043316B">
            <w:pPr>
              <w:pStyle w:val="Tabletext"/>
              <w:keepNext w:val="0"/>
              <w:widowControl w:val="0"/>
            </w:pPr>
            <w:r w:rsidRPr="00D85E09">
              <w:t>mRS 0-2 at 90 days</w:t>
            </w:r>
          </w:p>
        </w:tc>
        <w:tc>
          <w:tcPr>
            <w:tcW w:w="917" w:type="pct"/>
          </w:tcPr>
          <w:p w14:paraId="0B6B573B" w14:textId="77777777" w:rsidR="00051AAA" w:rsidRPr="00D85E09" w:rsidRDefault="00051AAA" w:rsidP="0043316B">
            <w:pPr>
              <w:pStyle w:val="Tabletext"/>
              <w:keepNext w:val="0"/>
              <w:widowControl w:val="0"/>
              <w:jc w:val="center"/>
            </w:pPr>
            <w:r w:rsidRPr="00D85E09">
              <w:t>57.9% (117/202)</w:t>
            </w:r>
          </w:p>
        </w:tc>
        <w:tc>
          <w:tcPr>
            <w:tcW w:w="917" w:type="pct"/>
          </w:tcPr>
          <w:p w14:paraId="2FFE1AD2" w14:textId="77777777" w:rsidR="00051AAA" w:rsidRPr="00D85E09" w:rsidRDefault="00051AAA" w:rsidP="0043316B">
            <w:pPr>
              <w:pStyle w:val="Tabletext"/>
              <w:keepNext w:val="0"/>
              <w:widowControl w:val="0"/>
              <w:jc w:val="center"/>
            </w:pPr>
            <w:r w:rsidRPr="00D85E09">
              <w:t>62.2% (74/119)</w:t>
            </w:r>
          </w:p>
        </w:tc>
        <w:tc>
          <w:tcPr>
            <w:tcW w:w="918" w:type="pct"/>
          </w:tcPr>
          <w:p w14:paraId="4257C075" w14:textId="77777777" w:rsidR="00051AAA" w:rsidRPr="00D85E09" w:rsidRDefault="00051AAA" w:rsidP="0043316B">
            <w:pPr>
              <w:pStyle w:val="Tabletext"/>
              <w:keepNext w:val="0"/>
              <w:widowControl w:val="0"/>
              <w:jc w:val="center"/>
            </w:pPr>
            <w:r w:rsidRPr="00D85E09">
              <w:t>51.8% (43/83)</w:t>
            </w:r>
          </w:p>
        </w:tc>
        <w:tc>
          <w:tcPr>
            <w:tcW w:w="907" w:type="pct"/>
          </w:tcPr>
          <w:p w14:paraId="3B7F1DFF" w14:textId="77777777" w:rsidR="00051AAA" w:rsidRPr="00D85E09" w:rsidRDefault="00051AAA" w:rsidP="0043316B">
            <w:pPr>
              <w:pStyle w:val="Tabletext"/>
              <w:keepNext w:val="0"/>
              <w:widowControl w:val="0"/>
              <w:jc w:val="center"/>
            </w:pPr>
            <w:r w:rsidRPr="00D85E09">
              <w:t>0.150</w:t>
            </w:r>
          </w:p>
        </w:tc>
      </w:tr>
    </w:tbl>
    <w:p w14:paraId="44B57E4F" w14:textId="77777777" w:rsidR="00051AAA" w:rsidRPr="00D85E09" w:rsidRDefault="00051AAA" w:rsidP="0043316B">
      <w:pPr>
        <w:pStyle w:val="Tablefootnote"/>
        <w:widowControl w:val="0"/>
        <w:spacing w:after="0"/>
        <w:rPr>
          <w:lang w:val="en-AU"/>
        </w:rPr>
      </w:pPr>
      <w:r w:rsidRPr="00D85E09">
        <w:rPr>
          <w:lang w:val="en-AU"/>
        </w:rPr>
        <w:t>NIHSS, National Institutes of Health Stroke Scale; mRS, modified Rankin Scale</w:t>
      </w:r>
    </w:p>
    <w:p w14:paraId="01BB7B90" w14:textId="77777777" w:rsidR="00051AAA" w:rsidRPr="00D85E09" w:rsidRDefault="00051AAA" w:rsidP="0043316B">
      <w:pPr>
        <w:pStyle w:val="Tablefootnote"/>
        <w:widowControl w:val="0"/>
        <w:spacing w:after="0"/>
        <w:rPr>
          <w:lang w:val="en-AU"/>
        </w:rPr>
      </w:pPr>
      <w:r w:rsidRPr="00D85E09">
        <w:rPr>
          <w:vertAlign w:val="superscript"/>
          <w:lang w:val="en-AU"/>
        </w:rPr>
        <w:t>a</w:t>
      </w:r>
      <w:r w:rsidRPr="00D85E09">
        <w:rPr>
          <w:lang w:val="en-AU"/>
        </w:rPr>
        <w:t xml:space="preserve"> Common odds raio indicating the odds of improvement of one point on the mRS; OR, odds ratio; RD, risk difference; RR, rate ratio</w:t>
      </w:r>
    </w:p>
    <w:p w14:paraId="107FF525" w14:textId="4D0AA608" w:rsidR="00051AAA" w:rsidRPr="00D85E09" w:rsidRDefault="00051AAA" w:rsidP="0043316B">
      <w:pPr>
        <w:pStyle w:val="Tablefootnote"/>
        <w:widowControl w:val="0"/>
        <w:spacing w:after="360"/>
        <w:rPr>
          <w:lang w:val="en-AU"/>
        </w:rPr>
      </w:pPr>
      <w:r w:rsidRPr="00D85E09">
        <w:rPr>
          <w:lang w:val="en-AU"/>
        </w:rPr>
        <w:t>Source: Goyal et al (2016); Table 2</w:t>
      </w:r>
    </w:p>
    <w:p w14:paraId="213666C0" w14:textId="77777777" w:rsidR="008E6A38" w:rsidRPr="00D85E09" w:rsidRDefault="008E6A38" w:rsidP="0043316B">
      <w:pPr>
        <w:pStyle w:val="Heading6"/>
        <w:widowControl w:val="0"/>
        <w:rPr>
          <w:lang w:val="en-AU"/>
        </w:rPr>
      </w:pPr>
      <w:r w:rsidRPr="00D85E09">
        <w:rPr>
          <w:lang w:val="en-AU"/>
        </w:rPr>
        <w:t>Imaging tests in patient selection</w:t>
      </w:r>
    </w:p>
    <w:p w14:paraId="78BEA6A0" w14:textId="53BAC0EA" w:rsidR="008E6A38" w:rsidRPr="00D85E09" w:rsidRDefault="008E6A38" w:rsidP="0043316B">
      <w:pPr>
        <w:widowControl w:val="0"/>
      </w:pPr>
      <w:r w:rsidRPr="00D85E09">
        <w:t xml:space="preserve">The IPD analysis by Goyal et al (2016) did not examine the impact of different imaging strategies to select patients on clinical efficacy. However, it should be noted that manner used to determine patient eligibility is less important than the </w:t>
      </w:r>
      <w:r w:rsidR="00081FCE" w:rsidRPr="00D85E09">
        <w:t>actual disease characteristics of the selected population (e.g. in terms of stroke location and severity)</w:t>
      </w:r>
      <w:r w:rsidRPr="00D85E09">
        <w:t xml:space="preserve">. As described under the heading above, the efficacy of MT relative to </w:t>
      </w:r>
      <w:r w:rsidR="00F349F0" w:rsidRPr="00D85E09">
        <w:t>usual care</w:t>
      </w:r>
      <w:r w:rsidRPr="00D85E09">
        <w:t xml:space="preserve"> was relatively consistent in patients with varying disease severity, size and extent of the infarct and location of the occlusion.</w:t>
      </w:r>
    </w:p>
    <w:p w14:paraId="36F39A35" w14:textId="18E29EB6" w:rsidR="008E6A38" w:rsidRPr="00D85E09" w:rsidRDefault="008E6A38" w:rsidP="0043316B">
      <w:pPr>
        <w:widowControl w:val="0"/>
      </w:pPr>
      <w:r w:rsidRPr="00D85E09">
        <w:t>Nonetheless, imaging remains an important element of patient selection; in fact, the use of up-to-date non-invasive arterial imaging is one of the factors attributed to the success of recent studies of MT when compared to earlier thrombectomy trials (Vo et al, 2015). Therefore, this applicability study compares the imaging techniques used in the pivotal clinical trials of MT those expected to be used in Australian clinical practice.</w:t>
      </w:r>
    </w:p>
    <w:p w14:paraId="3A6FC569" w14:textId="2F23B89A" w:rsidR="008E6A38" w:rsidRPr="00D85E09" w:rsidRDefault="00081FCE" w:rsidP="0043316B">
      <w:pPr>
        <w:widowControl w:val="0"/>
      </w:pPr>
      <w:r w:rsidRPr="00D85E09">
        <w:fldChar w:fldCharType="begin"/>
      </w:r>
      <w:r w:rsidRPr="00D85E09">
        <w:instrText xml:space="preserve"> REF _Ref451942120 \h </w:instrText>
      </w:r>
      <w:r w:rsidRPr="00D85E09">
        <w:fldChar w:fldCharType="separate"/>
      </w:r>
      <w:r w:rsidR="00A456ED" w:rsidRPr="00D85E09">
        <w:t xml:space="preserve">Table </w:t>
      </w:r>
      <w:r w:rsidR="00A456ED">
        <w:rPr>
          <w:noProof/>
        </w:rPr>
        <w:t>44</w:t>
      </w:r>
      <w:r w:rsidRPr="00D85E09">
        <w:fldChar w:fldCharType="end"/>
      </w:r>
      <w:r w:rsidRPr="00D85E09">
        <w:t xml:space="preserve"> </w:t>
      </w:r>
      <w:r w:rsidR="008E6A38" w:rsidRPr="00D85E09">
        <w:t xml:space="preserve">summarises the imaging inclusion criteria of the five RCTs considered eligible for inclusion in this submission. Overall, angiography using CTA or MRA was the most widely used approach to vascular imaging and detection of LVO – in most cases for the detection of the occlusion and determining the core </w:t>
      </w:r>
      <w:r w:rsidR="00A76065" w:rsidRPr="00D85E09">
        <w:t xml:space="preserve">infarct </w:t>
      </w:r>
      <w:r w:rsidR="008E6A38" w:rsidRPr="00D85E09">
        <w:t>size. This approach is supported by a systematic review by Badhiwala et al (2015), which included earlier RCTs of MT with less advanced imaging strategies (SYNTHESIS, MR RESCUE, IMS</w:t>
      </w:r>
      <w:r w:rsidR="00D32933" w:rsidRPr="00D85E09">
        <w:t>-</w:t>
      </w:r>
      <w:r w:rsidR="008E6A38" w:rsidRPr="00D85E09">
        <w:t>III). This analysis found that functional outcomes were significantly better among patients with angiographic imaging (CTA or MRA) confirming proximal arterial occlusion (OR, 2.24; 95% CI, 1.72-2.90, p for interaction &lt;0.001).</w:t>
      </w:r>
    </w:p>
    <w:p w14:paraId="6CF52508" w14:textId="4DD8CFC5" w:rsidR="008E6A38" w:rsidRPr="00D85E09" w:rsidRDefault="008E6A38" w:rsidP="0043316B">
      <w:pPr>
        <w:widowControl w:val="0"/>
      </w:pPr>
      <w:r w:rsidRPr="00D85E09">
        <w:t xml:space="preserve">Whilst it is possible </w:t>
      </w:r>
      <w:r w:rsidR="00EF68A2" w:rsidRPr="00D85E09">
        <w:t xml:space="preserve">to </w:t>
      </w:r>
      <w:r w:rsidRPr="00D85E09">
        <w:t xml:space="preserve">use either CT or MR-based imaging for most parameters, CT-based </w:t>
      </w:r>
      <w:r w:rsidRPr="00D85E09">
        <w:lastRenderedPageBreak/>
        <w:t>modalities have numerous advantages including widespread availability</w:t>
      </w:r>
      <w:r w:rsidR="00A76065" w:rsidRPr="00D85E09">
        <w:t>,</w:t>
      </w:r>
      <w:r w:rsidRPr="00D85E09">
        <w:t xml:space="preserve"> rapid processing times. A number of studies also used perfusion imaging in order to establish target mismatch and collaterals. </w:t>
      </w:r>
      <w:r w:rsidR="004412BE" w:rsidRPr="00D85E09">
        <w:t>These concepts are described in Section A.5.1, in the summary of clinical practice guidelines and Australian protocols.</w:t>
      </w:r>
    </w:p>
    <w:p w14:paraId="139AA696" w14:textId="02C5B39F" w:rsidR="008E6A38" w:rsidRPr="00D85E09" w:rsidRDefault="008E6A38" w:rsidP="0043316B">
      <w:pPr>
        <w:pStyle w:val="Caption"/>
        <w:keepNext w:val="0"/>
        <w:widowControl w:val="0"/>
        <w:rPr>
          <w:lang w:val="en-AU"/>
        </w:rPr>
      </w:pPr>
      <w:bookmarkStart w:id="378" w:name="_Ref451942120"/>
      <w:bookmarkStart w:id="379" w:name="_Toc45306538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44</w:t>
      </w:r>
      <w:r w:rsidRPr="00D85E09">
        <w:rPr>
          <w:lang w:val="en-AU"/>
        </w:rPr>
        <w:fldChar w:fldCharType="end"/>
      </w:r>
      <w:bookmarkEnd w:id="378"/>
      <w:r w:rsidRPr="00D85E09">
        <w:rPr>
          <w:lang w:val="en-AU"/>
        </w:rPr>
        <w:tab/>
        <w:t>Patient selection for included studies</w:t>
      </w:r>
      <w:bookmarkEnd w:id="379"/>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Description w:val="Table 44. Patient selection for included studies"/>
      </w:tblPr>
      <w:tblGrid>
        <w:gridCol w:w="1291"/>
        <w:gridCol w:w="1134"/>
        <w:gridCol w:w="1418"/>
        <w:gridCol w:w="1134"/>
        <w:gridCol w:w="2223"/>
        <w:gridCol w:w="1440"/>
      </w:tblGrid>
      <w:tr w:rsidR="008E6A38" w:rsidRPr="00D85E09" w14:paraId="6549922A" w14:textId="77777777" w:rsidTr="008B382D">
        <w:trPr>
          <w:trHeight w:val="157"/>
          <w:tblHeader/>
        </w:trPr>
        <w:tc>
          <w:tcPr>
            <w:tcW w:w="1291" w:type="dxa"/>
            <w:shd w:val="clear" w:color="auto" w:fill="auto"/>
            <w:hideMark/>
          </w:tcPr>
          <w:p w14:paraId="2EF57394" w14:textId="77777777" w:rsidR="008E6A38" w:rsidRPr="00D85E09" w:rsidRDefault="008E6A38" w:rsidP="0043316B">
            <w:pPr>
              <w:widowControl w:val="0"/>
              <w:spacing w:after="0" w:line="240" w:lineRule="auto"/>
              <w:rPr>
                <w:rFonts w:ascii="Arial Narrow" w:hAnsi="Arial Narrow" w:cs="Times New Roman"/>
                <w:b/>
                <w:bCs/>
                <w:sz w:val="20"/>
                <w:szCs w:val="20"/>
                <w:lang w:eastAsia="en-AU"/>
              </w:rPr>
            </w:pPr>
            <w:r w:rsidRPr="00D85E09">
              <w:rPr>
                <w:rFonts w:ascii="Arial Narrow" w:hAnsi="Arial Narrow" w:cs="Times New Roman"/>
                <w:b/>
                <w:bCs/>
                <w:sz w:val="20"/>
                <w:szCs w:val="20"/>
                <w:lang w:eastAsia="en-AU"/>
              </w:rPr>
              <w:t xml:space="preserve">Imaging </w:t>
            </w:r>
          </w:p>
        </w:tc>
        <w:tc>
          <w:tcPr>
            <w:tcW w:w="1134" w:type="dxa"/>
            <w:shd w:val="clear" w:color="auto" w:fill="auto"/>
            <w:hideMark/>
          </w:tcPr>
          <w:p w14:paraId="195FB941" w14:textId="77777777" w:rsidR="008E6A38" w:rsidRPr="00D85E09" w:rsidRDefault="008E6A38" w:rsidP="0043316B">
            <w:pPr>
              <w:widowControl w:val="0"/>
              <w:spacing w:after="0" w:line="240" w:lineRule="auto"/>
              <w:rPr>
                <w:rFonts w:ascii="Arial Narrow" w:hAnsi="Arial Narrow" w:cs="Times New Roman"/>
                <w:b/>
                <w:sz w:val="20"/>
                <w:szCs w:val="20"/>
                <w:lang w:eastAsia="en-AU"/>
              </w:rPr>
            </w:pPr>
            <w:r w:rsidRPr="00D85E09">
              <w:rPr>
                <w:rFonts w:ascii="Arial Narrow" w:hAnsi="Arial Narrow" w:cs="Times New Roman"/>
                <w:b/>
                <w:sz w:val="20"/>
                <w:szCs w:val="20"/>
                <w:lang w:eastAsia="en-AU"/>
              </w:rPr>
              <w:t xml:space="preserve">MR CLEAN </w:t>
            </w:r>
          </w:p>
        </w:tc>
        <w:tc>
          <w:tcPr>
            <w:tcW w:w="1418" w:type="dxa"/>
            <w:shd w:val="clear" w:color="auto" w:fill="auto"/>
            <w:hideMark/>
          </w:tcPr>
          <w:p w14:paraId="0852A6D8" w14:textId="77777777" w:rsidR="008E6A38" w:rsidRPr="00D85E09" w:rsidRDefault="008E6A38" w:rsidP="0043316B">
            <w:pPr>
              <w:widowControl w:val="0"/>
              <w:spacing w:after="0" w:line="240" w:lineRule="auto"/>
              <w:rPr>
                <w:rFonts w:ascii="Arial Narrow" w:hAnsi="Arial Narrow" w:cs="Times New Roman"/>
                <w:b/>
                <w:sz w:val="20"/>
                <w:szCs w:val="20"/>
                <w:lang w:eastAsia="en-AU"/>
              </w:rPr>
            </w:pPr>
            <w:r w:rsidRPr="00D85E09">
              <w:rPr>
                <w:rFonts w:ascii="Arial Narrow" w:hAnsi="Arial Narrow" w:cs="Times New Roman"/>
                <w:b/>
                <w:sz w:val="20"/>
                <w:szCs w:val="20"/>
                <w:lang w:eastAsia="en-AU"/>
              </w:rPr>
              <w:t xml:space="preserve">ESCAPE </w:t>
            </w:r>
          </w:p>
        </w:tc>
        <w:tc>
          <w:tcPr>
            <w:tcW w:w="1134" w:type="dxa"/>
            <w:shd w:val="clear" w:color="auto" w:fill="auto"/>
            <w:hideMark/>
          </w:tcPr>
          <w:p w14:paraId="65D750BB" w14:textId="77777777" w:rsidR="008E6A38" w:rsidRPr="00D85E09" w:rsidRDefault="008E6A38" w:rsidP="0043316B">
            <w:pPr>
              <w:widowControl w:val="0"/>
              <w:spacing w:after="0" w:line="240" w:lineRule="auto"/>
              <w:rPr>
                <w:rFonts w:ascii="Arial Narrow" w:hAnsi="Arial Narrow" w:cs="Times New Roman"/>
                <w:b/>
                <w:sz w:val="20"/>
                <w:szCs w:val="20"/>
                <w:lang w:eastAsia="en-AU"/>
              </w:rPr>
            </w:pPr>
            <w:r w:rsidRPr="00D85E09">
              <w:rPr>
                <w:rFonts w:ascii="Arial Narrow" w:hAnsi="Arial Narrow" w:cs="Times New Roman"/>
                <w:b/>
                <w:sz w:val="20"/>
                <w:szCs w:val="20"/>
                <w:lang w:eastAsia="en-AU"/>
              </w:rPr>
              <w:t xml:space="preserve">EXTEND-IA </w:t>
            </w:r>
          </w:p>
        </w:tc>
        <w:tc>
          <w:tcPr>
            <w:tcW w:w="2223" w:type="dxa"/>
            <w:shd w:val="clear" w:color="auto" w:fill="auto"/>
            <w:hideMark/>
          </w:tcPr>
          <w:p w14:paraId="104112D8" w14:textId="77777777" w:rsidR="008E6A38" w:rsidRPr="00D85E09" w:rsidRDefault="008E6A38" w:rsidP="0043316B">
            <w:pPr>
              <w:widowControl w:val="0"/>
              <w:spacing w:after="0" w:line="240" w:lineRule="auto"/>
              <w:rPr>
                <w:rFonts w:ascii="Arial Narrow" w:hAnsi="Arial Narrow" w:cs="Times New Roman"/>
                <w:b/>
                <w:sz w:val="20"/>
                <w:szCs w:val="20"/>
                <w:lang w:eastAsia="en-AU"/>
              </w:rPr>
            </w:pPr>
            <w:r w:rsidRPr="00D85E09">
              <w:rPr>
                <w:rFonts w:ascii="Arial Narrow" w:hAnsi="Arial Narrow" w:cs="Times New Roman"/>
                <w:b/>
                <w:sz w:val="20"/>
                <w:szCs w:val="20"/>
                <w:lang w:eastAsia="en-AU"/>
              </w:rPr>
              <w:t>SWIFT PRIME</w:t>
            </w:r>
          </w:p>
        </w:tc>
        <w:tc>
          <w:tcPr>
            <w:tcW w:w="1440" w:type="dxa"/>
            <w:shd w:val="clear" w:color="auto" w:fill="auto"/>
            <w:hideMark/>
          </w:tcPr>
          <w:p w14:paraId="2B7C9414" w14:textId="77777777" w:rsidR="008E6A38" w:rsidRPr="00D85E09" w:rsidRDefault="008E6A38" w:rsidP="0043316B">
            <w:pPr>
              <w:widowControl w:val="0"/>
              <w:spacing w:after="0" w:line="240" w:lineRule="auto"/>
              <w:rPr>
                <w:rFonts w:ascii="Arial Narrow" w:hAnsi="Arial Narrow" w:cs="Times New Roman"/>
                <w:b/>
                <w:sz w:val="20"/>
                <w:szCs w:val="20"/>
                <w:lang w:eastAsia="en-AU"/>
              </w:rPr>
            </w:pPr>
            <w:r w:rsidRPr="00D85E09">
              <w:rPr>
                <w:rFonts w:ascii="Arial Narrow" w:hAnsi="Arial Narrow" w:cs="Times New Roman"/>
                <w:b/>
                <w:sz w:val="20"/>
                <w:szCs w:val="20"/>
                <w:lang w:eastAsia="en-AU"/>
              </w:rPr>
              <w:t xml:space="preserve">REVASCAT </w:t>
            </w:r>
          </w:p>
        </w:tc>
      </w:tr>
      <w:tr w:rsidR="008E6A38" w:rsidRPr="00D85E09" w14:paraId="7204C6D8" w14:textId="77777777" w:rsidTr="008B382D">
        <w:trPr>
          <w:trHeight w:val="315"/>
        </w:trPr>
        <w:tc>
          <w:tcPr>
            <w:tcW w:w="1291" w:type="dxa"/>
            <w:shd w:val="clear" w:color="auto" w:fill="auto"/>
          </w:tcPr>
          <w:p w14:paraId="5279395C"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 xml:space="preserve">Vascular imaging </w:t>
            </w:r>
          </w:p>
        </w:tc>
        <w:tc>
          <w:tcPr>
            <w:tcW w:w="1134" w:type="dxa"/>
            <w:shd w:val="clear" w:color="auto" w:fill="auto"/>
          </w:tcPr>
          <w:p w14:paraId="0F9A720A"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CTA, MRA, DSA</w:t>
            </w:r>
          </w:p>
        </w:tc>
        <w:tc>
          <w:tcPr>
            <w:tcW w:w="1418" w:type="dxa"/>
            <w:shd w:val="clear" w:color="auto" w:fill="auto"/>
          </w:tcPr>
          <w:p w14:paraId="3315A786"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CTA</w:t>
            </w:r>
          </w:p>
        </w:tc>
        <w:tc>
          <w:tcPr>
            <w:tcW w:w="1134" w:type="dxa"/>
            <w:shd w:val="clear" w:color="auto" w:fill="auto"/>
          </w:tcPr>
          <w:p w14:paraId="60C89ADE"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CTA, MRA</w:t>
            </w:r>
          </w:p>
        </w:tc>
        <w:tc>
          <w:tcPr>
            <w:tcW w:w="2223" w:type="dxa"/>
            <w:shd w:val="clear" w:color="auto" w:fill="auto"/>
          </w:tcPr>
          <w:p w14:paraId="0AEA12AA" w14:textId="7C2C4A41"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CTA,MRA</w:t>
            </w:r>
          </w:p>
        </w:tc>
        <w:tc>
          <w:tcPr>
            <w:tcW w:w="1440" w:type="dxa"/>
            <w:shd w:val="clear" w:color="auto" w:fill="auto"/>
          </w:tcPr>
          <w:p w14:paraId="50DAB955"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CTA, MRA, DSA</w:t>
            </w:r>
          </w:p>
        </w:tc>
      </w:tr>
      <w:tr w:rsidR="008E6A38" w:rsidRPr="00D85E09" w14:paraId="421FF0C3" w14:textId="77777777" w:rsidTr="008B382D">
        <w:trPr>
          <w:trHeight w:val="1235"/>
        </w:trPr>
        <w:tc>
          <w:tcPr>
            <w:tcW w:w="1291" w:type="dxa"/>
            <w:shd w:val="clear" w:color="auto" w:fill="auto"/>
          </w:tcPr>
          <w:p w14:paraId="3C4D4BEC"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Other imaging (core size, mismatch, collaterals)</w:t>
            </w:r>
          </w:p>
        </w:tc>
        <w:tc>
          <w:tcPr>
            <w:tcW w:w="1134" w:type="dxa"/>
            <w:shd w:val="clear" w:color="auto" w:fill="auto"/>
          </w:tcPr>
          <w:p w14:paraId="7C667585"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 xml:space="preserve">~60% CT perfusion </w:t>
            </w:r>
          </w:p>
        </w:tc>
        <w:tc>
          <w:tcPr>
            <w:tcW w:w="1418" w:type="dxa"/>
            <w:shd w:val="clear" w:color="auto" w:fill="auto"/>
          </w:tcPr>
          <w:p w14:paraId="01B778E4"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Multiphase CTA or CT perfusion for detection of core size and collaterals</w:t>
            </w:r>
          </w:p>
        </w:tc>
        <w:tc>
          <w:tcPr>
            <w:tcW w:w="1134" w:type="dxa"/>
            <w:shd w:val="clear" w:color="auto" w:fill="auto"/>
          </w:tcPr>
          <w:p w14:paraId="76A562D2"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CT/MRI perfusion including “mismatch”</w:t>
            </w:r>
          </w:p>
        </w:tc>
        <w:tc>
          <w:tcPr>
            <w:tcW w:w="2223" w:type="dxa"/>
            <w:shd w:val="clear" w:color="auto" w:fill="auto"/>
          </w:tcPr>
          <w:p w14:paraId="41CD01A3"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 perfusion or multimodal MRI to identify target mismatch (first 71 patients) CT or MRI ASPECTS ≥6 for remaining 125</w:t>
            </w:r>
          </w:p>
          <w:p w14:paraId="70C4919E" w14:textId="77777777"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~83% CT perfusion</w:t>
            </w:r>
          </w:p>
        </w:tc>
        <w:tc>
          <w:tcPr>
            <w:tcW w:w="1440" w:type="dxa"/>
            <w:shd w:val="clear" w:color="auto" w:fill="auto"/>
          </w:tcPr>
          <w:p w14:paraId="40135E92" w14:textId="2B19A1FB" w:rsidR="008E6A38" w:rsidRPr="00D85E09" w:rsidRDefault="008E6A38" w:rsidP="0043316B">
            <w:pPr>
              <w:widowControl w:val="0"/>
              <w:spacing w:after="0" w:line="240" w:lineRule="auto"/>
              <w:rPr>
                <w:rFonts w:ascii="Arial Narrow" w:hAnsi="Arial Narrow" w:cs="Times New Roman"/>
                <w:bCs/>
                <w:sz w:val="20"/>
                <w:szCs w:val="20"/>
                <w:lang w:eastAsia="en-AU"/>
              </w:rPr>
            </w:pPr>
            <w:r w:rsidRPr="00D85E09">
              <w:rPr>
                <w:rFonts w:ascii="Arial Narrow" w:hAnsi="Arial Narrow" w:cs="Times New Roman"/>
                <w:bCs/>
                <w:sz w:val="20"/>
                <w:szCs w:val="20"/>
                <w:lang w:eastAsia="en-AU"/>
              </w:rPr>
              <w:t>CT</w:t>
            </w:r>
            <w:r w:rsidR="00D32933" w:rsidRPr="00D85E09">
              <w:rPr>
                <w:rFonts w:ascii="Arial Narrow" w:hAnsi="Arial Narrow" w:cs="Times New Roman"/>
                <w:bCs/>
                <w:sz w:val="20"/>
                <w:szCs w:val="20"/>
                <w:lang w:eastAsia="en-AU"/>
              </w:rPr>
              <w:t xml:space="preserve"> </w:t>
            </w:r>
            <w:r w:rsidRPr="00D85E09">
              <w:rPr>
                <w:rFonts w:ascii="Arial Narrow" w:hAnsi="Arial Narrow" w:cs="Times New Roman"/>
                <w:bCs/>
                <w:sz w:val="20"/>
                <w:szCs w:val="20"/>
                <w:lang w:eastAsia="en-AU"/>
              </w:rPr>
              <w:t>perfusion, CTA-source or MRI-DWI required if &gt; 4.5 hrs</w:t>
            </w:r>
          </w:p>
        </w:tc>
      </w:tr>
    </w:tbl>
    <w:p w14:paraId="5E644DFE" w14:textId="77777777" w:rsidR="008E6A38" w:rsidRPr="00D85E09" w:rsidRDefault="008E6A38" w:rsidP="0043316B">
      <w:pPr>
        <w:pStyle w:val="Tablefootnote"/>
        <w:widowControl w:val="0"/>
        <w:spacing w:after="360"/>
        <w:rPr>
          <w:lang w:val="en-AU"/>
        </w:rPr>
      </w:pPr>
      <w:r w:rsidRPr="00D85E09">
        <w:rPr>
          <w:lang w:val="en-AU"/>
        </w:rPr>
        <w:t>Abbreviations: CT, computed tomography; CTA, CT angiography; DSA, digital subtraction angiography; DWI, diffusion weighted imaging; MRA, magnetic resonance angiography; MRI, magnetic resonance imaging</w:t>
      </w:r>
    </w:p>
    <w:p w14:paraId="4910EB5B" w14:textId="6457E033" w:rsidR="008E6A38" w:rsidRPr="00D85E09" w:rsidRDefault="008E6A38" w:rsidP="0043316B">
      <w:pPr>
        <w:widowControl w:val="0"/>
      </w:pPr>
      <w:r w:rsidRPr="00D85E09">
        <w:t>As described in Section A.5.1, the recently-developed Victorian statewide service protocol for endovascular clot retrieval recommends routine brain imaging for AIS should include a non-contrast CT brain and CTA from the aortic arch to the vertex. CT perfusion is recommended primarily in patients who are treated 6-8 hours after stroke onset and who are at high risk of “futile” MT. However, it should be noted that this form of advanced imaging is associated with several important limitations, including lack of standardisation, effect of motion and the potential to introduce delays in the decision-making process (Cougo-Pinto et al, 2015).</w:t>
      </w:r>
      <w:r w:rsidR="00C55C2C" w:rsidRPr="00D85E09">
        <w:t xml:space="preserve"> Even where optimised, the use of CT perfusion can consume time (Zerna et al, 2015) – and treatment delays should be avoided to optimi</w:t>
      </w:r>
      <w:r w:rsidR="00E56287" w:rsidRPr="00D85E09">
        <w:t>s</w:t>
      </w:r>
      <w:r w:rsidR="00C55C2C" w:rsidRPr="00D85E09">
        <w:t>e time to reperfusion and likelihood of good neurological outcomes.</w:t>
      </w:r>
    </w:p>
    <w:p w14:paraId="2C904D56" w14:textId="3B4E5067" w:rsidR="008E6A38" w:rsidRPr="00D85E09" w:rsidRDefault="008E6A38" w:rsidP="0043316B">
      <w:pPr>
        <w:widowControl w:val="0"/>
      </w:pPr>
      <w:r w:rsidRPr="00D85E09">
        <w:t>On this basis, it is expected that the use of MT in Australia will broadly align with the Victorian protocol which emphasises the use of non-contrast CT and CTA. As discussed above, clinical trial evidence from the five eligible RCTs shows this approach to selecting patients results in a substantial clinical benefit. Furthermore, IPD subgroup analyses show that the relative effect size for MT relative to usual care is consistent across a range of disease characteristics.</w:t>
      </w:r>
    </w:p>
    <w:p w14:paraId="17EC37E8" w14:textId="77777777" w:rsidR="00051AAA" w:rsidRPr="00D85E09" w:rsidRDefault="00051AAA" w:rsidP="0043316B">
      <w:pPr>
        <w:pStyle w:val="Heading3"/>
        <w:keepNext w:val="0"/>
        <w:widowControl w:val="0"/>
        <w:tabs>
          <w:tab w:val="clear" w:pos="993"/>
        </w:tabs>
        <w:autoSpaceDE/>
        <w:autoSpaceDN/>
        <w:adjustRightInd/>
        <w:ind w:left="907" w:hanging="907"/>
        <w:rPr>
          <w:lang w:val="en-AU"/>
        </w:rPr>
      </w:pPr>
      <w:bookmarkStart w:id="380" w:name="_Toc453065282"/>
      <w:r w:rsidRPr="00D85E09">
        <w:rPr>
          <w:lang w:val="en-AU"/>
        </w:rPr>
        <w:t>Relationship of the pre-modelling study to the economic model</w:t>
      </w:r>
      <w:bookmarkEnd w:id="380"/>
    </w:p>
    <w:p w14:paraId="1E26EE8E" w14:textId="5176A23B" w:rsidR="00E72EE6" w:rsidRPr="00D85E09" w:rsidRDefault="00E72EE6" w:rsidP="0043316B">
      <w:pPr>
        <w:widowControl w:val="0"/>
      </w:pPr>
      <w:r w:rsidRPr="00D85E09">
        <w:t>The balance of evidence presented in the current pre-modelling study supports that the efficacy of MT is generally consistent across several key patient</w:t>
      </w:r>
      <w:r w:rsidR="00A4252A" w:rsidRPr="00D85E09">
        <w:t>/</w:t>
      </w:r>
      <w:r w:rsidR="00020A6A" w:rsidRPr="00D85E09">
        <w:t xml:space="preserve">circumstances of use </w:t>
      </w:r>
      <w:r w:rsidRPr="00D85E09">
        <w:t xml:space="preserve">subgroups, demonstrating a satisfactory applicability of the available clinical data to the MBS context overall. This also supports the </w:t>
      </w:r>
      <w:r w:rsidR="00F67AF7" w:rsidRPr="00D85E09">
        <w:t>a</w:t>
      </w:r>
      <w:r w:rsidRPr="00D85E09">
        <w:t xml:space="preserve">pplication of an “ITT” approach as the base </w:t>
      </w:r>
      <w:r w:rsidRPr="00D85E09">
        <w:lastRenderedPageBreak/>
        <w:t>case analysis in generating cost-effectiveness evidence for MT in Section D.</w:t>
      </w:r>
    </w:p>
    <w:p w14:paraId="5C2970E2" w14:textId="393A3919" w:rsidR="00051AAA" w:rsidRPr="00D85E09" w:rsidRDefault="00051AAA" w:rsidP="0043316B">
      <w:pPr>
        <w:widowControl w:val="0"/>
      </w:pPr>
      <w:r w:rsidRPr="00D85E09">
        <w:t>The results of the IPD meta-analysis by Goyal et al (2016) suggest the efficacy of MT is consistent in patients with different demographic and disease characteristics. None of the potential effect modifiers examined in the IPD analysis were associated with a statistically significant probability of interaction (p&lt;0.05); however</w:t>
      </w:r>
      <w:r w:rsidR="00760706" w:rsidRPr="00D85E09">
        <w:t>,</w:t>
      </w:r>
      <w:r w:rsidRPr="00D85E09">
        <w:t xml:space="preserve"> it is possible that some smaller subgroups may benefit less from therapy</w:t>
      </w:r>
      <w:r w:rsidR="00460052" w:rsidRPr="00D85E09">
        <w:t xml:space="preserve">, whilst acknowledging uncertain predictive power of these </w:t>
      </w:r>
      <w:r w:rsidR="008F7D3C" w:rsidRPr="00D85E09">
        <w:t>findings</w:t>
      </w:r>
      <w:r w:rsidR="00460052" w:rsidRPr="00D85E09">
        <w:t xml:space="preserve"> due to their small sample sizes</w:t>
      </w:r>
      <w:r w:rsidRPr="00D85E09">
        <w:t>. These include patients with a younger age (18-49 years), low ASPECTS (0-5), and those with an occlusion site in the M2 segment of the middle cerebral artery. In addition, it is likely that longer time t</w:t>
      </w:r>
      <w:r w:rsidR="00A1193B" w:rsidRPr="00D85E09">
        <w:t>o the administration of therapy</w:t>
      </w:r>
      <w:r w:rsidRPr="00D85E09">
        <w:t xml:space="preserve"> reduces the relative efficacy of MT, highlighting the need to ensure that patients are treated as soon as possible after stroke onset, as outlined in current clinical practice guidelines (NSF, 2010). </w:t>
      </w:r>
      <w:r w:rsidR="00460052" w:rsidRPr="00D85E09">
        <w:t>Of course, these potential negative effect modifications are offset by positive effect modifications observed in their complementary subgroups.</w:t>
      </w:r>
    </w:p>
    <w:p w14:paraId="2122C8DC" w14:textId="4CCA7A2A" w:rsidR="007A386E" w:rsidRPr="00D85E09" w:rsidRDefault="007A386E" w:rsidP="0043316B">
      <w:pPr>
        <w:widowControl w:val="0"/>
      </w:pPr>
      <w:r w:rsidRPr="00D85E09">
        <w:t>Overall, the diagnostic imaging approaches used in the five eligible RCTs are applicable to the Australian health care setting, where it is expected that eligibility for MT will be established</w:t>
      </w:r>
      <w:r w:rsidR="005175F8" w:rsidRPr="00D85E09">
        <w:t xml:space="preserve"> primarily</w:t>
      </w:r>
      <w:r w:rsidRPr="00D85E09">
        <w:t xml:space="preserve"> on the basis of non-contrast CT and CT angiography. For some patients, CT perfusion imaging may be used to improve diagnostic sensitivity for ischaemic stroke and identify the extent of irreversible injury. However, the use of this form of advanced imaging should be considered in </w:t>
      </w:r>
      <w:r w:rsidR="005175F8" w:rsidRPr="00D85E09">
        <w:t xml:space="preserve">the </w:t>
      </w:r>
      <w:r w:rsidRPr="00D85E09">
        <w:t xml:space="preserve">context of </w:t>
      </w:r>
      <w:r w:rsidR="005175F8" w:rsidRPr="00D85E09">
        <w:t xml:space="preserve">potential </w:t>
      </w:r>
      <w:r w:rsidRPr="00D85E09">
        <w:t xml:space="preserve">time-delays and a lack of </w:t>
      </w:r>
      <w:r w:rsidR="00C55C2C" w:rsidRPr="00D85E09">
        <w:t>consensus regarding CT perfusion parameters used to assess the extent of salva</w:t>
      </w:r>
      <w:r w:rsidR="00B5717D" w:rsidRPr="00D85E09">
        <w:t>geable brain tissue (Zerna et al</w:t>
      </w:r>
      <w:r w:rsidR="00C55C2C" w:rsidRPr="00D85E09">
        <w:t>, 2015).</w:t>
      </w:r>
    </w:p>
    <w:p w14:paraId="3CDC7162" w14:textId="5FEEC66F" w:rsidR="00051AAA" w:rsidRPr="00D85E09" w:rsidRDefault="00051AAA" w:rsidP="0043316B">
      <w:pPr>
        <w:widowControl w:val="0"/>
      </w:pPr>
      <w:r w:rsidRPr="00D85E09">
        <w:t xml:space="preserve">Importantly, the IPD meta-analysis confirms the clinical efficacy of endovascular therapy in the absence of </w:t>
      </w:r>
      <w:r w:rsidR="00F635BF" w:rsidRPr="00D85E09">
        <w:t>IV</w:t>
      </w:r>
      <w:r w:rsidR="00D32933" w:rsidRPr="00D85E09">
        <w:t>-</w:t>
      </w:r>
      <w:r w:rsidR="00F635BF" w:rsidRPr="00D85E09">
        <w:t>tPA</w:t>
      </w:r>
      <w:r w:rsidRPr="00D85E09">
        <w:t>. This conclusion is based on an analysis of 188 patients from four out of the five eligible RCTs. These results suggest the benefits of MT relative to</w:t>
      </w:r>
      <w:r w:rsidR="00E72EE6" w:rsidRPr="00D85E09">
        <w:t xml:space="preserve"> </w:t>
      </w:r>
      <w:r w:rsidRPr="00D85E09">
        <w:t xml:space="preserve">medical management are similar to the benefits of MT plus </w:t>
      </w:r>
      <w:r w:rsidR="00E72EE6" w:rsidRPr="00D85E09">
        <w:t>IV</w:t>
      </w:r>
      <w:r w:rsidR="00D32933" w:rsidRPr="00D85E09">
        <w:t>-</w:t>
      </w:r>
      <w:r w:rsidR="00F635BF" w:rsidRPr="00D85E09">
        <w:t>tPA</w:t>
      </w:r>
      <w:r w:rsidRPr="00D85E09">
        <w:t xml:space="preserve"> compared to </w:t>
      </w:r>
      <w:r w:rsidR="00E72EE6" w:rsidRPr="00D85E09">
        <w:t>IV</w:t>
      </w:r>
      <w:r w:rsidR="00D32933" w:rsidRPr="00D85E09">
        <w:t>-</w:t>
      </w:r>
      <w:r w:rsidR="00F635BF" w:rsidRPr="00D85E09">
        <w:t>tPA</w:t>
      </w:r>
      <w:r w:rsidRPr="00D85E09">
        <w:t xml:space="preserve"> alone. This observation is supported by the results of the STAR prospective study, including a large proportion of patients who received direct MT</w:t>
      </w:r>
      <w:r w:rsidR="00A4252A" w:rsidRPr="00D85E09">
        <w:t xml:space="preserve"> (i.e. patients with contraindications to IV</w:t>
      </w:r>
      <w:r w:rsidR="00D32933" w:rsidRPr="00D85E09">
        <w:t>-</w:t>
      </w:r>
      <w:r w:rsidR="00A4252A" w:rsidRPr="00D85E09">
        <w:t>tPA)</w:t>
      </w:r>
      <w:r w:rsidRPr="00D85E09">
        <w:t xml:space="preserve"> (Pereira et al, 2013).</w:t>
      </w:r>
    </w:p>
    <w:p w14:paraId="2E3788B4" w14:textId="569C18F5" w:rsidR="00E72EE6" w:rsidRPr="00D85E09" w:rsidRDefault="00051AAA" w:rsidP="0043316B">
      <w:pPr>
        <w:widowControl w:val="0"/>
      </w:pPr>
      <w:r w:rsidRPr="00D85E09">
        <w:t>It should be noted that IPD meta-analyses can improve the quality of data and produce more reliable results, and for this reason they are considered to be a ‘gold standard’ for systematic review methodology (Riley et al, 2010). In particular, IPD meta-analysis facilitates investigation of specific subgroups of patients and differential treatment effects can be assessed across individuals, which can help reduce study heterogeneity.</w:t>
      </w:r>
    </w:p>
    <w:p w14:paraId="6FF689ED" w14:textId="13A9FD4D" w:rsidR="00051AAA" w:rsidRPr="00D85E09" w:rsidRDefault="00F140ED" w:rsidP="0043316B">
      <w:pPr>
        <w:widowControl w:val="0"/>
      </w:pPr>
      <w:r w:rsidRPr="00D85E09">
        <w:lastRenderedPageBreak/>
        <w:t>As set out above</w:t>
      </w:r>
      <w:r w:rsidR="00051AAA" w:rsidRPr="00D85E09">
        <w:t xml:space="preserve">, the clinical data used in the </w:t>
      </w:r>
      <w:r w:rsidRPr="00D85E09">
        <w:t xml:space="preserve">base case Section D </w:t>
      </w:r>
      <w:r w:rsidR="00051AAA" w:rsidRPr="00D85E09">
        <w:t xml:space="preserve">model are </w:t>
      </w:r>
      <w:r w:rsidR="00F17396" w:rsidRPr="00D85E09">
        <w:t xml:space="preserve">therefore </w:t>
      </w:r>
      <w:r w:rsidR="00051AAA" w:rsidRPr="00D85E09">
        <w:t xml:space="preserve">the </w:t>
      </w:r>
      <w:r w:rsidRPr="00D85E09">
        <w:t xml:space="preserve">meta-analysed </w:t>
      </w:r>
      <w:r w:rsidR="00051AAA" w:rsidRPr="00D85E09">
        <w:t xml:space="preserve">IPD of the ITT population. </w:t>
      </w:r>
      <w:r w:rsidRPr="00D85E09">
        <w:t>Section D.</w:t>
      </w:r>
      <w:r w:rsidR="00166C2D" w:rsidRPr="00D85E09">
        <w:t>4</w:t>
      </w:r>
      <w:r w:rsidRPr="00D85E09">
        <w:t xml:space="preserve"> will present all relevant clinical data for the cost-effectiveness analysis. A series of sensitivity analys</w:t>
      </w:r>
      <w:r w:rsidR="00A4252A" w:rsidRPr="00D85E09">
        <w:t>e</w:t>
      </w:r>
      <w:r w:rsidRPr="00D85E09">
        <w:t xml:space="preserve">s will </w:t>
      </w:r>
      <w:r w:rsidR="00F17396" w:rsidRPr="00D85E09">
        <w:t>be performed to explore key subgroups and individual RCTs.</w:t>
      </w:r>
    </w:p>
    <w:p w14:paraId="65F006DA" w14:textId="3A95DD16" w:rsidR="00051AAA" w:rsidRPr="00D85E09" w:rsidRDefault="008F7D3C" w:rsidP="0043316B">
      <w:pPr>
        <w:widowControl w:val="0"/>
      </w:pPr>
      <w:r w:rsidRPr="00D85E09">
        <w:t xml:space="preserve">Additionally, the control data from the pivotal RCTs are used to inform the </w:t>
      </w:r>
      <w:r w:rsidR="00F349F0" w:rsidRPr="00D85E09">
        <w:t>usual care</w:t>
      </w:r>
      <w:r w:rsidRPr="00D85E09">
        <w:t xml:space="preserve"> arm of the Section D model. </w:t>
      </w:r>
      <w:r w:rsidRPr="00D85E09">
        <w:rPr>
          <w:i/>
        </w:rPr>
        <w:t>This assumes that the care provided in the control arms of the trials are overall representative of the care likely provided in the absence of MT in the Australian clinical practice.</w:t>
      </w:r>
      <w:r w:rsidRPr="00D85E09">
        <w:t xml:space="preserve"> It is expected that the provision of MT would be restricted to “centres of excellence” in </w:t>
      </w:r>
      <w:r w:rsidR="008E3638" w:rsidRPr="00D85E09">
        <w:t xml:space="preserve">acute </w:t>
      </w:r>
      <w:r w:rsidRPr="00D85E09">
        <w:t xml:space="preserve">stroke care due to the infrastructure </w:t>
      </w:r>
      <w:r w:rsidR="008E3638" w:rsidRPr="00D85E09">
        <w:t xml:space="preserve">and clinical staff </w:t>
      </w:r>
      <w:r w:rsidRPr="00D85E09">
        <w:t>r</w:t>
      </w:r>
      <w:r w:rsidR="004412BE" w:rsidRPr="00D85E09">
        <w:t>equirements (see Section E.1). As discussed in Section A.3.1, t</w:t>
      </w:r>
      <w:r w:rsidRPr="00D85E09">
        <w:t xml:space="preserve">he </w:t>
      </w:r>
      <w:r w:rsidR="00F349F0" w:rsidRPr="00D85E09">
        <w:t>usual care</w:t>
      </w:r>
      <w:r w:rsidRPr="00D85E09">
        <w:t xml:space="preserve"> provided in these centres </w:t>
      </w:r>
      <w:r w:rsidR="008E3638" w:rsidRPr="00D85E09">
        <w:t xml:space="preserve">is </w:t>
      </w:r>
      <w:r w:rsidRPr="00D85E09">
        <w:t>well standardised</w:t>
      </w:r>
      <w:r w:rsidR="008E3638" w:rsidRPr="00D85E09">
        <w:t xml:space="preserve"> (through the use of ‘code’ stroke teams and protocols)</w:t>
      </w:r>
      <w:r w:rsidRPr="00D85E09">
        <w:t xml:space="preserve"> and</w:t>
      </w:r>
      <w:r w:rsidR="004F5DE7" w:rsidRPr="00D85E09">
        <w:t>, importantly, is likely to be</w:t>
      </w:r>
      <w:r w:rsidR="00A4252A" w:rsidRPr="00D85E09">
        <w:t xml:space="preserve"> generali</w:t>
      </w:r>
      <w:r w:rsidR="00E56287" w:rsidRPr="00D85E09">
        <w:t>s</w:t>
      </w:r>
      <w:r w:rsidR="00A4252A" w:rsidRPr="00D85E09">
        <w:t>able</w:t>
      </w:r>
      <w:r w:rsidRPr="00D85E09">
        <w:t xml:space="preserve"> to </w:t>
      </w:r>
      <w:r w:rsidR="004F5DE7" w:rsidRPr="00D85E09">
        <w:t xml:space="preserve">the </w:t>
      </w:r>
      <w:r w:rsidR="008E3638" w:rsidRPr="00D85E09">
        <w:t xml:space="preserve">high level of </w:t>
      </w:r>
      <w:r w:rsidR="004F5DE7" w:rsidRPr="00D85E09">
        <w:t>care provided in the pivotal RCTs.</w:t>
      </w:r>
    </w:p>
    <w:p w14:paraId="4443D86C" w14:textId="77777777" w:rsidR="00051AAA" w:rsidRPr="00D85E09" w:rsidRDefault="00051AAA" w:rsidP="0043316B">
      <w:pPr>
        <w:pStyle w:val="Heading2"/>
        <w:widowControl w:val="0"/>
        <w:ind w:left="851" w:hanging="851"/>
        <w:rPr>
          <w:lang w:val="en-AU"/>
        </w:rPr>
      </w:pPr>
      <w:bookmarkStart w:id="381" w:name="_Ref450641779"/>
      <w:bookmarkStart w:id="382" w:name="_Toc453065283"/>
      <w:r w:rsidRPr="00D85E09">
        <w:rPr>
          <w:lang w:val="en-AU"/>
        </w:rPr>
        <w:t>Applicability of clinical trial data to Australian patients with acute ischaemic stroke</w:t>
      </w:r>
      <w:bookmarkEnd w:id="381"/>
      <w:bookmarkEnd w:id="382"/>
    </w:p>
    <w:p w14:paraId="79D29168" w14:textId="77777777" w:rsidR="00051AAA" w:rsidRPr="00D85E09" w:rsidRDefault="00051AAA" w:rsidP="0043316B">
      <w:pPr>
        <w:pStyle w:val="Heading3"/>
        <w:keepNext w:val="0"/>
        <w:widowControl w:val="0"/>
        <w:tabs>
          <w:tab w:val="clear" w:pos="993"/>
        </w:tabs>
        <w:autoSpaceDE/>
        <w:autoSpaceDN/>
        <w:adjustRightInd/>
        <w:ind w:left="907" w:hanging="907"/>
        <w:rPr>
          <w:lang w:val="en-AU"/>
        </w:rPr>
      </w:pPr>
      <w:bookmarkStart w:id="383" w:name="_Ref397003038"/>
      <w:bookmarkStart w:id="384" w:name="_Toc400475602"/>
      <w:bookmarkStart w:id="385" w:name="_Toc453065284"/>
      <w:r w:rsidRPr="00D85E09">
        <w:rPr>
          <w:lang w:val="en-AU"/>
        </w:rPr>
        <w:t>Focused analytical plan</w:t>
      </w:r>
      <w:bookmarkEnd w:id="383"/>
      <w:bookmarkEnd w:id="384"/>
      <w:bookmarkEnd w:id="385"/>
    </w:p>
    <w:p w14:paraId="1E212B62" w14:textId="38A675A5" w:rsidR="00051AAA" w:rsidRPr="00D85E09" w:rsidRDefault="00051AAA" w:rsidP="0043316B">
      <w:pPr>
        <w:widowControl w:val="0"/>
      </w:pPr>
      <w:r w:rsidRPr="00D85E09">
        <w:t>The five trials included in Section B of this submission and the IPD meta-analysis presented in Section C.2 were conducted across a range of settings and health care systems. SWIFT PRIME was conducted in 39 centres in the USA and Europe, MR CLEAN was conducted in 16 sites in the Netherlands, ESCAPE was undertaken in 22 sites across Canada, Europe the USA and Asia, REVASCAT was undertaken in four Spanish centres and EXTEND-</w:t>
      </w:r>
      <w:r w:rsidR="001743B3" w:rsidRPr="00D85E09">
        <w:t>IA</w:t>
      </w:r>
      <w:r w:rsidRPr="00D85E09">
        <w:t xml:space="preserve"> was conducted in nine Australian sites and one centre in New Zealand. Additionally, </w:t>
      </w:r>
      <w:r w:rsidR="00480F34" w:rsidRPr="00D85E09">
        <w:t xml:space="preserve">because </w:t>
      </w:r>
      <w:r w:rsidRPr="00D85E09">
        <w:t xml:space="preserve">the studies were predominantly undertaken by expert, high-throughput, neuroscience-based stroke centres and in </w:t>
      </w:r>
      <w:r w:rsidR="00480F34" w:rsidRPr="00D85E09">
        <w:t>highly</w:t>
      </w:r>
      <w:r w:rsidRPr="00D85E09">
        <w:t xml:space="preserve"> select</w:t>
      </w:r>
      <w:r w:rsidR="00480F34" w:rsidRPr="00D85E09">
        <w:t>ed</w:t>
      </w:r>
      <w:r w:rsidRPr="00D85E09">
        <w:t xml:space="preserve"> patients raises the possibility of potential selection bias.</w:t>
      </w:r>
    </w:p>
    <w:p w14:paraId="12A8D22F" w14:textId="4942B13C" w:rsidR="0000418B" w:rsidRPr="00D85E09" w:rsidRDefault="00051AAA" w:rsidP="0043316B">
      <w:pPr>
        <w:widowControl w:val="0"/>
      </w:pPr>
      <w:r w:rsidRPr="00D85E09">
        <w:t xml:space="preserve">Whilst Section C.2 investigates the applicability of the clinical trial data to the proposed MBS listing through assessing the impact of potential clinical effect modifiers, Section C.3 focusses on the applicability of the trial data to Australian patients </w:t>
      </w:r>
      <w:r w:rsidR="00F17396" w:rsidRPr="00D85E09">
        <w:t>who would be considered eligible for MT</w:t>
      </w:r>
      <w:r w:rsidRPr="00D85E09">
        <w:t>.</w:t>
      </w:r>
    </w:p>
    <w:p w14:paraId="798A17F4" w14:textId="09B3B2E7" w:rsidR="00051AAA" w:rsidRPr="00D85E09" w:rsidRDefault="00051AAA" w:rsidP="0043316B">
      <w:pPr>
        <w:widowControl w:val="0"/>
      </w:pPr>
      <w:r w:rsidRPr="00D85E09">
        <w:t>To address this issue, this pre</w:t>
      </w:r>
      <w:r w:rsidR="0013188A" w:rsidRPr="00D85E09">
        <w:t>-</w:t>
      </w:r>
      <w:r w:rsidRPr="00D85E09">
        <w:t>modelling study compares the characteristics of all included trial participants in the pivotal five RCTs to Australian patients in the EXTEND-</w:t>
      </w:r>
      <w:r w:rsidR="001743B3" w:rsidRPr="00D85E09">
        <w:t>IA</w:t>
      </w:r>
      <w:r w:rsidRPr="00D85E09">
        <w:t xml:space="preserve"> trial (which was undertaken in solely in Australia and New Zealand). </w:t>
      </w:r>
      <w:r w:rsidR="008E1DE0" w:rsidRPr="00D85E09">
        <w:t xml:space="preserve">EXTEND-IA was the only eligible RCT of MT in which all patients received alteplase treatment in the intervention and comparator arms. Therefore the data from this particular trial are not </w:t>
      </w:r>
      <w:r w:rsidR="008E1DE0" w:rsidRPr="00D85E09">
        <w:lastRenderedPageBreak/>
        <w:t>applicable to the patient group that is ineligible for treatment with IV</w:t>
      </w:r>
      <w:r w:rsidR="00D32933" w:rsidRPr="00D85E09">
        <w:t>-</w:t>
      </w:r>
      <w:r w:rsidR="008E1DE0" w:rsidRPr="00D85E09">
        <w:t>tPA. To address the applicability of population</w:t>
      </w:r>
      <w:r w:rsidR="00BE28CA" w:rsidRPr="00D85E09">
        <w:t xml:space="preserve"> ineligible for IV</w:t>
      </w:r>
      <w:r w:rsidR="00D32933" w:rsidRPr="00D85E09">
        <w:t>-</w:t>
      </w:r>
      <w:r w:rsidR="00BE28CA" w:rsidRPr="00D85E09">
        <w:t>tPA</w:t>
      </w:r>
      <w:r w:rsidR="008E1DE0" w:rsidRPr="00D85E09">
        <w:t>,</w:t>
      </w:r>
      <w:r w:rsidR="0000418B" w:rsidRPr="00D85E09">
        <w:t xml:space="preserve"> </w:t>
      </w:r>
      <w:r w:rsidR="008E1DE0" w:rsidRPr="00D85E09">
        <w:t>the submission presents a comparison of subgroup data for patients that</w:t>
      </w:r>
      <w:r w:rsidRPr="00D85E09">
        <w:t xml:space="preserve"> </w:t>
      </w:r>
      <w:r w:rsidR="008E1DE0" w:rsidRPr="00D85E09">
        <w:t xml:space="preserve">did and did not receive intravenous alteplase in the MR CLEAN trial. </w:t>
      </w:r>
      <w:r w:rsidR="00BE28CA" w:rsidRPr="00D85E09">
        <w:t>In addition, the pre</w:t>
      </w:r>
      <w:r w:rsidR="00300BB6" w:rsidRPr="00D85E09">
        <w:t>-modelling</w:t>
      </w:r>
      <w:r w:rsidR="00BE28CA" w:rsidRPr="00D85E09">
        <w:t xml:space="preserve"> study explores the reasons why patients are contraindicated for IV</w:t>
      </w:r>
      <w:r w:rsidR="00D32933" w:rsidRPr="00D85E09">
        <w:t>-</w:t>
      </w:r>
      <w:r w:rsidR="00BE28CA" w:rsidRPr="00D85E09">
        <w:t>tPA in the pivotal trials and in clinical practice.</w:t>
      </w:r>
    </w:p>
    <w:p w14:paraId="41C5E52D" w14:textId="77777777" w:rsidR="00051AAA" w:rsidRPr="00D85E09" w:rsidRDefault="00051AAA" w:rsidP="0043316B">
      <w:pPr>
        <w:pStyle w:val="Heading3"/>
        <w:keepNext w:val="0"/>
        <w:widowControl w:val="0"/>
        <w:tabs>
          <w:tab w:val="clear" w:pos="993"/>
        </w:tabs>
        <w:autoSpaceDE/>
        <w:autoSpaceDN/>
        <w:adjustRightInd/>
        <w:ind w:left="907" w:hanging="907"/>
        <w:rPr>
          <w:lang w:val="en-AU"/>
        </w:rPr>
      </w:pPr>
      <w:bookmarkStart w:id="386" w:name="_Toc400475603"/>
      <w:bookmarkStart w:id="387" w:name="_Toc453065285"/>
      <w:r w:rsidRPr="00D85E09">
        <w:rPr>
          <w:lang w:val="en-AU"/>
        </w:rPr>
        <w:t>Results of the pre-modelling study</w:t>
      </w:r>
      <w:bookmarkEnd w:id="386"/>
      <w:bookmarkEnd w:id="387"/>
    </w:p>
    <w:p w14:paraId="5B3EBB63" w14:textId="4A91AD7C" w:rsidR="008E1DE0" w:rsidRPr="00D85E09" w:rsidRDefault="008E1DE0" w:rsidP="0043316B">
      <w:pPr>
        <w:pStyle w:val="Heading4"/>
        <w:keepLines w:val="0"/>
        <w:widowControl w:val="0"/>
        <w:rPr>
          <w:lang w:val="en-AU"/>
        </w:rPr>
      </w:pPr>
      <w:bookmarkStart w:id="388" w:name="_Toc400475604"/>
      <w:r w:rsidRPr="00D85E09">
        <w:rPr>
          <w:lang w:val="en-AU"/>
        </w:rPr>
        <w:t>Patients eligible for IV</w:t>
      </w:r>
      <w:r w:rsidR="00D32933" w:rsidRPr="00D85E09">
        <w:rPr>
          <w:lang w:val="en-AU"/>
        </w:rPr>
        <w:t>-</w:t>
      </w:r>
      <w:r w:rsidRPr="00D85E09">
        <w:rPr>
          <w:lang w:val="en-AU"/>
        </w:rPr>
        <w:t>tPA</w:t>
      </w:r>
    </w:p>
    <w:p w14:paraId="5FF5BAA6" w14:textId="35F55BCD" w:rsidR="00051AAA" w:rsidRPr="00D85E09" w:rsidRDefault="00051AAA" w:rsidP="0043316B">
      <w:pPr>
        <w:widowControl w:val="0"/>
      </w:pPr>
      <w:r w:rsidRPr="00D85E09">
        <w:t>The baseline characteristics of the ITT population of the IPD analysis of the five included studies, and those of the EXTEND-</w:t>
      </w:r>
      <w:r w:rsidR="001743B3" w:rsidRPr="00D85E09">
        <w:t>IA</w:t>
      </w:r>
      <w:r w:rsidRPr="00D85E09">
        <w:t xml:space="preserve"> population alone, are presented in </w:t>
      </w:r>
      <w:r w:rsidRPr="00D85E09">
        <w:fldChar w:fldCharType="begin"/>
      </w:r>
      <w:r w:rsidRPr="00D85E09">
        <w:instrText xml:space="preserve"> REF _Ref446427429 \h  \* MERGEFORMAT </w:instrText>
      </w:r>
      <w:r w:rsidRPr="00D85E09">
        <w:fldChar w:fldCharType="separate"/>
      </w:r>
      <w:r w:rsidR="00A456ED" w:rsidRPr="00D85E09">
        <w:t xml:space="preserve">Table </w:t>
      </w:r>
      <w:r w:rsidR="00A456ED">
        <w:t>45</w:t>
      </w:r>
      <w:r w:rsidRPr="00D85E09">
        <w:fldChar w:fldCharType="end"/>
      </w:r>
      <w:r w:rsidRPr="00D85E09">
        <w:t xml:space="preserve"> (Goyal, 2016; Table 1).</w:t>
      </w:r>
    </w:p>
    <w:p w14:paraId="71066132" w14:textId="1D704168" w:rsidR="00051AAA" w:rsidRPr="00D85E09" w:rsidRDefault="00051AAA" w:rsidP="0043316B">
      <w:pPr>
        <w:widowControl w:val="0"/>
      </w:pPr>
      <w:r w:rsidRPr="00D85E09">
        <w:t>Both populations were well-balanced across the two arms of the analysis. In the IPD meta-analysis, the median age of patients across the five studies is 68 years, with a slightly higher proportion of men than women. Demographic characteristics of the 70 patients included in the EXTEND-</w:t>
      </w:r>
      <w:r w:rsidR="001743B3" w:rsidRPr="00D85E09">
        <w:t>IA</w:t>
      </w:r>
      <w:r w:rsidRPr="00D85E09">
        <w:t xml:space="preserve"> trial were similar, with a mean age of ~69 years and an almost even number of men and women.</w:t>
      </w:r>
    </w:p>
    <w:p w14:paraId="00B01E60" w14:textId="632AA3DC" w:rsidR="00181227" w:rsidRDefault="00051AAA" w:rsidP="0043316B">
      <w:pPr>
        <w:widowControl w:val="0"/>
      </w:pPr>
      <w:r w:rsidRPr="00D85E09">
        <w:t>Patients in both analyses had a similar distribution of co</w:t>
      </w:r>
      <w:r w:rsidR="00300BB6" w:rsidRPr="00D85E09">
        <w:t>morbidities</w:t>
      </w:r>
      <w:r w:rsidRPr="00D85E09">
        <w:t xml:space="preserve">, with over half of the patients with a history of hypertension, a third with a history of atrial fibrillation and a third assessed as recent or current smokers. In terms of clinical characteristics, </w:t>
      </w:r>
      <w:r w:rsidR="004A6DAF" w:rsidRPr="00D85E09">
        <w:t>t</w:t>
      </w:r>
      <w:r w:rsidRPr="00D85E09">
        <w:t>he mean baseline NIHSS score at baseline was similar in both datasets, as were the distributions of the location of occlusions. The five eligible studies included a range of treatment protocols, and as such, the process times (in particular,</w:t>
      </w:r>
      <w:r w:rsidR="00F349F0" w:rsidRPr="00D85E09">
        <w:t xml:space="preserve"> time to administration of IV</w:t>
      </w:r>
      <w:r w:rsidR="00D32933" w:rsidRPr="00D85E09">
        <w:t>-</w:t>
      </w:r>
      <w:r w:rsidR="00F349F0" w:rsidRPr="00D85E09">
        <w:t>t</w:t>
      </w:r>
      <w:r w:rsidRPr="00D85E09">
        <w:t>PA) ranged from 74 to 140 minutes. By comparison, the process times in the EXTEND-</w:t>
      </w:r>
      <w:r w:rsidR="001743B3" w:rsidRPr="00D85E09">
        <w:t>IA</w:t>
      </w:r>
      <w:r w:rsidRPr="00D85E09">
        <w:t xml:space="preserve"> study were slightly longer, with a median of 127-145 minutes. Nonetheless, in both groups the median time to alteplase treatment was well within the timeframe of 4.5 hours (270 minutes) recommended by most CPGs (NSF, 2010).</w:t>
      </w:r>
      <w:r w:rsidR="00181227">
        <w:br w:type="page"/>
      </w:r>
    </w:p>
    <w:p w14:paraId="4DE2E246" w14:textId="6CFF1C99" w:rsidR="00051AAA" w:rsidRPr="00D85E09" w:rsidRDefault="00051AAA" w:rsidP="0043316B">
      <w:pPr>
        <w:pStyle w:val="Caption"/>
        <w:keepNext w:val="0"/>
        <w:widowControl w:val="0"/>
        <w:rPr>
          <w:lang w:val="en-AU"/>
        </w:rPr>
      </w:pPr>
      <w:bookmarkStart w:id="389" w:name="_Ref446427429"/>
      <w:bookmarkStart w:id="390" w:name="_Toc453065381"/>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45</w:t>
      </w:r>
      <w:r w:rsidRPr="00D85E09">
        <w:rPr>
          <w:lang w:val="en-AU"/>
        </w:rPr>
        <w:fldChar w:fldCharType="end"/>
      </w:r>
      <w:bookmarkEnd w:id="389"/>
      <w:r w:rsidRPr="00D85E09">
        <w:rPr>
          <w:lang w:val="en-AU"/>
        </w:rPr>
        <w:tab/>
        <w:t>Baseline characteristics in the pooled data</w:t>
      </w:r>
      <w:bookmarkEnd w:id="390"/>
    </w:p>
    <w:tbl>
      <w:tblPr>
        <w:tblStyle w:val="TableGrid"/>
        <w:tblW w:w="0" w:type="auto"/>
        <w:tblLook w:val="04A0" w:firstRow="1" w:lastRow="0" w:firstColumn="1" w:lastColumn="0" w:noHBand="0" w:noVBand="1"/>
        <w:tblDescription w:val="Table 45. Baseline characteristics in the pooled data"/>
      </w:tblPr>
      <w:tblGrid>
        <w:gridCol w:w="2943"/>
        <w:gridCol w:w="1515"/>
        <w:gridCol w:w="1515"/>
        <w:gridCol w:w="1515"/>
        <w:gridCol w:w="1516"/>
      </w:tblGrid>
      <w:tr w:rsidR="00051AAA" w:rsidRPr="00D85E09" w14:paraId="7EEF4AA0" w14:textId="77777777" w:rsidTr="00BE6331">
        <w:trPr>
          <w:tblHeader/>
        </w:trPr>
        <w:tc>
          <w:tcPr>
            <w:tcW w:w="2943" w:type="dxa"/>
            <w:vMerge w:val="restart"/>
          </w:tcPr>
          <w:p w14:paraId="140F892D" w14:textId="77777777" w:rsidR="00051AAA" w:rsidRPr="00D85E09" w:rsidRDefault="00051AAA" w:rsidP="0043316B">
            <w:pPr>
              <w:pStyle w:val="Tabletext"/>
              <w:keepNext w:val="0"/>
              <w:widowControl w:val="0"/>
              <w:rPr>
                <w:b/>
              </w:rPr>
            </w:pPr>
            <w:r w:rsidRPr="00D85E09">
              <w:rPr>
                <w:b/>
              </w:rPr>
              <w:t>Characteristic</w:t>
            </w:r>
          </w:p>
        </w:tc>
        <w:tc>
          <w:tcPr>
            <w:tcW w:w="3030" w:type="dxa"/>
            <w:gridSpan w:val="2"/>
          </w:tcPr>
          <w:p w14:paraId="330E2C7C" w14:textId="77777777" w:rsidR="00051AAA" w:rsidRPr="00D85E09" w:rsidRDefault="00051AAA" w:rsidP="0043316B">
            <w:pPr>
              <w:pStyle w:val="Tabletext"/>
              <w:keepNext w:val="0"/>
              <w:widowControl w:val="0"/>
              <w:rPr>
                <w:b/>
              </w:rPr>
            </w:pPr>
            <w:r w:rsidRPr="00D85E09">
              <w:rPr>
                <w:b/>
              </w:rPr>
              <w:t>IPD ITT population</w:t>
            </w:r>
          </w:p>
        </w:tc>
        <w:tc>
          <w:tcPr>
            <w:tcW w:w="3031" w:type="dxa"/>
            <w:gridSpan w:val="2"/>
          </w:tcPr>
          <w:p w14:paraId="41CD602C" w14:textId="75D7818C" w:rsidR="00051AAA" w:rsidRPr="00D85E09" w:rsidRDefault="00051AAA" w:rsidP="0043316B">
            <w:pPr>
              <w:pStyle w:val="Tabletext"/>
              <w:keepNext w:val="0"/>
              <w:widowControl w:val="0"/>
              <w:rPr>
                <w:b/>
              </w:rPr>
            </w:pPr>
            <w:r w:rsidRPr="00D85E09">
              <w:rPr>
                <w:b/>
              </w:rPr>
              <w:t>EXTEND-</w:t>
            </w:r>
            <w:r w:rsidR="001743B3" w:rsidRPr="00D85E09">
              <w:rPr>
                <w:b/>
              </w:rPr>
              <w:t>IA</w:t>
            </w:r>
          </w:p>
        </w:tc>
      </w:tr>
      <w:tr w:rsidR="00051AAA" w:rsidRPr="00D85E09" w14:paraId="04AC4E32" w14:textId="77777777" w:rsidTr="00BE6331">
        <w:trPr>
          <w:tblHeader/>
        </w:trPr>
        <w:tc>
          <w:tcPr>
            <w:tcW w:w="2943" w:type="dxa"/>
            <w:vMerge/>
          </w:tcPr>
          <w:p w14:paraId="3D0EE9BD" w14:textId="77777777" w:rsidR="00051AAA" w:rsidRPr="00D85E09" w:rsidRDefault="00051AAA" w:rsidP="0043316B">
            <w:pPr>
              <w:pStyle w:val="Tabletext"/>
              <w:keepNext w:val="0"/>
              <w:widowControl w:val="0"/>
              <w:rPr>
                <w:b/>
              </w:rPr>
            </w:pPr>
          </w:p>
        </w:tc>
        <w:tc>
          <w:tcPr>
            <w:tcW w:w="1515" w:type="dxa"/>
          </w:tcPr>
          <w:p w14:paraId="0029DD0B" w14:textId="77777777" w:rsidR="00051AAA" w:rsidRPr="00D85E09" w:rsidRDefault="00051AAA" w:rsidP="0043316B">
            <w:pPr>
              <w:pStyle w:val="Tabletext"/>
              <w:keepNext w:val="0"/>
              <w:widowControl w:val="0"/>
              <w:rPr>
                <w:b/>
              </w:rPr>
            </w:pPr>
            <w:r w:rsidRPr="00D85E09">
              <w:rPr>
                <w:b/>
              </w:rPr>
              <w:t>Intervention population (n=634)</w:t>
            </w:r>
          </w:p>
        </w:tc>
        <w:tc>
          <w:tcPr>
            <w:tcW w:w="1515" w:type="dxa"/>
          </w:tcPr>
          <w:p w14:paraId="61119941" w14:textId="77777777" w:rsidR="00051AAA" w:rsidRPr="00D85E09" w:rsidRDefault="00051AAA" w:rsidP="0043316B">
            <w:pPr>
              <w:pStyle w:val="Tabletext"/>
              <w:keepNext w:val="0"/>
              <w:widowControl w:val="0"/>
              <w:rPr>
                <w:b/>
              </w:rPr>
            </w:pPr>
            <w:r w:rsidRPr="00D85E09">
              <w:rPr>
                <w:b/>
              </w:rPr>
              <w:t>Control population (n=653)</w:t>
            </w:r>
          </w:p>
        </w:tc>
        <w:tc>
          <w:tcPr>
            <w:tcW w:w="1515" w:type="dxa"/>
          </w:tcPr>
          <w:p w14:paraId="7B313D89" w14:textId="77777777" w:rsidR="00051AAA" w:rsidRPr="00D85E09" w:rsidRDefault="00051AAA" w:rsidP="0043316B">
            <w:pPr>
              <w:pStyle w:val="Tabletext"/>
              <w:keepNext w:val="0"/>
              <w:widowControl w:val="0"/>
              <w:rPr>
                <w:b/>
              </w:rPr>
            </w:pPr>
            <w:r w:rsidRPr="00D85E09">
              <w:rPr>
                <w:b/>
              </w:rPr>
              <w:t>Intervention population (n=35)</w:t>
            </w:r>
          </w:p>
        </w:tc>
        <w:tc>
          <w:tcPr>
            <w:tcW w:w="1516" w:type="dxa"/>
          </w:tcPr>
          <w:p w14:paraId="2B12A0B7" w14:textId="77777777" w:rsidR="00051AAA" w:rsidRPr="00D85E09" w:rsidRDefault="00051AAA" w:rsidP="0043316B">
            <w:pPr>
              <w:pStyle w:val="Tabletext"/>
              <w:keepNext w:val="0"/>
              <w:widowControl w:val="0"/>
              <w:rPr>
                <w:b/>
              </w:rPr>
            </w:pPr>
            <w:r w:rsidRPr="00D85E09">
              <w:rPr>
                <w:b/>
              </w:rPr>
              <w:t>Control population (n=35)</w:t>
            </w:r>
          </w:p>
        </w:tc>
      </w:tr>
      <w:tr w:rsidR="00051AAA" w:rsidRPr="00D85E09" w14:paraId="05583C78" w14:textId="77777777" w:rsidTr="00051AAA">
        <w:tc>
          <w:tcPr>
            <w:tcW w:w="9004" w:type="dxa"/>
            <w:gridSpan w:val="5"/>
          </w:tcPr>
          <w:p w14:paraId="6140931A" w14:textId="77777777" w:rsidR="00051AAA" w:rsidRPr="00D85E09" w:rsidRDefault="00051AAA" w:rsidP="0043316B">
            <w:pPr>
              <w:pStyle w:val="Tabletext"/>
              <w:keepNext w:val="0"/>
              <w:widowControl w:val="0"/>
              <w:rPr>
                <w:i/>
              </w:rPr>
            </w:pPr>
            <w:r w:rsidRPr="00D85E09">
              <w:rPr>
                <w:i/>
              </w:rPr>
              <w:t>Demographic characteristics</w:t>
            </w:r>
          </w:p>
        </w:tc>
      </w:tr>
      <w:tr w:rsidR="00051AAA" w:rsidRPr="00D85E09" w14:paraId="30754318" w14:textId="77777777" w:rsidTr="00AE12A3">
        <w:tc>
          <w:tcPr>
            <w:tcW w:w="2943" w:type="dxa"/>
          </w:tcPr>
          <w:p w14:paraId="251469EA" w14:textId="3CE9FF78" w:rsidR="00051AAA" w:rsidRPr="00D85E09" w:rsidRDefault="00051AAA" w:rsidP="0043316B">
            <w:pPr>
              <w:pStyle w:val="Tabletext"/>
              <w:keepNext w:val="0"/>
              <w:widowControl w:val="0"/>
            </w:pPr>
            <w:r w:rsidRPr="00D85E09">
              <w:t>Median/mean age</w:t>
            </w:r>
            <w:r w:rsidR="00BD3016" w:rsidRPr="00D85E09">
              <w:t xml:space="preserve"> (IQR/SD)</w:t>
            </w:r>
          </w:p>
        </w:tc>
        <w:tc>
          <w:tcPr>
            <w:tcW w:w="1515" w:type="dxa"/>
          </w:tcPr>
          <w:p w14:paraId="1B2FF0D4" w14:textId="77777777" w:rsidR="00051AAA" w:rsidRPr="00D85E09" w:rsidRDefault="00051AAA" w:rsidP="0043316B">
            <w:pPr>
              <w:pStyle w:val="Tabletext"/>
              <w:keepNext w:val="0"/>
              <w:widowControl w:val="0"/>
            </w:pPr>
            <w:r w:rsidRPr="00D85E09">
              <w:t xml:space="preserve">68 (57–77) </w:t>
            </w:r>
          </w:p>
        </w:tc>
        <w:tc>
          <w:tcPr>
            <w:tcW w:w="1515" w:type="dxa"/>
          </w:tcPr>
          <w:p w14:paraId="1936BF0C" w14:textId="77777777" w:rsidR="00051AAA" w:rsidRPr="00D85E09" w:rsidRDefault="00051AAA" w:rsidP="0043316B">
            <w:pPr>
              <w:pStyle w:val="Tabletext"/>
              <w:keepNext w:val="0"/>
              <w:widowControl w:val="0"/>
            </w:pPr>
            <w:r w:rsidRPr="00D85E09">
              <w:t>68 (59–76) (n=650)</w:t>
            </w:r>
          </w:p>
        </w:tc>
        <w:tc>
          <w:tcPr>
            <w:tcW w:w="1515" w:type="dxa"/>
          </w:tcPr>
          <w:p w14:paraId="644BF484" w14:textId="77777777" w:rsidR="00051AAA" w:rsidRPr="00D85E09" w:rsidRDefault="00051AAA" w:rsidP="0043316B">
            <w:pPr>
              <w:pStyle w:val="Tabletext"/>
              <w:keepNext w:val="0"/>
              <w:widowControl w:val="0"/>
            </w:pPr>
            <w:r w:rsidRPr="00D85E09">
              <w:t>70.2 (11.8)</w:t>
            </w:r>
          </w:p>
        </w:tc>
        <w:tc>
          <w:tcPr>
            <w:tcW w:w="1516" w:type="dxa"/>
          </w:tcPr>
          <w:p w14:paraId="50F05EE4" w14:textId="77777777" w:rsidR="00051AAA" w:rsidRPr="00D85E09" w:rsidRDefault="00051AAA" w:rsidP="0043316B">
            <w:pPr>
              <w:pStyle w:val="Tabletext"/>
              <w:keepNext w:val="0"/>
              <w:widowControl w:val="0"/>
            </w:pPr>
            <w:r w:rsidRPr="00D85E09">
              <w:t>68.6 (12.3)</w:t>
            </w:r>
          </w:p>
        </w:tc>
      </w:tr>
      <w:tr w:rsidR="00051AAA" w:rsidRPr="00D85E09" w14:paraId="4532D54C" w14:textId="77777777" w:rsidTr="00AE12A3">
        <w:tc>
          <w:tcPr>
            <w:tcW w:w="2943" w:type="dxa"/>
          </w:tcPr>
          <w:p w14:paraId="1D9BC9A3" w14:textId="1915FA90" w:rsidR="00051AAA" w:rsidRPr="00D85E09" w:rsidRDefault="00051AAA" w:rsidP="0043316B">
            <w:pPr>
              <w:pStyle w:val="Tabletext"/>
              <w:keepNext w:val="0"/>
              <w:widowControl w:val="0"/>
            </w:pPr>
            <w:r w:rsidRPr="00D85E09">
              <w:t>Men</w:t>
            </w:r>
            <w:r w:rsidR="00BD3016" w:rsidRPr="00D85E09">
              <w:t xml:space="preserve"> – n (%)</w:t>
            </w:r>
          </w:p>
        </w:tc>
        <w:tc>
          <w:tcPr>
            <w:tcW w:w="1515" w:type="dxa"/>
          </w:tcPr>
          <w:p w14:paraId="7C93247D" w14:textId="6D2A79D6" w:rsidR="00051AAA" w:rsidRPr="00D85E09" w:rsidRDefault="00051AAA" w:rsidP="0043316B">
            <w:pPr>
              <w:pStyle w:val="Tabletext"/>
              <w:keepNext w:val="0"/>
              <w:widowControl w:val="0"/>
            </w:pPr>
            <w:r w:rsidRPr="00D85E09">
              <w:t>330 (52)</w:t>
            </w:r>
          </w:p>
        </w:tc>
        <w:tc>
          <w:tcPr>
            <w:tcW w:w="1515" w:type="dxa"/>
          </w:tcPr>
          <w:p w14:paraId="33EBCB0B" w14:textId="1190F0C5" w:rsidR="00051AAA" w:rsidRPr="00D85E09" w:rsidRDefault="00051AAA" w:rsidP="0043316B">
            <w:pPr>
              <w:pStyle w:val="Tabletext"/>
              <w:keepNext w:val="0"/>
              <w:widowControl w:val="0"/>
            </w:pPr>
            <w:r w:rsidRPr="00D85E09">
              <w:t>352 (54)</w:t>
            </w:r>
          </w:p>
        </w:tc>
        <w:tc>
          <w:tcPr>
            <w:tcW w:w="1515" w:type="dxa"/>
          </w:tcPr>
          <w:p w14:paraId="77D93398" w14:textId="007169F2" w:rsidR="00051AAA" w:rsidRPr="00D85E09" w:rsidRDefault="00051AAA" w:rsidP="0043316B">
            <w:pPr>
              <w:pStyle w:val="Tabletext"/>
              <w:keepNext w:val="0"/>
              <w:widowControl w:val="0"/>
            </w:pPr>
            <w:r w:rsidRPr="00D85E09">
              <w:t>17 (49)</w:t>
            </w:r>
          </w:p>
        </w:tc>
        <w:tc>
          <w:tcPr>
            <w:tcW w:w="1516" w:type="dxa"/>
          </w:tcPr>
          <w:p w14:paraId="629D3CD0" w14:textId="19FA1B1E" w:rsidR="00051AAA" w:rsidRPr="00D85E09" w:rsidRDefault="00051AAA" w:rsidP="0043316B">
            <w:pPr>
              <w:pStyle w:val="Tabletext"/>
              <w:keepNext w:val="0"/>
              <w:widowControl w:val="0"/>
            </w:pPr>
            <w:r w:rsidRPr="00D85E09">
              <w:t>17 (49)</w:t>
            </w:r>
          </w:p>
        </w:tc>
      </w:tr>
      <w:tr w:rsidR="00051AAA" w:rsidRPr="00D85E09" w14:paraId="547A840F" w14:textId="77777777" w:rsidTr="00051AAA">
        <w:tc>
          <w:tcPr>
            <w:tcW w:w="9004" w:type="dxa"/>
            <w:gridSpan w:val="5"/>
          </w:tcPr>
          <w:p w14:paraId="4A2DA75D" w14:textId="77777777" w:rsidR="00051AAA" w:rsidRPr="00D85E09" w:rsidRDefault="00051AAA" w:rsidP="0043316B">
            <w:pPr>
              <w:pStyle w:val="Tabletext"/>
              <w:keepNext w:val="0"/>
              <w:widowControl w:val="0"/>
            </w:pPr>
            <w:r w:rsidRPr="00D85E09">
              <w:t>Medical history</w:t>
            </w:r>
          </w:p>
        </w:tc>
      </w:tr>
      <w:tr w:rsidR="00051AAA" w:rsidRPr="00D85E09" w14:paraId="7DF2A5A6" w14:textId="77777777" w:rsidTr="00AE12A3">
        <w:tc>
          <w:tcPr>
            <w:tcW w:w="2943" w:type="dxa"/>
          </w:tcPr>
          <w:p w14:paraId="7B291527" w14:textId="7B3A295F" w:rsidR="00051AAA" w:rsidRPr="00D85E09" w:rsidRDefault="00051AAA" w:rsidP="0043316B">
            <w:pPr>
              <w:pStyle w:val="Tabletext"/>
              <w:keepNext w:val="0"/>
              <w:widowControl w:val="0"/>
            </w:pPr>
            <w:r w:rsidRPr="00D85E09">
              <w:t>Hypertension</w:t>
            </w:r>
            <w:r w:rsidR="00BD3016" w:rsidRPr="00D85E09">
              <w:t xml:space="preserve"> – n (%)</w:t>
            </w:r>
          </w:p>
        </w:tc>
        <w:tc>
          <w:tcPr>
            <w:tcW w:w="1515" w:type="dxa"/>
          </w:tcPr>
          <w:p w14:paraId="721D73F9" w14:textId="2AEF1C34" w:rsidR="00051AAA" w:rsidRPr="00D85E09" w:rsidRDefault="00051AAA" w:rsidP="0043316B">
            <w:pPr>
              <w:pStyle w:val="Tabletext"/>
              <w:keepNext w:val="0"/>
              <w:widowControl w:val="0"/>
            </w:pPr>
            <w:r w:rsidRPr="00D85E09">
              <w:t xml:space="preserve">352 (56) </w:t>
            </w:r>
          </w:p>
        </w:tc>
        <w:tc>
          <w:tcPr>
            <w:tcW w:w="1515" w:type="dxa"/>
          </w:tcPr>
          <w:p w14:paraId="6EF70C91" w14:textId="3219AEC0" w:rsidR="00051AAA" w:rsidRPr="00D85E09" w:rsidRDefault="00051AAA" w:rsidP="0043316B">
            <w:pPr>
              <w:pStyle w:val="Tabletext"/>
              <w:keepNext w:val="0"/>
              <w:widowControl w:val="0"/>
            </w:pPr>
            <w:r w:rsidRPr="00D85E09">
              <w:t>388 (59)</w:t>
            </w:r>
          </w:p>
        </w:tc>
        <w:tc>
          <w:tcPr>
            <w:tcW w:w="1515" w:type="dxa"/>
          </w:tcPr>
          <w:p w14:paraId="16AA1349" w14:textId="1E51D242" w:rsidR="00051AAA" w:rsidRPr="00D85E09" w:rsidRDefault="00051AAA" w:rsidP="0043316B">
            <w:pPr>
              <w:pStyle w:val="Tabletext"/>
              <w:keepNext w:val="0"/>
              <w:widowControl w:val="0"/>
            </w:pPr>
            <w:r w:rsidRPr="00D85E09">
              <w:t xml:space="preserve">23 (66) </w:t>
            </w:r>
          </w:p>
        </w:tc>
        <w:tc>
          <w:tcPr>
            <w:tcW w:w="1516" w:type="dxa"/>
          </w:tcPr>
          <w:p w14:paraId="15B28DB2" w14:textId="43FBE948" w:rsidR="00051AAA" w:rsidRPr="00D85E09" w:rsidRDefault="00051AAA" w:rsidP="0043316B">
            <w:pPr>
              <w:pStyle w:val="Tabletext"/>
              <w:keepNext w:val="0"/>
              <w:widowControl w:val="0"/>
            </w:pPr>
            <w:r w:rsidRPr="00D85E09">
              <w:t>21 (60)</w:t>
            </w:r>
          </w:p>
        </w:tc>
      </w:tr>
      <w:tr w:rsidR="00051AAA" w:rsidRPr="00D85E09" w14:paraId="25CF6DED" w14:textId="77777777" w:rsidTr="00AE12A3">
        <w:tc>
          <w:tcPr>
            <w:tcW w:w="2943" w:type="dxa"/>
          </w:tcPr>
          <w:p w14:paraId="60C9D627" w14:textId="01521129" w:rsidR="00051AAA" w:rsidRPr="00D85E09" w:rsidRDefault="00051AAA" w:rsidP="0043316B">
            <w:pPr>
              <w:pStyle w:val="Tabletext"/>
              <w:keepNext w:val="0"/>
              <w:widowControl w:val="0"/>
            </w:pPr>
            <w:r w:rsidRPr="00D85E09">
              <w:t>Diabetes mellitus</w:t>
            </w:r>
            <w:r w:rsidR="00BD3016" w:rsidRPr="00D85E09">
              <w:t xml:space="preserve"> – n (%)</w:t>
            </w:r>
          </w:p>
        </w:tc>
        <w:tc>
          <w:tcPr>
            <w:tcW w:w="1515" w:type="dxa"/>
          </w:tcPr>
          <w:p w14:paraId="3A2971F5" w14:textId="3231534D" w:rsidR="00051AAA" w:rsidRPr="00D85E09" w:rsidRDefault="00051AAA" w:rsidP="0043316B">
            <w:pPr>
              <w:pStyle w:val="Tabletext"/>
              <w:keepNext w:val="0"/>
              <w:widowControl w:val="0"/>
            </w:pPr>
            <w:r w:rsidRPr="00D85E09">
              <w:t xml:space="preserve">82 (13) </w:t>
            </w:r>
          </w:p>
        </w:tc>
        <w:tc>
          <w:tcPr>
            <w:tcW w:w="1515" w:type="dxa"/>
          </w:tcPr>
          <w:p w14:paraId="63058B09" w14:textId="29556E91" w:rsidR="00051AAA" w:rsidRPr="00D85E09" w:rsidRDefault="00051AAA" w:rsidP="0043316B">
            <w:pPr>
              <w:pStyle w:val="Tabletext"/>
              <w:keepNext w:val="0"/>
              <w:widowControl w:val="0"/>
            </w:pPr>
            <w:r w:rsidRPr="00D85E09">
              <w:t>88 (13)</w:t>
            </w:r>
          </w:p>
        </w:tc>
        <w:tc>
          <w:tcPr>
            <w:tcW w:w="1515" w:type="dxa"/>
          </w:tcPr>
          <w:p w14:paraId="66B3B999" w14:textId="4D7F6FFD" w:rsidR="00051AAA" w:rsidRPr="00D85E09" w:rsidRDefault="00051AAA" w:rsidP="0043316B">
            <w:pPr>
              <w:pStyle w:val="Tabletext"/>
              <w:keepNext w:val="0"/>
              <w:widowControl w:val="0"/>
            </w:pPr>
            <w:r w:rsidRPr="00D85E09">
              <w:t xml:space="preserve">8 (23) </w:t>
            </w:r>
          </w:p>
        </w:tc>
        <w:tc>
          <w:tcPr>
            <w:tcW w:w="1516" w:type="dxa"/>
          </w:tcPr>
          <w:p w14:paraId="17E420EA" w14:textId="2CF82968" w:rsidR="00051AAA" w:rsidRPr="00D85E09" w:rsidRDefault="00051AAA" w:rsidP="0043316B">
            <w:pPr>
              <w:pStyle w:val="Tabletext"/>
              <w:keepNext w:val="0"/>
              <w:widowControl w:val="0"/>
            </w:pPr>
            <w:r w:rsidRPr="00D85E09">
              <w:t>2 (6)</w:t>
            </w:r>
          </w:p>
        </w:tc>
      </w:tr>
      <w:tr w:rsidR="00051AAA" w:rsidRPr="00D85E09" w14:paraId="775B2BD0" w14:textId="77777777" w:rsidTr="00AE12A3">
        <w:tc>
          <w:tcPr>
            <w:tcW w:w="2943" w:type="dxa"/>
          </w:tcPr>
          <w:p w14:paraId="21B8EA6D" w14:textId="4468F7BC" w:rsidR="00051AAA" w:rsidRPr="00D85E09" w:rsidRDefault="00051AAA" w:rsidP="0043316B">
            <w:pPr>
              <w:pStyle w:val="Tabletext"/>
              <w:keepNext w:val="0"/>
              <w:widowControl w:val="0"/>
            </w:pPr>
            <w:r w:rsidRPr="00D85E09">
              <w:t>Atrial fibrillation</w:t>
            </w:r>
            <w:r w:rsidR="00BD3016" w:rsidRPr="00D85E09">
              <w:t xml:space="preserve"> – n (%)</w:t>
            </w:r>
          </w:p>
        </w:tc>
        <w:tc>
          <w:tcPr>
            <w:tcW w:w="1515" w:type="dxa"/>
          </w:tcPr>
          <w:p w14:paraId="4E061C75" w14:textId="47595538" w:rsidR="00051AAA" w:rsidRPr="00D85E09" w:rsidRDefault="00051AAA" w:rsidP="0043316B">
            <w:pPr>
              <w:pStyle w:val="Tabletext"/>
              <w:keepNext w:val="0"/>
              <w:widowControl w:val="0"/>
            </w:pPr>
            <w:r w:rsidRPr="00D85E09">
              <w:t xml:space="preserve">209 (33) </w:t>
            </w:r>
          </w:p>
        </w:tc>
        <w:tc>
          <w:tcPr>
            <w:tcW w:w="1515" w:type="dxa"/>
          </w:tcPr>
          <w:p w14:paraId="5B7E8B92" w14:textId="49272866" w:rsidR="00051AAA" w:rsidRPr="00D85E09" w:rsidRDefault="00051AAA" w:rsidP="0043316B">
            <w:pPr>
              <w:pStyle w:val="Tabletext"/>
              <w:keepNext w:val="0"/>
              <w:widowControl w:val="0"/>
            </w:pPr>
            <w:r w:rsidRPr="00D85E09">
              <w:t>215 (33)</w:t>
            </w:r>
          </w:p>
        </w:tc>
        <w:tc>
          <w:tcPr>
            <w:tcW w:w="1515" w:type="dxa"/>
          </w:tcPr>
          <w:p w14:paraId="20BD3C6E" w14:textId="7E45AFD6" w:rsidR="00051AAA" w:rsidRPr="00D85E09" w:rsidRDefault="00051AAA" w:rsidP="0043316B">
            <w:pPr>
              <w:pStyle w:val="Tabletext"/>
              <w:keepNext w:val="0"/>
              <w:widowControl w:val="0"/>
            </w:pPr>
            <w:r w:rsidRPr="00D85E09">
              <w:t xml:space="preserve">11 (31) </w:t>
            </w:r>
          </w:p>
        </w:tc>
        <w:tc>
          <w:tcPr>
            <w:tcW w:w="1516" w:type="dxa"/>
          </w:tcPr>
          <w:p w14:paraId="16C3FA04" w14:textId="52779C54" w:rsidR="00051AAA" w:rsidRPr="00D85E09" w:rsidRDefault="00051AAA" w:rsidP="0043316B">
            <w:pPr>
              <w:pStyle w:val="Tabletext"/>
              <w:keepNext w:val="0"/>
              <w:widowControl w:val="0"/>
            </w:pPr>
            <w:r w:rsidRPr="00D85E09">
              <w:t>12 (34)</w:t>
            </w:r>
          </w:p>
        </w:tc>
      </w:tr>
      <w:tr w:rsidR="00051AAA" w:rsidRPr="00D85E09" w14:paraId="4BBDD842" w14:textId="77777777" w:rsidTr="00AE12A3">
        <w:tc>
          <w:tcPr>
            <w:tcW w:w="2943" w:type="dxa"/>
          </w:tcPr>
          <w:p w14:paraId="7FACCBE3" w14:textId="09F4B6BA" w:rsidR="00051AAA" w:rsidRPr="00D85E09" w:rsidRDefault="00051AAA" w:rsidP="0043316B">
            <w:pPr>
              <w:pStyle w:val="Tabletext"/>
              <w:keepNext w:val="0"/>
              <w:widowControl w:val="0"/>
            </w:pPr>
            <w:r w:rsidRPr="00D85E09">
              <w:t>Smoking (recent or current)</w:t>
            </w:r>
            <w:r w:rsidR="00BD3016" w:rsidRPr="00D85E09">
              <w:t xml:space="preserve"> – n (%)</w:t>
            </w:r>
          </w:p>
        </w:tc>
        <w:tc>
          <w:tcPr>
            <w:tcW w:w="1515" w:type="dxa"/>
          </w:tcPr>
          <w:p w14:paraId="2316B0F0" w14:textId="51B51875" w:rsidR="00051AAA" w:rsidRPr="00D85E09" w:rsidRDefault="00051AAA" w:rsidP="0043316B">
            <w:pPr>
              <w:pStyle w:val="Tabletext"/>
              <w:keepNext w:val="0"/>
              <w:widowControl w:val="0"/>
            </w:pPr>
            <w:r w:rsidRPr="00D85E09">
              <w:t xml:space="preserve">194 (31) </w:t>
            </w:r>
          </w:p>
        </w:tc>
        <w:tc>
          <w:tcPr>
            <w:tcW w:w="1515" w:type="dxa"/>
          </w:tcPr>
          <w:p w14:paraId="388EA933" w14:textId="2B782775" w:rsidR="00051AAA" w:rsidRPr="00D85E09" w:rsidRDefault="00051AAA" w:rsidP="0043316B">
            <w:pPr>
              <w:pStyle w:val="Tabletext"/>
              <w:keepNext w:val="0"/>
              <w:widowControl w:val="0"/>
            </w:pPr>
            <w:r w:rsidRPr="00D85E09">
              <w:t>210 (32)</w:t>
            </w:r>
          </w:p>
        </w:tc>
        <w:tc>
          <w:tcPr>
            <w:tcW w:w="1515" w:type="dxa"/>
          </w:tcPr>
          <w:p w14:paraId="53FDE457" w14:textId="3B8E7D02" w:rsidR="00051AAA" w:rsidRPr="00D85E09" w:rsidRDefault="00051AAA" w:rsidP="0043316B">
            <w:pPr>
              <w:pStyle w:val="Tabletext"/>
              <w:keepNext w:val="0"/>
              <w:widowControl w:val="0"/>
            </w:pPr>
            <w:r w:rsidRPr="00D85E09">
              <w:t xml:space="preserve">15 (43) </w:t>
            </w:r>
          </w:p>
        </w:tc>
        <w:tc>
          <w:tcPr>
            <w:tcW w:w="1516" w:type="dxa"/>
          </w:tcPr>
          <w:p w14:paraId="4E2DBD23" w14:textId="645E96D5" w:rsidR="00051AAA" w:rsidRPr="00D85E09" w:rsidRDefault="00051AAA" w:rsidP="0043316B">
            <w:pPr>
              <w:pStyle w:val="Tabletext"/>
              <w:keepNext w:val="0"/>
              <w:widowControl w:val="0"/>
            </w:pPr>
            <w:r w:rsidRPr="00D85E09">
              <w:t>12 (34)</w:t>
            </w:r>
          </w:p>
        </w:tc>
      </w:tr>
      <w:tr w:rsidR="00051AAA" w:rsidRPr="00D85E09" w14:paraId="1A00B03D" w14:textId="77777777" w:rsidTr="00051AAA">
        <w:tc>
          <w:tcPr>
            <w:tcW w:w="9004" w:type="dxa"/>
            <w:gridSpan w:val="5"/>
          </w:tcPr>
          <w:p w14:paraId="4D1E2F12" w14:textId="77777777" w:rsidR="00051AAA" w:rsidRPr="00D85E09" w:rsidRDefault="00051AAA" w:rsidP="0043316B">
            <w:pPr>
              <w:pStyle w:val="Tabletext"/>
              <w:keepNext w:val="0"/>
              <w:widowControl w:val="0"/>
              <w:rPr>
                <w:i/>
              </w:rPr>
            </w:pPr>
            <w:r w:rsidRPr="00D85E09">
              <w:rPr>
                <w:i/>
              </w:rPr>
              <w:t>Clinical characteristics</w:t>
            </w:r>
          </w:p>
        </w:tc>
      </w:tr>
      <w:tr w:rsidR="00051AAA" w:rsidRPr="00D85E09" w14:paraId="6C49B55C" w14:textId="77777777" w:rsidTr="00AE12A3">
        <w:tc>
          <w:tcPr>
            <w:tcW w:w="2943" w:type="dxa"/>
          </w:tcPr>
          <w:p w14:paraId="2775E0D0" w14:textId="2CA2F231" w:rsidR="00051AAA" w:rsidRPr="00D85E09" w:rsidRDefault="00051AAA" w:rsidP="0043316B">
            <w:pPr>
              <w:pStyle w:val="Tabletext"/>
              <w:keepNext w:val="0"/>
              <w:widowControl w:val="0"/>
            </w:pPr>
            <w:r w:rsidRPr="00D85E09">
              <w:t>Baseline NIHSS score</w:t>
            </w:r>
            <w:r w:rsidR="00792EDB" w:rsidRPr="00D85E09">
              <w:t xml:space="preserve"> – median (IQR)</w:t>
            </w:r>
          </w:p>
        </w:tc>
        <w:tc>
          <w:tcPr>
            <w:tcW w:w="1515" w:type="dxa"/>
          </w:tcPr>
          <w:p w14:paraId="703E5E6E" w14:textId="77777777" w:rsidR="00051AAA" w:rsidRPr="00D85E09" w:rsidRDefault="00051AAA" w:rsidP="0043316B">
            <w:pPr>
              <w:pStyle w:val="Tabletext"/>
              <w:keepNext w:val="0"/>
              <w:widowControl w:val="0"/>
            </w:pPr>
            <w:r w:rsidRPr="00D85E09">
              <w:t>17 (14–20) (n=631)</w:t>
            </w:r>
          </w:p>
        </w:tc>
        <w:tc>
          <w:tcPr>
            <w:tcW w:w="1515" w:type="dxa"/>
          </w:tcPr>
          <w:p w14:paraId="23B99E1F" w14:textId="77777777" w:rsidR="00051AAA" w:rsidRPr="00D85E09" w:rsidRDefault="00051AAA" w:rsidP="0043316B">
            <w:pPr>
              <w:pStyle w:val="Tabletext"/>
              <w:keepNext w:val="0"/>
              <w:widowControl w:val="0"/>
            </w:pPr>
            <w:r w:rsidRPr="00D85E09">
              <w:t>17 (13–21) (n=648)</w:t>
            </w:r>
          </w:p>
        </w:tc>
        <w:tc>
          <w:tcPr>
            <w:tcW w:w="1515" w:type="dxa"/>
          </w:tcPr>
          <w:p w14:paraId="22F3BDFE" w14:textId="77777777" w:rsidR="00051AAA" w:rsidRPr="00D85E09" w:rsidRDefault="00051AAA" w:rsidP="0043316B">
            <w:pPr>
              <w:pStyle w:val="Tabletext"/>
              <w:keepNext w:val="0"/>
              <w:widowControl w:val="0"/>
            </w:pPr>
            <w:r w:rsidRPr="00D85E09">
              <w:t xml:space="preserve">13 (9–19) </w:t>
            </w:r>
          </w:p>
        </w:tc>
        <w:tc>
          <w:tcPr>
            <w:tcW w:w="1516" w:type="dxa"/>
          </w:tcPr>
          <w:p w14:paraId="7BCC6B9F" w14:textId="77777777" w:rsidR="00051AAA" w:rsidRPr="00D85E09" w:rsidRDefault="00051AAA" w:rsidP="0043316B">
            <w:pPr>
              <w:pStyle w:val="Tabletext"/>
              <w:keepNext w:val="0"/>
              <w:widowControl w:val="0"/>
            </w:pPr>
            <w:r w:rsidRPr="00D85E09">
              <w:t>17 (13–20)</w:t>
            </w:r>
          </w:p>
        </w:tc>
      </w:tr>
      <w:tr w:rsidR="00051AAA" w:rsidRPr="00D85E09" w14:paraId="20633188" w14:textId="77777777" w:rsidTr="00AE12A3">
        <w:tc>
          <w:tcPr>
            <w:tcW w:w="2943" w:type="dxa"/>
          </w:tcPr>
          <w:p w14:paraId="62BF7B56" w14:textId="3EC1D205" w:rsidR="00051AAA" w:rsidRPr="00D85E09" w:rsidRDefault="00051AAA" w:rsidP="0043316B">
            <w:pPr>
              <w:pStyle w:val="Tabletext"/>
              <w:keepNext w:val="0"/>
              <w:widowControl w:val="0"/>
            </w:pPr>
            <w:r w:rsidRPr="00D85E09">
              <w:t>Baseline blood glucose</w:t>
            </w:r>
            <w:r w:rsidR="00792EDB" w:rsidRPr="00D85E09">
              <w:t xml:space="preserve"> – median (IQR)</w:t>
            </w:r>
          </w:p>
        </w:tc>
        <w:tc>
          <w:tcPr>
            <w:tcW w:w="1515" w:type="dxa"/>
          </w:tcPr>
          <w:p w14:paraId="66EB8841" w14:textId="77777777" w:rsidR="00051AAA" w:rsidRPr="00D85E09" w:rsidRDefault="00051AAA" w:rsidP="0043316B">
            <w:pPr>
              <w:pStyle w:val="Tabletext"/>
              <w:keepNext w:val="0"/>
              <w:widowControl w:val="0"/>
            </w:pPr>
            <w:r w:rsidRPr="00D85E09">
              <w:t>6·6 (5·9–7·8) (n=620)</w:t>
            </w:r>
          </w:p>
        </w:tc>
        <w:tc>
          <w:tcPr>
            <w:tcW w:w="1515" w:type="dxa"/>
          </w:tcPr>
          <w:p w14:paraId="74D702AC" w14:textId="77777777" w:rsidR="00051AAA" w:rsidRPr="00D85E09" w:rsidRDefault="00051AAA" w:rsidP="0043316B">
            <w:pPr>
              <w:pStyle w:val="Tabletext"/>
              <w:keepNext w:val="0"/>
              <w:widowControl w:val="0"/>
            </w:pPr>
            <w:r w:rsidRPr="00D85E09">
              <w:t>6·7 (5·9–7·8) (n=644)</w:t>
            </w:r>
          </w:p>
        </w:tc>
        <w:tc>
          <w:tcPr>
            <w:tcW w:w="1515" w:type="dxa"/>
          </w:tcPr>
          <w:p w14:paraId="778E7140" w14:textId="77777777" w:rsidR="00051AAA" w:rsidRPr="00D85E09" w:rsidRDefault="00051AAA" w:rsidP="0043316B">
            <w:pPr>
              <w:pStyle w:val="Tabletext"/>
              <w:keepNext w:val="0"/>
              <w:widowControl w:val="0"/>
            </w:pPr>
            <w:r w:rsidRPr="00D85E09">
              <w:t xml:space="preserve">7.6 (3.6) </w:t>
            </w:r>
          </w:p>
        </w:tc>
        <w:tc>
          <w:tcPr>
            <w:tcW w:w="1516" w:type="dxa"/>
          </w:tcPr>
          <w:p w14:paraId="2E9B8C54" w14:textId="77777777" w:rsidR="00051AAA" w:rsidRPr="00D85E09" w:rsidRDefault="00051AAA" w:rsidP="0043316B">
            <w:pPr>
              <w:pStyle w:val="Tabletext"/>
              <w:keepNext w:val="0"/>
              <w:widowControl w:val="0"/>
            </w:pPr>
            <w:r w:rsidRPr="00D85E09">
              <w:t>7.1 (2.5)</w:t>
            </w:r>
          </w:p>
        </w:tc>
      </w:tr>
      <w:tr w:rsidR="00051AAA" w:rsidRPr="00D85E09" w14:paraId="1B979A78" w14:textId="77777777" w:rsidTr="00051AAA">
        <w:tc>
          <w:tcPr>
            <w:tcW w:w="9004" w:type="dxa"/>
            <w:gridSpan w:val="5"/>
          </w:tcPr>
          <w:p w14:paraId="186FFF08" w14:textId="77777777" w:rsidR="00051AAA" w:rsidRPr="00D85E09" w:rsidRDefault="00051AAA" w:rsidP="0043316B">
            <w:pPr>
              <w:pStyle w:val="Tabletext"/>
              <w:keepNext w:val="0"/>
              <w:widowControl w:val="0"/>
              <w:rPr>
                <w:i/>
              </w:rPr>
            </w:pPr>
            <w:r w:rsidRPr="00D85E09">
              <w:rPr>
                <w:i/>
              </w:rPr>
              <w:t>Imaging characteristics</w:t>
            </w:r>
          </w:p>
        </w:tc>
      </w:tr>
      <w:tr w:rsidR="00051AAA" w:rsidRPr="00D85E09" w14:paraId="155D722F" w14:textId="77777777" w:rsidTr="00AE12A3">
        <w:tc>
          <w:tcPr>
            <w:tcW w:w="2943" w:type="dxa"/>
            <w:tcBorders>
              <w:bottom w:val="single" w:sz="4" w:space="0" w:color="000000"/>
            </w:tcBorders>
          </w:tcPr>
          <w:p w14:paraId="220DA8CA" w14:textId="77777777" w:rsidR="00051AAA" w:rsidRPr="00D85E09" w:rsidRDefault="00051AAA" w:rsidP="0043316B">
            <w:pPr>
              <w:pStyle w:val="Tabletext"/>
              <w:keepNext w:val="0"/>
              <w:widowControl w:val="0"/>
            </w:pPr>
            <w:r w:rsidRPr="00D85E09">
              <w:t>ASPECTS on baseline CT</w:t>
            </w:r>
          </w:p>
        </w:tc>
        <w:tc>
          <w:tcPr>
            <w:tcW w:w="1515" w:type="dxa"/>
            <w:tcBorders>
              <w:bottom w:val="single" w:sz="4" w:space="0" w:color="000000"/>
            </w:tcBorders>
          </w:tcPr>
          <w:p w14:paraId="011113E5" w14:textId="77777777" w:rsidR="00051AAA" w:rsidRPr="00D85E09" w:rsidRDefault="00051AAA" w:rsidP="0043316B">
            <w:pPr>
              <w:pStyle w:val="Tabletext"/>
              <w:keepNext w:val="0"/>
              <w:widowControl w:val="0"/>
            </w:pPr>
            <w:r w:rsidRPr="00D85E09">
              <w:t>9 (7–10) (n=620)</w:t>
            </w:r>
          </w:p>
        </w:tc>
        <w:tc>
          <w:tcPr>
            <w:tcW w:w="1515" w:type="dxa"/>
            <w:tcBorders>
              <w:bottom w:val="single" w:sz="4" w:space="0" w:color="000000"/>
            </w:tcBorders>
          </w:tcPr>
          <w:p w14:paraId="0734E8C0" w14:textId="77777777" w:rsidR="00051AAA" w:rsidRPr="00D85E09" w:rsidRDefault="00051AAA" w:rsidP="0043316B">
            <w:pPr>
              <w:pStyle w:val="Tabletext"/>
              <w:keepNext w:val="0"/>
              <w:widowControl w:val="0"/>
            </w:pPr>
            <w:r w:rsidRPr="00D85E09">
              <w:t>9 (8–10) (n=644)</w:t>
            </w:r>
          </w:p>
        </w:tc>
        <w:tc>
          <w:tcPr>
            <w:tcW w:w="1515" w:type="dxa"/>
            <w:tcBorders>
              <w:bottom w:val="single" w:sz="4" w:space="0" w:color="000000"/>
            </w:tcBorders>
          </w:tcPr>
          <w:p w14:paraId="13D1B5D7" w14:textId="77777777" w:rsidR="00051AAA" w:rsidRPr="00D85E09" w:rsidRDefault="00051AAA" w:rsidP="0043316B">
            <w:pPr>
              <w:pStyle w:val="Tabletext"/>
              <w:keepNext w:val="0"/>
              <w:widowControl w:val="0"/>
            </w:pPr>
            <w:r w:rsidRPr="00D85E09">
              <w:t>NR</w:t>
            </w:r>
          </w:p>
        </w:tc>
        <w:tc>
          <w:tcPr>
            <w:tcW w:w="1516" w:type="dxa"/>
            <w:tcBorders>
              <w:bottom w:val="single" w:sz="4" w:space="0" w:color="000000"/>
            </w:tcBorders>
          </w:tcPr>
          <w:p w14:paraId="6F39BEE6" w14:textId="77777777" w:rsidR="00051AAA" w:rsidRPr="00D85E09" w:rsidRDefault="00051AAA" w:rsidP="0043316B">
            <w:pPr>
              <w:pStyle w:val="Tabletext"/>
              <w:keepNext w:val="0"/>
              <w:widowControl w:val="0"/>
            </w:pPr>
            <w:r w:rsidRPr="00D85E09">
              <w:t>NR</w:t>
            </w:r>
          </w:p>
        </w:tc>
      </w:tr>
      <w:tr w:rsidR="00051AAA" w:rsidRPr="00D85E09" w14:paraId="39B2D6E0" w14:textId="77777777" w:rsidTr="00AE12A3">
        <w:tc>
          <w:tcPr>
            <w:tcW w:w="2943" w:type="dxa"/>
            <w:tcBorders>
              <w:bottom w:val="nil"/>
            </w:tcBorders>
          </w:tcPr>
          <w:p w14:paraId="3CF23118" w14:textId="28E55928" w:rsidR="00051AAA" w:rsidRPr="00D85E09" w:rsidRDefault="00051AAA" w:rsidP="0043316B">
            <w:pPr>
              <w:pStyle w:val="Tabletext"/>
              <w:keepNext w:val="0"/>
              <w:widowControl w:val="0"/>
            </w:pPr>
            <w:r w:rsidRPr="00D85E09">
              <w:t>Intra</w:t>
            </w:r>
            <w:r w:rsidR="00300BB6" w:rsidRPr="00D85E09">
              <w:t>-cranial</w:t>
            </w:r>
            <w:r w:rsidRPr="00D85E09">
              <w:t xml:space="preserve"> occlusion location</w:t>
            </w:r>
            <w:r w:rsidR="00BD3016" w:rsidRPr="00D85E09">
              <w:t xml:space="preserve"> – n (%)</w:t>
            </w:r>
          </w:p>
        </w:tc>
        <w:tc>
          <w:tcPr>
            <w:tcW w:w="1515" w:type="dxa"/>
            <w:tcBorders>
              <w:bottom w:val="nil"/>
            </w:tcBorders>
          </w:tcPr>
          <w:p w14:paraId="32522C27" w14:textId="77777777" w:rsidR="00051AAA" w:rsidRPr="00D85E09" w:rsidRDefault="00051AAA" w:rsidP="0043316B">
            <w:pPr>
              <w:pStyle w:val="Tabletext"/>
              <w:keepNext w:val="0"/>
              <w:widowControl w:val="0"/>
            </w:pPr>
          </w:p>
        </w:tc>
        <w:tc>
          <w:tcPr>
            <w:tcW w:w="1515" w:type="dxa"/>
            <w:tcBorders>
              <w:bottom w:val="nil"/>
            </w:tcBorders>
          </w:tcPr>
          <w:p w14:paraId="1574A41F" w14:textId="77777777" w:rsidR="00051AAA" w:rsidRPr="00D85E09" w:rsidRDefault="00051AAA" w:rsidP="0043316B">
            <w:pPr>
              <w:pStyle w:val="Tabletext"/>
              <w:keepNext w:val="0"/>
              <w:widowControl w:val="0"/>
            </w:pPr>
          </w:p>
        </w:tc>
        <w:tc>
          <w:tcPr>
            <w:tcW w:w="1515" w:type="dxa"/>
            <w:tcBorders>
              <w:bottom w:val="nil"/>
            </w:tcBorders>
          </w:tcPr>
          <w:p w14:paraId="36C8E578" w14:textId="77777777" w:rsidR="00051AAA" w:rsidRPr="00D85E09" w:rsidRDefault="00051AAA" w:rsidP="0043316B">
            <w:pPr>
              <w:pStyle w:val="Tabletext"/>
              <w:keepNext w:val="0"/>
              <w:widowControl w:val="0"/>
            </w:pPr>
          </w:p>
        </w:tc>
        <w:tc>
          <w:tcPr>
            <w:tcW w:w="1516" w:type="dxa"/>
            <w:tcBorders>
              <w:bottom w:val="nil"/>
            </w:tcBorders>
          </w:tcPr>
          <w:p w14:paraId="54180CE0" w14:textId="77777777" w:rsidR="00051AAA" w:rsidRPr="00D85E09" w:rsidRDefault="00051AAA" w:rsidP="0043316B">
            <w:pPr>
              <w:pStyle w:val="Tabletext"/>
              <w:keepNext w:val="0"/>
              <w:widowControl w:val="0"/>
            </w:pPr>
          </w:p>
        </w:tc>
      </w:tr>
      <w:tr w:rsidR="00051AAA" w:rsidRPr="00D85E09" w14:paraId="5FA90CE6" w14:textId="77777777" w:rsidTr="00AE12A3">
        <w:tc>
          <w:tcPr>
            <w:tcW w:w="2943" w:type="dxa"/>
            <w:tcBorders>
              <w:top w:val="nil"/>
              <w:bottom w:val="nil"/>
            </w:tcBorders>
          </w:tcPr>
          <w:p w14:paraId="1CEA1FA0" w14:textId="77777777" w:rsidR="00051AAA" w:rsidRPr="00D85E09" w:rsidRDefault="00051AAA" w:rsidP="0043316B">
            <w:pPr>
              <w:pStyle w:val="Tabletext"/>
              <w:keepNext w:val="0"/>
              <w:widowControl w:val="0"/>
              <w:ind w:left="426"/>
            </w:pPr>
            <w:r w:rsidRPr="00D85E09">
              <w:t>ICA</w:t>
            </w:r>
          </w:p>
        </w:tc>
        <w:tc>
          <w:tcPr>
            <w:tcW w:w="1515" w:type="dxa"/>
            <w:tcBorders>
              <w:top w:val="nil"/>
              <w:bottom w:val="nil"/>
            </w:tcBorders>
          </w:tcPr>
          <w:p w14:paraId="5CCC0534" w14:textId="1BCD52CE" w:rsidR="00051AAA" w:rsidRPr="00D85E09" w:rsidRDefault="00051AAA" w:rsidP="0043316B">
            <w:pPr>
              <w:pStyle w:val="Tabletext"/>
              <w:keepNext w:val="0"/>
              <w:widowControl w:val="0"/>
            </w:pPr>
            <w:r w:rsidRPr="00D85E09">
              <w:t xml:space="preserve">133 (21) </w:t>
            </w:r>
          </w:p>
        </w:tc>
        <w:tc>
          <w:tcPr>
            <w:tcW w:w="1515" w:type="dxa"/>
            <w:tcBorders>
              <w:top w:val="nil"/>
              <w:bottom w:val="nil"/>
            </w:tcBorders>
          </w:tcPr>
          <w:p w14:paraId="19F0920E" w14:textId="2EEE721E" w:rsidR="00051AAA" w:rsidRPr="00D85E09" w:rsidRDefault="00051AAA" w:rsidP="0043316B">
            <w:pPr>
              <w:pStyle w:val="Tabletext"/>
              <w:keepNext w:val="0"/>
              <w:widowControl w:val="0"/>
            </w:pPr>
            <w:r w:rsidRPr="00D85E09">
              <w:t>144 (22)</w:t>
            </w:r>
          </w:p>
        </w:tc>
        <w:tc>
          <w:tcPr>
            <w:tcW w:w="1515" w:type="dxa"/>
            <w:tcBorders>
              <w:top w:val="nil"/>
              <w:bottom w:val="nil"/>
            </w:tcBorders>
          </w:tcPr>
          <w:p w14:paraId="3D1FE7B9" w14:textId="0C9CB51B" w:rsidR="00051AAA" w:rsidRPr="00D85E09" w:rsidRDefault="00051AAA" w:rsidP="0043316B">
            <w:pPr>
              <w:pStyle w:val="Tabletext"/>
              <w:keepNext w:val="0"/>
              <w:widowControl w:val="0"/>
            </w:pPr>
            <w:r w:rsidRPr="00D85E09">
              <w:t xml:space="preserve">11 (31) </w:t>
            </w:r>
          </w:p>
        </w:tc>
        <w:tc>
          <w:tcPr>
            <w:tcW w:w="1516" w:type="dxa"/>
            <w:tcBorders>
              <w:top w:val="nil"/>
              <w:bottom w:val="nil"/>
            </w:tcBorders>
          </w:tcPr>
          <w:p w14:paraId="0C09665F" w14:textId="72DC75DE" w:rsidR="00051AAA" w:rsidRPr="00D85E09" w:rsidRDefault="00051AAA" w:rsidP="0043316B">
            <w:pPr>
              <w:pStyle w:val="Tabletext"/>
              <w:keepNext w:val="0"/>
              <w:widowControl w:val="0"/>
            </w:pPr>
            <w:r w:rsidRPr="00D85E09">
              <w:t>11 (31)</w:t>
            </w:r>
          </w:p>
        </w:tc>
      </w:tr>
      <w:tr w:rsidR="00051AAA" w:rsidRPr="00D85E09" w14:paraId="0F43C4B1" w14:textId="77777777" w:rsidTr="00AE12A3">
        <w:tc>
          <w:tcPr>
            <w:tcW w:w="2943" w:type="dxa"/>
            <w:tcBorders>
              <w:top w:val="nil"/>
              <w:bottom w:val="nil"/>
            </w:tcBorders>
          </w:tcPr>
          <w:p w14:paraId="7360AAD8" w14:textId="77777777" w:rsidR="00051AAA" w:rsidRPr="00D85E09" w:rsidRDefault="00051AAA" w:rsidP="0043316B">
            <w:pPr>
              <w:pStyle w:val="Tabletext"/>
              <w:keepNext w:val="0"/>
              <w:widowControl w:val="0"/>
              <w:ind w:left="426"/>
            </w:pPr>
            <w:r w:rsidRPr="00D85E09">
              <w:t>M1 (MCA)</w:t>
            </w:r>
          </w:p>
        </w:tc>
        <w:tc>
          <w:tcPr>
            <w:tcW w:w="1515" w:type="dxa"/>
            <w:tcBorders>
              <w:top w:val="nil"/>
              <w:bottom w:val="nil"/>
            </w:tcBorders>
          </w:tcPr>
          <w:p w14:paraId="5E8711C2" w14:textId="0EA2B42C" w:rsidR="00051AAA" w:rsidRPr="00D85E09" w:rsidRDefault="00051AAA" w:rsidP="0043316B">
            <w:pPr>
              <w:pStyle w:val="Tabletext"/>
              <w:keepNext w:val="0"/>
              <w:widowControl w:val="0"/>
            </w:pPr>
            <w:r w:rsidRPr="00D85E09">
              <w:t xml:space="preserve">439 (69) </w:t>
            </w:r>
          </w:p>
        </w:tc>
        <w:tc>
          <w:tcPr>
            <w:tcW w:w="1515" w:type="dxa"/>
            <w:tcBorders>
              <w:top w:val="nil"/>
              <w:bottom w:val="nil"/>
            </w:tcBorders>
          </w:tcPr>
          <w:p w14:paraId="7EC131E3" w14:textId="12E6AC77" w:rsidR="00051AAA" w:rsidRPr="00D85E09" w:rsidRDefault="00051AAA" w:rsidP="0043316B">
            <w:pPr>
              <w:pStyle w:val="Tabletext"/>
              <w:keepNext w:val="0"/>
              <w:widowControl w:val="0"/>
            </w:pPr>
            <w:r w:rsidRPr="00D85E09">
              <w:t>452 (69)</w:t>
            </w:r>
          </w:p>
        </w:tc>
        <w:tc>
          <w:tcPr>
            <w:tcW w:w="1515" w:type="dxa"/>
            <w:tcBorders>
              <w:top w:val="nil"/>
              <w:bottom w:val="nil"/>
            </w:tcBorders>
          </w:tcPr>
          <w:p w14:paraId="54A3DFAE" w14:textId="367318B7" w:rsidR="00051AAA" w:rsidRPr="00D85E09" w:rsidRDefault="00051AAA" w:rsidP="0043316B">
            <w:pPr>
              <w:pStyle w:val="Tabletext"/>
              <w:keepNext w:val="0"/>
              <w:widowControl w:val="0"/>
            </w:pPr>
            <w:r w:rsidRPr="00D85E09">
              <w:t xml:space="preserve">18 (51) </w:t>
            </w:r>
          </w:p>
        </w:tc>
        <w:tc>
          <w:tcPr>
            <w:tcW w:w="1516" w:type="dxa"/>
            <w:tcBorders>
              <w:top w:val="nil"/>
              <w:bottom w:val="nil"/>
            </w:tcBorders>
          </w:tcPr>
          <w:p w14:paraId="2DC8E69C" w14:textId="7887E2E5" w:rsidR="00051AAA" w:rsidRPr="00D85E09" w:rsidRDefault="00051AAA" w:rsidP="0043316B">
            <w:pPr>
              <w:pStyle w:val="Tabletext"/>
              <w:keepNext w:val="0"/>
              <w:widowControl w:val="0"/>
            </w:pPr>
            <w:r w:rsidRPr="00D85E09">
              <w:t>20 (57)</w:t>
            </w:r>
          </w:p>
        </w:tc>
      </w:tr>
      <w:tr w:rsidR="00051AAA" w:rsidRPr="00D85E09" w14:paraId="4748C529" w14:textId="77777777" w:rsidTr="00AE12A3">
        <w:tc>
          <w:tcPr>
            <w:tcW w:w="2943" w:type="dxa"/>
            <w:tcBorders>
              <w:top w:val="nil"/>
              <w:bottom w:val="nil"/>
            </w:tcBorders>
          </w:tcPr>
          <w:p w14:paraId="35DD81DC" w14:textId="77777777" w:rsidR="00051AAA" w:rsidRPr="00D85E09" w:rsidRDefault="00051AAA" w:rsidP="0043316B">
            <w:pPr>
              <w:pStyle w:val="Tabletext"/>
              <w:keepNext w:val="0"/>
              <w:widowControl w:val="0"/>
              <w:ind w:left="426"/>
            </w:pPr>
            <w:r w:rsidRPr="00D85E09">
              <w:t>M2 (MCA)</w:t>
            </w:r>
          </w:p>
        </w:tc>
        <w:tc>
          <w:tcPr>
            <w:tcW w:w="1515" w:type="dxa"/>
            <w:tcBorders>
              <w:top w:val="nil"/>
              <w:bottom w:val="nil"/>
            </w:tcBorders>
          </w:tcPr>
          <w:p w14:paraId="0DCB9A4F" w14:textId="101850CC" w:rsidR="00051AAA" w:rsidRPr="00D85E09" w:rsidRDefault="00051AAA" w:rsidP="0043316B">
            <w:pPr>
              <w:pStyle w:val="Tabletext"/>
              <w:keepNext w:val="0"/>
              <w:widowControl w:val="0"/>
            </w:pPr>
            <w:r w:rsidRPr="00D85E09">
              <w:t xml:space="preserve">51 (8) </w:t>
            </w:r>
          </w:p>
        </w:tc>
        <w:tc>
          <w:tcPr>
            <w:tcW w:w="1515" w:type="dxa"/>
            <w:tcBorders>
              <w:top w:val="nil"/>
              <w:bottom w:val="nil"/>
            </w:tcBorders>
          </w:tcPr>
          <w:p w14:paraId="56EB83D1" w14:textId="0FE06147" w:rsidR="00051AAA" w:rsidRPr="00D85E09" w:rsidRDefault="00051AAA" w:rsidP="0043316B">
            <w:pPr>
              <w:pStyle w:val="Tabletext"/>
              <w:keepNext w:val="0"/>
              <w:widowControl w:val="0"/>
            </w:pPr>
            <w:r w:rsidRPr="00D85E09">
              <w:t>44 (7)</w:t>
            </w:r>
          </w:p>
        </w:tc>
        <w:tc>
          <w:tcPr>
            <w:tcW w:w="1515" w:type="dxa"/>
            <w:tcBorders>
              <w:top w:val="nil"/>
              <w:bottom w:val="nil"/>
            </w:tcBorders>
          </w:tcPr>
          <w:p w14:paraId="242CCED5" w14:textId="2E0098FE" w:rsidR="00051AAA" w:rsidRPr="00D85E09" w:rsidRDefault="00051AAA" w:rsidP="0043316B">
            <w:pPr>
              <w:pStyle w:val="Tabletext"/>
              <w:keepNext w:val="0"/>
              <w:widowControl w:val="0"/>
            </w:pPr>
            <w:r w:rsidRPr="00D85E09">
              <w:t xml:space="preserve">6 (17) </w:t>
            </w:r>
          </w:p>
        </w:tc>
        <w:tc>
          <w:tcPr>
            <w:tcW w:w="1516" w:type="dxa"/>
            <w:tcBorders>
              <w:top w:val="nil"/>
              <w:bottom w:val="nil"/>
            </w:tcBorders>
          </w:tcPr>
          <w:p w14:paraId="6607760D" w14:textId="67FA0497" w:rsidR="00051AAA" w:rsidRPr="00D85E09" w:rsidRDefault="00051AAA" w:rsidP="0043316B">
            <w:pPr>
              <w:pStyle w:val="Tabletext"/>
              <w:keepNext w:val="0"/>
              <w:widowControl w:val="0"/>
            </w:pPr>
            <w:r w:rsidRPr="00D85E09">
              <w:t>4 (11)</w:t>
            </w:r>
          </w:p>
        </w:tc>
      </w:tr>
      <w:tr w:rsidR="00051AAA" w:rsidRPr="00D85E09" w14:paraId="255D9108" w14:textId="77777777" w:rsidTr="00AE12A3">
        <w:tc>
          <w:tcPr>
            <w:tcW w:w="2943" w:type="dxa"/>
            <w:tcBorders>
              <w:top w:val="nil"/>
            </w:tcBorders>
          </w:tcPr>
          <w:p w14:paraId="4DC09A13" w14:textId="77777777" w:rsidR="00051AAA" w:rsidRPr="00D85E09" w:rsidRDefault="00051AAA" w:rsidP="0043316B">
            <w:pPr>
              <w:pStyle w:val="Tabletext"/>
              <w:keepNext w:val="0"/>
              <w:widowControl w:val="0"/>
              <w:ind w:left="426"/>
            </w:pPr>
            <w:r w:rsidRPr="00D85E09">
              <w:t xml:space="preserve">Other </w:t>
            </w:r>
          </w:p>
        </w:tc>
        <w:tc>
          <w:tcPr>
            <w:tcW w:w="1515" w:type="dxa"/>
            <w:tcBorders>
              <w:top w:val="nil"/>
            </w:tcBorders>
          </w:tcPr>
          <w:p w14:paraId="70E39F1E" w14:textId="7D8EF728" w:rsidR="00051AAA" w:rsidRPr="00D85E09" w:rsidRDefault="00051AAA" w:rsidP="0043316B">
            <w:pPr>
              <w:pStyle w:val="Tabletext"/>
              <w:keepNext w:val="0"/>
              <w:widowControl w:val="0"/>
            </w:pPr>
            <w:r w:rsidRPr="00D85E09">
              <w:t xml:space="preserve">11 (2) </w:t>
            </w:r>
          </w:p>
        </w:tc>
        <w:tc>
          <w:tcPr>
            <w:tcW w:w="1515" w:type="dxa"/>
            <w:tcBorders>
              <w:top w:val="nil"/>
            </w:tcBorders>
          </w:tcPr>
          <w:p w14:paraId="675C4865" w14:textId="70ACC5B8" w:rsidR="00051AAA" w:rsidRPr="00D85E09" w:rsidRDefault="00051AAA" w:rsidP="0043316B">
            <w:pPr>
              <w:pStyle w:val="Tabletext"/>
              <w:keepNext w:val="0"/>
              <w:widowControl w:val="0"/>
            </w:pPr>
            <w:r w:rsidRPr="00D85E09">
              <w:t>13 (2)</w:t>
            </w:r>
          </w:p>
        </w:tc>
        <w:tc>
          <w:tcPr>
            <w:tcW w:w="1515" w:type="dxa"/>
            <w:tcBorders>
              <w:top w:val="nil"/>
            </w:tcBorders>
          </w:tcPr>
          <w:p w14:paraId="5A522654" w14:textId="77777777" w:rsidR="00051AAA" w:rsidRPr="00D85E09" w:rsidRDefault="00051AAA" w:rsidP="0043316B">
            <w:pPr>
              <w:pStyle w:val="Tabletext"/>
              <w:keepNext w:val="0"/>
              <w:widowControl w:val="0"/>
            </w:pPr>
          </w:p>
        </w:tc>
        <w:tc>
          <w:tcPr>
            <w:tcW w:w="1516" w:type="dxa"/>
            <w:tcBorders>
              <w:top w:val="nil"/>
            </w:tcBorders>
          </w:tcPr>
          <w:p w14:paraId="1C9543FA" w14:textId="77777777" w:rsidR="00051AAA" w:rsidRPr="00D85E09" w:rsidRDefault="00051AAA" w:rsidP="0043316B">
            <w:pPr>
              <w:pStyle w:val="Tabletext"/>
              <w:keepNext w:val="0"/>
              <w:widowControl w:val="0"/>
            </w:pPr>
          </w:p>
        </w:tc>
      </w:tr>
      <w:tr w:rsidR="00051AAA" w:rsidRPr="00D85E09" w14:paraId="1E2B0A96" w14:textId="77777777" w:rsidTr="00051AAA">
        <w:tc>
          <w:tcPr>
            <w:tcW w:w="9004" w:type="dxa"/>
            <w:gridSpan w:val="5"/>
          </w:tcPr>
          <w:p w14:paraId="1191B720" w14:textId="77777777" w:rsidR="00051AAA" w:rsidRPr="00D85E09" w:rsidRDefault="00051AAA" w:rsidP="0043316B">
            <w:pPr>
              <w:pStyle w:val="Tabletext"/>
              <w:keepNext w:val="0"/>
              <w:widowControl w:val="0"/>
              <w:rPr>
                <w:i/>
              </w:rPr>
            </w:pPr>
            <w:r w:rsidRPr="00D85E09">
              <w:rPr>
                <w:i/>
              </w:rPr>
              <w:t>Treatment details and process times</w:t>
            </w:r>
          </w:p>
        </w:tc>
      </w:tr>
      <w:tr w:rsidR="00051AAA" w:rsidRPr="00D85E09" w14:paraId="79DE070A" w14:textId="77777777" w:rsidTr="00AE12A3">
        <w:tc>
          <w:tcPr>
            <w:tcW w:w="2943" w:type="dxa"/>
          </w:tcPr>
          <w:p w14:paraId="7441ECAA" w14:textId="513A075B" w:rsidR="00051AAA" w:rsidRPr="00D85E09" w:rsidRDefault="00051AAA" w:rsidP="0043316B">
            <w:pPr>
              <w:pStyle w:val="Tabletext"/>
              <w:keepNext w:val="0"/>
              <w:widowControl w:val="0"/>
            </w:pPr>
            <w:r w:rsidRPr="00D85E09">
              <w:t>Treatment with IV alteplase</w:t>
            </w:r>
            <w:r w:rsidR="00792EDB" w:rsidRPr="00D85E09">
              <w:t xml:space="preserve"> – n (%)</w:t>
            </w:r>
          </w:p>
        </w:tc>
        <w:tc>
          <w:tcPr>
            <w:tcW w:w="1515" w:type="dxa"/>
          </w:tcPr>
          <w:p w14:paraId="20211D3C" w14:textId="2F2A1E5A" w:rsidR="00051AAA" w:rsidRPr="00D85E09" w:rsidRDefault="00051AAA" w:rsidP="0043316B">
            <w:pPr>
              <w:pStyle w:val="Tabletext"/>
              <w:keepNext w:val="0"/>
              <w:widowControl w:val="0"/>
            </w:pPr>
            <w:r w:rsidRPr="00D85E09">
              <w:t xml:space="preserve">526 (83) </w:t>
            </w:r>
          </w:p>
        </w:tc>
        <w:tc>
          <w:tcPr>
            <w:tcW w:w="1515" w:type="dxa"/>
          </w:tcPr>
          <w:p w14:paraId="316B5ACB" w14:textId="7DDB3BEE" w:rsidR="00051AAA" w:rsidRPr="00D85E09" w:rsidRDefault="00051AAA" w:rsidP="0043316B">
            <w:pPr>
              <w:pStyle w:val="Tabletext"/>
              <w:keepNext w:val="0"/>
              <w:widowControl w:val="0"/>
            </w:pPr>
            <w:r w:rsidRPr="00D85E09">
              <w:t>569 (87)</w:t>
            </w:r>
          </w:p>
        </w:tc>
        <w:tc>
          <w:tcPr>
            <w:tcW w:w="1515" w:type="dxa"/>
          </w:tcPr>
          <w:p w14:paraId="7E86E8F8" w14:textId="5E972679" w:rsidR="00051AAA" w:rsidRPr="00D85E09" w:rsidRDefault="00051AAA" w:rsidP="0043316B">
            <w:pPr>
              <w:pStyle w:val="Tabletext"/>
              <w:keepNext w:val="0"/>
              <w:widowControl w:val="0"/>
            </w:pPr>
            <w:r w:rsidRPr="00D85E09">
              <w:t>35 (100)</w:t>
            </w:r>
          </w:p>
        </w:tc>
        <w:tc>
          <w:tcPr>
            <w:tcW w:w="1516" w:type="dxa"/>
          </w:tcPr>
          <w:p w14:paraId="18A48063" w14:textId="67ABEA76" w:rsidR="00051AAA" w:rsidRPr="00D85E09" w:rsidRDefault="00051AAA" w:rsidP="0043316B">
            <w:pPr>
              <w:pStyle w:val="Tabletext"/>
              <w:keepNext w:val="0"/>
              <w:widowControl w:val="0"/>
            </w:pPr>
            <w:r w:rsidRPr="00D85E09">
              <w:t>35 (100)</w:t>
            </w:r>
          </w:p>
        </w:tc>
      </w:tr>
      <w:tr w:rsidR="00051AAA" w:rsidRPr="00D85E09" w14:paraId="0B4ABF57" w14:textId="77777777" w:rsidTr="00AE12A3">
        <w:tc>
          <w:tcPr>
            <w:tcW w:w="2943" w:type="dxa"/>
            <w:tcBorders>
              <w:bottom w:val="single" w:sz="4" w:space="0" w:color="000000"/>
            </w:tcBorders>
          </w:tcPr>
          <w:p w14:paraId="55C109DC" w14:textId="3A390906" w:rsidR="00051AAA" w:rsidRPr="00D85E09" w:rsidRDefault="00051AAA" w:rsidP="0043316B">
            <w:pPr>
              <w:pStyle w:val="Tabletext"/>
              <w:keepNext w:val="0"/>
              <w:widowControl w:val="0"/>
            </w:pPr>
            <w:r w:rsidRPr="00D85E09">
              <w:t>Treatment with IV alteplase within 180 minutes</w:t>
            </w:r>
            <w:r w:rsidR="00792EDB" w:rsidRPr="00D85E09">
              <w:t xml:space="preserve"> – n (%)</w:t>
            </w:r>
          </w:p>
        </w:tc>
        <w:tc>
          <w:tcPr>
            <w:tcW w:w="1515" w:type="dxa"/>
            <w:tcBorders>
              <w:bottom w:val="single" w:sz="4" w:space="0" w:color="000000"/>
            </w:tcBorders>
          </w:tcPr>
          <w:p w14:paraId="69A42718" w14:textId="494EB065" w:rsidR="00051AAA" w:rsidRPr="00D85E09" w:rsidRDefault="00051AAA" w:rsidP="0043316B">
            <w:pPr>
              <w:pStyle w:val="Tabletext"/>
              <w:keepNext w:val="0"/>
              <w:widowControl w:val="0"/>
            </w:pPr>
            <w:r w:rsidRPr="00D85E09">
              <w:t xml:space="preserve">442 (70) </w:t>
            </w:r>
          </w:p>
        </w:tc>
        <w:tc>
          <w:tcPr>
            <w:tcW w:w="1515" w:type="dxa"/>
            <w:tcBorders>
              <w:bottom w:val="single" w:sz="4" w:space="0" w:color="000000"/>
            </w:tcBorders>
          </w:tcPr>
          <w:p w14:paraId="597CAC51" w14:textId="6AD1F25F" w:rsidR="00051AAA" w:rsidRPr="00D85E09" w:rsidRDefault="00051AAA" w:rsidP="0043316B">
            <w:pPr>
              <w:pStyle w:val="Tabletext"/>
              <w:keepNext w:val="0"/>
              <w:widowControl w:val="0"/>
            </w:pPr>
            <w:r w:rsidRPr="00D85E09">
              <w:t>462 (71)</w:t>
            </w:r>
          </w:p>
        </w:tc>
        <w:tc>
          <w:tcPr>
            <w:tcW w:w="1515" w:type="dxa"/>
            <w:tcBorders>
              <w:bottom w:val="single" w:sz="4" w:space="0" w:color="000000"/>
            </w:tcBorders>
          </w:tcPr>
          <w:p w14:paraId="1EEB8F25" w14:textId="77777777" w:rsidR="00051AAA" w:rsidRPr="00D85E09" w:rsidRDefault="00051AAA" w:rsidP="0043316B">
            <w:pPr>
              <w:pStyle w:val="Tabletext"/>
              <w:keepNext w:val="0"/>
              <w:widowControl w:val="0"/>
            </w:pPr>
            <w:r w:rsidRPr="00D85E09">
              <w:t>NR</w:t>
            </w:r>
          </w:p>
        </w:tc>
        <w:tc>
          <w:tcPr>
            <w:tcW w:w="1516" w:type="dxa"/>
            <w:tcBorders>
              <w:bottom w:val="single" w:sz="4" w:space="0" w:color="000000"/>
            </w:tcBorders>
          </w:tcPr>
          <w:p w14:paraId="4DDF519C" w14:textId="77777777" w:rsidR="00051AAA" w:rsidRPr="00D85E09" w:rsidRDefault="00051AAA" w:rsidP="0043316B">
            <w:pPr>
              <w:pStyle w:val="Tabletext"/>
              <w:keepNext w:val="0"/>
              <w:widowControl w:val="0"/>
            </w:pPr>
            <w:r w:rsidRPr="00D85E09">
              <w:t>NR</w:t>
            </w:r>
          </w:p>
        </w:tc>
      </w:tr>
      <w:tr w:rsidR="00051AAA" w:rsidRPr="00D85E09" w14:paraId="3D0D8528" w14:textId="77777777" w:rsidTr="00AE12A3">
        <w:tc>
          <w:tcPr>
            <w:tcW w:w="2943" w:type="dxa"/>
            <w:tcBorders>
              <w:bottom w:val="nil"/>
            </w:tcBorders>
          </w:tcPr>
          <w:p w14:paraId="4D9B3523" w14:textId="284726E8" w:rsidR="00051AAA" w:rsidRPr="00D85E09" w:rsidRDefault="00051AAA" w:rsidP="0043316B">
            <w:pPr>
              <w:pStyle w:val="Tabletext"/>
              <w:keepNext w:val="0"/>
              <w:widowControl w:val="0"/>
            </w:pPr>
            <w:r w:rsidRPr="00D85E09">
              <w:t>Process times (min)</w:t>
            </w:r>
            <w:r w:rsidR="00792EDB" w:rsidRPr="00D85E09">
              <w:t xml:space="preserve"> – median (IQR)</w:t>
            </w:r>
          </w:p>
        </w:tc>
        <w:tc>
          <w:tcPr>
            <w:tcW w:w="1515" w:type="dxa"/>
            <w:tcBorders>
              <w:bottom w:val="nil"/>
            </w:tcBorders>
          </w:tcPr>
          <w:p w14:paraId="565252F6" w14:textId="77777777" w:rsidR="00051AAA" w:rsidRPr="00D85E09" w:rsidRDefault="00051AAA" w:rsidP="0043316B">
            <w:pPr>
              <w:pStyle w:val="Tabletext"/>
              <w:keepNext w:val="0"/>
              <w:widowControl w:val="0"/>
            </w:pPr>
          </w:p>
        </w:tc>
        <w:tc>
          <w:tcPr>
            <w:tcW w:w="1515" w:type="dxa"/>
            <w:tcBorders>
              <w:bottom w:val="nil"/>
            </w:tcBorders>
          </w:tcPr>
          <w:p w14:paraId="2F4579A4" w14:textId="77777777" w:rsidR="00051AAA" w:rsidRPr="00D85E09" w:rsidRDefault="00051AAA" w:rsidP="0043316B">
            <w:pPr>
              <w:pStyle w:val="Tabletext"/>
              <w:keepNext w:val="0"/>
              <w:widowControl w:val="0"/>
            </w:pPr>
          </w:p>
        </w:tc>
        <w:tc>
          <w:tcPr>
            <w:tcW w:w="1515" w:type="dxa"/>
            <w:tcBorders>
              <w:bottom w:val="nil"/>
            </w:tcBorders>
          </w:tcPr>
          <w:p w14:paraId="17584CFE" w14:textId="77777777" w:rsidR="00051AAA" w:rsidRPr="00D85E09" w:rsidRDefault="00051AAA" w:rsidP="0043316B">
            <w:pPr>
              <w:pStyle w:val="Tabletext"/>
              <w:keepNext w:val="0"/>
              <w:widowControl w:val="0"/>
            </w:pPr>
          </w:p>
        </w:tc>
        <w:tc>
          <w:tcPr>
            <w:tcW w:w="1516" w:type="dxa"/>
            <w:tcBorders>
              <w:bottom w:val="nil"/>
            </w:tcBorders>
          </w:tcPr>
          <w:p w14:paraId="318E5988" w14:textId="77777777" w:rsidR="00051AAA" w:rsidRPr="00D85E09" w:rsidRDefault="00051AAA" w:rsidP="0043316B">
            <w:pPr>
              <w:pStyle w:val="Tabletext"/>
              <w:keepNext w:val="0"/>
              <w:widowControl w:val="0"/>
            </w:pPr>
          </w:p>
        </w:tc>
      </w:tr>
      <w:tr w:rsidR="00051AAA" w:rsidRPr="00D85E09" w14:paraId="2415378A" w14:textId="77777777" w:rsidTr="00AE12A3">
        <w:tc>
          <w:tcPr>
            <w:tcW w:w="2943" w:type="dxa"/>
            <w:tcBorders>
              <w:top w:val="nil"/>
              <w:bottom w:val="nil"/>
            </w:tcBorders>
          </w:tcPr>
          <w:p w14:paraId="4ABA25B3" w14:textId="77777777" w:rsidR="00051AAA" w:rsidRPr="00D85E09" w:rsidRDefault="00051AAA" w:rsidP="0043316B">
            <w:pPr>
              <w:pStyle w:val="Tabletext"/>
              <w:keepNext w:val="0"/>
              <w:widowControl w:val="0"/>
              <w:ind w:left="426"/>
            </w:pPr>
            <w:r w:rsidRPr="00D85E09">
              <w:t>Median onset to randomisation</w:t>
            </w:r>
          </w:p>
        </w:tc>
        <w:tc>
          <w:tcPr>
            <w:tcW w:w="1515" w:type="dxa"/>
            <w:tcBorders>
              <w:top w:val="nil"/>
              <w:bottom w:val="nil"/>
            </w:tcBorders>
          </w:tcPr>
          <w:p w14:paraId="62451985" w14:textId="77777777" w:rsidR="00051AAA" w:rsidRPr="00D85E09" w:rsidRDefault="00051AAA" w:rsidP="0043316B">
            <w:pPr>
              <w:pStyle w:val="Tabletext"/>
              <w:keepNext w:val="0"/>
              <w:widowControl w:val="0"/>
            </w:pPr>
            <w:r w:rsidRPr="00D85E09">
              <w:t>195·5 (142–260) (n=632)</w:t>
            </w:r>
          </w:p>
        </w:tc>
        <w:tc>
          <w:tcPr>
            <w:tcW w:w="1515" w:type="dxa"/>
            <w:tcBorders>
              <w:top w:val="nil"/>
              <w:bottom w:val="nil"/>
            </w:tcBorders>
          </w:tcPr>
          <w:p w14:paraId="0FF0E6D3" w14:textId="77777777" w:rsidR="00051AAA" w:rsidRPr="00D85E09" w:rsidRDefault="00051AAA" w:rsidP="0043316B">
            <w:pPr>
              <w:pStyle w:val="Tabletext"/>
              <w:keepNext w:val="0"/>
              <w:widowControl w:val="0"/>
            </w:pPr>
            <w:r w:rsidRPr="00D85E09">
              <w:t>196 (142–270) (n=650)</w:t>
            </w:r>
          </w:p>
        </w:tc>
        <w:tc>
          <w:tcPr>
            <w:tcW w:w="1515" w:type="dxa"/>
            <w:tcBorders>
              <w:top w:val="nil"/>
              <w:bottom w:val="nil"/>
            </w:tcBorders>
          </w:tcPr>
          <w:p w14:paraId="27D3E886" w14:textId="77777777" w:rsidR="00051AAA" w:rsidRPr="00D85E09" w:rsidRDefault="00051AAA" w:rsidP="0043316B">
            <w:pPr>
              <w:pStyle w:val="Tabletext"/>
              <w:keepNext w:val="0"/>
              <w:widowControl w:val="0"/>
            </w:pPr>
            <w:r w:rsidRPr="00D85E09">
              <w:t>NR</w:t>
            </w:r>
          </w:p>
        </w:tc>
        <w:tc>
          <w:tcPr>
            <w:tcW w:w="1516" w:type="dxa"/>
            <w:tcBorders>
              <w:top w:val="nil"/>
              <w:bottom w:val="nil"/>
            </w:tcBorders>
          </w:tcPr>
          <w:p w14:paraId="078C152E" w14:textId="77777777" w:rsidR="00051AAA" w:rsidRPr="00D85E09" w:rsidRDefault="00051AAA" w:rsidP="0043316B">
            <w:pPr>
              <w:pStyle w:val="Tabletext"/>
              <w:keepNext w:val="0"/>
              <w:widowControl w:val="0"/>
            </w:pPr>
            <w:r w:rsidRPr="00D85E09">
              <w:t>NR</w:t>
            </w:r>
          </w:p>
        </w:tc>
      </w:tr>
      <w:tr w:rsidR="00051AAA" w:rsidRPr="00D85E09" w14:paraId="52841A89" w14:textId="77777777" w:rsidTr="00AE12A3">
        <w:tc>
          <w:tcPr>
            <w:tcW w:w="2943" w:type="dxa"/>
            <w:tcBorders>
              <w:top w:val="nil"/>
              <w:bottom w:val="nil"/>
            </w:tcBorders>
          </w:tcPr>
          <w:p w14:paraId="5D007AF4" w14:textId="77777777" w:rsidR="00051AAA" w:rsidRPr="00D85E09" w:rsidRDefault="00051AAA" w:rsidP="0043316B">
            <w:pPr>
              <w:pStyle w:val="Tabletext"/>
              <w:keepNext w:val="0"/>
              <w:widowControl w:val="0"/>
              <w:ind w:left="426"/>
            </w:pPr>
            <w:r w:rsidRPr="00D85E09">
              <w:t>Median onset to IV alteplase</w:t>
            </w:r>
          </w:p>
        </w:tc>
        <w:tc>
          <w:tcPr>
            <w:tcW w:w="1515" w:type="dxa"/>
            <w:tcBorders>
              <w:top w:val="nil"/>
              <w:bottom w:val="nil"/>
            </w:tcBorders>
          </w:tcPr>
          <w:p w14:paraId="7679C9F7" w14:textId="77777777" w:rsidR="00051AAA" w:rsidRPr="00D85E09" w:rsidRDefault="00051AAA" w:rsidP="0043316B">
            <w:pPr>
              <w:pStyle w:val="Tabletext"/>
              <w:keepNext w:val="0"/>
              <w:widowControl w:val="0"/>
            </w:pPr>
            <w:r w:rsidRPr="00D85E09">
              <w:t>100 (75–133) (n=598)</w:t>
            </w:r>
          </w:p>
        </w:tc>
        <w:tc>
          <w:tcPr>
            <w:tcW w:w="1515" w:type="dxa"/>
            <w:tcBorders>
              <w:top w:val="nil"/>
              <w:bottom w:val="nil"/>
            </w:tcBorders>
          </w:tcPr>
          <w:p w14:paraId="3945F514" w14:textId="77777777" w:rsidR="00051AAA" w:rsidRPr="00D85E09" w:rsidRDefault="00051AAA" w:rsidP="0043316B">
            <w:pPr>
              <w:pStyle w:val="Tabletext"/>
              <w:keepNext w:val="0"/>
              <w:widowControl w:val="0"/>
            </w:pPr>
            <w:r w:rsidRPr="00D85E09">
              <w:t>100 (74–140) (n=618)</w:t>
            </w:r>
          </w:p>
        </w:tc>
        <w:tc>
          <w:tcPr>
            <w:tcW w:w="1515" w:type="dxa"/>
            <w:tcBorders>
              <w:top w:val="nil"/>
              <w:bottom w:val="nil"/>
            </w:tcBorders>
          </w:tcPr>
          <w:p w14:paraId="4BD7CCC4" w14:textId="77777777" w:rsidR="00051AAA" w:rsidRPr="00D85E09" w:rsidRDefault="00051AAA" w:rsidP="0043316B">
            <w:pPr>
              <w:pStyle w:val="Tabletext"/>
              <w:keepNext w:val="0"/>
              <w:widowControl w:val="0"/>
            </w:pPr>
            <w:r w:rsidRPr="00D85E09">
              <w:t xml:space="preserve">145 (105–180) </w:t>
            </w:r>
          </w:p>
        </w:tc>
        <w:tc>
          <w:tcPr>
            <w:tcW w:w="1516" w:type="dxa"/>
            <w:tcBorders>
              <w:top w:val="nil"/>
              <w:bottom w:val="nil"/>
            </w:tcBorders>
          </w:tcPr>
          <w:p w14:paraId="30D76680" w14:textId="77777777" w:rsidR="00051AAA" w:rsidRPr="00D85E09" w:rsidRDefault="00051AAA" w:rsidP="0043316B">
            <w:pPr>
              <w:pStyle w:val="Tabletext"/>
              <w:keepNext w:val="0"/>
              <w:widowControl w:val="0"/>
            </w:pPr>
            <w:r w:rsidRPr="00D85E09">
              <w:t>127 (93–162)</w:t>
            </w:r>
          </w:p>
        </w:tc>
      </w:tr>
      <w:tr w:rsidR="00051AAA" w:rsidRPr="00D85E09" w14:paraId="689CEF64" w14:textId="77777777" w:rsidTr="00AE12A3">
        <w:tc>
          <w:tcPr>
            <w:tcW w:w="2943" w:type="dxa"/>
            <w:tcBorders>
              <w:top w:val="nil"/>
              <w:bottom w:val="nil"/>
            </w:tcBorders>
          </w:tcPr>
          <w:p w14:paraId="30FAD209" w14:textId="77777777" w:rsidR="00051AAA" w:rsidRPr="00D85E09" w:rsidRDefault="00051AAA" w:rsidP="0043316B">
            <w:pPr>
              <w:pStyle w:val="Tabletext"/>
              <w:keepNext w:val="0"/>
              <w:widowControl w:val="0"/>
              <w:ind w:left="426"/>
            </w:pPr>
            <w:r w:rsidRPr="00D85E09">
              <w:t>Median onset to reperfusion</w:t>
            </w:r>
          </w:p>
        </w:tc>
        <w:tc>
          <w:tcPr>
            <w:tcW w:w="1515" w:type="dxa"/>
            <w:tcBorders>
              <w:top w:val="nil"/>
              <w:bottom w:val="nil"/>
            </w:tcBorders>
          </w:tcPr>
          <w:p w14:paraId="21587C10" w14:textId="77777777" w:rsidR="00051AAA" w:rsidRPr="00D85E09" w:rsidRDefault="00051AAA" w:rsidP="0043316B">
            <w:pPr>
              <w:pStyle w:val="Tabletext"/>
              <w:keepNext w:val="0"/>
              <w:widowControl w:val="0"/>
            </w:pPr>
            <w:r w:rsidRPr="00D85E09">
              <w:t xml:space="preserve">285 (210–362) </w:t>
            </w:r>
          </w:p>
        </w:tc>
        <w:tc>
          <w:tcPr>
            <w:tcW w:w="1515" w:type="dxa"/>
            <w:tcBorders>
              <w:top w:val="nil"/>
              <w:bottom w:val="nil"/>
            </w:tcBorders>
          </w:tcPr>
          <w:p w14:paraId="5A9C2EA7" w14:textId="77777777" w:rsidR="00051AAA" w:rsidRPr="00D85E09" w:rsidRDefault="00051AAA" w:rsidP="0043316B">
            <w:pPr>
              <w:pStyle w:val="Tabletext"/>
              <w:keepNext w:val="0"/>
              <w:widowControl w:val="0"/>
            </w:pPr>
            <w:r w:rsidRPr="00D85E09">
              <w:t>NA</w:t>
            </w:r>
          </w:p>
        </w:tc>
        <w:tc>
          <w:tcPr>
            <w:tcW w:w="1515" w:type="dxa"/>
            <w:tcBorders>
              <w:top w:val="nil"/>
              <w:bottom w:val="nil"/>
            </w:tcBorders>
          </w:tcPr>
          <w:p w14:paraId="34B6A964" w14:textId="77777777" w:rsidR="00051AAA" w:rsidRPr="00D85E09" w:rsidRDefault="00051AAA" w:rsidP="0043316B">
            <w:pPr>
              <w:pStyle w:val="Tabletext"/>
              <w:keepNext w:val="0"/>
              <w:widowControl w:val="0"/>
            </w:pPr>
            <w:r w:rsidRPr="00D85E09">
              <w:t>NR</w:t>
            </w:r>
          </w:p>
        </w:tc>
        <w:tc>
          <w:tcPr>
            <w:tcW w:w="1516" w:type="dxa"/>
            <w:tcBorders>
              <w:top w:val="nil"/>
              <w:bottom w:val="nil"/>
            </w:tcBorders>
          </w:tcPr>
          <w:p w14:paraId="5E8D2A4F" w14:textId="77777777" w:rsidR="00051AAA" w:rsidRPr="00D85E09" w:rsidRDefault="00051AAA" w:rsidP="0043316B">
            <w:pPr>
              <w:pStyle w:val="Tabletext"/>
              <w:keepNext w:val="0"/>
              <w:widowControl w:val="0"/>
            </w:pPr>
            <w:r w:rsidRPr="00D85E09">
              <w:t>NR</w:t>
            </w:r>
          </w:p>
        </w:tc>
      </w:tr>
      <w:tr w:rsidR="00051AAA" w:rsidRPr="00D85E09" w14:paraId="3081513C" w14:textId="77777777" w:rsidTr="00AE12A3">
        <w:tc>
          <w:tcPr>
            <w:tcW w:w="2943" w:type="dxa"/>
            <w:tcBorders>
              <w:top w:val="nil"/>
            </w:tcBorders>
          </w:tcPr>
          <w:p w14:paraId="6798AF3C" w14:textId="77777777" w:rsidR="00051AAA" w:rsidRPr="00D85E09" w:rsidRDefault="00051AAA" w:rsidP="0043316B">
            <w:pPr>
              <w:pStyle w:val="Tabletext"/>
              <w:keepNext w:val="0"/>
              <w:widowControl w:val="0"/>
              <w:ind w:left="426"/>
            </w:pPr>
            <w:r w:rsidRPr="00D85E09">
              <w:t xml:space="preserve">Median time from onset to hospital arrival </w:t>
            </w:r>
          </w:p>
        </w:tc>
        <w:tc>
          <w:tcPr>
            <w:tcW w:w="1515" w:type="dxa"/>
            <w:tcBorders>
              <w:top w:val="nil"/>
            </w:tcBorders>
          </w:tcPr>
          <w:p w14:paraId="67877DD1" w14:textId="77777777" w:rsidR="00051AAA" w:rsidRPr="00D85E09" w:rsidRDefault="00051AAA" w:rsidP="0043316B">
            <w:pPr>
              <w:pStyle w:val="Tabletext"/>
              <w:keepNext w:val="0"/>
              <w:widowControl w:val="0"/>
            </w:pPr>
            <w:r w:rsidRPr="00D85E09">
              <w:t>NR</w:t>
            </w:r>
          </w:p>
        </w:tc>
        <w:tc>
          <w:tcPr>
            <w:tcW w:w="1515" w:type="dxa"/>
            <w:tcBorders>
              <w:top w:val="nil"/>
            </w:tcBorders>
          </w:tcPr>
          <w:p w14:paraId="53F29FC7" w14:textId="77777777" w:rsidR="00051AAA" w:rsidRPr="00D85E09" w:rsidRDefault="00051AAA" w:rsidP="0043316B">
            <w:pPr>
              <w:pStyle w:val="Tabletext"/>
              <w:keepNext w:val="0"/>
              <w:widowControl w:val="0"/>
            </w:pPr>
            <w:r w:rsidRPr="00D85E09">
              <w:t>NR</w:t>
            </w:r>
          </w:p>
        </w:tc>
        <w:tc>
          <w:tcPr>
            <w:tcW w:w="1515" w:type="dxa"/>
            <w:tcBorders>
              <w:top w:val="nil"/>
            </w:tcBorders>
          </w:tcPr>
          <w:p w14:paraId="1DE881DE" w14:textId="77777777" w:rsidR="00051AAA" w:rsidRPr="00D85E09" w:rsidRDefault="00051AAA" w:rsidP="0043316B">
            <w:pPr>
              <w:pStyle w:val="Tabletext"/>
              <w:keepNext w:val="0"/>
              <w:widowControl w:val="0"/>
            </w:pPr>
            <w:r w:rsidRPr="00D85E09">
              <w:t xml:space="preserve">80 (56–115) </w:t>
            </w:r>
          </w:p>
        </w:tc>
        <w:tc>
          <w:tcPr>
            <w:tcW w:w="1516" w:type="dxa"/>
            <w:tcBorders>
              <w:top w:val="nil"/>
            </w:tcBorders>
          </w:tcPr>
          <w:p w14:paraId="7BCADCB0" w14:textId="77777777" w:rsidR="00051AAA" w:rsidRPr="00D85E09" w:rsidRDefault="00051AAA" w:rsidP="0043316B">
            <w:pPr>
              <w:pStyle w:val="Tabletext"/>
              <w:keepNext w:val="0"/>
              <w:widowControl w:val="0"/>
            </w:pPr>
            <w:r w:rsidRPr="00D85E09">
              <w:t>78 (54–112)</w:t>
            </w:r>
          </w:p>
        </w:tc>
      </w:tr>
    </w:tbl>
    <w:p w14:paraId="6C164A07" w14:textId="66C4F895" w:rsidR="00051AAA" w:rsidRPr="00D85E09" w:rsidRDefault="00051AAA" w:rsidP="0043316B">
      <w:pPr>
        <w:pStyle w:val="Tablefootnote"/>
        <w:widowControl w:val="0"/>
        <w:spacing w:after="0"/>
        <w:rPr>
          <w:lang w:val="en-AU"/>
        </w:rPr>
      </w:pPr>
      <w:r w:rsidRPr="00D85E09">
        <w:rPr>
          <w:lang w:val="en-AU"/>
        </w:rPr>
        <w:t>Abbreviations: ASPECTS, Alberta Stroke Program Early CT Score; CT, computed tomography; ICA, internal carotid artery;,National Institute of Health Stroke Scale</w:t>
      </w:r>
    </w:p>
    <w:p w14:paraId="2E22E994" w14:textId="77777777" w:rsidR="00051AAA" w:rsidRPr="00D85E09" w:rsidRDefault="00051AAA" w:rsidP="0043316B">
      <w:pPr>
        <w:pStyle w:val="Tablefootnote"/>
        <w:widowControl w:val="0"/>
        <w:spacing w:after="0"/>
        <w:rPr>
          <w:lang w:val="en-AU"/>
        </w:rPr>
      </w:pPr>
      <w:r w:rsidRPr="00D85E09">
        <w:rPr>
          <w:lang w:val="en-AU"/>
        </w:rPr>
        <w:t>Data are median (IQR), n (%), or mean (SD)</w:t>
      </w:r>
    </w:p>
    <w:p w14:paraId="0C678FFC" w14:textId="77777777" w:rsidR="00051AAA" w:rsidRPr="00D85E09" w:rsidRDefault="00051AAA" w:rsidP="0043316B">
      <w:pPr>
        <w:pStyle w:val="Tablefootnote"/>
        <w:widowControl w:val="0"/>
        <w:spacing w:after="360"/>
        <w:rPr>
          <w:lang w:val="en-AU"/>
        </w:rPr>
      </w:pPr>
      <w:r w:rsidRPr="00D85E09">
        <w:rPr>
          <w:lang w:val="en-AU"/>
        </w:rPr>
        <w:t>Source: Goyal et al, 2016; Table 1</w:t>
      </w:r>
    </w:p>
    <w:p w14:paraId="2664A338" w14:textId="7D235EBA" w:rsidR="008E1DE0" w:rsidRPr="00D85E09" w:rsidRDefault="008E1DE0" w:rsidP="0043316B">
      <w:pPr>
        <w:pStyle w:val="Heading4"/>
        <w:keepLines w:val="0"/>
        <w:widowControl w:val="0"/>
        <w:rPr>
          <w:lang w:val="en-AU"/>
        </w:rPr>
      </w:pPr>
      <w:r w:rsidRPr="00D85E09">
        <w:rPr>
          <w:lang w:val="en-AU"/>
        </w:rPr>
        <w:lastRenderedPageBreak/>
        <w:t>Patients ineligible for IV</w:t>
      </w:r>
      <w:r w:rsidR="00D32933" w:rsidRPr="00D85E09">
        <w:rPr>
          <w:lang w:val="en-AU"/>
        </w:rPr>
        <w:t>-</w:t>
      </w:r>
      <w:r w:rsidRPr="00D85E09">
        <w:rPr>
          <w:lang w:val="en-AU"/>
        </w:rPr>
        <w:t>tPA</w:t>
      </w:r>
    </w:p>
    <w:p w14:paraId="30B4069B" w14:textId="32255D2A" w:rsidR="00F441CE" w:rsidRPr="00D85E09" w:rsidRDefault="00DA77FB" w:rsidP="0043316B">
      <w:pPr>
        <w:widowControl w:val="0"/>
      </w:pPr>
      <w:r w:rsidRPr="00D85E09">
        <w:t>T</w:t>
      </w:r>
      <w:r w:rsidR="007164A0" w:rsidRPr="00D85E09">
        <w:t>he EXTEND-IA trial required all pat</w:t>
      </w:r>
      <w:r w:rsidRPr="00D85E09">
        <w:t>ients to receive IV</w:t>
      </w:r>
      <w:r w:rsidR="00D32933" w:rsidRPr="00D85E09">
        <w:t>-</w:t>
      </w:r>
      <w:r w:rsidRPr="00D85E09">
        <w:t>tPA; therefore</w:t>
      </w:r>
      <w:r w:rsidR="007164A0" w:rsidRPr="00D85E09">
        <w:t xml:space="preserve"> the comparison presented above does not address the applicability of study participants that were ineligible to IV</w:t>
      </w:r>
      <w:r w:rsidR="00D32933" w:rsidRPr="00D85E09">
        <w:t>-</w:t>
      </w:r>
      <w:r w:rsidR="007164A0" w:rsidRPr="00D85E09">
        <w:t xml:space="preserve">tPA to the corresponding Australian population. </w:t>
      </w:r>
      <w:r w:rsidRPr="00D85E09">
        <w:t>The main publications for the remaining studies of MT (SWIFT, MR CLEAN, ESCAPE, REVASCAT) did not provide baseline data for the subgroup of patients that were ineligible for IV</w:t>
      </w:r>
      <w:r w:rsidR="00D32933" w:rsidRPr="00D85E09">
        <w:t>-</w:t>
      </w:r>
      <w:r w:rsidRPr="00D85E09">
        <w:t>tPA. However, a recent publication of the MR CLEAN study performed a subgroup analysis of patients with contraindications for intravenous alteplase treatment (Mulder et al, 2016).</w:t>
      </w:r>
    </w:p>
    <w:p w14:paraId="0395AC56" w14:textId="32960FC2" w:rsidR="00A761EA" w:rsidRPr="00D85E09" w:rsidRDefault="00DA77FB" w:rsidP="0043316B">
      <w:pPr>
        <w:widowControl w:val="0"/>
      </w:pPr>
      <w:r w:rsidRPr="00D85E09">
        <w:t>Overall, 55 of 500 patients (11%) in the study were not tre</w:t>
      </w:r>
      <w:r w:rsidR="00A761EA" w:rsidRPr="00D85E09">
        <w:t>ated with intravenous alteplase.</w:t>
      </w:r>
      <w:r w:rsidRPr="00D85E09">
        <w:t xml:space="preserve"> </w:t>
      </w:r>
      <w:r w:rsidR="00A761EA" w:rsidRPr="00D85E09">
        <w:t xml:space="preserve">The baseline characteristics of these patients are presented in </w:t>
      </w:r>
      <w:r w:rsidR="00792EDB" w:rsidRPr="00D85E09">
        <w:fldChar w:fldCharType="begin"/>
      </w:r>
      <w:r w:rsidR="00792EDB" w:rsidRPr="00D85E09">
        <w:instrText xml:space="preserve"> REF _Ref452390889 \h </w:instrText>
      </w:r>
      <w:r w:rsidR="00792EDB" w:rsidRPr="00D85E09">
        <w:fldChar w:fldCharType="separate"/>
      </w:r>
      <w:r w:rsidR="00A456ED" w:rsidRPr="00D85E09">
        <w:t xml:space="preserve">Table </w:t>
      </w:r>
      <w:r w:rsidR="00A456ED">
        <w:rPr>
          <w:noProof/>
        </w:rPr>
        <w:t>46</w:t>
      </w:r>
      <w:r w:rsidR="00792EDB" w:rsidRPr="00D85E09">
        <w:fldChar w:fldCharType="end"/>
      </w:r>
      <w:r w:rsidR="00792EDB" w:rsidRPr="00D85E09">
        <w:t xml:space="preserve"> </w:t>
      </w:r>
      <w:r w:rsidR="00A761EA" w:rsidRPr="00D85E09">
        <w:t>below.</w:t>
      </w:r>
      <w:r w:rsidR="00F441CE" w:rsidRPr="00D85E09">
        <w:t xml:space="preserve"> In general patients in the IV</w:t>
      </w:r>
      <w:r w:rsidR="00D32933" w:rsidRPr="00D85E09">
        <w:t>-</w:t>
      </w:r>
      <w:r w:rsidR="00F441CE" w:rsidRPr="00D85E09">
        <w:t>tPA-ineligible cohort were older and more often had atrial fibrillation or other vascular comorbidity. Patients in this group were also much more likely to be taking an anti</w:t>
      </w:r>
      <w:r w:rsidR="00300BB6" w:rsidRPr="00D85E09">
        <w:t>coagulant</w:t>
      </w:r>
      <w:r w:rsidR="00F441CE" w:rsidRPr="00D85E09">
        <w:t xml:space="preserve">, which is consistent with the fact that this is a contraindication for thrombolytic therapy. </w:t>
      </w:r>
      <w:r w:rsidR="00BE28CA" w:rsidRPr="00D85E09">
        <w:t>However, i</w:t>
      </w:r>
      <w:r w:rsidR="00F441CE" w:rsidRPr="00D85E09">
        <w:t>n terms of the location of the occlusion and stroke severity (measured by NIHSS), both groups were very similar.</w:t>
      </w:r>
    </w:p>
    <w:p w14:paraId="3638150F" w14:textId="435C73E8" w:rsidR="00F441CE" w:rsidRPr="00D85E09" w:rsidRDefault="00F441CE" w:rsidP="0043316B">
      <w:pPr>
        <w:widowControl w:val="0"/>
      </w:pPr>
      <w:r w:rsidRPr="00D85E09">
        <w:t>Despite minor differences between the groups in terms of baseline characteristics, the analysis found no interaction between IV</w:t>
      </w:r>
      <w:r w:rsidR="00D32933" w:rsidRPr="00D85E09">
        <w:t>-</w:t>
      </w:r>
      <w:r w:rsidRPr="00D85E09">
        <w:t xml:space="preserve">tPA and treatment effect (p=9.27). </w:t>
      </w:r>
      <w:r w:rsidR="00063D81" w:rsidRPr="00D85E09">
        <w:t>In addition, the effect size in patients not treated with IV</w:t>
      </w:r>
      <w:r w:rsidR="00D32933" w:rsidRPr="00D85E09">
        <w:t>-</w:t>
      </w:r>
      <w:r w:rsidR="00063D81" w:rsidRPr="00D85E09">
        <w:t>tPA was similar to that in patients treated with IV</w:t>
      </w:r>
      <w:r w:rsidR="00D32933" w:rsidRPr="00D85E09">
        <w:t>-</w:t>
      </w:r>
      <w:r w:rsidR="00063D81" w:rsidRPr="00D85E09">
        <w:t>tPA</w:t>
      </w:r>
      <w:r w:rsidR="002F1A2D" w:rsidRPr="00D85E09">
        <w:t>. Once potential confounders were adjusted for,</w:t>
      </w:r>
      <w:r w:rsidR="00063D81" w:rsidRPr="00D85E09">
        <w:t xml:space="preserve"> </w:t>
      </w:r>
      <w:r w:rsidR="002F1A2D" w:rsidRPr="00D85E09">
        <w:t>the common odds ratio</w:t>
      </w:r>
      <w:r w:rsidR="00063D81" w:rsidRPr="00D85E09">
        <w:t xml:space="preserve"> </w:t>
      </w:r>
      <w:r w:rsidR="002F1A2D" w:rsidRPr="00D85E09">
        <w:t>for MT in patients treated with IV</w:t>
      </w:r>
      <w:r w:rsidR="00D32933" w:rsidRPr="00D85E09">
        <w:t>-</w:t>
      </w:r>
      <w:r w:rsidR="002F1A2D" w:rsidRPr="00D85E09">
        <w:t xml:space="preserve">tPA was </w:t>
      </w:r>
      <w:r w:rsidR="00063D81" w:rsidRPr="00D85E09">
        <w:t>of 1.7</w:t>
      </w:r>
      <w:r w:rsidR="002F1A2D" w:rsidRPr="00D85E09">
        <w:t>1</w:t>
      </w:r>
      <w:r w:rsidR="00063D81" w:rsidRPr="00D85E09">
        <w:t xml:space="preserve"> (95% CI: 1.2-2.4) </w:t>
      </w:r>
      <w:r w:rsidR="002F1A2D" w:rsidRPr="00D85E09">
        <w:t>compared to 2.06</w:t>
      </w:r>
      <w:r w:rsidR="00063D81" w:rsidRPr="00D85E09">
        <w:t xml:space="preserve"> (95% CI: 0.</w:t>
      </w:r>
      <w:r w:rsidR="002F1A2D" w:rsidRPr="00D85E09">
        <w:t>7</w:t>
      </w:r>
      <w:r w:rsidR="00063D81" w:rsidRPr="00D85E09">
        <w:t>-</w:t>
      </w:r>
      <w:r w:rsidR="002F1A2D" w:rsidRPr="00D85E09">
        <w:t>6.1</w:t>
      </w:r>
      <w:r w:rsidR="00063D81" w:rsidRPr="00D85E09">
        <w:t>)</w:t>
      </w:r>
      <w:r w:rsidR="002F1A2D" w:rsidRPr="00D85E09">
        <w:t xml:space="preserve"> in patients that weren’t</w:t>
      </w:r>
      <w:r w:rsidR="00063D81" w:rsidRPr="00D85E09">
        <w:t xml:space="preserve">. </w:t>
      </w:r>
      <w:r w:rsidRPr="00D85E09">
        <w:t>Th</w:t>
      </w:r>
      <w:r w:rsidR="00063D81" w:rsidRPr="00D85E09">
        <w:t>ese results</w:t>
      </w:r>
      <w:r w:rsidRPr="00D85E09">
        <w:t xml:space="preserve"> support the </w:t>
      </w:r>
      <w:r w:rsidR="00063D81" w:rsidRPr="00D85E09">
        <w:t>conclusions of</w:t>
      </w:r>
      <w:r w:rsidRPr="00D85E09">
        <w:t xml:space="preserve"> the IPD meta-analysis presented in Section C.2, </w:t>
      </w:r>
      <w:r w:rsidR="00063D81" w:rsidRPr="00D85E09">
        <w:t>suggesting</w:t>
      </w:r>
      <w:r w:rsidRPr="00D85E09">
        <w:t xml:space="preserve"> that the efficacy of MT treatment is not modified in patients that are in ineligible for IV</w:t>
      </w:r>
      <w:r w:rsidR="00D32933" w:rsidRPr="00D85E09">
        <w:t>-</w:t>
      </w:r>
      <w:r w:rsidRPr="00D85E09">
        <w:t>tPA.</w:t>
      </w:r>
    </w:p>
    <w:p w14:paraId="56E54FED" w14:textId="4EEE65BA" w:rsidR="00181227" w:rsidRDefault="00181227" w:rsidP="0043316B">
      <w:pPr>
        <w:widowControl w:val="0"/>
      </w:pPr>
      <w:r>
        <w:br w:type="page"/>
      </w:r>
    </w:p>
    <w:p w14:paraId="1EC76204" w14:textId="461767DC" w:rsidR="00A761EA" w:rsidRPr="00D85E09" w:rsidRDefault="00A761EA" w:rsidP="0043316B">
      <w:pPr>
        <w:pStyle w:val="Caption"/>
        <w:keepNext w:val="0"/>
        <w:widowControl w:val="0"/>
        <w:rPr>
          <w:lang w:val="en-AU"/>
        </w:rPr>
      </w:pPr>
      <w:bookmarkStart w:id="391" w:name="_Ref452390889"/>
      <w:bookmarkStart w:id="392" w:name="_Toc453065382"/>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46</w:t>
      </w:r>
      <w:r w:rsidRPr="00D85E09">
        <w:rPr>
          <w:lang w:val="en-AU"/>
        </w:rPr>
        <w:fldChar w:fldCharType="end"/>
      </w:r>
      <w:bookmarkEnd w:id="391"/>
      <w:r w:rsidRPr="00D85E09">
        <w:rPr>
          <w:lang w:val="en-AU"/>
        </w:rPr>
        <w:tab/>
        <w:t>Baseline characteristics of patients ineligible for IV</w:t>
      </w:r>
      <w:r w:rsidR="00D32933" w:rsidRPr="00D85E09">
        <w:rPr>
          <w:lang w:val="en-AU"/>
        </w:rPr>
        <w:t>-</w:t>
      </w:r>
      <w:r w:rsidRPr="00D85E09">
        <w:rPr>
          <w:lang w:val="en-AU"/>
        </w:rPr>
        <w:t>tPA in MR CLEAN</w:t>
      </w:r>
      <w:bookmarkEnd w:id="392"/>
    </w:p>
    <w:tbl>
      <w:tblPr>
        <w:tblStyle w:val="TableGrid"/>
        <w:tblW w:w="5000" w:type="pct"/>
        <w:tblLook w:val="04A0" w:firstRow="1" w:lastRow="0" w:firstColumn="1" w:lastColumn="0" w:noHBand="0" w:noVBand="1"/>
        <w:tblDescription w:val="Table 46. Baseline characteristics of patients ineligible for IV-tPA in MR CLEAN"/>
      </w:tblPr>
      <w:tblGrid>
        <w:gridCol w:w="4151"/>
        <w:gridCol w:w="2427"/>
        <w:gridCol w:w="2426"/>
      </w:tblGrid>
      <w:tr w:rsidR="00A761EA" w:rsidRPr="00D85E09" w14:paraId="32D4115B" w14:textId="77777777" w:rsidTr="00BE6331">
        <w:trPr>
          <w:tblHeader/>
        </w:trPr>
        <w:tc>
          <w:tcPr>
            <w:tcW w:w="2305" w:type="pct"/>
          </w:tcPr>
          <w:p w14:paraId="3A0AC61E" w14:textId="115A745A" w:rsidR="00A761EA" w:rsidRPr="00D85E09" w:rsidRDefault="00A761EA" w:rsidP="0043316B">
            <w:pPr>
              <w:pStyle w:val="Tabletext"/>
              <w:keepNext w:val="0"/>
              <w:widowControl w:val="0"/>
              <w:rPr>
                <w:b/>
              </w:rPr>
            </w:pPr>
            <w:r w:rsidRPr="00D85E09">
              <w:rPr>
                <w:b/>
              </w:rPr>
              <w:t>Characteristic</w:t>
            </w:r>
          </w:p>
        </w:tc>
        <w:tc>
          <w:tcPr>
            <w:tcW w:w="1348" w:type="pct"/>
          </w:tcPr>
          <w:p w14:paraId="4A5F3B6C" w14:textId="7C0ABEB9" w:rsidR="00A761EA" w:rsidRPr="00D85E09" w:rsidRDefault="00A761EA" w:rsidP="0043316B">
            <w:pPr>
              <w:pStyle w:val="Tabletext"/>
              <w:keepNext w:val="0"/>
              <w:widowControl w:val="0"/>
              <w:jc w:val="center"/>
              <w:rPr>
                <w:b/>
              </w:rPr>
            </w:pPr>
            <w:r w:rsidRPr="00D85E09">
              <w:rPr>
                <w:b/>
              </w:rPr>
              <w:t>IV</w:t>
            </w:r>
            <w:r w:rsidR="00D32933" w:rsidRPr="00D85E09">
              <w:rPr>
                <w:b/>
              </w:rPr>
              <w:t>-</w:t>
            </w:r>
            <w:r w:rsidRPr="00D85E09">
              <w:rPr>
                <w:b/>
              </w:rPr>
              <w:t>tPA eligible (n=55)</w:t>
            </w:r>
          </w:p>
        </w:tc>
        <w:tc>
          <w:tcPr>
            <w:tcW w:w="1347" w:type="pct"/>
          </w:tcPr>
          <w:p w14:paraId="427785DC" w14:textId="597C606F" w:rsidR="00A761EA" w:rsidRPr="00D85E09" w:rsidRDefault="00A761EA" w:rsidP="0043316B">
            <w:pPr>
              <w:pStyle w:val="Tabletext"/>
              <w:keepNext w:val="0"/>
              <w:widowControl w:val="0"/>
              <w:jc w:val="center"/>
              <w:rPr>
                <w:b/>
              </w:rPr>
            </w:pPr>
            <w:r w:rsidRPr="00D85E09">
              <w:rPr>
                <w:b/>
              </w:rPr>
              <w:t>IV</w:t>
            </w:r>
            <w:r w:rsidR="00D32933" w:rsidRPr="00D85E09">
              <w:rPr>
                <w:b/>
              </w:rPr>
              <w:t>-</w:t>
            </w:r>
            <w:r w:rsidRPr="00D85E09">
              <w:rPr>
                <w:b/>
              </w:rPr>
              <w:t>tPA ineligible (n=500)</w:t>
            </w:r>
          </w:p>
        </w:tc>
      </w:tr>
      <w:tr w:rsidR="00A761EA" w:rsidRPr="00D85E09" w14:paraId="330A6C32" w14:textId="77777777" w:rsidTr="00AE12A3">
        <w:tc>
          <w:tcPr>
            <w:tcW w:w="2305" w:type="pct"/>
          </w:tcPr>
          <w:p w14:paraId="2969089E" w14:textId="34C4664C" w:rsidR="00A761EA" w:rsidRPr="00D85E09" w:rsidRDefault="00A761EA" w:rsidP="0043316B">
            <w:pPr>
              <w:pStyle w:val="Tabletext"/>
              <w:keepNext w:val="0"/>
              <w:widowControl w:val="0"/>
            </w:pPr>
            <w:r w:rsidRPr="00D85E09">
              <w:t>Median/mean age</w:t>
            </w:r>
            <w:r w:rsidR="00C97E68" w:rsidRPr="00D85E09">
              <w:t xml:space="preserve"> – median (IQR)</w:t>
            </w:r>
          </w:p>
        </w:tc>
        <w:tc>
          <w:tcPr>
            <w:tcW w:w="1348" w:type="pct"/>
          </w:tcPr>
          <w:p w14:paraId="3D7C5563" w14:textId="5F2495CA" w:rsidR="00A761EA" w:rsidRPr="00D85E09" w:rsidRDefault="00BD3016" w:rsidP="0043316B">
            <w:pPr>
              <w:pStyle w:val="Tabletext"/>
              <w:keepNext w:val="0"/>
              <w:widowControl w:val="0"/>
              <w:jc w:val="center"/>
            </w:pPr>
            <w:r w:rsidRPr="00D85E09">
              <w:t>65.4</w:t>
            </w:r>
            <w:r w:rsidR="00792EDB" w:rsidRPr="00D85E09">
              <w:t xml:space="preserve"> (54.3-76.2)</w:t>
            </w:r>
          </w:p>
        </w:tc>
        <w:tc>
          <w:tcPr>
            <w:tcW w:w="1347" w:type="pct"/>
          </w:tcPr>
          <w:p w14:paraId="65E49573" w14:textId="19934C4A" w:rsidR="00A761EA" w:rsidRPr="00D85E09" w:rsidRDefault="00BD3016" w:rsidP="0043316B">
            <w:pPr>
              <w:pStyle w:val="Tabletext"/>
              <w:keepNext w:val="0"/>
              <w:widowControl w:val="0"/>
              <w:jc w:val="center"/>
            </w:pPr>
            <w:r w:rsidRPr="00D85E09">
              <w:t>67.5</w:t>
            </w:r>
            <w:r w:rsidR="00792EDB" w:rsidRPr="00D85E09">
              <w:t xml:space="preserve"> (61.5-77.8)</w:t>
            </w:r>
          </w:p>
        </w:tc>
      </w:tr>
      <w:tr w:rsidR="00A761EA" w:rsidRPr="00D85E09" w14:paraId="0548DEBE" w14:textId="77777777" w:rsidTr="00AE12A3">
        <w:tc>
          <w:tcPr>
            <w:tcW w:w="2305" w:type="pct"/>
          </w:tcPr>
          <w:p w14:paraId="31E591C2" w14:textId="02BEA4CC" w:rsidR="00A761EA" w:rsidRPr="00D85E09" w:rsidRDefault="00A761EA" w:rsidP="0043316B">
            <w:pPr>
              <w:pStyle w:val="Tabletext"/>
              <w:keepNext w:val="0"/>
              <w:widowControl w:val="0"/>
            </w:pPr>
            <w:r w:rsidRPr="00D85E09">
              <w:t>Men</w:t>
            </w:r>
            <w:r w:rsidR="00C97E68" w:rsidRPr="00D85E09">
              <w:t xml:space="preserve"> – n (%)</w:t>
            </w:r>
          </w:p>
        </w:tc>
        <w:tc>
          <w:tcPr>
            <w:tcW w:w="1348" w:type="pct"/>
          </w:tcPr>
          <w:p w14:paraId="4F157FEA" w14:textId="0B265E0E" w:rsidR="00A761EA" w:rsidRPr="00D85E09" w:rsidRDefault="00792EDB" w:rsidP="0043316B">
            <w:pPr>
              <w:pStyle w:val="Tabletext"/>
              <w:keepNext w:val="0"/>
              <w:widowControl w:val="0"/>
              <w:jc w:val="center"/>
            </w:pPr>
            <w:r w:rsidRPr="00D85E09">
              <w:t>257 (58</w:t>
            </w:r>
            <w:r w:rsidR="00BD3016" w:rsidRPr="00D85E09">
              <w:t>)</w:t>
            </w:r>
          </w:p>
        </w:tc>
        <w:tc>
          <w:tcPr>
            <w:tcW w:w="1347" w:type="pct"/>
          </w:tcPr>
          <w:p w14:paraId="06D915F1" w14:textId="42E2678F" w:rsidR="00A761EA" w:rsidRPr="00D85E09" w:rsidRDefault="00792EDB" w:rsidP="0043316B">
            <w:pPr>
              <w:pStyle w:val="Tabletext"/>
              <w:keepNext w:val="0"/>
              <w:widowControl w:val="0"/>
              <w:jc w:val="center"/>
            </w:pPr>
            <w:r w:rsidRPr="00D85E09">
              <w:t>35 (64)</w:t>
            </w:r>
          </w:p>
        </w:tc>
      </w:tr>
      <w:tr w:rsidR="005D64E7" w:rsidRPr="00D85E09" w14:paraId="1C9D6AC0" w14:textId="77777777" w:rsidTr="00AE12A3">
        <w:tc>
          <w:tcPr>
            <w:tcW w:w="2305" w:type="pct"/>
          </w:tcPr>
          <w:p w14:paraId="303A89E9" w14:textId="77777777" w:rsidR="005D64E7" w:rsidRPr="00D85E09" w:rsidRDefault="005D64E7" w:rsidP="0043316B">
            <w:pPr>
              <w:pStyle w:val="Tabletext"/>
              <w:keepNext w:val="0"/>
              <w:widowControl w:val="0"/>
            </w:pPr>
            <w:r w:rsidRPr="00D85E09">
              <w:t>Baseline NIHSS score – median (IQR)</w:t>
            </w:r>
          </w:p>
        </w:tc>
        <w:tc>
          <w:tcPr>
            <w:tcW w:w="1348" w:type="pct"/>
          </w:tcPr>
          <w:p w14:paraId="50C96BA9" w14:textId="2778087C" w:rsidR="005D64E7" w:rsidRPr="00D85E09" w:rsidRDefault="00BD3016" w:rsidP="0043316B">
            <w:pPr>
              <w:pStyle w:val="Tabletext"/>
              <w:keepNext w:val="0"/>
              <w:widowControl w:val="0"/>
              <w:jc w:val="center"/>
            </w:pPr>
            <w:r w:rsidRPr="00D85E09">
              <w:t>18 (14-22)</w:t>
            </w:r>
          </w:p>
        </w:tc>
        <w:tc>
          <w:tcPr>
            <w:tcW w:w="1347" w:type="pct"/>
          </w:tcPr>
          <w:p w14:paraId="5A341F30" w14:textId="02ABA707" w:rsidR="005D64E7" w:rsidRPr="00D85E09" w:rsidRDefault="00792EDB" w:rsidP="0043316B">
            <w:pPr>
              <w:pStyle w:val="Tabletext"/>
              <w:keepNext w:val="0"/>
              <w:widowControl w:val="0"/>
              <w:jc w:val="center"/>
            </w:pPr>
            <w:r w:rsidRPr="00D85E09">
              <w:t>19 (14-22)</w:t>
            </w:r>
          </w:p>
        </w:tc>
      </w:tr>
      <w:tr w:rsidR="00A761EA" w:rsidRPr="00D85E09" w14:paraId="316F2FF2" w14:textId="77777777" w:rsidTr="00AE12A3">
        <w:tc>
          <w:tcPr>
            <w:tcW w:w="2305" w:type="pct"/>
          </w:tcPr>
          <w:p w14:paraId="64134CE0" w14:textId="088573F8" w:rsidR="00A761EA" w:rsidRPr="00D85E09" w:rsidRDefault="005D64E7" w:rsidP="0043316B">
            <w:pPr>
              <w:pStyle w:val="Tabletext"/>
              <w:keepNext w:val="0"/>
              <w:widowControl w:val="0"/>
            </w:pPr>
            <w:r w:rsidRPr="00D85E09">
              <w:t>Clinical localization: left hemisphere</w:t>
            </w:r>
            <w:r w:rsidR="00C97E68" w:rsidRPr="00D85E09">
              <w:t xml:space="preserve"> – n (%)</w:t>
            </w:r>
          </w:p>
        </w:tc>
        <w:tc>
          <w:tcPr>
            <w:tcW w:w="1348" w:type="pct"/>
          </w:tcPr>
          <w:p w14:paraId="537918BF" w14:textId="59F2EB84" w:rsidR="00A761EA" w:rsidRPr="00D85E09" w:rsidRDefault="00BD3016" w:rsidP="0043316B">
            <w:pPr>
              <w:pStyle w:val="Tabletext"/>
              <w:keepNext w:val="0"/>
              <w:widowControl w:val="0"/>
              <w:jc w:val="center"/>
            </w:pPr>
            <w:r w:rsidRPr="00D85E09">
              <w:t>239 (54)</w:t>
            </w:r>
          </w:p>
        </w:tc>
        <w:tc>
          <w:tcPr>
            <w:tcW w:w="1347" w:type="pct"/>
          </w:tcPr>
          <w:p w14:paraId="67B73C63" w14:textId="0E33755D" w:rsidR="00A761EA" w:rsidRPr="00D85E09" w:rsidRDefault="00792EDB" w:rsidP="0043316B">
            <w:pPr>
              <w:pStyle w:val="Tabletext"/>
              <w:keepNext w:val="0"/>
              <w:widowControl w:val="0"/>
              <w:jc w:val="center"/>
            </w:pPr>
            <w:r w:rsidRPr="00D85E09">
              <w:t>30 (55)</w:t>
            </w:r>
          </w:p>
        </w:tc>
      </w:tr>
      <w:tr w:rsidR="005D64E7" w:rsidRPr="00D85E09" w14:paraId="28F83A00" w14:textId="77777777" w:rsidTr="00E8639D">
        <w:tc>
          <w:tcPr>
            <w:tcW w:w="2305" w:type="pct"/>
          </w:tcPr>
          <w:p w14:paraId="387997E0" w14:textId="19F2892E" w:rsidR="005D64E7" w:rsidRPr="00D85E09" w:rsidRDefault="005D64E7" w:rsidP="0043316B">
            <w:pPr>
              <w:pStyle w:val="Tabletext"/>
              <w:keepNext w:val="0"/>
              <w:widowControl w:val="0"/>
            </w:pPr>
            <w:r w:rsidRPr="00D85E09">
              <w:t>Atrial fibrillation</w:t>
            </w:r>
            <w:r w:rsidR="00C97E68" w:rsidRPr="00D85E09">
              <w:t xml:space="preserve"> – n (%)</w:t>
            </w:r>
          </w:p>
        </w:tc>
        <w:tc>
          <w:tcPr>
            <w:tcW w:w="1348" w:type="pct"/>
          </w:tcPr>
          <w:p w14:paraId="2BC43103" w14:textId="57421C24" w:rsidR="005D64E7" w:rsidRPr="00D85E09" w:rsidRDefault="00BD3016" w:rsidP="0043316B">
            <w:pPr>
              <w:pStyle w:val="Tabletext"/>
              <w:keepNext w:val="0"/>
              <w:widowControl w:val="0"/>
              <w:jc w:val="center"/>
            </w:pPr>
            <w:r w:rsidRPr="00D85E09">
              <w:t>105 (24)</w:t>
            </w:r>
          </w:p>
        </w:tc>
        <w:tc>
          <w:tcPr>
            <w:tcW w:w="1347" w:type="pct"/>
          </w:tcPr>
          <w:p w14:paraId="20990241" w14:textId="672A1EA4" w:rsidR="005D64E7" w:rsidRPr="00D85E09" w:rsidRDefault="00792EDB" w:rsidP="0043316B">
            <w:pPr>
              <w:pStyle w:val="Tabletext"/>
              <w:keepNext w:val="0"/>
              <w:widowControl w:val="0"/>
              <w:jc w:val="center"/>
            </w:pPr>
            <w:r w:rsidRPr="00D85E09">
              <w:t>30 (55)</w:t>
            </w:r>
          </w:p>
        </w:tc>
      </w:tr>
      <w:tr w:rsidR="005D64E7" w:rsidRPr="00D85E09" w14:paraId="5F473AFD" w14:textId="77777777" w:rsidTr="00063D81">
        <w:tc>
          <w:tcPr>
            <w:tcW w:w="2305" w:type="pct"/>
          </w:tcPr>
          <w:p w14:paraId="29AD27E8" w14:textId="716DBCD7" w:rsidR="005D64E7" w:rsidRPr="00D85E09" w:rsidRDefault="005D64E7" w:rsidP="0043316B">
            <w:pPr>
              <w:pStyle w:val="Tabletext"/>
              <w:keepNext w:val="0"/>
              <w:widowControl w:val="0"/>
            </w:pPr>
            <w:r w:rsidRPr="00D85E09">
              <w:t>History of ischaemic stroke</w:t>
            </w:r>
            <w:r w:rsidR="00C97E68" w:rsidRPr="00D85E09">
              <w:t xml:space="preserve"> – n (%)</w:t>
            </w:r>
          </w:p>
        </w:tc>
        <w:tc>
          <w:tcPr>
            <w:tcW w:w="1348" w:type="pct"/>
          </w:tcPr>
          <w:p w14:paraId="72E0BFAD" w14:textId="5C17055A" w:rsidR="005D64E7" w:rsidRPr="00D85E09" w:rsidRDefault="00792EDB" w:rsidP="0043316B">
            <w:pPr>
              <w:pStyle w:val="Tabletext"/>
              <w:keepNext w:val="0"/>
              <w:widowControl w:val="0"/>
              <w:jc w:val="center"/>
            </w:pPr>
            <w:r w:rsidRPr="00D85E09">
              <w:t>43 (10</w:t>
            </w:r>
            <w:r w:rsidR="00BD3016" w:rsidRPr="00D85E09">
              <w:t>)</w:t>
            </w:r>
          </w:p>
        </w:tc>
        <w:tc>
          <w:tcPr>
            <w:tcW w:w="1347" w:type="pct"/>
          </w:tcPr>
          <w:p w14:paraId="33264C3B" w14:textId="55E670B7" w:rsidR="005D64E7" w:rsidRPr="00D85E09" w:rsidRDefault="00792EDB" w:rsidP="0043316B">
            <w:pPr>
              <w:pStyle w:val="Tabletext"/>
              <w:keepNext w:val="0"/>
              <w:widowControl w:val="0"/>
              <w:jc w:val="center"/>
            </w:pPr>
            <w:r w:rsidRPr="00D85E09">
              <w:t>11 (20)</w:t>
            </w:r>
          </w:p>
        </w:tc>
      </w:tr>
      <w:tr w:rsidR="00A761EA" w:rsidRPr="00D85E09" w14:paraId="4C5EACFB" w14:textId="77777777" w:rsidTr="00AE12A3">
        <w:tc>
          <w:tcPr>
            <w:tcW w:w="2305" w:type="pct"/>
          </w:tcPr>
          <w:p w14:paraId="3CC3C31E" w14:textId="0C13DF64" w:rsidR="00A761EA" w:rsidRPr="00D85E09" w:rsidRDefault="00C97E68" w:rsidP="0043316B">
            <w:pPr>
              <w:pStyle w:val="Tabletext"/>
              <w:keepNext w:val="0"/>
              <w:widowControl w:val="0"/>
            </w:pPr>
            <w:r w:rsidRPr="00D85E09">
              <w:t>History of h</w:t>
            </w:r>
            <w:r w:rsidR="00A761EA" w:rsidRPr="00D85E09">
              <w:t>ypertension</w:t>
            </w:r>
            <w:r w:rsidRPr="00D85E09">
              <w:t xml:space="preserve"> – n (%)</w:t>
            </w:r>
          </w:p>
        </w:tc>
        <w:tc>
          <w:tcPr>
            <w:tcW w:w="1348" w:type="pct"/>
          </w:tcPr>
          <w:p w14:paraId="3D213AE7" w14:textId="7A353192" w:rsidR="00A761EA" w:rsidRPr="00D85E09" w:rsidRDefault="00BD3016" w:rsidP="0043316B">
            <w:pPr>
              <w:pStyle w:val="Tabletext"/>
              <w:keepNext w:val="0"/>
              <w:widowControl w:val="0"/>
              <w:jc w:val="center"/>
            </w:pPr>
            <w:r w:rsidRPr="00D85E09">
              <w:t>194 (44)</w:t>
            </w:r>
          </w:p>
        </w:tc>
        <w:tc>
          <w:tcPr>
            <w:tcW w:w="1347" w:type="pct"/>
          </w:tcPr>
          <w:p w14:paraId="3EDD8410" w14:textId="047EEEFB" w:rsidR="00A761EA" w:rsidRPr="00D85E09" w:rsidRDefault="00792EDB" w:rsidP="0043316B">
            <w:pPr>
              <w:pStyle w:val="Tabletext"/>
              <w:keepNext w:val="0"/>
              <w:widowControl w:val="0"/>
              <w:jc w:val="center"/>
            </w:pPr>
            <w:r w:rsidRPr="00D85E09">
              <w:t>33 (60)</w:t>
            </w:r>
          </w:p>
        </w:tc>
      </w:tr>
      <w:tr w:rsidR="00A761EA" w:rsidRPr="00D85E09" w14:paraId="33AB1446" w14:textId="77777777" w:rsidTr="00AE12A3">
        <w:tc>
          <w:tcPr>
            <w:tcW w:w="2305" w:type="pct"/>
          </w:tcPr>
          <w:p w14:paraId="671EE409" w14:textId="76A568B9" w:rsidR="00A761EA" w:rsidRPr="00D85E09" w:rsidRDefault="00C97E68" w:rsidP="0043316B">
            <w:pPr>
              <w:pStyle w:val="Tabletext"/>
              <w:keepNext w:val="0"/>
              <w:widowControl w:val="0"/>
            </w:pPr>
            <w:r w:rsidRPr="00D85E09">
              <w:t>History of d</w:t>
            </w:r>
            <w:r w:rsidR="00A761EA" w:rsidRPr="00D85E09">
              <w:t>iabetes mellitus</w:t>
            </w:r>
            <w:r w:rsidRPr="00D85E09">
              <w:t xml:space="preserve"> – n (%)</w:t>
            </w:r>
          </w:p>
        </w:tc>
        <w:tc>
          <w:tcPr>
            <w:tcW w:w="1348" w:type="pct"/>
          </w:tcPr>
          <w:p w14:paraId="271F18B8" w14:textId="6CD329C9" w:rsidR="00A761EA" w:rsidRPr="00D85E09" w:rsidRDefault="00792EDB" w:rsidP="0043316B">
            <w:pPr>
              <w:pStyle w:val="Tabletext"/>
              <w:keepNext w:val="0"/>
              <w:widowControl w:val="0"/>
              <w:jc w:val="center"/>
            </w:pPr>
            <w:r w:rsidRPr="00D85E09">
              <w:t>56 (13)</w:t>
            </w:r>
          </w:p>
        </w:tc>
        <w:tc>
          <w:tcPr>
            <w:tcW w:w="1347" w:type="pct"/>
          </w:tcPr>
          <w:p w14:paraId="6F041073" w14:textId="4397F3F9" w:rsidR="00A761EA" w:rsidRPr="00D85E09" w:rsidRDefault="00792EDB" w:rsidP="0043316B">
            <w:pPr>
              <w:pStyle w:val="Tabletext"/>
              <w:keepNext w:val="0"/>
              <w:widowControl w:val="0"/>
              <w:jc w:val="center"/>
            </w:pPr>
            <w:r w:rsidRPr="00D85E09">
              <w:t>12 (22)</w:t>
            </w:r>
          </w:p>
        </w:tc>
      </w:tr>
      <w:tr w:rsidR="00A761EA" w:rsidRPr="00D85E09" w14:paraId="3E95EDD7" w14:textId="77777777" w:rsidTr="00AE12A3">
        <w:tc>
          <w:tcPr>
            <w:tcW w:w="2305" w:type="pct"/>
          </w:tcPr>
          <w:p w14:paraId="5CEB73E6" w14:textId="230BE6E3" w:rsidR="00A761EA" w:rsidRPr="00D85E09" w:rsidRDefault="00C97E68" w:rsidP="0043316B">
            <w:pPr>
              <w:pStyle w:val="Tabletext"/>
              <w:keepNext w:val="0"/>
              <w:widowControl w:val="0"/>
            </w:pPr>
            <w:r w:rsidRPr="00D85E09">
              <w:t>History of myocardial infarction – n (%)</w:t>
            </w:r>
          </w:p>
        </w:tc>
        <w:tc>
          <w:tcPr>
            <w:tcW w:w="1348" w:type="pct"/>
          </w:tcPr>
          <w:p w14:paraId="4FCA33BE" w14:textId="7BF70471" w:rsidR="00A761EA" w:rsidRPr="00D85E09" w:rsidRDefault="00792EDB" w:rsidP="0043316B">
            <w:pPr>
              <w:pStyle w:val="Tabletext"/>
              <w:keepNext w:val="0"/>
              <w:widowControl w:val="0"/>
              <w:jc w:val="center"/>
            </w:pPr>
            <w:r w:rsidRPr="00D85E09">
              <w:t>69 (16)</w:t>
            </w:r>
          </w:p>
        </w:tc>
        <w:tc>
          <w:tcPr>
            <w:tcW w:w="1347" w:type="pct"/>
          </w:tcPr>
          <w:p w14:paraId="1B2FDD29" w14:textId="37776755" w:rsidR="00A761EA" w:rsidRPr="00D85E09" w:rsidRDefault="00792EDB" w:rsidP="0043316B">
            <w:pPr>
              <w:pStyle w:val="Tabletext"/>
              <w:keepNext w:val="0"/>
              <w:widowControl w:val="0"/>
              <w:jc w:val="center"/>
            </w:pPr>
            <w:r w:rsidRPr="00D85E09">
              <w:t>6 (11)</w:t>
            </w:r>
          </w:p>
        </w:tc>
      </w:tr>
      <w:tr w:rsidR="00C97E68" w:rsidRPr="00D85E09" w14:paraId="2DBAF716" w14:textId="77777777" w:rsidTr="00063D81">
        <w:tc>
          <w:tcPr>
            <w:tcW w:w="2305" w:type="pct"/>
          </w:tcPr>
          <w:p w14:paraId="6D13B0F4" w14:textId="1EEA715E" w:rsidR="00C97E68" w:rsidRPr="00D85E09" w:rsidRDefault="00C97E68" w:rsidP="0043316B">
            <w:pPr>
              <w:pStyle w:val="Tabletext"/>
              <w:keepNext w:val="0"/>
              <w:widowControl w:val="0"/>
            </w:pPr>
            <w:r w:rsidRPr="00D85E09">
              <w:t>History of peripheral artery disease – n (%)</w:t>
            </w:r>
          </w:p>
        </w:tc>
        <w:tc>
          <w:tcPr>
            <w:tcW w:w="1348" w:type="pct"/>
          </w:tcPr>
          <w:p w14:paraId="27787ADA" w14:textId="173F3061" w:rsidR="00C97E68" w:rsidRPr="00D85E09" w:rsidRDefault="00792EDB" w:rsidP="0043316B">
            <w:pPr>
              <w:pStyle w:val="Tabletext"/>
              <w:keepNext w:val="0"/>
              <w:widowControl w:val="0"/>
              <w:jc w:val="center"/>
            </w:pPr>
            <w:r w:rsidRPr="00D85E09">
              <w:t>17 (4)</w:t>
            </w:r>
          </w:p>
        </w:tc>
        <w:tc>
          <w:tcPr>
            <w:tcW w:w="1347" w:type="pct"/>
          </w:tcPr>
          <w:p w14:paraId="540DBA90" w14:textId="7AC3F37A" w:rsidR="00C97E68" w:rsidRPr="00D85E09" w:rsidRDefault="00792EDB" w:rsidP="0043316B">
            <w:pPr>
              <w:pStyle w:val="Tabletext"/>
              <w:keepNext w:val="0"/>
              <w:widowControl w:val="0"/>
              <w:jc w:val="center"/>
            </w:pPr>
            <w:r w:rsidRPr="00D85E09">
              <w:t>7 (13)</w:t>
            </w:r>
          </w:p>
        </w:tc>
      </w:tr>
      <w:tr w:rsidR="00C97E68" w:rsidRPr="00D85E09" w14:paraId="3B6D276A" w14:textId="77777777" w:rsidTr="00063D81">
        <w:tc>
          <w:tcPr>
            <w:tcW w:w="2305" w:type="pct"/>
          </w:tcPr>
          <w:p w14:paraId="50C41D6E" w14:textId="7F394BFA" w:rsidR="00C97E68" w:rsidRPr="00D85E09" w:rsidRDefault="00C97E68" w:rsidP="0043316B">
            <w:pPr>
              <w:pStyle w:val="Tabletext"/>
              <w:keepNext w:val="0"/>
              <w:widowControl w:val="0"/>
            </w:pPr>
            <w:r w:rsidRPr="00D85E09">
              <w:t>History of hyperlipidemia – n (%)</w:t>
            </w:r>
          </w:p>
        </w:tc>
        <w:tc>
          <w:tcPr>
            <w:tcW w:w="1348" w:type="pct"/>
          </w:tcPr>
          <w:p w14:paraId="0EA9E95E" w14:textId="6E2FA931" w:rsidR="00C97E68" w:rsidRPr="00D85E09" w:rsidRDefault="00792EDB" w:rsidP="0043316B">
            <w:pPr>
              <w:pStyle w:val="Tabletext"/>
              <w:keepNext w:val="0"/>
              <w:widowControl w:val="0"/>
              <w:jc w:val="center"/>
            </w:pPr>
            <w:r w:rsidRPr="00D85E09">
              <w:t>116 (26)</w:t>
            </w:r>
          </w:p>
        </w:tc>
        <w:tc>
          <w:tcPr>
            <w:tcW w:w="1347" w:type="pct"/>
          </w:tcPr>
          <w:p w14:paraId="276A7DE9" w14:textId="4A609A16" w:rsidR="00C97E68" w:rsidRPr="00D85E09" w:rsidRDefault="00792EDB" w:rsidP="0043316B">
            <w:pPr>
              <w:pStyle w:val="Tabletext"/>
              <w:keepNext w:val="0"/>
              <w:widowControl w:val="0"/>
              <w:jc w:val="center"/>
            </w:pPr>
            <w:r w:rsidRPr="00D85E09">
              <w:t>13 (24)</w:t>
            </w:r>
          </w:p>
        </w:tc>
      </w:tr>
      <w:tr w:rsidR="00C97E68" w:rsidRPr="00D85E09" w14:paraId="0ACC49CA" w14:textId="77777777" w:rsidTr="00063D81">
        <w:tc>
          <w:tcPr>
            <w:tcW w:w="2305" w:type="pct"/>
          </w:tcPr>
          <w:p w14:paraId="0CC2F562" w14:textId="71665E37" w:rsidR="00C97E68" w:rsidRPr="00D85E09" w:rsidRDefault="00C97E68" w:rsidP="0043316B">
            <w:pPr>
              <w:pStyle w:val="Tabletext"/>
              <w:keepNext w:val="0"/>
              <w:widowControl w:val="0"/>
            </w:pPr>
            <w:r w:rsidRPr="00D85E09">
              <w:t>Current smoking – n (%)</w:t>
            </w:r>
          </w:p>
        </w:tc>
        <w:tc>
          <w:tcPr>
            <w:tcW w:w="1348" w:type="pct"/>
          </w:tcPr>
          <w:p w14:paraId="2E4C6CD8" w14:textId="357AA03B" w:rsidR="00C97E68" w:rsidRPr="00D85E09" w:rsidRDefault="00792EDB" w:rsidP="0043316B">
            <w:pPr>
              <w:pStyle w:val="Tabletext"/>
              <w:keepNext w:val="0"/>
              <w:widowControl w:val="0"/>
              <w:jc w:val="center"/>
            </w:pPr>
            <w:r w:rsidRPr="00D85E09">
              <w:t>129 (29)</w:t>
            </w:r>
          </w:p>
        </w:tc>
        <w:tc>
          <w:tcPr>
            <w:tcW w:w="1347" w:type="pct"/>
          </w:tcPr>
          <w:p w14:paraId="44F875CE" w14:textId="7704271D" w:rsidR="00C97E68" w:rsidRPr="00D85E09" w:rsidRDefault="00792EDB" w:rsidP="0043316B">
            <w:pPr>
              <w:pStyle w:val="Tabletext"/>
              <w:keepNext w:val="0"/>
              <w:widowControl w:val="0"/>
              <w:jc w:val="center"/>
            </w:pPr>
            <w:r w:rsidRPr="00D85E09">
              <w:t>14 (25)</w:t>
            </w:r>
          </w:p>
        </w:tc>
      </w:tr>
      <w:tr w:rsidR="00A761EA" w:rsidRPr="00D85E09" w14:paraId="44678429" w14:textId="77777777" w:rsidTr="00AE12A3">
        <w:tc>
          <w:tcPr>
            <w:tcW w:w="2305" w:type="pct"/>
          </w:tcPr>
          <w:p w14:paraId="4F1E208B" w14:textId="5225060F" w:rsidR="00A761EA" w:rsidRPr="00D85E09" w:rsidRDefault="00C97E68" w:rsidP="0043316B">
            <w:pPr>
              <w:pStyle w:val="Tabletext"/>
              <w:keepNext w:val="0"/>
              <w:widowControl w:val="0"/>
            </w:pPr>
            <w:r w:rsidRPr="00D85E09">
              <w:t>Current statin use – n (%)</w:t>
            </w:r>
          </w:p>
        </w:tc>
        <w:tc>
          <w:tcPr>
            <w:tcW w:w="1348" w:type="pct"/>
          </w:tcPr>
          <w:p w14:paraId="51D35AC6" w14:textId="3C61D2C6" w:rsidR="00A761EA" w:rsidRPr="00D85E09" w:rsidRDefault="00792EDB" w:rsidP="0043316B">
            <w:pPr>
              <w:pStyle w:val="Tabletext"/>
              <w:keepNext w:val="0"/>
              <w:widowControl w:val="0"/>
              <w:jc w:val="center"/>
            </w:pPr>
            <w:r w:rsidRPr="00D85E09">
              <w:t>124 (28)</w:t>
            </w:r>
          </w:p>
        </w:tc>
        <w:tc>
          <w:tcPr>
            <w:tcW w:w="1347" w:type="pct"/>
          </w:tcPr>
          <w:p w14:paraId="344E3572" w14:textId="755D7DAA" w:rsidR="00A761EA" w:rsidRPr="00D85E09" w:rsidRDefault="00792EDB" w:rsidP="0043316B">
            <w:pPr>
              <w:pStyle w:val="Tabletext"/>
              <w:keepNext w:val="0"/>
              <w:widowControl w:val="0"/>
              <w:jc w:val="center"/>
            </w:pPr>
            <w:r w:rsidRPr="00D85E09">
              <w:t>19 (35)</w:t>
            </w:r>
          </w:p>
        </w:tc>
      </w:tr>
      <w:tr w:rsidR="00C97E68" w:rsidRPr="00D85E09" w14:paraId="6D956AA5" w14:textId="77777777" w:rsidTr="00063D81">
        <w:tc>
          <w:tcPr>
            <w:tcW w:w="2305" w:type="pct"/>
          </w:tcPr>
          <w:p w14:paraId="4540970D" w14:textId="7B5A4C10" w:rsidR="00C97E68" w:rsidRPr="00D85E09" w:rsidRDefault="00C97E68" w:rsidP="0043316B">
            <w:pPr>
              <w:pStyle w:val="Tabletext"/>
              <w:keepNext w:val="0"/>
              <w:widowControl w:val="0"/>
            </w:pPr>
            <w:r w:rsidRPr="00D85E09">
              <w:t>Current antiplatelet use – n (%)</w:t>
            </w:r>
          </w:p>
        </w:tc>
        <w:tc>
          <w:tcPr>
            <w:tcW w:w="1348" w:type="pct"/>
          </w:tcPr>
          <w:p w14:paraId="59EF9B6C" w14:textId="0FDFB985" w:rsidR="00C97E68" w:rsidRPr="00D85E09" w:rsidRDefault="00792EDB" w:rsidP="0043316B">
            <w:pPr>
              <w:pStyle w:val="Tabletext"/>
              <w:keepNext w:val="0"/>
              <w:widowControl w:val="0"/>
              <w:jc w:val="center"/>
            </w:pPr>
            <w:r w:rsidRPr="00D85E09">
              <w:t>135 (30)</w:t>
            </w:r>
          </w:p>
        </w:tc>
        <w:tc>
          <w:tcPr>
            <w:tcW w:w="1347" w:type="pct"/>
          </w:tcPr>
          <w:p w14:paraId="582A65EF" w14:textId="1EAAE5CF" w:rsidR="00C97E68" w:rsidRPr="00D85E09" w:rsidRDefault="00792EDB" w:rsidP="0043316B">
            <w:pPr>
              <w:pStyle w:val="Tabletext"/>
              <w:keepNext w:val="0"/>
              <w:widowControl w:val="0"/>
              <w:jc w:val="center"/>
            </w:pPr>
            <w:r w:rsidRPr="00D85E09">
              <w:t>9 (16)</w:t>
            </w:r>
          </w:p>
        </w:tc>
      </w:tr>
      <w:tr w:rsidR="00C97E68" w:rsidRPr="00D85E09" w14:paraId="2E24C036" w14:textId="77777777" w:rsidTr="00063D81">
        <w:tc>
          <w:tcPr>
            <w:tcW w:w="2305" w:type="pct"/>
            <w:tcBorders>
              <w:bottom w:val="single" w:sz="4" w:space="0" w:color="000000"/>
            </w:tcBorders>
          </w:tcPr>
          <w:p w14:paraId="539A5100" w14:textId="05633DE5" w:rsidR="00C97E68" w:rsidRPr="00D85E09" w:rsidRDefault="00C97E68" w:rsidP="0043316B">
            <w:pPr>
              <w:pStyle w:val="Tabletext"/>
              <w:keepNext w:val="0"/>
              <w:widowControl w:val="0"/>
            </w:pPr>
            <w:r w:rsidRPr="00D85E09">
              <w:t>Current anti</w:t>
            </w:r>
            <w:r w:rsidR="00300BB6" w:rsidRPr="00D85E09">
              <w:t>coagulant</w:t>
            </w:r>
            <w:r w:rsidRPr="00D85E09">
              <w:t xml:space="preserve"> use – n (%) </w:t>
            </w:r>
          </w:p>
        </w:tc>
        <w:tc>
          <w:tcPr>
            <w:tcW w:w="1348" w:type="pct"/>
            <w:tcBorders>
              <w:bottom w:val="single" w:sz="4" w:space="0" w:color="000000"/>
            </w:tcBorders>
          </w:tcPr>
          <w:p w14:paraId="62225D17" w14:textId="14DCD0A7" w:rsidR="00C97E68" w:rsidRPr="00D85E09" w:rsidRDefault="00792EDB" w:rsidP="0043316B">
            <w:pPr>
              <w:pStyle w:val="Tabletext"/>
              <w:keepNext w:val="0"/>
              <w:widowControl w:val="0"/>
              <w:jc w:val="center"/>
            </w:pPr>
            <w:r w:rsidRPr="00D85E09">
              <w:t>16 (4)</w:t>
            </w:r>
          </w:p>
        </w:tc>
        <w:tc>
          <w:tcPr>
            <w:tcW w:w="1347" w:type="pct"/>
            <w:tcBorders>
              <w:bottom w:val="single" w:sz="4" w:space="0" w:color="000000"/>
            </w:tcBorders>
          </w:tcPr>
          <w:p w14:paraId="5B5A315E" w14:textId="1D3F0434" w:rsidR="00C97E68" w:rsidRPr="00D85E09" w:rsidRDefault="00792EDB" w:rsidP="0043316B">
            <w:pPr>
              <w:pStyle w:val="Tabletext"/>
              <w:keepNext w:val="0"/>
              <w:widowControl w:val="0"/>
              <w:jc w:val="center"/>
            </w:pPr>
            <w:r w:rsidRPr="00D85E09">
              <w:t>23 (42)</w:t>
            </w:r>
          </w:p>
        </w:tc>
      </w:tr>
      <w:tr w:rsidR="00C97E68" w:rsidRPr="00D85E09" w14:paraId="612AB0EB" w14:textId="77777777" w:rsidTr="00063D81">
        <w:tc>
          <w:tcPr>
            <w:tcW w:w="2305" w:type="pct"/>
            <w:tcBorders>
              <w:bottom w:val="single" w:sz="4" w:space="0" w:color="000000"/>
            </w:tcBorders>
          </w:tcPr>
          <w:p w14:paraId="6A4BF434" w14:textId="15BEC047" w:rsidR="00C97E68" w:rsidRPr="00D85E09" w:rsidRDefault="00C97E68" w:rsidP="0043316B">
            <w:pPr>
              <w:pStyle w:val="Tabletext"/>
              <w:keepNext w:val="0"/>
              <w:widowControl w:val="0"/>
            </w:pPr>
            <w:r w:rsidRPr="00D85E09">
              <w:t>Systolic blood pressure – mean mmHg (SD)</w:t>
            </w:r>
          </w:p>
        </w:tc>
        <w:tc>
          <w:tcPr>
            <w:tcW w:w="1348" w:type="pct"/>
            <w:tcBorders>
              <w:bottom w:val="single" w:sz="4" w:space="0" w:color="000000"/>
            </w:tcBorders>
          </w:tcPr>
          <w:p w14:paraId="7EE45397" w14:textId="763D4605" w:rsidR="00C97E68" w:rsidRPr="00D85E09" w:rsidRDefault="00792EDB" w:rsidP="0043316B">
            <w:pPr>
              <w:pStyle w:val="Tabletext"/>
              <w:keepNext w:val="0"/>
              <w:widowControl w:val="0"/>
              <w:jc w:val="center"/>
            </w:pPr>
            <w:r w:rsidRPr="00D85E09">
              <w:t>146 (25)</w:t>
            </w:r>
          </w:p>
        </w:tc>
        <w:tc>
          <w:tcPr>
            <w:tcW w:w="1347" w:type="pct"/>
            <w:tcBorders>
              <w:bottom w:val="single" w:sz="4" w:space="0" w:color="000000"/>
            </w:tcBorders>
          </w:tcPr>
          <w:p w14:paraId="1867CCDB" w14:textId="1590F5BE" w:rsidR="00C97E68" w:rsidRPr="00D85E09" w:rsidRDefault="00792EDB" w:rsidP="0043316B">
            <w:pPr>
              <w:pStyle w:val="Tabletext"/>
              <w:keepNext w:val="0"/>
              <w:widowControl w:val="0"/>
              <w:jc w:val="center"/>
            </w:pPr>
            <w:r w:rsidRPr="00D85E09">
              <w:t>144 (25)</w:t>
            </w:r>
          </w:p>
        </w:tc>
      </w:tr>
      <w:tr w:rsidR="00C97E68" w:rsidRPr="00D85E09" w14:paraId="5CEF4410" w14:textId="77777777" w:rsidTr="00E8639D">
        <w:tc>
          <w:tcPr>
            <w:tcW w:w="2305" w:type="pct"/>
            <w:tcBorders>
              <w:bottom w:val="nil"/>
            </w:tcBorders>
          </w:tcPr>
          <w:p w14:paraId="49E4803E" w14:textId="07227449" w:rsidR="00C97E68" w:rsidRPr="00D85E09" w:rsidRDefault="00C97E68" w:rsidP="0043316B">
            <w:pPr>
              <w:pStyle w:val="Tabletext"/>
              <w:keepNext w:val="0"/>
              <w:widowControl w:val="0"/>
            </w:pPr>
            <w:r w:rsidRPr="00D85E09">
              <w:t>Pre-stroke mRS – n (%)</w:t>
            </w:r>
          </w:p>
        </w:tc>
        <w:tc>
          <w:tcPr>
            <w:tcW w:w="1348" w:type="pct"/>
            <w:tcBorders>
              <w:bottom w:val="nil"/>
            </w:tcBorders>
          </w:tcPr>
          <w:p w14:paraId="5E18A230" w14:textId="77777777" w:rsidR="00C97E68" w:rsidRPr="00D85E09" w:rsidRDefault="00C97E68" w:rsidP="0043316B">
            <w:pPr>
              <w:pStyle w:val="Tabletext"/>
              <w:keepNext w:val="0"/>
              <w:widowControl w:val="0"/>
              <w:jc w:val="center"/>
            </w:pPr>
          </w:p>
        </w:tc>
        <w:tc>
          <w:tcPr>
            <w:tcW w:w="1347" w:type="pct"/>
            <w:tcBorders>
              <w:bottom w:val="nil"/>
            </w:tcBorders>
          </w:tcPr>
          <w:p w14:paraId="7212F934" w14:textId="77777777" w:rsidR="00C97E68" w:rsidRPr="00D85E09" w:rsidRDefault="00C97E68" w:rsidP="0043316B">
            <w:pPr>
              <w:pStyle w:val="Tabletext"/>
              <w:keepNext w:val="0"/>
              <w:widowControl w:val="0"/>
              <w:jc w:val="center"/>
            </w:pPr>
          </w:p>
        </w:tc>
      </w:tr>
      <w:tr w:rsidR="00C97E68" w:rsidRPr="00D85E09" w14:paraId="70BDE0D8" w14:textId="77777777" w:rsidTr="00E8639D">
        <w:tc>
          <w:tcPr>
            <w:tcW w:w="2305" w:type="pct"/>
            <w:tcBorders>
              <w:top w:val="nil"/>
              <w:bottom w:val="nil"/>
            </w:tcBorders>
          </w:tcPr>
          <w:p w14:paraId="62130389" w14:textId="030D2C4E" w:rsidR="00C97E68" w:rsidRPr="00D85E09" w:rsidRDefault="00C97E68" w:rsidP="0043316B">
            <w:pPr>
              <w:pStyle w:val="Tabletext"/>
              <w:keepNext w:val="0"/>
              <w:widowControl w:val="0"/>
              <w:ind w:left="426"/>
            </w:pPr>
            <w:r w:rsidRPr="00D85E09">
              <w:t>0</w:t>
            </w:r>
          </w:p>
        </w:tc>
        <w:tc>
          <w:tcPr>
            <w:tcW w:w="1348" w:type="pct"/>
            <w:tcBorders>
              <w:top w:val="nil"/>
              <w:bottom w:val="nil"/>
            </w:tcBorders>
          </w:tcPr>
          <w:p w14:paraId="0E7B83ED" w14:textId="27B4263A" w:rsidR="00C97E68" w:rsidRPr="00D85E09" w:rsidRDefault="00792EDB" w:rsidP="0043316B">
            <w:pPr>
              <w:pStyle w:val="Tabletext"/>
              <w:keepNext w:val="0"/>
              <w:widowControl w:val="0"/>
              <w:jc w:val="center"/>
            </w:pPr>
            <w:r w:rsidRPr="00D85E09">
              <w:t>368 (83)</w:t>
            </w:r>
          </w:p>
        </w:tc>
        <w:tc>
          <w:tcPr>
            <w:tcW w:w="1347" w:type="pct"/>
            <w:tcBorders>
              <w:top w:val="nil"/>
              <w:bottom w:val="nil"/>
            </w:tcBorders>
          </w:tcPr>
          <w:p w14:paraId="3380D6D1" w14:textId="1E60C994" w:rsidR="00C97E68" w:rsidRPr="00D85E09" w:rsidRDefault="00792EDB" w:rsidP="0043316B">
            <w:pPr>
              <w:pStyle w:val="Tabletext"/>
              <w:keepNext w:val="0"/>
              <w:widowControl w:val="0"/>
              <w:jc w:val="center"/>
            </w:pPr>
            <w:r w:rsidRPr="00D85E09">
              <w:t>36 (65)</w:t>
            </w:r>
          </w:p>
        </w:tc>
      </w:tr>
      <w:tr w:rsidR="00C97E68" w:rsidRPr="00D85E09" w14:paraId="687050B1" w14:textId="77777777" w:rsidTr="00E8639D">
        <w:tc>
          <w:tcPr>
            <w:tcW w:w="2305" w:type="pct"/>
            <w:tcBorders>
              <w:top w:val="nil"/>
              <w:bottom w:val="nil"/>
            </w:tcBorders>
          </w:tcPr>
          <w:p w14:paraId="3F67C544" w14:textId="2B696E93" w:rsidR="00C97E68" w:rsidRPr="00D85E09" w:rsidRDefault="00C97E68" w:rsidP="0043316B">
            <w:pPr>
              <w:pStyle w:val="Tabletext"/>
              <w:keepNext w:val="0"/>
              <w:widowControl w:val="0"/>
              <w:ind w:left="426"/>
            </w:pPr>
            <w:r w:rsidRPr="00D85E09">
              <w:t>1</w:t>
            </w:r>
          </w:p>
        </w:tc>
        <w:tc>
          <w:tcPr>
            <w:tcW w:w="1348" w:type="pct"/>
            <w:tcBorders>
              <w:top w:val="nil"/>
              <w:bottom w:val="nil"/>
            </w:tcBorders>
          </w:tcPr>
          <w:p w14:paraId="0B0792DB" w14:textId="452B5503" w:rsidR="00C97E68" w:rsidRPr="00D85E09" w:rsidRDefault="00792EDB" w:rsidP="0043316B">
            <w:pPr>
              <w:pStyle w:val="Tabletext"/>
              <w:keepNext w:val="0"/>
              <w:widowControl w:val="0"/>
              <w:jc w:val="center"/>
            </w:pPr>
            <w:r w:rsidRPr="00D85E09">
              <w:t>43 (10)</w:t>
            </w:r>
          </w:p>
        </w:tc>
        <w:tc>
          <w:tcPr>
            <w:tcW w:w="1347" w:type="pct"/>
            <w:tcBorders>
              <w:top w:val="nil"/>
              <w:bottom w:val="nil"/>
            </w:tcBorders>
          </w:tcPr>
          <w:p w14:paraId="3C99842C" w14:textId="0221FEF9" w:rsidR="00C97E68" w:rsidRPr="00D85E09" w:rsidRDefault="00792EDB" w:rsidP="0043316B">
            <w:pPr>
              <w:pStyle w:val="Tabletext"/>
              <w:keepNext w:val="0"/>
              <w:widowControl w:val="0"/>
              <w:jc w:val="center"/>
            </w:pPr>
            <w:r w:rsidRPr="00D85E09">
              <w:t>7 (13)</w:t>
            </w:r>
          </w:p>
        </w:tc>
      </w:tr>
      <w:tr w:rsidR="00C97E68" w:rsidRPr="00D85E09" w14:paraId="47AF90BD" w14:textId="77777777" w:rsidTr="00E8639D">
        <w:tc>
          <w:tcPr>
            <w:tcW w:w="2305" w:type="pct"/>
            <w:tcBorders>
              <w:top w:val="nil"/>
              <w:bottom w:val="nil"/>
            </w:tcBorders>
          </w:tcPr>
          <w:p w14:paraId="1BCE2D0B" w14:textId="06C3C6C3" w:rsidR="00C97E68" w:rsidRPr="00D85E09" w:rsidRDefault="00C97E68" w:rsidP="0043316B">
            <w:pPr>
              <w:pStyle w:val="Tabletext"/>
              <w:keepNext w:val="0"/>
              <w:widowControl w:val="0"/>
              <w:ind w:left="426"/>
            </w:pPr>
            <w:r w:rsidRPr="00D85E09">
              <w:t>2</w:t>
            </w:r>
          </w:p>
        </w:tc>
        <w:tc>
          <w:tcPr>
            <w:tcW w:w="1348" w:type="pct"/>
            <w:tcBorders>
              <w:top w:val="nil"/>
              <w:bottom w:val="nil"/>
            </w:tcBorders>
          </w:tcPr>
          <w:p w14:paraId="4FA2D217" w14:textId="2A693B0B" w:rsidR="00C97E68" w:rsidRPr="00D85E09" w:rsidRDefault="00792EDB" w:rsidP="0043316B">
            <w:pPr>
              <w:pStyle w:val="Tabletext"/>
              <w:keepNext w:val="0"/>
              <w:widowControl w:val="0"/>
              <w:jc w:val="center"/>
            </w:pPr>
            <w:r w:rsidRPr="00D85E09">
              <w:t>18 (4)</w:t>
            </w:r>
          </w:p>
        </w:tc>
        <w:tc>
          <w:tcPr>
            <w:tcW w:w="1347" w:type="pct"/>
            <w:tcBorders>
              <w:top w:val="nil"/>
              <w:bottom w:val="nil"/>
            </w:tcBorders>
          </w:tcPr>
          <w:p w14:paraId="3462A70E" w14:textId="6D3F3F84" w:rsidR="00C97E68" w:rsidRPr="00D85E09" w:rsidRDefault="00792EDB" w:rsidP="0043316B">
            <w:pPr>
              <w:pStyle w:val="Tabletext"/>
              <w:keepNext w:val="0"/>
              <w:widowControl w:val="0"/>
              <w:jc w:val="center"/>
            </w:pPr>
            <w:r w:rsidRPr="00D85E09">
              <w:t>7 (13)</w:t>
            </w:r>
          </w:p>
        </w:tc>
      </w:tr>
      <w:tr w:rsidR="00C97E68" w:rsidRPr="00D85E09" w14:paraId="3BC216E7" w14:textId="77777777" w:rsidTr="00E8639D">
        <w:tc>
          <w:tcPr>
            <w:tcW w:w="2305" w:type="pct"/>
            <w:tcBorders>
              <w:top w:val="nil"/>
              <w:bottom w:val="nil"/>
            </w:tcBorders>
          </w:tcPr>
          <w:p w14:paraId="37D485CB" w14:textId="1FACEAA7" w:rsidR="00C97E68" w:rsidRPr="00D85E09" w:rsidRDefault="00C97E68" w:rsidP="0043316B">
            <w:pPr>
              <w:pStyle w:val="Tabletext"/>
              <w:keepNext w:val="0"/>
              <w:widowControl w:val="0"/>
              <w:ind w:left="426"/>
            </w:pPr>
            <w:r w:rsidRPr="00D85E09">
              <w:t>3</w:t>
            </w:r>
          </w:p>
        </w:tc>
        <w:tc>
          <w:tcPr>
            <w:tcW w:w="1348" w:type="pct"/>
            <w:tcBorders>
              <w:top w:val="nil"/>
              <w:bottom w:val="nil"/>
            </w:tcBorders>
          </w:tcPr>
          <w:p w14:paraId="6F1DA15F" w14:textId="220ADE81" w:rsidR="00C97E68" w:rsidRPr="00D85E09" w:rsidRDefault="00792EDB" w:rsidP="0043316B">
            <w:pPr>
              <w:pStyle w:val="Tabletext"/>
              <w:keepNext w:val="0"/>
              <w:widowControl w:val="0"/>
              <w:jc w:val="center"/>
            </w:pPr>
            <w:r w:rsidRPr="00D85E09">
              <w:t>10 (2)</w:t>
            </w:r>
          </w:p>
        </w:tc>
        <w:tc>
          <w:tcPr>
            <w:tcW w:w="1347" w:type="pct"/>
            <w:tcBorders>
              <w:top w:val="nil"/>
              <w:bottom w:val="nil"/>
            </w:tcBorders>
          </w:tcPr>
          <w:p w14:paraId="5EC4B78A" w14:textId="2E74997A" w:rsidR="00C97E68" w:rsidRPr="00D85E09" w:rsidRDefault="00792EDB" w:rsidP="0043316B">
            <w:pPr>
              <w:pStyle w:val="Tabletext"/>
              <w:keepNext w:val="0"/>
              <w:widowControl w:val="0"/>
              <w:jc w:val="center"/>
            </w:pPr>
            <w:r w:rsidRPr="00D85E09">
              <w:t>5 (9)</w:t>
            </w:r>
          </w:p>
        </w:tc>
      </w:tr>
      <w:tr w:rsidR="00C97E68" w:rsidRPr="00D85E09" w14:paraId="57565649" w14:textId="77777777" w:rsidTr="00E8639D">
        <w:tc>
          <w:tcPr>
            <w:tcW w:w="2305" w:type="pct"/>
            <w:tcBorders>
              <w:top w:val="nil"/>
              <w:bottom w:val="nil"/>
            </w:tcBorders>
          </w:tcPr>
          <w:p w14:paraId="37E08845" w14:textId="4AACA0D0" w:rsidR="00C97E68" w:rsidRPr="00D85E09" w:rsidRDefault="00C97E68" w:rsidP="0043316B">
            <w:pPr>
              <w:pStyle w:val="Tabletext"/>
              <w:keepNext w:val="0"/>
              <w:widowControl w:val="0"/>
              <w:ind w:left="426"/>
            </w:pPr>
            <w:r w:rsidRPr="00D85E09">
              <w:t>4</w:t>
            </w:r>
          </w:p>
        </w:tc>
        <w:tc>
          <w:tcPr>
            <w:tcW w:w="1348" w:type="pct"/>
            <w:tcBorders>
              <w:top w:val="nil"/>
              <w:bottom w:val="nil"/>
            </w:tcBorders>
          </w:tcPr>
          <w:p w14:paraId="3BD88799" w14:textId="1606B59C" w:rsidR="00C97E68" w:rsidRPr="00D85E09" w:rsidRDefault="00792EDB" w:rsidP="0043316B">
            <w:pPr>
              <w:pStyle w:val="Tabletext"/>
              <w:keepNext w:val="0"/>
              <w:widowControl w:val="0"/>
              <w:jc w:val="center"/>
            </w:pPr>
            <w:r w:rsidRPr="00D85E09">
              <w:t>4 (1)</w:t>
            </w:r>
          </w:p>
        </w:tc>
        <w:tc>
          <w:tcPr>
            <w:tcW w:w="1347" w:type="pct"/>
            <w:tcBorders>
              <w:top w:val="nil"/>
              <w:bottom w:val="nil"/>
            </w:tcBorders>
          </w:tcPr>
          <w:p w14:paraId="7CD6CBD3" w14:textId="4A30A4BA" w:rsidR="00C97E68" w:rsidRPr="00D85E09" w:rsidRDefault="00792EDB" w:rsidP="0043316B">
            <w:pPr>
              <w:pStyle w:val="Tabletext"/>
              <w:keepNext w:val="0"/>
              <w:widowControl w:val="0"/>
              <w:jc w:val="center"/>
            </w:pPr>
            <w:r w:rsidRPr="00D85E09">
              <w:t>0</w:t>
            </w:r>
          </w:p>
        </w:tc>
      </w:tr>
      <w:tr w:rsidR="00C97E68" w:rsidRPr="00D85E09" w14:paraId="0FAAB324" w14:textId="77777777" w:rsidTr="00E8639D">
        <w:tc>
          <w:tcPr>
            <w:tcW w:w="2305" w:type="pct"/>
            <w:tcBorders>
              <w:top w:val="nil"/>
            </w:tcBorders>
          </w:tcPr>
          <w:p w14:paraId="1FF579BB" w14:textId="549C2440" w:rsidR="00C97E68" w:rsidRPr="00D85E09" w:rsidRDefault="00C97E68" w:rsidP="0043316B">
            <w:pPr>
              <w:pStyle w:val="Tabletext"/>
              <w:keepNext w:val="0"/>
              <w:widowControl w:val="0"/>
              <w:ind w:left="426"/>
            </w:pPr>
            <w:r w:rsidRPr="00D85E09">
              <w:t>5</w:t>
            </w:r>
          </w:p>
        </w:tc>
        <w:tc>
          <w:tcPr>
            <w:tcW w:w="1348" w:type="pct"/>
            <w:tcBorders>
              <w:top w:val="nil"/>
            </w:tcBorders>
          </w:tcPr>
          <w:p w14:paraId="274BBE4C" w14:textId="1A71E4BC" w:rsidR="00C97E68" w:rsidRPr="00D85E09" w:rsidRDefault="00792EDB" w:rsidP="0043316B">
            <w:pPr>
              <w:pStyle w:val="Tabletext"/>
              <w:keepNext w:val="0"/>
              <w:widowControl w:val="0"/>
              <w:jc w:val="center"/>
            </w:pPr>
            <w:r w:rsidRPr="00D85E09">
              <w:t>2 (0)</w:t>
            </w:r>
          </w:p>
        </w:tc>
        <w:tc>
          <w:tcPr>
            <w:tcW w:w="1347" w:type="pct"/>
            <w:tcBorders>
              <w:top w:val="nil"/>
            </w:tcBorders>
          </w:tcPr>
          <w:p w14:paraId="1FD02867" w14:textId="472C5161" w:rsidR="00C97E68" w:rsidRPr="00D85E09" w:rsidRDefault="00792EDB" w:rsidP="0043316B">
            <w:pPr>
              <w:pStyle w:val="Tabletext"/>
              <w:keepNext w:val="0"/>
              <w:widowControl w:val="0"/>
              <w:jc w:val="center"/>
            </w:pPr>
            <w:r w:rsidRPr="00D85E09">
              <w:t>0</w:t>
            </w:r>
          </w:p>
        </w:tc>
      </w:tr>
      <w:tr w:rsidR="00A761EA" w:rsidRPr="00D85E09" w14:paraId="32BCE008" w14:textId="77777777" w:rsidTr="00AE12A3">
        <w:tc>
          <w:tcPr>
            <w:tcW w:w="2305" w:type="pct"/>
            <w:tcBorders>
              <w:bottom w:val="nil"/>
            </w:tcBorders>
          </w:tcPr>
          <w:p w14:paraId="291AF921" w14:textId="130E0A33" w:rsidR="00A761EA" w:rsidRPr="00D85E09" w:rsidRDefault="00A761EA" w:rsidP="0043316B">
            <w:pPr>
              <w:pStyle w:val="Tabletext"/>
              <w:keepNext w:val="0"/>
              <w:widowControl w:val="0"/>
            </w:pPr>
            <w:r w:rsidRPr="00D85E09">
              <w:t>Intra</w:t>
            </w:r>
            <w:r w:rsidR="00300BB6" w:rsidRPr="00D85E09">
              <w:t>-cranial</w:t>
            </w:r>
            <w:r w:rsidRPr="00D85E09">
              <w:t xml:space="preserve"> occlusion location</w:t>
            </w:r>
          </w:p>
        </w:tc>
        <w:tc>
          <w:tcPr>
            <w:tcW w:w="1348" w:type="pct"/>
            <w:tcBorders>
              <w:bottom w:val="nil"/>
            </w:tcBorders>
          </w:tcPr>
          <w:p w14:paraId="0AD42AF4" w14:textId="77777777" w:rsidR="00A761EA" w:rsidRPr="00D85E09" w:rsidRDefault="00A761EA" w:rsidP="0043316B">
            <w:pPr>
              <w:pStyle w:val="Tabletext"/>
              <w:keepNext w:val="0"/>
              <w:widowControl w:val="0"/>
              <w:jc w:val="center"/>
            </w:pPr>
          </w:p>
        </w:tc>
        <w:tc>
          <w:tcPr>
            <w:tcW w:w="1347" w:type="pct"/>
            <w:tcBorders>
              <w:bottom w:val="nil"/>
            </w:tcBorders>
          </w:tcPr>
          <w:p w14:paraId="08807C74" w14:textId="77777777" w:rsidR="00A761EA" w:rsidRPr="00D85E09" w:rsidRDefault="00A761EA" w:rsidP="0043316B">
            <w:pPr>
              <w:pStyle w:val="Tabletext"/>
              <w:keepNext w:val="0"/>
              <w:widowControl w:val="0"/>
              <w:jc w:val="center"/>
            </w:pPr>
          </w:p>
        </w:tc>
      </w:tr>
      <w:tr w:rsidR="00A761EA" w:rsidRPr="00D85E09" w14:paraId="62EFDAE7" w14:textId="77777777" w:rsidTr="00AE12A3">
        <w:tc>
          <w:tcPr>
            <w:tcW w:w="2305" w:type="pct"/>
            <w:tcBorders>
              <w:top w:val="nil"/>
              <w:bottom w:val="nil"/>
            </w:tcBorders>
          </w:tcPr>
          <w:p w14:paraId="12EB58AB" w14:textId="77777777" w:rsidR="00A761EA" w:rsidRPr="00D85E09" w:rsidRDefault="00A761EA" w:rsidP="0043316B">
            <w:pPr>
              <w:pStyle w:val="Tabletext"/>
              <w:keepNext w:val="0"/>
              <w:widowControl w:val="0"/>
              <w:ind w:left="426"/>
            </w:pPr>
            <w:r w:rsidRPr="00D85E09">
              <w:t>ICA</w:t>
            </w:r>
          </w:p>
        </w:tc>
        <w:tc>
          <w:tcPr>
            <w:tcW w:w="1348" w:type="pct"/>
            <w:tcBorders>
              <w:top w:val="nil"/>
              <w:bottom w:val="nil"/>
            </w:tcBorders>
          </w:tcPr>
          <w:p w14:paraId="69B54FB7" w14:textId="0A3ADFF7" w:rsidR="00A761EA" w:rsidRPr="00D85E09" w:rsidRDefault="00792EDB" w:rsidP="0043316B">
            <w:pPr>
              <w:pStyle w:val="Tabletext"/>
              <w:keepNext w:val="0"/>
              <w:widowControl w:val="0"/>
              <w:jc w:val="center"/>
            </w:pPr>
            <w:r w:rsidRPr="00D85E09">
              <w:t>3 (1)</w:t>
            </w:r>
          </w:p>
        </w:tc>
        <w:tc>
          <w:tcPr>
            <w:tcW w:w="1347" w:type="pct"/>
            <w:tcBorders>
              <w:top w:val="nil"/>
              <w:bottom w:val="nil"/>
            </w:tcBorders>
          </w:tcPr>
          <w:p w14:paraId="6BC01723" w14:textId="7CE4AFAF" w:rsidR="00A761EA" w:rsidRPr="00D85E09" w:rsidRDefault="00792EDB" w:rsidP="0043316B">
            <w:pPr>
              <w:pStyle w:val="Tabletext"/>
              <w:keepNext w:val="0"/>
              <w:widowControl w:val="0"/>
              <w:jc w:val="center"/>
            </w:pPr>
            <w:r w:rsidRPr="00D85E09">
              <w:t>1 (2)</w:t>
            </w:r>
          </w:p>
        </w:tc>
      </w:tr>
      <w:tr w:rsidR="00C97E68" w:rsidRPr="00D85E09" w14:paraId="16BA00B0" w14:textId="77777777" w:rsidTr="00063D81">
        <w:tc>
          <w:tcPr>
            <w:tcW w:w="2305" w:type="pct"/>
            <w:tcBorders>
              <w:top w:val="nil"/>
              <w:bottom w:val="nil"/>
            </w:tcBorders>
          </w:tcPr>
          <w:p w14:paraId="2EA14C31" w14:textId="78B92CF6" w:rsidR="00C97E68" w:rsidRPr="00D85E09" w:rsidRDefault="00C97E68" w:rsidP="0043316B">
            <w:pPr>
              <w:pStyle w:val="Tabletext"/>
              <w:keepNext w:val="0"/>
              <w:widowControl w:val="0"/>
              <w:ind w:left="426"/>
            </w:pPr>
            <w:r w:rsidRPr="00D85E09">
              <w:t>ICA-T</w:t>
            </w:r>
          </w:p>
        </w:tc>
        <w:tc>
          <w:tcPr>
            <w:tcW w:w="1348" w:type="pct"/>
            <w:tcBorders>
              <w:top w:val="nil"/>
              <w:bottom w:val="nil"/>
            </w:tcBorders>
          </w:tcPr>
          <w:p w14:paraId="7CF4B4FC" w14:textId="0FAEC586" w:rsidR="00C97E68" w:rsidRPr="00D85E09" w:rsidRDefault="00792EDB" w:rsidP="0043316B">
            <w:pPr>
              <w:pStyle w:val="Tabletext"/>
              <w:keepNext w:val="0"/>
              <w:widowControl w:val="0"/>
              <w:jc w:val="center"/>
            </w:pPr>
            <w:r w:rsidRPr="00D85E09">
              <w:t>120 (27)</w:t>
            </w:r>
          </w:p>
        </w:tc>
        <w:tc>
          <w:tcPr>
            <w:tcW w:w="1347" w:type="pct"/>
            <w:tcBorders>
              <w:top w:val="nil"/>
              <w:bottom w:val="nil"/>
            </w:tcBorders>
          </w:tcPr>
          <w:p w14:paraId="52D028CC" w14:textId="6C34BAF1" w:rsidR="00C97E68" w:rsidRPr="00D85E09" w:rsidRDefault="00792EDB" w:rsidP="0043316B">
            <w:pPr>
              <w:pStyle w:val="Tabletext"/>
              <w:keepNext w:val="0"/>
              <w:widowControl w:val="0"/>
              <w:jc w:val="center"/>
            </w:pPr>
            <w:r w:rsidRPr="00D85E09">
              <w:t>14 (25)</w:t>
            </w:r>
          </w:p>
        </w:tc>
      </w:tr>
      <w:tr w:rsidR="00A761EA" w:rsidRPr="00D85E09" w14:paraId="6AE810D1" w14:textId="77777777" w:rsidTr="00AE12A3">
        <w:tc>
          <w:tcPr>
            <w:tcW w:w="2305" w:type="pct"/>
            <w:tcBorders>
              <w:top w:val="nil"/>
              <w:bottom w:val="nil"/>
            </w:tcBorders>
          </w:tcPr>
          <w:p w14:paraId="26ADAD81" w14:textId="77777777" w:rsidR="00A761EA" w:rsidRPr="00D85E09" w:rsidRDefault="00A761EA" w:rsidP="0043316B">
            <w:pPr>
              <w:pStyle w:val="Tabletext"/>
              <w:keepNext w:val="0"/>
              <w:widowControl w:val="0"/>
              <w:ind w:left="426"/>
            </w:pPr>
            <w:r w:rsidRPr="00D85E09">
              <w:t>M1 (MCA)</w:t>
            </w:r>
          </w:p>
        </w:tc>
        <w:tc>
          <w:tcPr>
            <w:tcW w:w="1348" w:type="pct"/>
            <w:tcBorders>
              <w:top w:val="nil"/>
              <w:bottom w:val="nil"/>
            </w:tcBorders>
          </w:tcPr>
          <w:p w14:paraId="6FE602AE" w14:textId="3EDC6166" w:rsidR="00A761EA" w:rsidRPr="00D85E09" w:rsidRDefault="00792EDB" w:rsidP="0043316B">
            <w:pPr>
              <w:pStyle w:val="Tabletext"/>
              <w:keepNext w:val="0"/>
              <w:widowControl w:val="0"/>
              <w:jc w:val="center"/>
            </w:pPr>
            <w:r w:rsidRPr="00D85E09">
              <w:t>282 (64)</w:t>
            </w:r>
          </w:p>
        </w:tc>
        <w:tc>
          <w:tcPr>
            <w:tcW w:w="1347" w:type="pct"/>
            <w:tcBorders>
              <w:top w:val="nil"/>
              <w:bottom w:val="nil"/>
            </w:tcBorders>
          </w:tcPr>
          <w:p w14:paraId="6601BEBA" w14:textId="3DF49ED2" w:rsidR="00A761EA" w:rsidRPr="00D85E09" w:rsidRDefault="00792EDB" w:rsidP="0043316B">
            <w:pPr>
              <w:pStyle w:val="Tabletext"/>
              <w:keepNext w:val="0"/>
              <w:widowControl w:val="0"/>
              <w:jc w:val="center"/>
            </w:pPr>
            <w:r w:rsidRPr="00D85E09">
              <w:t>37 (67)</w:t>
            </w:r>
          </w:p>
        </w:tc>
      </w:tr>
      <w:tr w:rsidR="00A761EA" w:rsidRPr="00D85E09" w14:paraId="3018EA0D" w14:textId="77777777" w:rsidTr="00AE12A3">
        <w:tc>
          <w:tcPr>
            <w:tcW w:w="2305" w:type="pct"/>
            <w:tcBorders>
              <w:top w:val="nil"/>
              <w:bottom w:val="nil"/>
            </w:tcBorders>
          </w:tcPr>
          <w:p w14:paraId="63DA141D" w14:textId="77777777" w:rsidR="00A761EA" w:rsidRPr="00D85E09" w:rsidRDefault="00A761EA" w:rsidP="0043316B">
            <w:pPr>
              <w:pStyle w:val="Tabletext"/>
              <w:keepNext w:val="0"/>
              <w:widowControl w:val="0"/>
              <w:ind w:left="426"/>
            </w:pPr>
            <w:r w:rsidRPr="00D85E09">
              <w:t>M2 (MCA)</w:t>
            </w:r>
          </w:p>
        </w:tc>
        <w:tc>
          <w:tcPr>
            <w:tcW w:w="1348" w:type="pct"/>
            <w:tcBorders>
              <w:top w:val="nil"/>
              <w:bottom w:val="nil"/>
            </w:tcBorders>
          </w:tcPr>
          <w:p w14:paraId="404295D8" w14:textId="279156FB" w:rsidR="00A761EA" w:rsidRPr="00D85E09" w:rsidRDefault="00792EDB" w:rsidP="0043316B">
            <w:pPr>
              <w:pStyle w:val="Tabletext"/>
              <w:keepNext w:val="0"/>
              <w:widowControl w:val="0"/>
              <w:jc w:val="center"/>
            </w:pPr>
            <w:r w:rsidRPr="00D85E09">
              <w:t>37 (8)</w:t>
            </w:r>
          </w:p>
        </w:tc>
        <w:tc>
          <w:tcPr>
            <w:tcW w:w="1347" w:type="pct"/>
            <w:tcBorders>
              <w:top w:val="nil"/>
              <w:bottom w:val="nil"/>
            </w:tcBorders>
          </w:tcPr>
          <w:p w14:paraId="557B5C3B" w14:textId="6C7DAE16" w:rsidR="00A761EA" w:rsidRPr="00D85E09" w:rsidRDefault="00792EDB" w:rsidP="0043316B">
            <w:pPr>
              <w:pStyle w:val="Tabletext"/>
              <w:keepNext w:val="0"/>
              <w:widowControl w:val="0"/>
              <w:jc w:val="center"/>
            </w:pPr>
            <w:r w:rsidRPr="00D85E09">
              <w:t>2 (4)</w:t>
            </w:r>
          </w:p>
        </w:tc>
      </w:tr>
      <w:tr w:rsidR="00A761EA" w:rsidRPr="00D85E09" w14:paraId="4FE741B2" w14:textId="77777777" w:rsidTr="00AE12A3">
        <w:tc>
          <w:tcPr>
            <w:tcW w:w="2305" w:type="pct"/>
            <w:tcBorders>
              <w:top w:val="nil"/>
            </w:tcBorders>
          </w:tcPr>
          <w:p w14:paraId="46D7D0A9" w14:textId="25FD21C3" w:rsidR="00A761EA" w:rsidRPr="00D85E09" w:rsidRDefault="00C97E68" w:rsidP="0043316B">
            <w:pPr>
              <w:pStyle w:val="Tabletext"/>
              <w:keepNext w:val="0"/>
              <w:widowControl w:val="0"/>
              <w:ind w:left="426"/>
            </w:pPr>
            <w:r w:rsidRPr="00D85E09">
              <w:t>AI</w:t>
            </w:r>
          </w:p>
        </w:tc>
        <w:tc>
          <w:tcPr>
            <w:tcW w:w="1348" w:type="pct"/>
            <w:tcBorders>
              <w:top w:val="nil"/>
            </w:tcBorders>
          </w:tcPr>
          <w:p w14:paraId="606CB85D" w14:textId="0DC29542" w:rsidR="00A761EA" w:rsidRPr="00D85E09" w:rsidRDefault="00792EDB" w:rsidP="0043316B">
            <w:pPr>
              <w:pStyle w:val="Tabletext"/>
              <w:keepNext w:val="0"/>
              <w:widowControl w:val="0"/>
              <w:jc w:val="center"/>
            </w:pPr>
            <w:r w:rsidRPr="00D85E09">
              <w:t>2 (0)</w:t>
            </w:r>
          </w:p>
        </w:tc>
        <w:tc>
          <w:tcPr>
            <w:tcW w:w="1347" w:type="pct"/>
            <w:tcBorders>
              <w:top w:val="nil"/>
            </w:tcBorders>
          </w:tcPr>
          <w:p w14:paraId="45E9A0E0" w14:textId="2C8C6CFE" w:rsidR="00A761EA" w:rsidRPr="00D85E09" w:rsidRDefault="00792EDB" w:rsidP="0043316B">
            <w:pPr>
              <w:pStyle w:val="Tabletext"/>
              <w:keepNext w:val="0"/>
              <w:widowControl w:val="0"/>
              <w:jc w:val="center"/>
            </w:pPr>
            <w:r w:rsidRPr="00D85E09">
              <w:t>1 (2)</w:t>
            </w:r>
          </w:p>
        </w:tc>
      </w:tr>
      <w:tr w:rsidR="00A761EA" w:rsidRPr="00D85E09" w14:paraId="53289FAE" w14:textId="77777777" w:rsidTr="00AE12A3">
        <w:tc>
          <w:tcPr>
            <w:tcW w:w="2305" w:type="pct"/>
            <w:tcBorders>
              <w:bottom w:val="nil"/>
            </w:tcBorders>
          </w:tcPr>
          <w:p w14:paraId="514202A4" w14:textId="135BD0B4" w:rsidR="00A761EA" w:rsidRPr="00D85E09" w:rsidRDefault="00A761EA" w:rsidP="0043316B">
            <w:pPr>
              <w:pStyle w:val="Tabletext"/>
              <w:keepNext w:val="0"/>
              <w:widowControl w:val="0"/>
            </w:pPr>
            <w:r w:rsidRPr="00D85E09">
              <w:t>Process times (min)</w:t>
            </w:r>
            <w:r w:rsidR="00BD3016" w:rsidRPr="00D85E09">
              <w:t xml:space="preserve"> – median (IQR)</w:t>
            </w:r>
          </w:p>
        </w:tc>
        <w:tc>
          <w:tcPr>
            <w:tcW w:w="1348" w:type="pct"/>
            <w:tcBorders>
              <w:bottom w:val="nil"/>
            </w:tcBorders>
          </w:tcPr>
          <w:p w14:paraId="6C6C3BDF" w14:textId="77777777" w:rsidR="00A761EA" w:rsidRPr="00D85E09" w:rsidRDefault="00A761EA" w:rsidP="0043316B">
            <w:pPr>
              <w:pStyle w:val="Tabletext"/>
              <w:keepNext w:val="0"/>
              <w:widowControl w:val="0"/>
              <w:jc w:val="center"/>
            </w:pPr>
          </w:p>
        </w:tc>
        <w:tc>
          <w:tcPr>
            <w:tcW w:w="1347" w:type="pct"/>
            <w:tcBorders>
              <w:bottom w:val="nil"/>
            </w:tcBorders>
          </w:tcPr>
          <w:p w14:paraId="0F41C23E" w14:textId="77777777" w:rsidR="00A761EA" w:rsidRPr="00D85E09" w:rsidRDefault="00A761EA" w:rsidP="0043316B">
            <w:pPr>
              <w:pStyle w:val="Tabletext"/>
              <w:keepNext w:val="0"/>
              <w:widowControl w:val="0"/>
              <w:jc w:val="center"/>
            </w:pPr>
          </w:p>
        </w:tc>
      </w:tr>
      <w:tr w:rsidR="00BD3016" w:rsidRPr="00D85E09" w14:paraId="7314CAA5" w14:textId="77777777" w:rsidTr="00E8639D">
        <w:tc>
          <w:tcPr>
            <w:tcW w:w="2305" w:type="pct"/>
            <w:tcBorders>
              <w:top w:val="nil"/>
              <w:bottom w:val="nil"/>
            </w:tcBorders>
          </w:tcPr>
          <w:p w14:paraId="4107798A" w14:textId="77777777" w:rsidR="00BD3016" w:rsidRPr="00D85E09" w:rsidRDefault="00BD3016" w:rsidP="0043316B">
            <w:pPr>
              <w:pStyle w:val="Tabletext"/>
              <w:keepNext w:val="0"/>
              <w:widowControl w:val="0"/>
              <w:ind w:left="426"/>
            </w:pPr>
            <w:r w:rsidRPr="00D85E09">
              <w:t>Median onset to IV alteplase</w:t>
            </w:r>
          </w:p>
        </w:tc>
        <w:tc>
          <w:tcPr>
            <w:tcW w:w="1348" w:type="pct"/>
            <w:tcBorders>
              <w:top w:val="nil"/>
              <w:bottom w:val="nil"/>
            </w:tcBorders>
          </w:tcPr>
          <w:p w14:paraId="56CE886F" w14:textId="41BCA113" w:rsidR="00BD3016" w:rsidRPr="00D85E09" w:rsidRDefault="00792EDB" w:rsidP="0043316B">
            <w:pPr>
              <w:pStyle w:val="Tabletext"/>
              <w:keepNext w:val="0"/>
              <w:widowControl w:val="0"/>
              <w:jc w:val="center"/>
            </w:pPr>
            <w:r w:rsidRPr="00D85E09">
              <w:t>85 (65-110)</w:t>
            </w:r>
          </w:p>
        </w:tc>
        <w:tc>
          <w:tcPr>
            <w:tcW w:w="1347" w:type="pct"/>
            <w:tcBorders>
              <w:top w:val="nil"/>
              <w:bottom w:val="nil"/>
            </w:tcBorders>
          </w:tcPr>
          <w:p w14:paraId="4C54FA57" w14:textId="223E0E70" w:rsidR="00BD3016" w:rsidRPr="00D85E09" w:rsidRDefault="00792EDB" w:rsidP="0043316B">
            <w:pPr>
              <w:pStyle w:val="Tabletext"/>
              <w:keepNext w:val="0"/>
              <w:widowControl w:val="0"/>
              <w:jc w:val="center"/>
            </w:pPr>
            <w:r w:rsidRPr="00D85E09">
              <w:t>NA</w:t>
            </w:r>
          </w:p>
        </w:tc>
      </w:tr>
      <w:tr w:rsidR="00A761EA" w:rsidRPr="00D85E09" w14:paraId="11771A1C" w14:textId="77777777" w:rsidTr="00AE12A3">
        <w:tc>
          <w:tcPr>
            <w:tcW w:w="2305" w:type="pct"/>
            <w:tcBorders>
              <w:top w:val="nil"/>
              <w:bottom w:val="nil"/>
            </w:tcBorders>
          </w:tcPr>
          <w:p w14:paraId="5882B0CC" w14:textId="77777777" w:rsidR="00A761EA" w:rsidRPr="00D85E09" w:rsidRDefault="00A761EA" w:rsidP="0043316B">
            <w:pPr>
              <w:pStyle w:val="Tabletext"/>
              <w:keepNext w:val="0"/>
              <w:widowControl w:val="0"/>
              <w:ind w:left="426"/>
            </w:pPr>
            <w:r w:rsidRPr="00D85E09">
              <w:t>Median onset to randomisation</w:t>
            </w:r>
          </w:p>
        </w:tc>
        <w:tc>
          <w:tcPr>
            <w:tcW w:w="1348" w:type="pct"/>
            <w:tcBorders>
              <w:top w:val="nil"/>
              <w:bottom w:val="nil"/>
            </w:tcBorders>
          </w:tcPr>
          <w:p w14:paraId="28C5731A" w14:textId="7C7C2D31" w:rsidR="00A761EA" w:rsidRPr="00D85E09" w:rsidRDefault="00792EDB" w:rsidP="0043316B">
            <w:pPr>
              <w:pStyle w:val="Tabletext"/>
              <w:keepNext w:val="0"/>
              <w:widowControl w:val="0"/>
              <w:jc w:val="center"/>
            </w:pPr>
            <w:r w:rsidRPr="00D85E09">
              <w:t>201 (153-262)</w:t>
            </w:r>
          </w:p>
        </w:tc>
        <w:tc>
          <w:tcPr>
            <w:tcW w:w="1347" w:type="pct"/>
            <w:tcBorders>
              <w:top w:val="nil"/>
              <w:bottom w:val="nil"/>
            </w:tcBorders>
          </w:tcPr>
          <w:p w14:paraId="39DD82FD" w14:textId="7E502044" w:rsidR="00A761EA" w:rsidRPr="00D85E09" w:rsidRDefault="00792EDB" w:rsidP="0043316B">
            <w:pPr>
              <w:pStyle w:val="Tabletext"/>
              <w:keepNext w:val="0"/>
              <w:widowControl w:val="0"/>
              <w:jc w:val="center"/>
            </w:pPr>
            <w:r w:rsidRPr="00D85E09">
              <w:t>191 (134-253)</w:t>
            </w:r>
          </w:p>
        </w:tc>
      </w:tr>
      <w:tr w:rsidR="00BD3016" w:rsidRPr="00D85E09" w14:paraId="7648D179" w14:textId="77777777" w:rsidTr="00063D81">
        <w:tc>
          <w:tcPr>
            <w:tcW w:w="2305" w:type="pct"/>
            <w:tcBorders>
              <w:top w:val="nil"/>
              <w:bottom w:val="nil"/>
            </w:tcBorders>
          </w:tcPr>
          <w:p w14:paraId="4294AE08" w14:textId="5A0E48AF" w:rsidR="00BD3016" w:rsidRPr="00D85E09" w:rsidRDefault="00BD3016" w:rsidP="0043316B">
            <w:pPr>
              <w:pStyle w:val="Tabletext"/>
              <w:keepNext w:val="0"/>
              <w:widowControl w:val="0"/>
              <w:ind w:left="426"/>
            </w:pPr>
            <w:r w:rsidRPr="00D85E09">
              <w:t xml:space="preserve">Onset to IAT </w:t>
            </w:r>
          </w:p>
        </w:tc>
        <w:tc>
          <w:tcPr>
            <w:tcW w:w="1348" w:type="pct"/>
            <w:tcBorders>
              <w:top w:val="nil"/>
              <w:bottom w:val="nil"/>
            </w:tcBorders>
          </w:tcPr>
          <w:p w14:paraId="5CE53807" w14:textId="42DEA218" w:rsidR="00BD3016" w:rsidRPr="00D85E09" w:rsidRDefault="00792EDB" w:rsidP="0043316B">
            <w:pPr>
              <w:pStyle w:val="Tabletext"/>
              <w:keepNext w:val="0"/>
              <w:widowControl w:val="0"/>
              <w:jc w:val="center"/>
            </w:pPr>
            <w:r w:rsidRPr="00D85E09">
              <w:t>265 (214-315)</w:t>
            </w:r>
          </w:p>
        </w:tc>
        <w:tc>
          <w:tcPr>
            <w:tcW w:w="1347" w:type="pct"/>
            <w:tcBorders>
              <w:top w:val="nil"/>
              <w:bottom w:val="nil"/>
            </w:tcBorders>
          </w:tcPr>
          <w:p w14:paraId="60A35D8D" w14:textId="62F2CD15" w:rsidR="00BD3016" w:rsidRPr="00D85E09" w:rsidRDefault="00792EDB" w:rsidP="0043316B">
            <w:pPr>
              <w:pStyle w:val="Tabletext"/>
              <w:keepNext w:val="0"/>
              <w:widowControl w:val="0"/>
              <w:jc w:val="center"/>
            </w:pPr>
            <w:r w:rsidRPr="00D85E09">
              <w:t>242 (200-300)</w:t>
            </w:r>
          </w:p>
        </w:tc>
      </w:tr>
      <w:tr w:rsidR="00A761EA" w:rsidRPr="00D85E09" w14:paraId="59C71D14" w14:textId="77777777" w:rsidTr="00AE12A3">
        <w:tc>
          <w:tcPr>
            <w:tcW w:w="2305" w:type="pct"/>
            <w:tcBorders>
              <w:top w:val="nil"/>
              <w:bottom w:val="nil"/>
            </w:tcBorders>
          </w:tcPr>
          <w:p w14:paraId="2E955D0D" w14:textId="77777777" w:rsidR="00A761EA" w:rsidRPr="00D85E09" w:rsidRDefault="00A761EA" w:rsidP="0043316B">
            <w:pPr>
              <w:pStyle w:val="Tabletext"/>
              <w:keepNext w:val="0"/>
              <w:widowControl w:val="0"/>
              <w:ind w:left="426"/>
            </w:pPr>
            <w:r w:rsidRPr="00D85E09">
              <w:t>Median onset to reperfusion</w:t>
            </w:r>
          </w:p>
        </w:tc>
        <w:tc>
          <w:tcPr>
            <w:tcW w:w="1348" w:type="pct"/>
            <w:tcBorders>
              <w:top w:val="nil"/>
              <w:bottom w:val="nil"/>
            </w:tcBorders>
          </w:tcPr>
          <w:p w14:paraId="331F86A8" w14:textId="71FD3EC5" w:rsidR="00A761EA" w:rsidRPr="00D85E09" w:rsidRDefault="00792EDB" w:rsidP="0043316B">
            <w:pPr>
              <w:pStyle w:val="Tabletext"/>
              <w:keepNext w:val="0"/>
              <w:widowControl w:val="0"/>
              <w:jc w:val="center"/>
            </w:pPr>
            <w:r w:rsidRPr="00D85E09">
              <w:t>343 (283-394)</w:t>
            </w:r>
          </w:p>
        </w:tc>
        <w:tc>
          <w:tcPr>
            <w:tcW w:w="1347" w:type="pct"/>
            <w:tcBorders>
              <w:top w:val="nil"/>
              <w:bottom w:val="nil"/>
            </w:tcBorders>
          </w:tcPr>
          <w:p w14:paraId="5B7D97B9" w14:textId="17B28C8D" w:rsidR="00A761EA" w:rsidRPr="00D85E09" w:rsidRDefault="00792EDB" w:rsidP="0043316B">
            <w:pPr>
              <w:pStyle w:val="Tabletext"/>
              <w:keepNext w:val="0"/>
              <w:widowControl w:val="0"/>
              <w:jc w:val="center"/>
            </w:pPr>
            <w:r w:rsidRPr="00D85E09">
              <w:t>310 (242-404)</w:t>
            </w:r>
          </w:p>
        </w:tc>
      </w:tr>
      <w:tr w:rsidR="00A761EA" w:rsidRPr="00D85E09" w14:paraId="14BB58A1" w14:textId="77777777" w:rsidTr="00AE12A3">
        <w:tc>
          <w:tcPr>
            <w:tcW w:w="2305" w:type="pct"/>
            <w:tcBorders>
              <w:top w:val="nil"/>
            </w:tcBorders>
          </w:tcPr>
          <w:p w14:paraId="46B36F38" w14:textId="3833C1EE" w:rsidR="00A761EA" w:rsidRPr="00D85E09" w:rsidRDefault="00BD3016" w:rsidP="0043316B">
            <w:pPr>
              <w:pStyle w:val="Tabletext"/>
              <w:keepNext w:val="0"/>
              <w:widowControl w:val="0"/>
              <w:ind w:left="426"/>
            </w:pPr>
            <w:r w:rsidRPr="00D85E09">
              <w:t>Duration of procedure</w:t>
            </w:r>
            <w:r w:rsidR="00A761EA" w:rsidRPr="00D85E09">
              <w:t xml:space="preserve"> </w:t>
            </w:r>
          </w:p>
        </w:tc>
        <w:tc>
          <w:tcPr>
            <w:tcW w:w="1348" w:type="pct"/>
            <w:tcBorders>
              <w:top w:val="nil"/>
            </w:tcBorders>
          </w:tcPr>
          <w:p w14:paraId="6CBE80D9" w14:textId="1B5DF36B" w:rsidR="00A761EA" w:rsidRPr="00D85E09" w:rsidRDefault="00792EDB" w:rsidP="0043316B">
            <w:pPr>
              <w:pStyle w:val="Tabletext"/>
              <w:keepNext w:val="0"/>
              <w:widowControl w:val="0"/>
              <w:jc w:val="center"/>
            </w:pPr>
            <w:r w:rsidRPr="00D85E09">
              <w:t>72 (52-97)</w:t>
            </w:r>
          </w:p>
        </w:tc>
        <w:tc>
          <w:tcPr>
            <w:tcW w:w="1347" w:type="pct"/>
            <w:tcBorders>
              <w:top w:val="nil"/>
            </w:tcBorders>
          </w:tcPr>
          <w:p w14:paraId="6361E5F0" w14:textId="37C6C29B" w:rsidR="00A761EA" w:rsidRPr="00D85E09" w:rsidRDefault="00792EDB" w:rsidP="0043316B">
            <w:pPr>
              <w:pStyle w:val="Tabletext"/>
              <w:keepNext w:val="0"/>
              <w:widowControl w:val="0"/>
              <w:jc w:val="center"/>
            </w:pPr>
            <w:r w:rsidRPr="00D85E09">
              <w:t>67 (43-88)</w:t>
            </w:r>
          </w:p>
        </w:tc>
      </w:tr>
    </w:tbl>
    <w:p w14:paraId="7243E7E9" w14:textId="1B8454B5" w:rsidR="00A761EA" w:rsidRPr="00D85E09" w:rsidRDefault="00A761EA" w:rsidP="0043316B">
      <w:pPr>
        <w:pStyle w:val="Tablefootnote"/>
        <w:widowControl w:val="0"/>
        <w:spacing w:after="0"/>
        <w:rPr>
          <w:lang w:val="en-AU"/>
        </w:rPr>
      </w:pPr>
      <w:r w:rsidRPr="00D85E09">
        <w:rPr>
          <w:lang w:val="en-AU"/>
        </w:rPr>
        <w:t>Abbreviations: ASPECTS, Alberta Stroke Program Early CT Score; CT, computed tomography; ICA, internal carotid artery;,National Institute of Health Stroke Scale</w:t>
      </w:r>
    </w:p>
    <w:p w14:paraId="3224C42A" w14:textId="77777777" w:rsidR="00A761EA" w:rsidRPr="00D85E09" w:rsidRDefault="00A761EA" w:rsidP="0043316B">
      <w:pPr>
        <w:pStyle w:val="Tablefootnote"/>
        <w:widowControl w:val="0"/>
        <w:spacing w:after="0"/>
        <w:rPr>
          <w:lang w:val="en-AU"/>
        </w:rPr>
      </w:pPr>
      <w:r w:rsidRPr="00D85E09">
        <w:rPr>
          <w:lang w:val="en-AU"/>
        </w:rPr>
        <w:t>Data are median (IQR), n (%), or mean (SD)</w:t>
      </w:r>
    </w:p>
    <w:p w14:paraId="47865619" w14:textId="77777777" w:rsidR="00A761EA" w:rsidRPr="00D85E09" w:rsidRDefault="00A761EA" w:rsidP="0043316B">
      <w:pPr>
        <w:pStyle w:val="Tablefootnote"/>
        <w:widowControl w:val="0"/>
        <w:spacing w:after="360"/>
        <w:rPr>
          <w:lang w:val="en-AU"/>
        </w:rPr>
      </w:pPr>
      <w:r w:rsidRPr="00D85E09">
        <w:rPr>
          <w:lang w:val="en-AU"/>
        </w:rPr>
        <w:t>Source: Goyal et al, 2016; Table 1</w:t>
      </w:r>
    </w:p>
    <w:p w14:paraId="1C01750F" w14:textId="51E42BD9" w:rsidR="00F441CE" w:rsidRPr="00D85E09" w:rsidRDefault="002F1A2D" w:rsidP="0043316B">
      <w:pPr>
        <w:widowControl w:val="0"/>
      </w:pPr>
      <w:r w:rsidRPr="00D85E09">
        <w:lastRenderedPageBreak/>
        <w:t xml:space="preserve">The subgroup analysis by Mulder et al (2016) also describes the </w:t>
      </w:r>
      <w:r w:rsidR="00F441CE" w:rsidRPr="00D85E09">
        <w:t>contraindications and other reasons for no treatment with IV</w:t>
      </w:r>
      <w:r w:rsidR="00D32933" w:rsidRPr="00D85E09">
        <w:t>-</w:t>
      </w:r>
      <w:r w:rsidR="00F441CE" w:rsidRPr="00D85E09">
        <w:t>tPA in the MR CLEAN study</w:t>
      </w:r>
      <w:r w:rsidRPr="00D85E09">
        <w:t xml:space="preserve"> (</w:t>
      </w:r>
      <w:r w:rsidRPr="00D85E09">
        <w:fldChar w:fldCharType="begin"/>
      </w:r>
      <w:r w:rsidRPr="00D85E09">
        <w:instrText xml:space="preserve"> REF _Ref452392566 \h </w:instrText>
      </w:r>
      <w:r w:rsidRPr="00D85E09">
        <w:fldChar w:fldCharType="separate"/>
      </w:r>
      <w:r w:rsidR="00A456ED" w:rsidRPr="00D85E09">
        <w:t xml:space="preserve">Table </w:t>
      </w:r>
      <w:r w:rsidR="00A456ED">
        <w:rPr>
          <w:noProof/>
        </w:rPr>
        <w:t>47</w:t>
      </w:r>
      <w:r w:rsidRPr="00D85E09">
        <w:fldChar w:fldCharType="end"/>
      </w:r>
      <w:r w:rsidRPr="00D85E09">
        <w:t>)</w:t>
      </w:r>
      <w:r w:rsidR="00F441CE" w:rsidRPr="00D85E09">
        <w:t xml:space="preserve">. </w:t>
      </w:r>
      <w:r w:rsidR="009422DA" w:rsidRPr="00D85E09">
        <w:t>The table also presents data from a German retrospective observational study by Dorn et al (2015) which reports the efficacy of MT in a cohort of patients that did not receive IV</w:t>
      </w:r>
      <w:r w:rsidR="00D32933" w:rsidRPr="00D85E09">
        <w:t>-</w:t>
      </w:r>
      <w:r w:rsidR="009422DA" w:rsidRPr="00D85E09">
        <w:t xml:space="preserve">tPA. </w:t>
      </w:r>
      <w:r w:rsidR="00E8639D" w:rsidRPr="00D85E09">
        <w:t>The majority of</w:t>
      </w:r>
      <w:r w:rsidRPr="00D85E09">
        <w:t xml:space="preserve"> the reasons for ineligibility </w:t>
      </w:r>
      <w:r w:rsidR="00E8639D" w:rsidRPr="00D85E09">
        <w:t>in both studies are similar to the PI-defined contraindications for alteplase therapy in Australia (Section A.6).</w:t>
      </w:r>
    </w:p>
    <w:p w14:paraId="6FA8912D" w14:textId="3849F16A" w:rsidR="00E8639D" w:rsidRPr="00D85E09" w:rsidRDefault="00E8639D" w:rsidP="0043316B">
      <w:pPr>
        <w:widowControl w:val="0"/>
        <w:spacing w:before="120"/>
      </w:pPr>
      <w:r w:rsidRPr="00D85E09">
        <w:t>The reasons for ineligibility are also consistent with the Australian National Stroke Foundation (NSF) clinical practice guidelines, which recommend (Grade A) that IV</w:t>
      </w:r>
      <w:r w:rsidR="00D32933" w:rsidRPr="00D85E09">
        <w:t>-</w:t>
      </w:r>
      <w:r w:rsidRPr="00D85E09">
        <w:t>tPA should be administered as a first</w:t>
      </w:r>
      <w:r w:rsidR="00D32933" w:rsidRPr="00D85E09">
        <w:t>-</w:t>
      </w:r>
      <w:r w:rsidRPr="00D85E09">
        <w:t>line therapy in patients with AIS as early as possible, but no later than 4.5 hours after stroke onset (NSF, 2010). Mainly due to the high risk of haemorrhage, tPA is also contra</w:t>
      </w:r>
      <w:r w:rsidR="00300BB6" w:rsidRPr="00D85E09">
        <w:t>indicated</w:t>
      </w:r>
      <w:r w:rsidRPr="00D85E09">
        <w:t xml:space="preserve"> in patients that meet any of the following criteria:</w:t>
      </w:r>
    </w:p>
    <w:p w14:paraId="30D64C75" w14:textId="77777777" w:rsidR="00E8639D" w:rsidRPr="00D85E09" w:rsidRDefault="00E8639D" w:rsidP="0043316B">
      <w:pPr>
        <w:pStyle w:val="ListParagraph"/>
        <w:widowControl w:val="0"/>
        <w:numPr>
          <w:ilvl w:val="0"/>
          <w:numId w:val="22"/>
        </w:numPr>
        <w:spacing w:before="120"/>
      </w:pPr>
      <w:r w:rsidRPr="00D85E09">
        <w:t>Severe, uncontrolled hypertension</w:t>
      </w:r>
    </w:p>
    <w:p w14:paraId="283FE791" w14:textId="77777777" w:rsidR="00E8639D" w:rsidRPr="00D85E09" w:rsidRDefault="00E8639D" w:rsidP="0043316B">
      <w:pPr>
        <w:pStyle w:val="ListParagraph"/>
        <w:widowControl w:val="0"/>
        <w:numPr>
          <w:ilvl w:val="0"/>
          <w:numId w:val="22"/>
        </w:numPr>
        <w:spacing w:before="120"/>
      </w:pPr>
      <w:r w:rsidRPr="00D85E09">
        <w:t>Previous surgery; widespread ischaemia</w:t>
      </w:r>
    </w:p>
    <w:p w14:paraId="36A36EF5" w14:textId="77777777" w:rsidR="00E8639D" w:rsidRPr="00D85E09" w:rsidRDefault="00E8639D" w:rsidP="0043316B">
      <w:pPr>
        <w:pStyle w:val="ListParagraph"/>
        <w:widowControl w:val="0"/>
        <w:numPr>
          <w:ilvl w:val="0"/>
          <w:numId w:val="22"/>
        </w:numPr>
        <w:spacing w:before="120"/>
        <w:rPr>
          <w:rStyle w:val="minoreditsChar"/>
          <w:color w:val="auto"/>
        </w:rPr>
      </w:pPr>
      <w:r w:rsidRPr="00D85E09">
        <w:rPr>
          <w:rStyle w:val="minoreditsChar"/>
          <w:color w:val="auto"/>
        </w:rPr>
        <w:t>Patient receiving oral anticoagulants with an international normalised ratio &gt;1.3</w:t>
      </w:r>
    </w:p>
    <w:p w14:paraId="36E47935" w14:textId="0D52ED0C" w:rsidR="00E8639D" w:rsidRPr="00D85E09" w:rsidRDefault="00E8639D" w:rsidP="0043316B">
      <w:pPr>
        <w:pStyle w:val="ListParagraph"/>
        <w:widowControl w:val="0"/>
        <w:numPr>
          <w:ilvl w:val="0"/>
          <w:numId w:val="22"/>
        </w:numPr>
        <w:spacing w:before="120"/>
        <w:rPr>
          <w:rStyle w:val="minoreditsChar"/>
          <w:color w:val="auto"/>
        </w:rPr>
      </w:pPr>
      <w:r w:rsidRPr="00D85E09">
        <w:rPr>
          <w:rStyle w:val="minoreditsChar"/>
          <w:color w:val="auto"/>
        </w:rPr>
        <w:t>Intra</w:t>
      </w:r>
      <w:r w:rsidR="00300BB6" w:rsidRPr="00D85E09">
        <w:rPr>
          <w:rStyle w:val="minoreditsChar"/>
          <w:color w:val="auto"/>
        </w:rPr>
        <w:t>-cranial</w:t>
      </w:r>
      <w:r w:rsidRPr="00D85E09">
        <w:rPr>
          <w:rStyle w:val="minoreditsChar"/>
          <w:color w:val="auto"/>
        </w:rPr>
        <w:t xml:space="preserve"> bleeding</w:t>
      </w:r>
    </w:p>
    <w:p w14:paraId="760AB5AD" w14:textId="1BE0F898" w:rsidR="00E8639D" w:rsidRPr="00D85E09" w:rsidRDefault="00E8639D" w:rsidP="0043316B">
      <w:pPr>
        <w:pStyle w:val="ListParagraph"/>
        <w:widowControl w:val="0"/>
        <w:numPr>
          <w:ilvl w:val="0"/>
          <w:numId w:val="22"/>
        </w:numPr>
        <w:spacing w:before="120" w:after="360"/>
        <w:ind w:left="714" w:hanging="357"/>
      </w:pPr>
      <w:r w:rsidRPr="00D85E09">
        <w:rPr>
          <w:rStyle w:val="minoreditsChar"/>
          <w:color w:val="auto"/>
        </w:rPr>
        <w:t>Previous stroke within the past three months.</w:t>
      </w:r>
    </w:p>
    <w:p w14:paraId="18DFACBB" w14:textId="1683DA5B" w:rsidR="00E8639D" w:rsidRPr="00D85E09" w:rsidRDefault="00E8639D" w:rsidP="0043316B">
      <w:pPr>
        <w:widowControl w:val="0"/>
        <w:spacing w:before="120" w:after="360"/>
      </w:pPr>
      <w:r w:rsidRPr="00D85E09">
        <w:t>Although real world data on the reasons for ineligibility for IV</w:t>
      </w:r>
      <w:r w:rsidR="00D32933" w:rsidRPr="00D85E09">
        <w:t>-</w:t>
      </w:r>
      <w:r w:rsidRPr="00D85E09">
        <w:t>tPA are not available in an Australian healthcare setting, one can assume from clinical practice guidelines that the protocols used to select patients for this therapy are similar in existing trials of MT and in Australian clinical practice. The comparison of baseline characteristics presented in Mulder et al (2016) shows that this group of patients does not have disease characteristics that are markedly different to those of patients that were eligible for IV</w:t>
      </w:r>
      <w:r w:rsidR="00D32933" w:rsidRPr="00D85E09">
        <w:t>-</w:t>
      </w:r>
      <w:r w:rsidRPr="00D85E09">
        <w:t>tPA. Finally, the results of the MR CLEAN subgroup analysis and the IPD meta-analysis presented in Section C.2 show that irrespective of any differences between the two patient subgroups, the relative efficacy of MT is largely the same.</w:t>
      </w:r>
    </w:p>
    <w:p w14:paraId="75FE44C8" w14:textId="4859002D" w:rsidR="00181227" w:rsidRDefault="00181227" w:rsidP="0043316B">
      <w:pPr>
        <w:widowControl w:val="0"/>
      </w:pPr>
      <w:r>
        <w:br w:type="page"/>
      </w:r>
    </w:p>
    <w:p w14:paraId="40361E6E" w14:textId="7E01FC83" w:rsidR="00F441CE" w:rsidRPr="00D85E09" w:rsidRDefault="00F441CE" w:rsidP="0043316B">
      <w:pPr>
        <w:pStyle w:val="Caption"/>
        <w:keepNext w:val="0"/>
        <w:widowControl w:val="0"/>
        <w:rPr>
          <w:lang w:val="en-AU"/>
        </w:rPr>
      </w:pPr>
      <w:bookmarkStart w:id="393" w:name="_Ref452392566"/>
      <w:bookmarkStart w:id="394" w:name="_Toc453065383"/>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47</w:t>
      </w:r>
      <w:r w:rsidRPr="00D85E09">
        <w:rPr>
          <w:lang w:val="en-AU"/>
        </w:rPr>
        <w:fldChar w:fldCharType="end"/>
      </w:r>
      <w:bookmarkEnd w:id="393"/>
      <w:r w:rsidRPr="00D85E09">
        <w:rPr>
          <w:lang w:val="en-AU"/>
        </w:rPr>
        <w:tab/>
        <w:t>Contraindications and other reasons for no treatment with IV</w:t>
      </w:r>
      <w:r w:rsidR="00D32933" w:rsidRPr="00D85E09">
        <w:rPr>
          <w:lang w:val="en-AU"/>
        </w:rPr>
        <w:t>-</w:t>
      </w:r>
      <w:r w:rsidRPr="00D85E09">
        <w:rPr>
          <w:lang w:val="en-AU"/>
        </w:rPr>
        <w:t>tPA in MR CLEAN</w:t>
      </w:r>
      <w:bookmarkEnd w:id="394"/>
    </w:p>
    <w:tbl>
      <w:tblPr>
        <w:tblStyle w:val="TableGrid"/>
        <w:tblW w:w="5000" w:type="pct"/>
        <w:tblLook w:val="04A0" w:firstRow="1" w:lastRow="0" w:firstColumn="1" w:lastColumn="0" w:noHBand="0" w:noVBand="1"/>
        <w:tblDescription w:val="Table 47. Contraindications and other reasons for no treatment with IV-tPA in MR CLEAN"/>
      </w:tblPr>
      <w:tblGrid>
        <w:gridCol w:w="2697"/>
        <w:gridCol w:w="1578"/>
        <w:gridCol w:w="1504"/>
        <w:gridCol w:w="1275"/>
        <w:gridCol w:w="1950"/>
      </w:tblGrid>
      <w:tr w:rsidR="009422DA" w:rsidRPr="00D85E09" w14:paraId="0E4D0EB0" w14:textId="77777777" w:rsidTr="00BE6331">
        <w:trPr>
          <w:tblHeader/>
        </w:trPr>
        <w:tc>
          <w:tcPr>
            <w:tcW w:w="1498" w:type="pct"/>
            <w:vMerge w:val="restart"/>
          </w:tcPr>
          <w:p w14:paraId="2D9917FD" w14:textId="12C56D76" w:rsidR="009422DA" w:rsidRPr="00D85E09" w:rsidRDefault="009422DA" w:rsidP="0043316B">
            <w:pPr>
              <w:pStyle w:val="Tabletext"/>
              <w:keepNext w:val="0"/>
              <w:widowControl w:val="0"/>
              <w:rPr>
                <w:b/>
              </w:rPr>
            </w:pPr>
            <w:r w:rsidRPr="00D85E09">
              <w:rPr>
                <w:b/>
              </w:rPr>
              <w:t>Contraindication</w:t>
            </w:r>
          </w:p>
        </w:tc>
        <w:tc>
          <w:tcPr>
            <w:tcW w:w="2419" w:type="pct"/>
            <w:gridSpan w:val="3"/>
          </w:tcPr>
          <w:p w14:paraId="4B4181F6" w14:textId="144D66CF" w:rsidR="009422DA" w:rsidRPr="00D85E09" w:rsidRDefault="009422DA" w:rsidP="0043316B">
            <w:pPr>
              <w:pStyle w:val="Tabletext"/>
              <w:keepNext w:val="0"/>
              <w:widowControl w:val="0"/>
              <w:jc w:val="center"/>
              <w:rPr>
                <w:b/>
              </w:rPr>
            </w:pPr>
            <w:r w:rsidRPr="00D85E09">
              <w:rPr>
                <w:b/>
              </w:rPr>
              <w:t>Mulder et al, 2016</w:t>
            </w:r>
          </w:p>
        </w:tc>
        <w:tc>
          <w:tcPr>
            <w:tcW w:w="1083" w:type="pct"/>
            <w:vMerge w:val="restart"/>
          </w:tcPr>
          <w:p w14:paraId="45695F7F" w14:textId="76815A42" w:rsidR="009422DA" w:rsidRPr="00D85E09" w:rsidRDefault="009422DA" w:rsidP="0043316B">
            <w:pPr>
              <w:pStyle w:val="Tabletext"/>
              <w:keepNext w:val="0"/>
              <w:widowControl w:val="0"/>
              <w:jc w:val="center"/>
              <w:rPr>
                <w:b/>
              </w:rPr>
            </w:pPr>
            <w:r w:rsidRPr="00D85E09">
              <w:rPr>
                <w:b/>
              </w:rPr>
              <w:t>Dorn et al, 2015</w:t>
            </w:r>
          </w:p>
          <w:p w14:paraId="2B238FB6" w14:textId="625B46D1" w:rsidR="009422DA" w:rsidRPr="00D85E09" w:rsidRDefault="009422DA" w:rsidP="0043316B">
            <w:pPr>
              <w:pStyle w:val="Tabletext"/>
              <w:keepNext w:val="0"/>
              <w:widowControl w:val="0"/>
              <w:jc w:val="center"/>
              <w:rPr>
                <w:b/>
              </w:rPr>
            </w:pPr>
            <w:r w:rsidRPr="00D85E09">
              <w:rPr>
                <w:b/>
              </w:rPr>
              <w:t>(n=130)</w:t>
            </w:r>
          </w:p>
        </w:tc>
      </w:tr>
      <w:tr w:rsidR="009422DA" w:rsidRPr="00D85E09" w14:paraId="26E13099" w14:textId="31BFDBE0" w:rsidTr="00BE6331">
        <w:trPr>
          <w:tblHeader/>
        </w:trPr>
        <w:tc>
          <w:tcPr>
            <w:tcW w:w="1498" w:type="pct"/>
            <w:vMerge/>
          </w:tcPr>
          <w:p w14:paraId="773A30B5" w14:textId="23138D6F" w:rsidR="009422DA" w:rsidRPr="00D85E09" w:rsidRDefault="009422DA" w:rsidP="0043316B">
            <w:pPr>
              <w:pStyle w:val="Tabletext"/>
              <w:keepNext w:val="0"/>
              <w:widowControl w:val="0"/>
              <w:rPr>
                <w:b/>
              </w:rPr>
            </w:pPr>
          </w:p>
        </w:tc>
        <w:tc>
          <w:tcPr>
            <w:tcW w:w="876" w:type="pct"/>
          </w:tcPr>
          <w:p w14:paraId="0E6B8C4A" w14:textId="6821ED8F" w:rsidR="009422DA" w:rsidRPr="00D85E09" w:rsidRDefault="009422DA" w:rsidP="0043316B">
            <w:pPr>
              <w:pStyle w:val="Tabletext"/>
              <w:keepNext w:val="0"/>
              <w:widowControl w:val="0"/>
              <w:jc w:val="center"/>
              <w:rPr>
                <w:b/>
              </w:rPr>
            </w:pPr>
            <w:r w:rsidRPr="00D85E09">
              <w:rPr>
                <w:b/>
              </w:rPr>
              <w:t>Total IV</w:t>
            </w:r>
            <w:r w:rsidR="00D32933" w:rsidRPr="00D85E09">
              <w:rPr>
                <w:b/>
              </w:rPr>
              <w:t>-</w:t>
            </w:r>
            <w:r w:rsidRPr="00D85E09">
              <w:rPr>
                <w:b/>
              </w:rPr>
              <w:t>tPA eligible (n=55)</w:t>
            </w:r>
          </w:p>
        </w:tc>
        <w:tc>
          <w:tcPr>
            <w:tcW w:w="835" w:type="pct"/>
          </w:tcPr>
          <w:p w14:paraId="4EF1A203" w14:textId="57400C28" w:rsidR="009422DA" w:rsidRPr="00D85E09" w:rsidRDefault="009422DA" w:rsidP="0043316B">
            <w:pPr>
              <w:pStyle w:val="Tabletext"/>
              <w:keepNext w:val="0"/>
              <w:widowControl w:val="0"/>
              <w:jc w:val="center"/>
              <w:rPr>
                <w:b/>
              </w:rPr>
            </w:pPr>
            <w:r w:rsidRPr="00D85E09">
              <w:rPr>
                <w:b/>
              </w:rPr>
              <w:t>Intervention (n=30)</w:t>
            </w:r>
          </w:p>
        </w:tc>
        <w:tc>
          <w:tcPr>
            <w:tcW w:w="708" w:type="pct"/>
          </w:tcPr>
          <w:p w14:paraId="72566F43" w14:textId="038B124C" w:rsidR="009422DA" w:rsidRPr="00D85E09" w:rsidRDefault="009422DA" w:rsidP="0043316B">
            <w:pPr>
              <w:pStyle w:val="Tabletext"/>
              <w:keepNext w:val="0"/>
              <w:widowControl w:val="0"/>
              <w:jc w:val="center"/>
              <w:rPr>
                <w:b/>
              </w:rPr>
            </w:pPr>
            <w:r w:rsidRPr="00D85E09">
              <w:rPr>
                <w:b/>
              </w:rPr>
              <w:t>Control (n=25)</w:t>
            </w:r>
          </w:p>
        </w:tc>
        <w:tc>
          <w:tcPr>
            <w:tcW w:w="1083" w:type="pct"/>
            <w:vMerge/>
          </w:tcPr>
          <w:p w14:paraId="2862DF3E" w14:textId="0D47CEFA" w:rsidR="009422DA" w:rsidRPr="00D85E09" w:rsidRDefault="009422DA" w:rsidP="0043316B">
            <w:pPr>
              <w:pStyle w:val="Tabletext"/>
              <w:keepNext w:val="0"/>
              <w:widowControl w:val="0"/>
              <w:jc w:val="center"/>
              <w:rPr>
                <w:b/>
              </w:rPr>
            </w:pPr>
          </w:p>
        </w:tc>
      </w:tr>
      <w:tr w:rsidR="002F1A2D" w:rsidRPr="00D85E09" w14:paraId="709B5F9A" w14:textId="741B1035" w:rsidTr="008C7DB5">
        <w:tc>
          <w:tcPr>
            <w:tcW w:w="1498" w:type="pct"/>
          </w:tcPr>
          <w:p w14:paraId="28121974" w14:textId="0773745D" w:rsidR="002F1A2D" w:rsidRPr="00D85E09" w:rsidRDefault="002F1A2D" w:rsidP="0043316B">
            <w:pPr>
              <w:pStyle w:val="Tabletext"/>
              <w:keepNext w:val="0"/>
              <w:widowControl w:val="0"/>
            </w:pPr>
            <w:r w:rsidRPr="00D85E09">
              <w:t>INR 1.7-3.0</w:t>
            </w:r>
          </w:p>
        </w:tc>
        <w:tc>
          <w:tcPr>
            <w:tcW w:w="876" w:type="pct"/>
          </w:tcPr>
          <w:p w14:paraId="59672FA3" w14:textId="225668B1" w:rsidR="002F1A2D" w:rsidRPr="00D85E09" w:rsidRDefault="002F1A2D" w:rsidP="0043316B">
            <w:pPr>
              <w:pStyle w:val="Tabletext"/>
              <w:keepNext w:val="0"/>
              <w:widowControl w:val="0"/>
              <w:jc w:val="center"/>
            </w:pPr>
            <w:r w:rsidRPr="00D85E09">
              <w:t>18</w:t>
            </w:r>
            <w:r w:rsidR="009422DA" w:rsidRPr="00D85E09">
              <w:t xml:space="preserve"> (33%)</w:t>
            </w:r>
          </w:p>
        </w:tc>
        <w:tc>
          <w:tcPr>
            <w:tcW w:w="835" w:type="pct"/>
          </w:tcPr>
          <w:p w14:paraId="669B5867" w14:textId="0B4AD80B" w:rsidR="002F1A2D" w:rsidRPr="00D85E09" w:rsidRDefault="002F1A2D" w:rsidP="0043316B">
            <w:pPr>
              <w:pStyle w:val="Tabletext"/>
              <w:keepNext w:val="0"/>
              <w:widowControl w:val="0"/>
              <w:jc w:val="center"/>
            </w:pPr>
            <w:r w:rsidRPr="00D85E09">
              <w:t>12</w:t>
            </w:r>
            <w:r w:rsidR="009422DA" w:rsidRPr="00D85E09">
              <w:t xml:space="preserve"> (40%)</w:t>
            </w:r>
          </w:p>
        </w:tc>
        <w:tc>
          <w:tcPr>
            <w:tcW w:w="708" w:type="pct"/>
          </w:tcPr>
          <w:p w14:paraId="42CFA60F" w14:textId="4796AD2F" w:rsidR="002F1A2D" w:rsidRPr="00D85E09" w:rsidRDefault="002F1A2D" w:rsidP="0043316B">
            <w:pPr>
              <w:pStyle w:val="Tabletext"/>
              <w:keepNext w:val="0"/>
              <w:widowControl w:val="0"/>
              <w:jc w:val="center"/>
            </w:pPr>
            <w:r w:rsidRPr="00D85E09">
              <w:t>6</w:t>
            </w:r>
            <w:r w:rsidR="009422DA" w:rsidRPr="00D85E09">
              <w:t xml:space="preserve"> (24%)</w:t>
            </w:r>
          </w:p>
        </w:tc>
        <w:tc>
          <w:tcPr>
            <w:tcW w:w="1083" w:type="pct"/>
          </w:tcPr>
          <w:p w14:paraId="4D49B46B" w14:textId="1B469A00" w:rsidR="002F1A2D" w:rsidRPr="00D85E09" w:rsidRDefault="009422DA" w:rsidP="0043316B">
            <w:pPr>
              <w:pStyle w:val="Tabletext"/>
              <w:keepNext w:val="0"/>
              <w:widowControl w:val="0"/>
              <w:jc w:val="center"/>
            </w:pPr>
            <w:r w:rsidRPr="00D85E09">
              <w:t>44 (33.8%)</w:t>
            </w:r>
          </w:p>
        </w:tc>
      </w:tr>
      <w:tr w:rsidR="002F1A2D" w:rsidRPr="00D85E09" w14:paraId="4AC87669" w14:textId="1F9B4DC1" w:rsidTr="008C7DB5">
        <w:tc>
          <w:tcPr>
            <w:tcW w:w="1498" w:type="pct"/>
          </w:tcPr>
          <w:p w14:paraId="17604A15" w14:textId="7343BB92" w:rsidR="002F1A2D" w:rsidRPr="00D85E09" w:rsidRDefault="002F1A2D" w:rsidP="0043316B">
            <w:pPr>
              <w:pStyle w:val="Tabletext"/>
              <w:keepNext w:val="0"/>
              <w:widowControl w:val="0"/>
            </w:pPr>
            <w:r w:rsidRPr="00D85E09">
              <w:t>Platelet count &lt;90 x 10</w:t>
            </w:r>
            <w:r w:rsidRPr="00D85E09">
              <w:rPr>
                <w:vertAlign w:val="superscript"/>
              </w:rPr>
              <w:t>9</w:t>
            </w:r>
            <w:r w:rsidRPr="00D85E09">
              <w:t>/L</w:t>
            </w:r>
          </w:p>
        </w:tc>
        <w:tc>
          <w:tcPr>
            <w:tcW w:w="876" w:type="pct"/>
          </w:tcPr>
          <w:p w14:paraId="6406D0FB" w14:textId="67FB0B37" w:rsidR="002F1A2D" w:rsidRPr="00D85E09" w:rsidRDefault="002F1A2D" w:rsidP="0043316B">
            <w:pPr>
              <w:pStyle w:val="Tabletext"/>
              <w:keepNext w:val="0"/>
              <w:widowControl w:val="0"/>
              <w:jc w:val="center"/>
            </w:pPr>
            <w:r w:rsidRPr="00D85E09">
              <w:t>2</w:t>
            </w:r>
            <w:r w:rsidR="009422DA" w:rsidRPr="00D85E09">
              <w:t xml:space="preserve"> (4%)</w:t>
            </w:r>
          </w:p>
        </w:tc>
        <w:tc>
          <w:tcPr>
            <w:tcW w:w="835" w:type="pct"/>
          </w:tcPr>
          <w:p w14:paraId="748C26B7" w14:textId="514EE51A" w:rsidR="002F1A2D" w:rsidRPr="00D85E09" w:rsidRDefault="002F1A2D" w:rsidP="0043316B">
            <w:pPr>
              <w:pStyle w:val="Tabletext"/>
              <w:keepNext w:val="0"/>
              <w:widowControl w:val="0"/>
              <w:jc w:val="center"/>
            </w:pPr>
            <w:r w:rsidRPr="00D85E09">
              <w:t>1</w:t>
            </w:r>
            <w:r w:rsidR="009422DA" w:rsidRPr="00D85E09">
              <w:t xml:space="preserve"> (3%)</w:t>
            </w:r>
          </w:p>
        </w:tc>
        <w:tc>
          <w:tcPr>
            <w:tcW w:w="708" w:type="pct"/>
          </w:tcPr>
          <w:p w14:paraId="3FB62C26" w14:textId="7A7EC88D" w:rsidR="002F1A2D" w:rsidRPr="00D85E09" w:rsidRDefault="002F1A2D" w:rsidP="0043316B">
            <w:pPr>
              <w:pStyle w:val="Tabletext"/>
              <w:keepNext w:val="0"/>
              <w:widowControl w:val="0"/>
              <w:jc w:val="center"/>
            </w:pPr>
            <w:r w:rsidRPr="00D85E09">
              <w:t>1</w:t>
            </w:r>
            <w:r w:rsidR="009422DA" w:rsidRPr="00D85E09">
              <w:t xml:space="preserve"> (4%)</w:t>
            </w:r>
          </w:p>
        </w:tc>
        <w:tc>
          <w:tcPr>
            <w:tcW w:w="1083" w:type="pct"/>
          </w:tcPr>
          <w:p w14:paraId="2402B9A2" w14:textId="62B898B7" w:rsidR="002F1A2D" w:rsidRPr="00D85E09" w:rsidRDefault="009422DA" w:rsidP="0043316B">
            <w:pPr>
              <w:pStyle w:val="Tabletext"/>
              <w:keepNext w:val="0"/>
              <w:widowControl w:val="0"/>
              <w:jc w:val="center"/>
            </w:pPr>
            <w:r w:rsidRPr="00D85E09">
              <w:t>NR</w:t>
            </w:r>
          </w:p>
        </w:tc>
      </w:tr>
      <w:tr w:rsidR="002F1A2D" w:rsidRPr="00D85E09" w14:paraId="1C0BF958" w14:textId="1798517F" w:rsidTr="008C7DB5">
        <w:tc>
          <w:tcPr>
            <w:tcW w:w="1498" w:type="pct"/>
          </w:tcPr>
          <w:p w14:paraId="5CC8E5CB" w14:textId="2EEC4694" w:rsidR="002F1A2D" w:rsidRPr="00D85E09" w:rsidRDefault="009422DA" w:rsidP="0043316B">
            <w:pPr>
              <w:pStyle w:val="Tabletext"/>
              <w:keepNext w:val="0"/>
              <w:widowControl w:val="0"/>
            </w:pPr>
            <w:r w:rsidRPr="00D85E09">
              <w:t>Recent s</w:t>
            </w:r>
            <w:r w:rsidR="002F1A2D" w:rsidRPr="00D85E09">
              <w:t>urgery or intervention within two weeks prior to event</w:t>
            </w:r>
          </w:p>
        </w:tc>
        <w:tc>
          <w:tcPr>
            <w:tcW w:w="876" w:type="pct"/>
          </w:tcPr>
          <w:p w14:paraId="22248725" w14:textId="24EA30AC" w:rsidR="002F1A2D" w:rsidRPr="00D85E09" w:rsidRDefault="002F1A2D" w:rsidP="0043316B">
            <w:pPr>
              <w:pStyle w:val="Tabletext"/>
              <w:keepNext w:val="0"/>
              <w:widowControl w:val="0"/>
              <w:jc w:val="center"/>
            </w:pPr>
            <w:r w:rsidRPr="00D85E09">
              <w:t>15</w:t>
            </w:r>
            <w:r w:rsidR="009422DA" w:rsidRPr="00D85E09">
              <w:t xml:space="preserve"> (27%)</w:t>
            </w:r>
          </w:p>
        </w:tc>
        <w:tc>
          <w:tcPr>
            <w:tcW w:w="835" w:type="pct"/>
          </w:tcPr>
          <w:p w14:paraId="6E616D95" w14:textId="5AB7FEBF" w:rsidR="002F1A2D" w:rsidRPr="00D85E09" w:rsidRDefault="002F1A2D" w:rsidP="0043316B">
            <w:pPr>
              <w:pStyle w:val="Tabletext"/>
              <w:keepNext w:val="0"/>
              <w:widowControl w:val="0"/>
              <w:jc w:val="center"/>
            </w:pPr>
            <w:r w:rsidRPr="00D85E09">
              <w:t>7</w:t>
            </w:r>
            <w:r w:rsidR="009422DA" w:rsidRPr="00D85E09">
              <w:t xml:space="preserve"> (23%)</w:t>
            </w:r>
          </w:p>
        </w:tc>
        <w:tc>
          <w:tcPr>
            <w:tcW w:w="708" w:type="pct"/>
          </w:tcPr>
          <w:p w14:paraId="2AB5D07C" w14:textId="6CE0B950" w:rsidR="002F1A2D" w:rsidRPr="00D85E09" w:rsidRDefault="002F1A2D" w:rsidP="0043316B">
            <w:pPr>
              <w:pStyle w:val="Tabletext"/>
              <w:keepNext w:val="0"/>
              <w:widowControl w:val="0"/>
              <w:jc w:val="center"/>
            </w:pPr>
            <w:r w:rsidRPr="00D85E09">
              <w:t>8</w:t>
            </w:r>
            <w:r w:rsidR="009422DA" w:rsidRPr="00D85E09">
              <w:t xml:space="preserve"> (32%)</w:t>
            </w:r>
          </w:p>
        </w:tc>
        <w:tc>
          <w:tcPr>
            <w:tcW w:w="1083" w:type="pct"/>
          </w:tcPr>
          <w:p w14:paraId="50F81B3B" w14:textId="56E0DD8A" w:rsidR="009422DA" w:rsidRPr="00D85E09" w:rsidRDefault="009422DA" w:rsidP="0043316B">
            <w:pPr>
              <w:pStyle w:val="Tabletext"/>
              <w:keepNext w:val="0"/>
              <w:widowControl w:val="0"/>
              <w:jc w:val="center"/>
            </w:pPr>
            <w:r w:rsidRPr="00D85E09">
              <w:t>Recent surgery: 23 (17.7%)</w:t>
            </w:r>
          </w:p>
          <w:p w14:paraId="497B4037" w14:textId="247ACA3A" w:rsidR="009422DA" w:rsidRPr="00D85E09" w:rsidRDefault="009422DA" w:rsidP="0043316B">
            <w:pPr>
              <w:pStyle w:val="Tabletext"/>
              <w:keepNext w:val="0"/>
              <w:widowControl w:val="0"/>
              <w:jc w:val="center"/>
            </w:pPr>
            <w:r w:rsidRPr="00D85E09">
              <w:t>Emergency stent-angioplasty: 10 (7.7%)</w:t>
            </w:r>
          </w:p>
        </w:tc>
      </w:tr>
      <w:tr w:rsidR="002F1A2D" w:rsidRPr="00D85E09" w14:paraId="6A5145EA" w14:textId="185B57F9" w:rsidTr="008C7DB5">
        <w:tc>
          <w:tcPr>
            <w:tcW w:w="1498" w:type="pct"/>
          </w:tcPr>
          <w:p w14:paraId="13AF7E46" w14:textId="074BCF61" w:rsidR="002F1A2D" w:rsidRPr="00D85E09" w:rsidRDefault="002F1A2D" w:rsidP="0043316B">
            <w:pPr>
              <w:pStyle w:val="Tabletext"/>
              <w:keepNext w:val="0"/>
              <w:widowControl w:val="0"/>
            </w:pPr>
            <w:r w:rsidRPr="00D85E09">
              <w:t>Recent ischaemic stroke within six weeks prior to event</w:t>
            </w:r>
          </w:p>
        </w:tc>
        <w:tc>
          <w:tcPr>
            <w:tcW w:w="876" w:type="pct"/>
          </w:tcPr>
          <w:p w14:paraId="4E8C097D" w14:textId="4759FB58" w:rsidR="002F1A2D" w:rsidRPr="00D85E09" w:rsidRDefault="002F1A2D" w:rsidP="0043316B">
            <w:pPr>
              <w:pStyle w:val="Tabletext"/>
              <w:keepNext w:val="0"/>
              <w:widowControl w:val="0"/>
              <w:jc w:val="center"/>
            </w:pPr>
            <w:r w:rsidRPr="00D85E09">
              <w:t>4</w:t>
            </w:r>
            <w:r w:rsidR="009422DA" w:rsidRPr="00D85E09">
              <w:t xml:space="preserve"> (7%)</w:t>
            </w:r>
          </w:p>
        </w:tc>
        <w:tc>
          <w:tcPr>
            <w:tcW w:w="835" w:type="pct"/>
          </w:tcPr>
          <w:p w14:paraId="6D54D3E1" w14:textId="5FB4B93B" w:rsidR="002F1A2D" w:rsidRPr="00D85E09" w:rsidRDefault="002F1A2D" w:rsidP="0043316B">
            <w:pPr>
              <w:pStyle w:val="Tabletext"/>
              <w:keepNext w:val="0"/>
              <w:widowControl w:val="0"/>
              <w:jc w:val="center"/>
            </w:pPr>
            <w:r w:rsidRPr="00D85E09">
              <w:t>3</w:t>
            </w:r>
            <w:r w:rsidR="009422DA" w:rsidRPr="00D85E09">
              <w:t xml:space="preserve"> (10%)</w:t>
            </w:r>
          </w:p>
        </w:tc>
        <w:tc>
          <w:tcPr>
            <w:tcW w:w="708" w:type="pct"/>
          </w:tcPr>
          <w:p w14:paraId="49E7134C" w14:textId="04322814" w:rsidR="002F1A2D" w:rsidRPr="00D85E09" w:rsidRDefault="002F1A2D" w:rsidP="0043316B">
            <w:pPr>
              <w:pStyle w:val="Tabletext"/>
              <w:keepNext w:val="0"/>
              <w:widowControl w:val="0"/>
              <w:jc w:val="center"/>
            </w:pPr>
            <w:r w:rsidRPr="00D85E09">
              <w:t>1</w:t>
            </w:r>
            <w:r w:rsidR="009422DA" w:rsidRPr="00D85E09">
              <w:t xml:space="preserve"> (4%)</w:t>
            </w:r>
          </w:p>
        </w:tc>
        <w:tc>
          <w:tcPr>
            <w:tcW w:w="1083" w:type="pct"/>
          </w:tcPr>
          <w:p w14:paraId="034AA4B5" w14:textId="63077F2A" w:rsidR="002F1A2D" w:rsidRPr="00D85E09" w:rsidRDefault="009422DA" w:rsidP="0043316B">
            <w:pPr>
              <w:pStyle w:val="Tabletext"/>
              <w:keepNext w:val="0"/>
              <w:widowControl w:val="0"/>
              <w:jc w:val="center"/>
            </w:pPr>
            <w:r w:rsidRPr="00D85E09">
              <w:t>21 (16.2%)</w:t>
            </w:r>
          </w:p>
        </w:tc>
      </w:tr>
      <w:tr w:rsidR="002F1A2D" w:rsidRPr="00D85E09" w14:paraId="76091B68" w14:textId="619D5E89" w:rsidTr="008C7DB5">
        <w:tc>
          <w:tcPr>
            <w:tcW w:w="1498" w:type="pct"/>
          </w:tcPr>
          <w:p w14:paraId="4AF4007E" w14:textId="45435973" w:rsidR="002F1A2D" w:rsidRPr="00D85E09" w:rsidRDefault="002F1A2D" w:rsidP="0043316B">
            <w:pPr>
              <w:pStyle w:val="Tabletext"/>
              <w:keepNext w:val="0"/>
              <w:widowControl w:val="0"/>
            </w:pPr>
            <w:r w:rsidRPr="00D85E09">
              <w:t>Use of contraindicated anti</w:t>
            </w:r>
            <w:r w:rsidR="00300BB6" w:rsidRPr="00D85E09">
              <w:t>coagulants</w:t>
            </w:r>
          </w:p>
        </w:tc>
        <w:tc>
          <w:tcPr>
            <w:tcW w:w="876" w:type="pct"/>
          </w:tcPr>
          <w:p w14:paraId="0DC3BD7D" w14:textId="620C3609" w:rsidR="002F1A2D" w:rsidRPr="00D85E09" w:rsidRDefault="002F1A2D" w:rsidP="0043316B">
            <w:pPr>
              <w:pStyle w:val="Tabletext"/>
              <w:keepNext w:val="0"/>
              <w:widowControl w:val="0"/>
              <w:jc w:val="center"/>
            </w:pPr>
            <w:r w:rsidRPr="00D85E09">
              <w:t>4</w:t>
            </w:r>
            <w:r w:rsidR="009422DA" w:rsidRPr="00D85E09">
              <w:t xml:space="preserve"> (7%)</w:t>
            </w:r>
          </w:p>
        </w:tc>
        <w:tc>
          <w:tcPr>
            <w:tcW w:w="835" w:type="pct"/>
          </w:tcPr>
          <w:p w14:paraId="2949247A" w14:textId="3332F017" w:rsidR="002F1A2D" w:rsidRPr="00D85E09" w:rsidRDefault="002F1A2D" w:rsidP="0043316B">
            <w:pPr>
              <w:pStyle w:val="Tabletext"/>
              <w:keepNext w:val="0"/>
              <w:widowControl w:val="0"/>
              <w:jc w:val="center"/>
            </w:pPr>
            <w:r w:rsidRPr="00D85E09">
              <w:t>2</w:t>
            </w:r>
            <w:r w:rsidR="009422DA" w:rsidRPr="00D85E09">
              <w:t xml:space="preserve"> (7%)</w:t>
            </w:r>
          </w:p>
        </w:tc>
        <w:tc>
          <w:tcPr>
            <w:tcW w:w="708" w:type="pct"/>
          </w:tcPr>
          <w:p w14:paraId="5721B073" w14:textId="13383E0B" w:rsidR="002F1A2D" w:rsidRPr="00D85E09" w:rsidRDefault="002F1A2D" w:rsidP="0043316B">
            <w:pPr>
              <w:pStyle w:val="Tabletext"/>
              <w:keepNext w:val="0"/>
              <w:widowControl w:val="0"/>
              <w:jc w:val="center"/>
            </w:pPr>
            <w:r w:rsidRPr="00D85E09">
              <w:t>2</w:t>
            </w:r>
            <w:r w:rsidR="009422DA" w:rsidRPr="00D85E09">
              <w:t xml:space="preserve"> (8%)</w:t>
            </w:r>
          </w:p>
        </w:tc>
        <w:tc>
          <w:tcPr>
            <w:tcW w:w="1083" w:type="pct"/>
          </w:tcPr>
          <w:p w14:paraId="6D40A31B" w14:textId="18A55955" w:rsidR="002F1A2D" w:rsidRPr="00D85E09" w:rsidRDefault="009422DA" w:rsidP="0043316B">
            <w:pPr>
              <w:pStyle w:val="Tabletext"/>
              <w:keepNext w:val="0"/>
              <w:widowControl w:val="0"/>
              <w:jc w:val="center"/>
            </w:pPr>
            <w:r w:rsidRPr="00D85E09">
              <w:t>IV heparin: 6 (4.6%)</w:t>
            </w:r>
          </w:p>
        </w:tc>
      </w:tr>
      <w:tr w:rsidR="002F1A2D" w:rsidRPr="00D85E09" w14:paraId="143E1855" w14:textId="63BE44E2" w:rsidTr="008C7DB5">
        <w:tc>
          <w:tcPr>
            <w:tcW w:w="1498" w:type="pct"/>
          </w:tcPr>
          <w:p w14:paraId="566D62BC" w14:textId="47B2B3D5" w:rsidR="002F1A2D" w:rsidRPr="00D85E09" w:rsidRDefault="002F1A2D" w:rsidP="0043316B">
            <w:pPr>
              <w:pStyle w:val="Tabletext"/>
              <w:keepNext w:val="0"/>
              <w:widowControl w:val="0"/>
            </w:pPr>
            <w:r w:rsidRPr="00D85E09">
              <w:t>Time from onset to arrival exceeds 4.5 hours</w:t>
            </w:r>
          </w:p>
        </w:tc>
        <w:tc>
          <w:tcPr>
            <w:tcW w:w="876" w:type="pct"/>
          </w:tcPr>
          <w:p w14:paraId="3D71AD2D" w14:textId="0981D3A9" w:rsidR="002F1A2D" w:rsidRPr="00D85E09" w:rsidRDefault="002F1A2D" w:rsidP="0043316B">
            <w:pPr>
              <w:pStyle w:val="Tabletext"/>
              <w:keepNext w:val="0"/>
              <w:widowControl w:val="0"/>
              <w:jc w:val="center"/>
            </w:pPr>
            <w:r w:rsidRPr="00D85E09">
              <w:t>5</w:t>
            </w:r>
            <w:r w:rsidR="009422DA" w:rsidRPr="00D85E09">
              <w:t xml:space="preserve"> (9%)</w:t>
            </w:r>
          </w:p>
        </w:tc>
        <w:tc>
          <w:tcPr>
            <w:tcW w:w="835" w:type="pct"/>
          </w:tcPr>
          <w:p w14:paraId="4D0D59E2" w14:textId="44316C29" w:rsidR="002F1A2D" w:rsidRPr="00D85E09" w:rsidRDefault="002F1A2D" w:rsidP="0043316B">
            <w:pPr>
              <w:pStyle w:val="Tabletext"/>
              <w:keepNext w:val="0"/>
              <w:widowControl w:val="0"/>
              <w:jc w:val="center"/>
            </w:pPr>
            <w:r w:rsidRPr="00D85E09">
              <w:t>3</w:t>
            </w:r>
            <w:r w:rsidR="009422DA" w:rsidRPr="00D85E09">
              <w:t xml:space="preserve"> (10%)</w:t>
            </w:r>
          </w:p>
        </w:tc>
        <w:tc>
          <w:tcPr>
            <w:tcW w:w="708" w:type="pct"/>
          </w:tcPr>
          <w:p w14:paraId="07287254" w14:textId="6FB0D701" w:rsidR="002F1A2D" w:rsidRPr="00D85E09" w:rsidRDefault="002F1A2D" w:rsidP="0043316B">
            <w:pPr>
              <w:pStyle w:val="Tabletext"/>
              <w:keepNext w:val="0"/>
              <w:widowControl w:val="0"/>
              <w:jc w:val="center"/>
            </w:pPr>
            <w:r w:rsidRPr="00D85E09">
              <w:t>2</w:t>
            </w:r>
            <w:r w:rsidR="009422DA" w:rsidRPr="00D85E09">
              <w:t xml:space="preserve"> (8%)</w:t>
            </w:r>
          </w:p>
        </w:tc>
        <w:tc>
          <w:tcPr>
            <w:tcW w:w="1083" w:type="pct"/>
          </w:tcPr>
          <w:p w14:paraId="15657888" w14:textId="5EC787AF" w:rsidR="002F1A2D" w:rsidRPr="00D85E09" w:rsidRDefault="009422DA" w:rsidP="0043316B">
            <w:pPr>
              <w:pStyle w:val="Tabletext"/>
              <w:keepNext w:val="0"/>
              <w:widowControl w:val="0"/>
              <w:jc w:val="center"/>
            </w:pPr>
            <w:r w:rsidRPr="00D85E09">
              <w:t>NR</w:t>
            </w:r>
          </w:p>
        </w:tc>
      </w:tr>
      <w:tr w:rsidR="002F1A2D" w:rsidRPr="00D85E09" w14:paraId="3C51B68A" w14:textId="70CDB87E" w:rsidTr="008C7DB5">
        <w:tc>
          <w:tcPr>
            <w:tcW w:w="1498" w:type="pct"/>
          </w:tcPr>
          <w:p w14:paraId="2D383791" w14:textId="43278D02" w:rsidR="002F1A2D" w:rsidRPr="00D85E09" w:rsidRDefault="002F1A2D" w:rsidP="0043316B">
            <w:pPr>
              <w:pStyle w:val="Tabletext"/>
              <w:keepNext w:val="0"/>
              <w:widowControl w:val="0"/>
            </w:pPr>
            <w:r w:rsidRPr="00D85E09">
              <w:t>Cerebral contusion within four weeks prior to event</w:t>
            </w:r>
          </w:p>
        </w:tc>
        <w:tc>
          <w:tcPr>
            <w:tcW w:w="876" w:type="pct"/>
          </w:tcPr>
          <w:p w14:paraId="60B8827A" w14:textId="54A1AC72" w:rsidR="002F1A2D" w:rsidRPr="00D85E09" w:rsidRDefault="002F1A2D" w:rsidP="0043316B">
            <w:pPr>
              <w:pStyle w:val="Tabletext"/>
              <w:keepNext w:val="0"/>
              <w:widowControl w:val="0"/>
              <w:jc w:val="center"/>
            </w:pPr>
            <w:r w:rsidRPr="00D85E09">
              <w:t>1</w:t>
            </w:r>
            <w:r w:rsidR="009422DA" w:rsidRPr="00D85E09">
              <w:t xml:space="preserve"> (2%)</w:t>
            </w:r>
          </w:p>
        </w:tc>
        <w:tc>
          <w:tcPr>
            <w:tcW w:w="835" w:type="pct"/>
          </w:tcPr>
          <w:p w14:paraId="21726321" w14:textId="370F3783" w:rsidR="002F1A2D" w:rsidRPr="00D85E09" w:rsidRDefault="002F1A2D" w:rsidP="0043316B">
            <w:pPr>
              <w:pStyle w:val="Tabletext"/>
              <w:keepNext w:val="0"/>
              <w:widowControl w:val="0"/>
              <w:jc w:val="center"/>
            </w:pPr>
            <w:r w:rsidRPr="00D85E09">
              <w:t>1</w:t>
            </w:r>
            <w:r w:rsidR="009422DA" w:rsidRPr="00D85E09">
              <w:t xml:space="preserve"> (3%)</w:t>
            </w:r>
          </w:p>
        </w:tc>
        <w:tc>
          <w:tcPr>
            <w:tcW w:w="708" w:type="pct"/>
          </w:tcPr>
          <w:p w14:paraId="3EC1D653" w14:textId="6E35253D" w:rsidR="002F1A2D" w:rsidRPr="00D85E09" w:rsidRDefault="002F1A2D" w:rsidP="0043316B">
            <w:pPr>
              <w:pStyle w:val="Tabletext"/>
              <w:keepNext w:val="0"/>
              <w:widowControl w:val="0"/>
              <w:jc w:val="center"/>
            </w:pPr>
            <w:r w:rsidRPr="00D85E09">
              <w:t>0</w:t>
            </w:r>
            <w:r w:rsidR="009422DA" w:rsidRPr="00D85E09">
              <w:t xml:space="preserve"> (0%)</w:t>
            </w:r>
          </w:p>
        </w:tc>
        <w:tc>
          <w:tcPr>
            <w:tcW w:w="1083" w:type="pct"/>
          </w:tcPr>
          <w:p w14:paraId="1F2BB7BB" w14:textId="27AD314C" w:rsidR="002F1A2D" w:rsidRPr="00D85E09" w:rsidRDefault="009422DA" w:rsidP="0043316B">
            <w:pPr>
              <w:pStyle w:val="Tabletext"/>
              <w:keepNext w:val="0"/>
              <w:widowControl w:val="0"/>
              <w:jc w:val="center"/>
            </w:pPr>
            <w:r w:rsidRPr="00D85E09">
              <w:t>NR</w:t>
            </w:r>
          </w:p>
        </w:tc>
      </w:tr>
      <w:tr w:rsidR="002F1A2D" w:rsidRPr="00D85E09" w14:paraId="5EB43A25" w14:textId="6B344172" w:rsidTr="008C7DB5">
        <w:tc>
          <w:tcPr>
            <w:tcW w:w="1498" w:type="pct"/>
          </w:tcPr>
          <w:p w14:paraId="2555C80F" w14:textId="5F597152" w:rsidR="002F1A2D" w:rsidRPr="00D85E09" w:rsidRDefault="002F1A2D" w:rsidP="0043316B">
            <w:pPr>
              <w:pStyle w:val="Tabletext"/>
              <w:keepNext w:val="0"/>
              <w:widowControl w:val="0"/>
            </w:pPr>
            <w:r w:rsidRPr="00D85E09">
              <w:t>Other reasons</w:t>
            </w:r>
          </w:p>
        </w:tc>
        <w:tc>
          <w:tcPr>
            <w:tcW w:w="876" w:type="pct"/>
          </w:tcPr>
          <w:p w14:paraId="66E8A80A" w14:textId="59617824" w:rsidR="002F1A2D" w:rsidRPr="00D85E09" w:rsidRDefault="002F1A2D" w:rsidP="0043316B">
            <w:pPr>
              <w:pStyle w:val="Tabletext"/>
              <w:keepNext w:val="0"/>
              <w:widowControl w:val="0"/>
              <w:jc w:val="center"/>
            </w:pPr>
            <w:r w:rsidRPr="00D85E09">
              <w:t>6</w:t>
            </w:r>
            <w:r w:rsidR="009422DA" w:rsidRPr="00D85E09">
              <w:t xml:space="preserve"> (11%)</w:t>
            </w:r>
          </w:p>
        </w:tc>
        <w:tc>
          <w:tcPr>
            <w:tcW w:w="835" w:type="pct"/>
          </w:tcPr>
          <w:p w14:paraId="06836825" w14:textId="5DD17587" w:rsidR="002F1A2D" w:rsidRPr="00D85E09" w:rsidRDefault="002F1A2D" w:rsidP="0043316B">
            <w:pPr>
              <w:pStyle w:val="Tabletext"/>
              <w:keepNext w:val="0"/>
              <w:widowControl w:val="0"/>
              <w:jc w:val="center"/>
            </w:pPr>
            <w:r w:rsidRPr="00D85E09">
              <w:t>1</w:t>
            </w:r>
            <w:r w:rsidR="009422DA" w:rsidRPr="00D85E09">
              <w:t xml:space="preserve"> (3%)</w:t>
            </w:r>
          </w:p>
        </w:tc>
        <w:tc>
          <w:tcPr>
            <w:tcW w:w="708" w:type="pct"/>
          </w:tcPr>
          <w:p w14:paraId="7A3F051E" w14:textId="07E29A50" w:rsidR="002F1A2D" w:rsidRPr="00D85E09" w:rsidRDefault="002F1A2D" w:rsidP="0043316B">
            <w:pPr>
              <w:pStyle w:val="Tabletext"/>
              <w:keepNext w:val="0"/>
              <w:widowControl w:val="0"/>
              <w:jc w:val="center"/>
            </w:pPr>
            <w:r w:rsidRPr="00D85E09">
              <w:t>5</w:t>
            </w:r>
            <w:r w:rsidR="009422DA" w:rsidRPr="00D85E09">
              <w:t xml:space="preserve"> (20%)</w:t>
            </w:r>
          </w:p>
        </w:tc>
        <w:tc>
          <w:tcPr>
            <w:tcW w:w="1083" w:type="pct"/>
          </w:tcPr>
          <w:p w14:paraId="4EBF9B50" w14:textId="3A48F997" w:rsidR="002F1A2D" w:rsidRPr="00D85E09" w:rsidRDefault="009422DA" w:rsidP="0043316B">
            <w:pPr>
              <w:pStyle w:val="Tabletext"/>
              <w:keepNext w:val="0"/>
              <w:widowControl w:val="0"/>
              <w:jc w:val="center"/>
            </w:pPr>
            <w:r w:rsidRPr="00D85E09">
              <w:t>26 (20%)</w:t>
            </w:r>
          </w:p>
        </w:tc>
      </w:tr>
    </w:tbl>
    <w:p w14:paraId="7C0B7961" w14:textId="77777777" w:rsidR="00051AAA" w:rsidRPr="00D85E09" w:rsidRDefault="00051AAA" w:rsidP="0043316B">
      <w:pPr>
        <w:widowControl w:val="0"/>
      </w:pPr>
    </w:p>
    <w:p w14:paraId="5F3C7F57" w14:textId="77777777" w:rsidR="00051AAA" w:rsidRPr="00D85E09" w:rsidRDefault="00051AAA" w:rsidP="0043316B">
      <w:pPr>
        <w:pStyle w:val="Heading3"/>
        <w:keepNext w:val="0"/>
        <w:widowControl w:val="0"/>
        <w:tabs>
          <w:tab w:val="clear" w:pos="993"/>
        </w:tabs>
        <w:autoSpaceDE/>
        <w:autoSpaceDN/>
        <w:adjustRightInd/>
        <w:ind w:left="907" w:hanging="907"/>
        <w:rPr>
          <w:lang w:val="en-AU"/>
        </w:rPr>
      </w:pPr>
      <w:bookmarkStart w:id="395" w:name="_Toc453065286"/>
      <w:r w:rsidRPr="00D85E09">
        <w:rPr>
          <w:lang w:val="en-AU"/>
        </w:rPr>
        <w:t>Relationship of the pre-modelling study to the economic model</w:t>
      </w:r>
      <w:bookmarkEnd w:id="388"/>
      <w:bookmarkEnd w:id="395"/>
    </w:p>
    <w:p w14:paraId="068C2E61" w14:textId="496A12AD" w:rsidR="00F635BF" w:rsidRPr="00D85E09" w:rsidRDefault="00051AAA" w:rsidP="0043316B">
      <w:pPr>
        <w:widowControl w:val="0"/>
      </w:pPr>
      <w:r w:rsidRPr="00D85E09">
        <w:t>Overall, the baseline characteristics of patients in the</w:t>
      </w:r>
      <w:r w:rsidR="00E70A73" w:rsidRPr="00D85E09">
        <w:t xml:space="preserve"> </w:t>
      </w:r>
      <w:r w:rsidRPr="00D85E09">
        <w:t>EXTEND-</w:t>
      </w:r>
      <w:r w:rsidR="001743B3" w:rsidRPr="00D85E09">
        <w:t>IA</w:t>
      </w:r>
      <w:r w:rsidRPr="00D85E09">
        <w:t xml:space="preserve"> study appear to be similar to those of the meta-analysed IPD population</w:t>
      </w:r>
      <w:r w:rsidR="009913CD" w:rsidRPr="00D85E09">
        <w:t>, suggesting that the results of the meta-analysis are applicable to Australian patients that are eligible to receive IV</w:t>
      </w:r>
      <w:r w:rsidR="00D32933" w:rsidRPr="00D85E09">
        <w:t>-</w:t>
      </w:r>
      <w:r w:rsidR="009913CD" w:rsidRPr="00D85E09">
        <w:t>tPA</w:t>
      </w:r>
      <w:r w:rsidRPr="00D85E09">
        <w:t xml:space="preserve">. As shown in </w:t>
      </w:r>
      <w:r w:rsidR="0079587E" w:rsidRPr="00D85E09">
        <w:fldChar w:fldCharType="begin"/>
      </w:r>
      <w:r w:rsidR="0079587E" w:rsidRPr="00D85E09">
        <w:instrText xml:space="preserve"> REF _Ref449450859 \h </w:instrText>
      </w:r>
      <w:r w:rsidR="0079587E" w:rsidRPr="00D85E09">
        <w:fldChar w:fldCharType="separate"/>
      </w:r>
      <w:r w:rsidR="00A456ED" w:rsidRPr="00D85E09">
        <w:t xml:space="preserve">Figure </w:t>
      </w:r>
      <w:r w:rsidR="00A456ED">
        <w:rPr>
          <w:noProof/>
        </w:rPr>
        <w:t>12</w:t>
      </w:r>
      <w:r w:rsidR="0079587E" w:rsidRPr="00D85E09">
        <w:fldChar w:fldCharType="end"/>
      </w:r>
      <w:r w:rsidR="0079587E" w:rsidRPr="00D85E09">
        <w:t xml:space="preserve"> </w:t>
      </w:r>
      <w:r w:rsidRPr="00D85E09">
        <w:t>below, in the aggregate-level meta-analysis of the five eligible studies, the RR of patients achieving functional independence (mRS 0-2) at 90 days is very similar to the RR for EXTEND-</w:t>
      </w:r>
      <w:r w:rsidR="001743B3" w:rsidRPr="00D85E09">
        <w:t>IA</w:t>
      </w:r>
      <w:r w:rsidRPr="00D85E09">
        <w:t xml:space="preserve"> alone. In fact, despite some heterogeneity in the study populations (as described in Section C.2) and trial settings, the results across the five included trials are remarkably consistent.</w:t>
      </w:r>
    </w:p>
    <w:p w14:paraId="4ADBE9CC" w14:textId="7B58B7B8" w:rsidR="00F635BF" w:rsidRPr="00D85E09" w:rsidRDefault="00F635BF" w:rsidP="0043316B">
      <w:pPr>
        <w:pStyle w:val="Caption"/>
        <w:keepNext w:val="0"/>
        <w:widowControl w:val="0"/>
        <w:rPr>
          <w:lang w:val="en-AU"/>
        </w:rPr>
      </w:pPr>
      <w:bookmarkStart w:id="396" w:name="_Ref449450859"/>
      <w:bookmarkStart w:id="397" w:name="_Toc453065459"/>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12</w:t>
      </w:r>
      <w:r w:rsidRPr="00D85E09">
        <w:rPr>
          <w:lang w:val="en-AU"/>
        </w:rPr>
        <w:fldChar w:fldCharType="end"/>
      </w:r>
      <w:bookmarkEnd w:id="396"/>
      <w:r w:rsidRPr="00D85E09">
        <w:rPr>
          <w:lang w:val="en-AU"/>
        </w:rPr>
        <w:tab/>
        <w:t xml:space="preserve"> Meta-analysis of functional independence at 90 days</w:t>
      </w:r>
      <w:bookmarkEnd w:id="397"/>
    </w:p>
    <w:p w14:paraId="71A5178A" w14:textId="77777777" w:rsidR="00F635BF" w:rsidRPr="00D85E09" w:rsidRDefault="00F635BF" w:rsidP="0043316B">
      <w:pPr>
        <w:widowControl w:val="0"/>
      </w:pPr>
      <w:r w:rsidRPr="00D85E09">
        <w:rPr>
          <w:noProof/>
          <w:bdr w:val="single" w:sz="4" w:space="0" w:color="auto"/>
          <w:lang w:eastAsia="en-AU"/>
        </w:rPr>
        <w:drawing>
          <wp:inline distT="0" distB="0" distL="0" distR="0" wp14:anchorId="65850091" wp14:editId="24FA41F7">
            <wp:extent cx="5580380" cy="1519103"/>
            <wp:effectExtent l="0" t="0" r="1270" b="5080"/>
            <wp:docPr id="17" name="Picture 17" descr="Meta-analysis of functional independence at 9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80380" cy="1519103"/>
                    </a:xfrm>
                    <a:prstGeom prst="rect">
                      <a:avLst/>
                    </a:prstGeom>
                  </pic:spPr>
                </pic:pic>
              </a:graphicData>
            </a:graphic>
          </wp:inline>
        </w:drawing>
      </w:r>
    </w:p>
    <w:p w14:paraId="7B1F967E" w14:textId="1987B537" w:rsidR="00A64BAB" w:rsidRPr="00D85E09" w:rsidRDefault="00A64BAB" w:rsidP="0043316B">
      <w:pPr>
        <w:widowControl w:val="0"/>
      </w:pPr>
      <w:r w:rsidRPr="00D85E09">
        <w:lastRenderedPageBreak/>
        <w:t>For patients that were ineligible for IV</w:t>
      </w:r>
      <w:r w:rsidR="00D32933" w:rsidRPr="00D85E09">
        <w:t>-</w:t>
      </w:r>
      <w:r w:rsidRPr="00D85E09">
        <w:t>tPA, this pre</w:t>
      </w:r>
      <w:r w:rsidR="00300BB6" w:rsidRPr="00D85E09">
        <w:t>-modelling</w:t>
      </w:r>
      <w:r w:rsidRPr="00D85E09">
        <w:t xml:space="preserve"> study shows that patients who are ineligible for IV</w:t>
      </w:r>
      <w:r w:rsidR="00D32933" w:rsidRPr="00D85E09">
        <w:t>-</w:t>
      </w:r>
      <w:r w:rsidRPr="00D85E09">
        <w:t>tPA are more likely to be slightly older and suffer vascular comorbidities; however the clinical efficacy of MT relative to untreated patients remains similar in this subgroup. Although there were no data specific to the Australian healthcare setting, it should be noted that the reasons for contraindication for IV</w:t>
      </w:r>
      <w:r w:rsidR="00D32933" w:rsidRPr="00D85E09">
        <w:t>-</w:t>
      </w:r>
      <w:r w:rsidRPr="00D85E09">
        <w:t>tPA observed in the trial are consistent with clinical practice guidelines used in Australia. Therefore, the results of the meta-analysis are also applicable to Australian patients that are ineligible to receive IV</w:t>
      </w:r>
      <w:r w:rsidR="00D32933" w:rsidRPr="00D85E09">
        <w:t>-</w:t>
      </w:r>
      <w:r w:rsidRPr="00D85E09">
        <w:t>tPA.</w:t>
      </w:r>
    </w:p>
    <w:p w14:paraId="54D35A3E" w14:textId="3A36F48A" w:rsidR="00062AF4" w:rsidRPr="00D85E09" w:rsidRDefault="00A64BAB" w:rsidP="0043316B">
      <w:pPr>
        <w:widowControl w:val="0"/>
      </w:pPr>
      <w:r w:rsidRPr="00D85E09">
        <w:t>Collectively, these data further support the conclusion drawn in the previous pre-modelling study justifying the use of the meta-analysed ITT data to inform the base case Section D model for patients who are eligible and ineligible for IV</w:t>
      </w:r>
      <w:r w:rsidR="00D32933" w:rsidRPr="00D85E09">
        <w:t>-</w:t>
      </w:r>
      <w:r w:rsidRPr="00D85E09">
        <w:t xml:space="preserve">tPA. </w:t>
      </w:r>
      <w:r w:rsidR="00062AF4" w:rsidRPr="00D85E09">
        <w:t xml:space="preserve">The ITT approach may also </w:t>
      </w:r>
      <w:r w:rsidR="0000418B" w:rsidRPr="00D85E09">
        <w:t>best reflect</w:t>
      </w:r>
      <w:r w:rsidR="00062AF4" w:rsidRPr="00D85E09">
        <w:t xml:space="preserve"> the applicability of the model outputs to the MBS population</w:t>
      </w:r>
      <w:r w:rsidR="0000418B" w:rsidRPr="00D85E09">
        <w:t xml:space="preserve"> and </w:t>
      </w:r>
      <w:r w:rsidR="00062AF4" w:rsidRPr="00D85E09">
        <w:t>circumstances of use by capturing the presence of heterogeneity expected to exist in real world.</w:t>
      </w:r>
    </w:p>
    <w:p w14:paraId="313E8662" w14:textId="5261463C" w:rsidR="00062AF4" w:rsidRPr="00D85E09" w:rsidRDefault="00051AAA" w:rsidP="0043316B">
      <w:pPr>
        <w:widowControl w:val="0"/>
      </w:pPr>
      <w:r w:rsidRPr="00D85E09">
        <w:t xml:space="preserve">Taken together, the data presented in this pre-modelling study and in Section C.2 suggest that the efficacy of MT relative to usual care is relatively robust to potential effect modifiers, and varies very little in different clinical settings. </w:t>
      </w:r>
      <w:bookmarkEnd w:id="357"/>
      <w:r w:rsidR="00F635BF" w:rsidRPr="00D85E09">
        <w:t>This also supports the circumstances of use applicability of the available trial data to the Australian setting. In particular, as also discussed above</w:t>
      </w:r>
      <w:r w:rsidR="0000418B" w:rsidRPr="00D85E09">
        <w:t>,</w:t>
      </w:r>
      <w:r w:rsidR="00C964B7" w:rsidRPr="00D85E09">
        <w:t xml:space="preserve"> it is expected that the provision of MT would be restricted to “centres of excellence” in acute stroke care due to the high infrastructure and clinical staff requirements (see Section E.1).</w:t>
      </w:r>
    </w:p>
    <w:p w14:paraId="051AD039" w14:textId="29A15EEA" w:rsidR="00A41E60" w:rsidRPr="00D85E09" w:rsidRDefault="00C964B7" w:rsidP="0043316B">
      <w:pPr>
        <w:widowControl w:val="0"/>
      </w:pPr>
      <w:r w:rsidRPr="00D85E09">
        <w:t>The usual care provided in these centres is typically would be by and large well standardised (through the use of ‘code’ stroke teams and protocols) and, importantly, is likely to be generali</w:t>
      </w:r>
      <w:r w:rsidR="00E56287" w:rsidRPr="00D85E09">
        <w:t>s</w:t>
      </w:r>
      <w:r w:rsidRPr="00D85E09">
        <w:t>able to the high level of care provided in the pivotal RCTs.</w:t>
      </w:r>
    </w:p>
    <w:p w14:paraId="70B2C843" w14:textId="51759B91" w:rsidR="00A41E60" w:rsidRPr="00D85E09" w:rsidRDefault="00A41E60" w:rsidP="0043316B">
      <w:pPr>
        <w:pStyle w:val="Heading2"/>
        <w:widowControl w:val="0"/>
        <w:ind w:left="851" w:hanging="851"/>
        <w:rPr>
          <w:lang w:val="en-AU"/>
        </w:rPr>
      </w:pPr>
      <w:bookmarkStart w:id="398" w:name="_Ref452473633"/>
      <w:bookmarkStart w:id="399" w:name="_Toc453065287"/>
      <w:r w:rsidRPr="00D85E09">
        <w:rPr>
          <w:lang w:val="en-AU"/>
        </w:rPr>
        <w:t>Selection of utility data</w:t>
      </w:r>
      <w:bookmarkEnd w:id="398"/>
      <w:bookmarkEnd w:id="399"/>
    </w:p>
    <w:p w14:paraId="15B99CF7" w14:textId="1CAC0C0D" w:rsidR="00A41E60" w:rsidRPr="00D85E09" w:rsidRDefault="00A41E60" w:rsidP="0043316B">
      <w:pPr>
        <w:widowControl w:val="0"/>
      </w:pPr>
      <w:r w:rsidRPr="00D85E09">
        <w:t>Two RCTs, MR CLEAN and REVACAST, reported the EuroQoL Group 5-Dimension Self-Report Questionnaire (EQ-5D) utility at 90 days. The beta coefficient in the linear regression model of utility was the expected mean difference between two treatments. The adjusted beta coefficients (95% CI) in MR CLEAN (Berkhemer et al 2015) and REVASCAT (Jovin et al 2015) were 0.06 (-0.01 to 0.13) and 0.11 (0.02 to 0.21), respectively, favouring MT.</w:t>
      </w:r>
    </w:p>
    <w:p w14:paraId="0CC7757E" w14:textId="33D7615C" w:rsidR="00A41E60" w:rsidRPr="00D85E09" w:rsidRDefault="00A41E60" w:rsidP="0043316B">
      <w:pPr>
        <w:widowControl w:val="0"/>
        <w:rPr>
          <w:lang w:eastAsia="ja-JP"/>
        </w:rPr>
      </w:pPr>
      <w:r w:rsidRPr="00D85E09">
        <w:rPr>
          <w:lang w:eastAsia="ja-JP"/>
        </w:rPr>
        <w:t xml:space="preserve">The Section D model employs a Markov model structure and health states are defined according to the modified Rankin scale (mRS) scores 0 to 5 (plus mRS 6 for death). The source of additional QALYs for MT vs usual care lies in that a greater proportion of </w:t>
      </w:r>
      <w:r w:rsidRPr="00D85E09">
        <w:rPr>
          <w:lang w:eastAsia="ja-JP"/>
        </w:rPr>
        <w:lastRenderedPageBreak/>
        <w:t>patients are in lower mRS health states in the MT arm over time when compared with the usual care arm (see Section D for further model description).</w:t>
      </w:r>
      <w:r w:rsidRPr="00D85E09">
        <w:t xml:space="preserve"> No stratification by post-stroke disability levels was however reported in the aforementioned two RCTs.</w:t>
      </w:r>
    </w:p>
    <w:p w14:paraId="5AF31A5E" w14:textId="1CD93042" w:rsidR="00A41E60" w:rsidRPr="00D85E09" w:rsidRDefault="00A41E60" w:rsidP="0043316B">
      <w:pPr>
        <w:pStyle w:val="Caption"/>
        <w:keepNext w:val="0"/>
        <w:widowControl w:val="0"/>
        <w:rPr>
          <w:lang w:val="en-AU"/>
        </w:rPr>
      </w:pPr>
      <w:bookmarkStart w:id="400" w:name="_Toc45306538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48</w:t>
      </w:r>
      <w:r w:rsidRPr="00D85E09">
        <w:rPr>
          <w:lang w:val="en-AU"/>
        </w:rPr>
        <w:fldChar w:fldCharType="end"/>
      </w:r>
      <w:r w:rsidRPr="00D85E09">
        <w:rPr>
          <w:lang w:val="en-AU"/>
        </w:rPr>
        <w:tab/>
        <w:t>Modified Rankin Scale (mRS): Disability measurement used to define health states in the Section D cost-effectiveness model</w:t>
      </w:r>
      <w:bookmarkEnd w:id="400"/>
    </w:p>
    <w:tbl>
      <w:tblPr>
        <w:tblStyle w:val="TableGrid"/>
        <w:tblW w:w="5000" w:type="pct"/>
        <w:tblLook w:val="04A0" w:firstRow="1" w:lastRow="0" w:firstColumn="1" w:lastColumn="0" w:noHBand="0" w:noVBand="1"/>
        <w:tblDescription w:val="Table 48. Modified Rankin Scale (mRS): Disability measurement used to define health states in the Section D cost-effectiveness model"/>
      </w:tblPr>
      <w:tblGrid>
        <w:gridCol w:w="9004"/>
      </w:tblGrid>
      <w:tr w:rsidR="00A41E60" w:rsidRPr="00D85E09" w14:paraId="40FF051C" w14:textId="77777777" w:rsidTr="00BE6331">
        <w:trPr>
          <w:trHeight w:val="269"/>
          <w:tblHeader/>
        </w:trPr>
        <w:tc>
          <w:tcPr>
            <w:tcW w:w="5000" w:type="pct"/>
            <w:tcBorders>
              <w:top w:val="single" w:sz="4" w:space="0" w:color="000000"/>
              <w:left w:val="single" w:sz="4" w:space="0" w:color="000000"/>
              <w:bottom w:val="single" w:sz="4" w:space="0" w:color="000000"/>
              <w:right w:val="single" w:sz="4" w:space="0" w:color="000000"/>
            </w:tcBorders>
            <w:hideMark/>
          </w:tcPr>
          <w:p w14:paraId="3B477FCF" w14:textId="77777777" w:rsidR="00A41E60" w:rsidRPr="00D85E09" w:rsidRDefault="00A41E60" w:rsidP="0043316B">
            <w:pPr>
              <w:pStyle w:val="Tabletext"/>
              <w:keepNext w:val="0"/>
              <w:widowControl w:val="0"/>
              <w:rPr>
                <w:b/>
              </w:rPr>
            </w:pPr>
            <w:r w:rsidRPr="00D85E09">
              <w:rPr>
                <w:b/>
              </w:rPr>
              <w:t>Modified Rankin Scale</w:t>
            </w:r>
          </w:p>
        </w:tc>
      </w:tr>
      <w:tr w:rsidR="00A41E60" w:rsidRPr="00D85E09" w14:paraId="034B7E3F"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1273E601" w14:textId="77777777" w:rsidR="00A41E60" w:rsidRPr="00D85E09" w:rsidRDefault="00A41E60" w:rsidP="0043316B">
            <w:pPr>
              <w:pStyle w:val="Tabletext"/>
              <w:keepNext w:val="0"/>
              <w:widowControl w:val="0"/>
            </w:pPr>
            <w:r w:rsidRPr="00D85E09">
              <w:t>0: No symptoms at all</w:t>
            </w:r>
          </w:p>
        </w:tc>
      </w:tr>
      <w:tr w:rsidR="00A41E60" w:rsidRPr="00D85E09" w14:paraId="10597CFF"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0236EE1D" w14:textId="77777777" w:rsidR="00A41E60" w:rsidRPr="00D85E09" w:rsidRDefault="00A41E60" w:rsidP="0043316B">
            <w:pPr>
              <w:pStyle w:val="Tabletext"/>
              <w:keepNext w:val="0"/>
              <w:widowControl w:val="0"/>
            </w:pPr>
            <w:r w:rsidRPr="00D85E09">
              <w:t>1: No significant disability despite symptoms; able to carry out all usual duties and activities</w:t>
            </w:r>
          </w:p>
        </w:tc>
      </w:tr>
      <w:tr w:rsidR="00A41E60" w:rsidRPr="00D85E09" w14:paraId="77596BDD"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541CFE6D" w14:textId="77777777" w:rsidR="00A41E60" w:rsidRPr="00D85E09" w:rsidRDefault="00A41E60" w:rsidP="0043316B">
            <w:pPr>
              <w:pStyle w:val="Tabletext"/>
              <w:keepNext w:val="0"/>
              <w:widowControl w:val="0"/>
            </w:pPr>
            <w:r w:rsidRPr="00D85E09">
              <w:t>2: Slight disability; unable to carry out all previous activities, but able to look after own affairs without assistance</w:t>
            </w:r>
          </w:p>
        </w:tc>
      </w:tr>
      <w:tr w:rsidR="00A41E60" w:rsidRPr="00D85E09" w14:paraId="5DB16263"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3C8BE3DD" w14:textId="77777777" w:rsidR="00A41E60" w:rsidRPr="00D85E09" w:rsidRDefault="00A41E60" w:rsidP="0043316B">
            <w:pPr>
              <w:pStyle w:val="Tabletext"/>
              <w:keepNext w:val="0"/>
              <w:widowControl w:val="0"/>
            </w:pPr>
            <w:r w:rsidRPr="00D85E09">
              <w:t>3: Moderate disability; requiring some help, but able to walk without assistance</w:t>
            </w:r>
          </w:p>
        </w:tc>
      </w:tr>
      <w:tr w:rsidR="00A41E60" w:rsidRPr="00D85E09" w14:paraId="334D1B96"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79184647" w14:textId="77777777" w:rsidR="00A41E60" w:rsidRPr="00D85E09" w:rsidRDefault="00A41E60" w:rsidP="0043316B">
            <w:pPr>
              <w:pStyle w:val="Tabletext"/>
              <w:keepNext w:val="0"/>
              <w:widowControl w:val="0"/>
            </w:pPr>
            <w:r w:rsidRPr="00D85E09">
              <w:t>4: Moderately severe disability; unable to walk without assistance and unable to attend to own bodily needs without assistance</w:t>
            </w:r>
          </w:p>
        </w:tc>
      </w:tr>
      <w:tr w:rsidR="00A41E60" w:rsidRPr="00D85E09" w14:paraId="0F19C2F8"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302824D5" w14:textId="77777777" w:rsidR="00A41E60" w:rsidRPr="00D85E09" w:rsidRDefault="00A41E60" w:rsidP="0043316B">
            <w:pPr>
              <w:pStyle w:val="Tabletext"/>
              <w:keepNext w:val="0"/>
              <w:widowControl w:val="0"/>
            </w:pPr>
            <w:r w:rsidRPr="00D85E09">
              <w:t>5: Severe disability; bedridden, incontinent and requiring constant nursing care and attention</w:t>
            </w:r>
          </w:p>
        </w:tc>
      </w:tr>
      <w:tr w:rsidR="00A41E60" w:rsidRPr="00D85E09" w14:paraId="7F959850" w14:textId="77777777" w:rsidTr="00BE6331">
        <w:tc>
          <w:tcPr>
            <w:tcW w:w="5000" w:type="pct"/>
            <w:tcBorders>
              <w:top w:val="single" w:sz="4" w:space="0" w:color="000000"/>
              <w:left w:val="single" w:sz="4" w:space="0" w:color="000000"/>
              <w:bottom w:val="single" w:sz="4" w:space="0" w:color="000000"/>
              <w:right w:val="single" w:sz="4" w:space="0" w:color="000000"/>
            </w:tcBorders>
            <w:hideMark/>
          </w:tcPr>
          <w:p w14:paraId="6A59516C" w14:textId="77777777" w:rsidR="00A41E60" w:rsidRPr="00D85E09" w:rsidRDefault="00A41E60" w:rsidP="0043316B">
            <w:pPr>
              <w:pStyle w:val="Tabletext"/>
              <w:keepNext w:val="0"/>
              <w:widowControl w:val="0"/>
            </w:pPr>
            <w:r w:rsidRPr="00D85E09">
              <w:t>6: Death</w:t>
            </w:r>
          </w:p>
        </w:tc>
      </w:tr>
    </w:tbl>
    <w:p w14:paraId="29012D79" w14:textId="77777777" w:rsidR="00A41E60" w:rsidRPr="00D85E09" w:rsidRDefault="00A41E60" w:rsidP="0043316B">
      <w:pPr>
        <w:widowControl w:val="0"/>
        <w:spacing w:before="360"/>
        <w:rPr>
          <w:lang w:eastAsia="ja-JP"/>
        </w:rPr>
      </w:pPr>
      <w:r w:rsidRPr="00D85E09">
        <w:rPr>
          <w:lang w:eastAsia="ja-JP"/>
        </w:rPr>
        <w:t>The following pre-modelling study clarifies utility inputs employed by the Section D model to inform QALY transformations of clinical outcomes.</w:t>
      </w:r>
    </w:p>
    <w:p w14:paraId="2D3A50E7"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01" w:name="_Toc453065288"/>
      <w:r w:rsidRPr="00D85E09">
        <w:rPr>
          <w:lang w:val="en-AU"/>
        </w:rPr>
        <w:t>Focused analytical plan</w:t>
      </w:r>
      <w:bookmarkEnd w:id="401"/>
    </w:p>
    <w:p w14:paraId="313E6E82" w14:textId="77777777" w:rsidR="00A41E60" w:rsidRPr="00D85E09" w:rsidRDefault="00A41E60" w:rsidP="0043316B">
      <w:pPr>
        <w:pStyle w:val="Heading5"/>
        <w:widowControl w:val="0"/>
        <w:rPr>
          <w:lang w:val="en-AU"/>
        </w:rPr>
      </w:pPr>
      <w:r w:rsidRPr="00D85E09">
        <w:rPr>
          <w:lang w:val="en-AU"/>
        </w:rPr>
        <w:t>Literature review</w:t>
      </w:r>
    </w:p>
    <w:p w14:paraId="43223ABB" w14:textId="2F8FEA19" w:rsidR="00A41E60" w:rsidRPr="00D85E09" w:rsidRDefault="00A41E60" w:rsidP="0043316B">
      <w:pPr>
        <w:widowControl w:val="0"/>
      </w:pPr>
      <w:r w:rsidRPr="00D85E09">
        <w:t>A search of published literature for utility values was conducted. The search was conducted in PubMed on the 4</w:t>
      </w:r>
      <w:r w:rsidRPr="00D85E09">
        <w:rPr>
          <w:vertAlign w:val="superscript"/>
        </w:rPr>
        <w:t>th</w:t>
      </w:r>
      <w:r w:rsidRPr="00D85E09">
        <w:t xml:space="preserve"> of April, 2016. The search strategy and results are provided in </w:t>
      </w:r>
      <w:r w:rsidRPr="00D85E09">
        <w:fldChar w:fldCharType="begin"/>
      </w:r>
      <w:r w:rsidRPr="00D85E09">
        <w:instrText xml:space="preserve"> REF _Ref429644950 \h  \* MERGEFORMAT </w:instrText>
      </w:r>
      <w:r w:rsidRPr="00D85E09">
        <w:fldChar w:fldCharType="separate"/>
      </w:r>
      <w:r w:rsidR="00A456ED" w:rsidRPr="00A456ED">
        <w:t>Table 49</w:t>
      </w:r>
      <w:r w:rsidRPr="00D85E09">
        <w:fldChar w:fldCharType="end"/>
      </w:r>
      <w:r w:rsidRPr="00D85E09">
        <w:t>. As expected considering the amount of research that has been conducted in relation to the QoL evaluation of cardiovascular conditions such as stroke, a large number of citations were identified (n=822). The current pre-modelling study hence focused on systematic reviews reported in the literature.</w:t>
      </w:r>
    </w:p>
    <w:p w14:paraId="1333F90B" w14:textId="42B22962" w:rsidR="00A41E60" w:rsidRPr="00C560ED" w:rsidRDefault="00A41E60" w:rsidP="00C560ED">
      <w:pPr>
        <w:pStyle w:val="Caption"/>
        <w:rPr>
          <w:rStyle w:val="CaptionChar1CharChar"/>
          <w:rFonts w:ascii="Arial" w:hAnsi="Arial"/>
          <w:b/>
          <w:lang w:val="de-DE" w:eastAsia="en-US"/>
        </w:rPr>
      </w:pPr>
      <w:bookmarkStart w:id="402" w:name="_Ref429644950"/>
      <w:bookmarkStart w:id="403" w:name="_Ref429644937"/>
      <w:bookmarkStart w:id="404" w:name="_Toc453065385"/>
      <w:r w:rsidRPr="00C560ED">
        <w:rPr>
          <w:rStyle w:val="CaptionChar1CharChar"/>
          <w:rFonts w:ascii="Arial" w:hAnsi="Arial"/>
          <w:b/>
          <w:lang w:val="de-DE" w:eastAsia="en-US"/>
        </w:rPr>
        <w:t xml:space="preserve">Table </w:t>
      </w:r>
      <w:r w:rsidRPr="00C560ED">
        <w:fldChar w:fldCharType="begin"/>
      </w:r>
      <w:r w:rsidRPr="00C560ED">
        <w:rPr>
          <w:rStyle w:val="CaptionChar1CharChar"/>
          <w:rFonts w:ascii="Arial" w:hAnsi="Arial"/>
          <w:b/>
          <w:lang w:val="de-DE" w:eastAsia="en-US"/>
        </w:rPr>
        <w:instrText xml:space="preserve"> SEQ Table \* ARABIC \s 1 </w:instrText>
      </w:r>
      <w:r w:rsidRPr="00C560ED">
        <w:fldChar w:fldCharType="separate"/>
      </w:r>
      <w:r w:rsidR="00A456ED">
        <w:rPr>
          <w:rStyle w:val="CaptionChar1CharChar"/>
          <w:rFonts w:ascii="Arial" w:hAnsi="Arial"/>
          <w:b/>
          <w:noProof/>
          <w:lang w:val="de-DE" w:eastAsia="en-US"/>
        </w:rPr>
        <w:t>49</w:t>
      </w:r>
      <w:r w:rsidRPr="00C560ED">
        <w:fldChar w:fldCharType="end"/>
      </w:r>
      <w:bookmarkEnd w:id="402"/>
      <w:r w:rsidRPr="00C560ED">
        <w:rPr>
          <w:rStyle w:val="CaptionChar1CharChar"/>
          <w:rFonts w:ascii="Arial" w:hAnsi="Arial"/>
          <w:b/>
          <w:lang w:val="de-DE" w:eastAsia="en-US"/>
        </w:rPr>
        <w:tab/>
        <w:t>Search algorithm for utility values</w:t>
      </w:r>
      <w:bookmarkEnd w:id="403"/>
      <w:bookmarkEnd w:id="404"/>
    </w:p>
    <w:tbl>
      <w:tblPr>
        <w:tblStyle w:val="TableGrid"/>
        <w:tblW w:w="5000" w:type="pct"/>
        <w:tblLook w:val="04A0" w:firstRow="1" w:lastRow="0" w:firstColumn="1" w:lastColumn="0" w:noHBand="0" w:noVBand="1"/>
        <w:tblDescription w:val="Table 49. Search algorithm for utility values"/>
      </w:tblPr>
      <w:tblGrid>
        <w:gridCol w:w="825"/>
        <w:gridCol w:w="5568"/>
        <w:gridCol w:w="2611"/>
      </w:tblGrid>
      <w:tr w:rsidR="00A41E60" w:rsidRPr="00D85E09" w14:paraId="62B4F623" w14:textId="77777777" w:rsidTr="00BE6331">
        <w:trPr>
          <w:tblHeader/>
        </w:trPr>
        <w:tc>
          <w:tcPr>
            <w:tcW w:w="458" w:type="pct"/>
            <w:tcBorders>
              <w:top w:val="single" w:sz="4" w:space="0" w:color="auto"/>
              <w:left w:val="single" w:sz="4" w:space="0" w:color="auto"/>
              <w:bottom w:val="single" w:sz="4" w:space="0" w:color="auto"/>
              <w:right w:val="single" w:sz="4" w:space="0" w:color="auto"/>
            </w:tcBorders>
            <w:hideMark/>
          </w:tcPr>
          <w:p w14:paraId="4BE5DE0E" w14:textId="77777777" w:rsidR="00A41E60" w:rsidRPr="00D85E09" w:rsidRDefault="00A41E60" w:rsidP="0043316B">
            <w:pPr>
              <w:pStyle w:val="Tabletext"/>
              <w:keepNext w:val="0"/>
              <w:widowControl w:val="0"/>
              <w:rPr>
                <w:b/>
              </w:rPr>
            </w:pPr>
            <w:r w:rsidRPr="00D85E09">
              <w:rPr>
                <w:b/>
              </w:rPr>
              <w:t>Search</w:t>
            </w:r>
          </w:p>
        </w:tc>
        <w:tc>
          <w:tcPr>
            <w:tcW w:w="3092" w:type="pct"/>
            <w:tcBorders>
              <w:top w:val="single" w:sz="4" w:space="0" w:color="auto"/>
              <w:left w:val="single" w:sz="4" w:space="0" w:color="auto"/>
              <w:bottom w:val="single" w:sz="4" w:space="0" w:color="auto"/>
              <w:right w:val="single" w:sz="4" w:space="0" w:color="auto"/>
            </w:tcBorders>
            <w:hideMark/>
          </w:tcPr>
          <w:p w14:paraId="4C84AEBB" w14:textId="77777777" w:rsidR="00A41E60" w:rsidRPr="00D85E09" w:rsidRDefault="00A41E60" w:rsidP="0043316B">
            <w:pPr>
              <w:pStyle w:val="Tabletext"/>
              <w:keepNext w:val="0"/>
              <w:widowControl w:val="0"/>
              <w:rPr>
                <w:b/>
              </w:rPr>
            </w:pPr>
            <w:r w:rsidRPr="00D85E09">
              <w:rPr>
                <w:b/>
              </w:rPr>
              <w:t>Query</w:t>
            </w:r>
          </w:p>
        </w:tc>
        <w:tc>
          <w:tcPr>
            <w:tcW w:w="1450" w:type="pct"/>
            <w:tcBorders>
              <w:top w:val="single" w:sz="4" w:space="0" w:color="auto"/>
              <w:left w:val="single" w:sz="4" w:space="0" w:color="auto"/>
              <w:bottom w:val="single" w:sz="4" w:space="0" w:color="auto"/>
              <w:right w:val="single" w:sz="4" w:space="0" w:color="auto"/>
            </w:tcBorders>
            <w:hideMark/>
          </w:tcPr>
          <w:p w14:paraId="19300823" w14:textId="77777777" w:rsidR="00A41E60" w:rsidRPr="00D85E09" w:rsidRDefault="00A41E60" w:rsidP="0043316B">
            <w:pPr>
              <w:pStyle w:val="Tabletext"/>
              <w:keepNext w:val="0"/>
              <w:widowControl w:val="0"/>
              <w:jc w:val="center"/>
              <w:rPr>
                <w:b/>
              </w:rPr>
            </w:pPr>
            <w:r w:rsidRPr="00D85E09">
              <w:rPr>
                <w:b/>
              </w:rPr>
              <w:t>Items found</w:t>
            </w:r>
          </w:p>
        </w:tc>
      </w:tr>
      <w:tr w:rsidR="00A41E60" w:rsidRPr="00D85E09" w14:paraId="18BDF457" w14:textId="77777777" w:rsidTr="00A41E60">
        <w:tc>
          <w:tcPr>
            <w:tcW w:w="458" w:type="pct"/>
            <w:tcBorders>
              <w:top w:val="single" w:sz="4" w:space="0" w:color="auto"/>
              <w:left w:val="single" w:sz="4" w:space="0" w:color="auto"/>
              <w:bottom w:val="single" w:sz="4" w:space="0" w:color="auto"/>
              <w:right w:val="single" w:sz="4" w:space="0" w:color="auto"/>
            </w:tcBorders>
            <w:hideMark/>
          </w:tcPr>
          <w:p w14:paraId="53538B3C" w14:textId="77777777" w:rsidR="00A41E60" w:rsidRPr="00D85E09" w:rsidRDefault="00A41E60" w:rsidP="0043316B">
            <w:pPr>
              <w:pStyle w:val="Tabletext"/>
              <w:keepNext w:val="0"/>
              <w:widowControl w:val="0"/>
            </w:pPr>
            <w:r w:rsidRPr="00D85E09">
              <w:t>#9</w:t>
            </w:r>
          </w:p>
        </w:tc>
        <w:tc>
          <w:tcPr>
            <w:tcW w:w="3092" w:type="pct"/>
            <w:tcBorders>
              <w:top w:val="single" w:sz="4" w:space="0" w:color="auto"/>
              <w:left w:val="single" w:sz="4" w:space="0" w:color="auto"/>
              <w:bottom w:val="single" w:sz="4" w:space="0" w:color="auto"/>
              <w:right w:val="single" w:sz="4" w:space="0" w:color="auto"/>
            </w:tcBorders>
            <w:hideMark/>
          </w:tcPr>
          <w:p w14:paraId="47115390" w14:textId="77777777" w:rsidR="00A41E60" w:rsidRPr="00D85E09" w:rsidRDefault="00A41E60" w:rsidP="0043316B">
            <w:pPr>
              <w:pStyle w:val="Tabletext"/>
              <w:keepNext w:val="0"/>
              <w:widowControl w:val="0"/>
            </w:pPr>
            <w:r w:rsidRPr="00D85E09">
              <w:t>#8 AND #7</w:t>
            </w:r>
          </w:p>
        </w:tc>
        <w:tc>
          <w:tcPr>
            <w:tcW w:w="1450" w:type="pct"/>
            <w:tcBorders>
              <w:top w:val="single" w:sz="4" w:space="0" w:color="auto"/>
              <w:left w:val="single" w:sz="4" w:space="0" w:color="auto"/>
              <w:bottom w:val="single" w:sz="4" w:space="0" w:color="auto"/>
              <w:right w:val="single" w:sz="4" w:space="0" w:color="auto"/>
            </w:tcBorders>
            <w:hideMark/>
          </w:tcPr>
          <w:p w14:paraId="7EBFA22F" w14:textId="4FAABA86" w:rsidR="00A41E60" w:rsidRPr="00D85E09" w:rsidRDefault="00A41E60" w:rsidP="0043316B">
            <w:pPr>
              <w:pStyle w:val="Tabletext"/>
              <w:keepNext w:val="0"/>
              <w:widowControl w:val="0"/>
            </w:pPr>
            <w:r w:rsidRPr="00D85E09">
              <w:t>822 (of th</w:t>
            </w:r>
            <w:r w:rsidR="00902135" w:rsidRPr="00D85E09">
              <w:t>ese, 69 identified with “Review“</w:t>
            </w:r>
            <w:r w:rsidRPr="00D85E09">
              <w:t xml:space="preserve"> filter)</w:t>
            </w:r>
          </w:p>
        </w:tc>
      </w:tr>
      <w:tr w:rsidR="00A41E60" w:rsidRPr="00D85E09" w14:paraId="634527E7" w14:textId="77777777" w:rsidTr="00A41E60">
        <w:tc>
          <w:tcPr>
            <w:tcW w:w="458" w:type="pct"/>
            <w:tcBorders>
              <w:top w:val="single" w:sz="4" w:space="0" w:color="auto"/>
              <w:left w:val="single" w:sz="4" w:space="0" w:color="auto"/>
              <w:bottom w:val="single" w:sz="4" w:space="0" w:color="auto"/>
              <w:right w:val="single" w:sz="4" w:space="0" w:color="auto"/>
            </w:tcBorders>
            <w:hideMark/>
          </w:tcPr>
          <w:p w14:paraId="4A536C78" w14:textId="77777777" w:rsidR="00A41E60" w:rsidRPr="00D85E09" w:rsidRDefault="00A41E60" w:rsidP="0043316B">
            <w:pPr>
              <w:pStyle w:val="Tabletext"/>
              <w:keepNext w:val="0"/>
              <w:widowControl w:val="0"/>
            </w:pPr>
            <w:r w:rsidRPr="00D85E09">
              <w:t>#8</w:t>
            </w:r>
          </w:p>
        </w:tc>
        <w:tc>
          <w:tcPr>
            <w:tcW w:w="3092" w:type="pct"/>
            <w:tcBorders>
              <w:top w:val="single" w:sz="4" w:space="0" w:color="auto"/>
              <w:left w:val="single" w:sz="4" w:space="0" w:color="auto"/>
              <w:bottom w:val="single" w:sz="4" w:space="0" w:color="auto"/>
              <w:right w:val="single" w:sz="4" w:space="0" w:color="auto"/>
            </w:tcBorders>
            <w:hideMark/>
          </w:tcPr>
          <w:p w14:paraId="7D7520A4" w14:textId="77777777" w:rsidR="00A41E60" w:rsidRPr="00D85E09" w:rsidRDefault="00A41E60" w:rsidP="0043316B">
            <w:pPr>
              <w:pStyle w:val="Tabletext"/>
              <w:keepNext w:val="0"/>
              <w:widowControl w:val="0"/>
            </w:pPr>
            <w:r w:rsidRPr="00D85E09">
              <w:t>Search stroke</w:t>
            </w:r>
          </w:p>
        </w:tc>
        <w:tc>
          <w:tcPr>
            <w:tcW w:w="1450" w:type="pct"/>
            <w:tcBorders>
              <w:top w:val="single" w:sz="4" w:space="0" w:color="auto"/>
              <w:left w:val="single" w:sz="4" w:space="0" w:color="auto"/>
              <w:bottom w:val="single" w:sz="4" w:space="0" w:color="auto"/>
              <w:right w:val="single" w:sz="4" w:space="0" w:color="auto"/>
            </w:tcBorders>
            <w:hideMark/>
          </w:tcPr>
          <w:p w14:paraId="117226BF" w14:textId="77777777" w:rsidR="00A41E60" w:rsidRPr="00D85E09" w:rsidRDefault="00A41E60" w:rsidP="0043316B">
            <w:pPr>
              <w:pStyle w:val="Tabletext"/>
              <w:keepNext w:val="0"/>
              <w:widowControl w:val="0"/>
            </w:pPr>
            <w:r w:rsidRPr="00D85E09">
              <w:t>246,487</w:t>
            </w:r>
          </w:p>
        </w:tc>
      </w:tr>
      <w:tr w:rsidR="00A41E60" w:rsidRPr="00D85E09" w14:paraId="2D2F02AE" w14:textId="77777777" w:rsidTr="00A41E60">
        <w:tc>
          <w:tcPr>
            <w:tcW w:w="458" w:type="pct"/>
            <w:tcBorders>
              <w:top w:val="single" w:sz="4" w:space="0" w:color="auto"/>
              <w:left w:val="single" w:sz="4" w:space="0" w:color="auto"/>
              <w:bottom w:val="single" w:sz="4" w:space="0" w:color="auto"/>
              <w:right w:val="single" w:sz="4" w:space="0" w:color="auto"/>
            </w:tcBorders>
            <w:hideMark/>
          </w:tcPr>
          <w:p w14:paraId="6F18C3CC" w14:textId="77777777" w:rsidR="00A41E60" w:rsidRPr="00D85E09" w:rsidRDefault="00A41E60" w:rsidP="0043316B">
            <w:pPr>
              <w:pStyle w:val="Tabletext"/>
              <w:keepNext w:val="0"/>
              <w:widowControl w:val="0"/>
            </w:pPr>
            <w:r w:rsidRPr="00D85E09">
              <w:t>#7</w:t>
            </w:r>
          </w:p>
        </w:tc>
        <w:tc>
          <w:tcPr>
            <w:tcW w:w="3092" w:type="pct"/>
            <w:tcBorders>
              <w:top w:val="single" w:sz="4" w:space="0" w:color="auto"/>
              <w:left w:val="single" w:sz="4" w:space="0" w:color="auto"/>
              <w:bottom w:val="single" w:sz="4" w:space="0" w:color="auto"/>
              <w:right w:val="single" w:sz="4" w:space="0" w:color="auto"/>
            </w:tcBorders>
            <w:hideMark/>
          </w:tcPr>
          <w:p w14:paraId="241C651E" w14:textId="77777777" w:rsidR="00A41E60" w:rsidRPr="00D85E09" w:rsidRDefault="00A41E60" w:rsidP="0043316B">
            <w:pPr>
              <w:pStyle w:val="Tabletext"/>
              <w:keepNext w:val="0"/>
              <w:widowControl w:val="0"/>
            </w:pPr>
            <w:r w:rsidRPr="00D85E09">
              <w:t>Search #6 OR #5 OR #4 OR #3 OR #2 OR #1</w:t>
            </w:r>
          </w:p>
        </w:tc>
        <w:tc>
          <w:tcPr>
            <w:tcW w:w="1450" w:type="pct"/>
            <w:tcBorders>
              <w:top w:val="single" w:sz="4" w:space="0" w:color="auto"/>
              <w:left w:val="single" w:sz="4" w:space="0" w:color="auto"/>
              <w:bottom w:val="single" w:sz="4" w:space="0" w:color="auto"/>
              <w:right w:val="single" w:sz="4" w:space="0" w:color="auto"/>
            </w:tcBorders>
            <w:hideMark/>
          </w:tcPr>
          <w:p w14:paraId="705FFB0D" w14:textId="77777777" w:rsidR="00A41E60" w:rsidRPr="00D85E09" w:rsidRDefault="00A41E60" w:rsidP="0043316B">
            <w:pPr>
              <w:pStyle w:val="Tabletext"/>
              <w:keepNext w:val="0"/>
              <w:widowControl w:val="0"/>
            </w:pPr>
            <w:r w:rsidRPr="00D85E09">
              <w:t>31,524</w:t>
            </w:r>
          </w:p>
        </w:tc>
      </w:tr>
      <w:tr w:rsidR="00A41E60" w:rsidRPr="00D85E09" w14:paraId="2134EB8A" w14:textId="77777777" w:rsidTr="00A41E60">
        <w:tc>
          <w:tcPr>
            <w:tcW w:w="458" w:type="pct"/>
            <w:tcBorders>
              <w:top w:val="single" w:sz="4" w:space="0" w:color="auto"/>
              <w:left w:val="single" w:sz="4" w:space="0" w:color="auto"/>
              <w:bottom w:val="single" w:sz="4" w:space="0" w:color="auto"/>
              <w:right w:val="single" w:sz="4" w:space="0" w:color="auto"/>
            </w:tcBorders>
            <w:vAlign w:val="bottom"/>
            <w:hideMark/>
          </w:tcPr>
          <w:p w14:paraId="7F86A8D8" w14:textId="77777777" w:rsidR="00A41E60" w:rsidRPr="00D85E09" w:rsidRDefault="00A41E60" w:rsidP="0043316B">
            <w:pPr>
              <w:pStyle w:val="Tabletext"/>
              <w:keepNext w:val="0"/>
              <w:widowControl w:val="0"/>
            </w:pPr>
            <w:r w:rsidRPr="00D85E09">
              <w:t>#6</w:t>
            </w:r>
          </w:p>
        </w:tc>
        <w:tc>
          <w:tcPr>
            <w:tcW w:w="3092" w:type="pct"/>
            <w:tcBorders>
              <w:top w:val="single" w:sz="4" w:space="0" w:color="auto"/>
              <w:left w:val="single" w:sz="4" w:space="0" w:color="auto"/>
              <w:bottom w:val="single" w:sz="4" w:space="0" w:color="auto"/>
              <w:right w:val="single" w:sz="4" w:space="0" w:color="auto"/>
            </w:tcBorders>
            <w:vAlign w:val="bottom"/>
            <w:hideMark/>
          </w:tcPr>
          <w:p w14:paraId="6C086C4A" w14:textId="5F1B8C89" w:rsidR="00A41E60" w:rsidRPr="00D85E09" w:rsidRDefault="00A41E60" w:rsidP="0043316B">
            <w:pPr>
              <w:pStyle w:val="Tabletext"/>
              <w:keepNext w:val="0"/>
              <w:widowControl w:val="0"/>
            </w:pPr>
            <w:r w:rsidRPr="00D85E09">
              <w:t>Search ("Australian quality of life" or AQ</w:t>
            </w:r>
            <w:r w:rsidR="00E56287" w:rsidRPr="00D85E09">
              <w:t>o</w:t>
            </w:r>
            <w:r w:rsidRPr="00D85E09">
              <w:t>L)</w:t>
            </w:r>
          </w:p>
        </w:tc>
        <w:tc>
          <w:tcPr>
            <w:tcW w:w="1450" w:type="pct"/>
            <w:tcBorders>
              <w:top w:val="single" w:sz="4" w:space="0" w:color="auto"/>
              <w:left w:val="single" w:sz="4" w:space="0" w:color="auto"/>
              <w:bottom w:val="single" w:sz="4" w:space="0" w:color="auto"/>
              <w:right w:val="single" w:sz="4" w:space="0" w:color="auto"/>
            </w:tcBorders>
            <w:vAlign w:val="bottom"/>
            <w:hideMark/>
          </w:tcPr>
          <w:p w14:paraId="1A2F3C9C" w14:textId="77777777" w:rsidR="00A41E60" w:rsidRPr="00D85E09" w:rsidRDefault="00A41E60" w:rsidP="0043316B">
            <w:pPr>
              <w:pStyle w:val="Tabletext"/>
              <w:keepNext w:val="0"/>
              <w:widowControl w:val="0"/>
            </w:pPr>
            <w:r w:rsidRPr="00D85E09">
              <w:t>2338</w:t>
            </w:r>
          </w:p>
        </w:tc>
      </w:tr>
      <w:tr w:rsidR="00A41E60" w:rsidRPr="00D85E09" w14:paraId="19EE77D0" w14:textId="77777777" w:rsidTr="00A41E60">
        <w:tc>
          <w:tcPr>
            <w:tcW w:w="458" w:type="pct"/>
            <w:tcBorders>
              <w:top w:val="single" w:sz="4" w:space="0" w:color="auto"/>
              <w:left w:val="single" w:sz="4" w:space="0" w:color="auto"/>
              <w:bottom w:val="single" w:sz="4" w:space="0" w:color="auto"/>
              <w:right w:val="single" w:sz="4" w:space="0" w:color="auto"/>
            </w:tcBorders>
            <w:vAlign w:val="bottom"/>
            <w:hideMark/>
          </w:tcPr>
          <w:p w14:paraId="063CCFD3" w14:textId="77777777" w:rsidR="00A41E60" w:rsidRPr="00D85E09" w:rsidRDefault="00A41E60" w:rsidP="0043316B">
            <w:pPr>
              <w:pStyle w:val="Tabletext"/>
              <w:keepNext w:val="0"/>
              <w:widowControl w:val="0"/>
            </w:pPr>
            <w:r w:rsidRPr="00D85E09">
              <w:t>#5</w:t>
            </w:r>
          </w:p>
        </w:tc>
        <w:tc>
          <w:tcPr>
            <w:tcW w:w="3092" w:type="pct"/>
            <w:tcBorders>
              <w:top w:val="single" w:sz="4" w:space="0" w:color="auto"/>
              <w:left w:val="single" w:sz="4" w:space="0" w:color="auto"/>
              <w:bottom w:val="single" w:sz="4" w:space="0" w:color="auto"/>
              <w:right w:val="single" w:sz="4" w:space="0" w:color="auto"/>
            </w:tcBorders>
            <w:vAlign w:val="bottom"/>
            <w:hideMark/>
          </w:tcPr>
          <w:p w14:paraId="65FD7817" w14:textId="77777777" w:rsidR="00A41E60" w:rsidRPr="00D85E09" w:rsidRDefault="00A41E60" w:rsidP="0043316B">
            <w:pPr>
              <w:pStyle w:val="Tabletext"/>
              <w:keepNext w:val="0"/>
              <w:widowControl w:val="0"/>
            </w:pPr>
            <w:r w:rsidRPr="00D85E09">
              <w:t>Search (HUI or "health utilities index")</w:t>
            </w:r>
          </w:p>
        </w:tc>
        <w:tc>
          <w:tcPr>
            <w:tcW w:w="1450" w:type="pct"/>
            <w:tcBorders>
              <w:top w:val="single" w:sz="4" w:space="0" w:color="auto"/>
              <w:left w:val="single" w:sz="4" w:space="0" w:color="auto"/>
              <w:bottom w:val="single" w:sz="4" w:space="0" w:color="auto"/>
              <w:right w:val="single" w:sz="4" w:space="0" w:color="auto"/>
            </w:tcBorders>
            <w:vAlign w:val="bottom"/>
            <w:hideMark/>
          </w:tcPr>
          <w:p w14:paraId="47F4EB2A" w14:textId="77777777" w:rsidR="00A41E60" w:rsidRPr="00D85E09" w:rsidRDefault="00A41E60" w:rsidP="0043316B">
            <w:pPr>
              <w:pStyle w:val="Tabletext"/>
              <w:keepNext w:val="0"/>
              <w:widowControl w:val="0"/>
            </w:pPr>
            <w:r w:rsidRPr="00D85E09">
              <w:t>14,769</w:t>
            </w:r>
          </w:p>
        </w:tc>
      </w:tr>
      <w:tr w:rsidR="00A41E60" w:rsidRPr="00D85E09" w14:paraId="6BCD1D76" w14:textId="77777777" w:rsidTr="00A41E60">
        <w:tc>
          <w:tcPr>
            <w:tcW w:w="458" w:type="pct"/>
            <w:tcBorders>
              <w:top w:val="single" w:sz="4" w:space="0" w:color="auto"/>
              <w:left w:val="single" w:sz="4" w:space="0" w:color="auto"/>
              <w:bottom w:val="single" w:sz="4" w:space="0" w:color="auto"/>
              <w:right w:val="single" w:sz="4" w:space="0" w:color="auto"/>
            </w:tcBorders>
            <w:vAlign w:val="bottom"/>
            <w:hideMark/>
          </w:tcPr>
          <w:p w14:paraId="6C7719F6" w14:textId="77777777" w:rsidR="00A41E60" w:rsidRPr="00D85E09" w:rsidRDefault="00A41E60" w:rsidP="0043316B">
            <w:pPr>
              <w:pStyle w:val="Tabletext"/>
              <w:keepNext w:val="0"/>
              <w:widowControl w:val="0"/>
            </w:pPr>
            <w:r w:rsidRPr="00D85E09">
              <w:t>#4</w:t>
            </w:r>
          </w:p>
        </w:tc>
        <w:tc>
          <w:tcPr>
            <w:tcW w:w="3092" w:type="pct"/>
            <w:tcBorders>
              <w:top w:val="single" w:sz="4" w:space="0" w:color="auto"/>
              <w:left w:val="single" w:sz="4" w:space="0" w:color="auto"/>
              <w:bottom w:val="single" w:sz="4" w:space="0" w:color="auto"/>
              <w:right w:val="single" w:sz="4" w:space="0" w:color="auto"/>
            </w:tcBorders>
            <w:vAlign w:val="bottom"/>
            <w:hideMark/>
          </w:tcPr>
          <w:p w14:paraId="302BE36F" w14:textId="77777777" w:rsidR="00A41E60" w:rsidRPr="00D85E09" w:rsidRDefault="00A41E60" w:rsidP="0043316B">
            <w:pPr>
              <w:pStyle w:val="Tabletext"/>
              <w:keepNext w:val="0"/>
              <w:widowControl w:val="0"/>
            </w:pPr>
            <w:r w:rsidRPr="00D85E09">
              <w:t>Search ("time tradeoff" OR "time trade off" OR tto)</w:t>
            </w:r>
          </w:p>
        </w:tc>
        <w:tc>
          <w:tcPr>
            <w:tcW w:w="1450" w:type="pct"/>
            <w:tcBorders>
              <w:top w:val="single" w:sz="4" w:space="0" w:color="auto"/>
              <w:left w:val="single" w:sz="4" w:space="0" w:color="auto"/>
              <w:bottom w:val="single" w:sz="4" w:space="0" w:color="auto"/>
              <w:right w:val="single" w:sz="4" w:space="0" w:color="auto"/>
            </w:tcBorders>
            <w:vAlign w:val="bottom"/>
            <w:hideMark/>
          </w:tcPr>
          <w:p w14:paraId="1EC0F6E9" w14:textId="77777777" w:rsidR="00A41E60" w:rsidRPr="00D85E09" w:rsidRDefault="00A41E60" w:rsidP="0043316B">
            <w:pPr>
              <w:pStyle w:val="Tabletext"/>
              <w:keepNext w:val="0"/>
              <w:widowControl w:val="0"/>
            </w:pPr>
            <w:r w:rsidRPr="00D85E09">
              <w:t>1,402</w:t>
            </w:r>
          </w:p>
        </w:tc>
      </w:tr>
      <w:tr w:rsidR="00A41E60" w:rsidRPr="00D85E09" w14:paraId="0B5B661B" w14:textId="77777777" w:rsidTr="00A41E60">
        <w:tc>
          <w:tcPr>
            <w:tcW w:w="458" w:type="pct"/>
            <w:tcBorders>
              <w:top w:val="single" w:sz="4" w:space="0" w:color="auto"/>
              <w:left w:val="single" w:sz="4" w:space="0" w:color="auto"/>
              <w:bottom w:val="single" w:sz="4" w:space="0" w:color="auto"/>
              <w:right w:val="single" w:sz="4" w:space="0" w:color="auto"/>
            </w:tcBorders>
            <w:vAlign w:val="bottom"/>
            <w:hideMark/>
          </w:tcPr>
          <w:p w14:paraId="36F02962" w14:textId="77777777" w:rsidR="00A41E60" w:rsidRPr="00D85E09" w:rsidRDefault="00A41E60" w:rsidP="0043316B">
            <w:pPr>
              <w:pStyle w:val="Tabletext"/>
              <w:keepNext w:val="0"/>
              <w:widowControl w:val="0"/>
            </w:pPr>
            <w:r w:rsidRPr="00D85E09">
              <w:t>#3</w:t>
            </w:r>
          </w:p>
        </w:tc>
        <w:tc>
          <w:tcPr>
            <w:tcW w:w="3092" w:type="pct"/>
            <w:tcBorders>
              <w:top w:val="single" w:sz="4" w:space="0" w:color="auto"/>
              <w:left w:val="single" w:sz="4" w:space="0" w:color="auto"/>
              <w:bottom w:val="single" w:sz="4" w:space="0" w:color="auto"/>
              <w:right w:val="single" w:sz="4" w:space="0" w:color="auto"/>
            </w:tcBorders>
            <w:vAlign w:val="bottom"/>
            <w:hideMark/>
          </w:tcPr>
          <w:p w14:paraId="367075A2" w14:textId="77777777" w:rsidR="00A41E60" w:rsidRPr="00D85E09" w:rsidRDefault="00A41E60" w:rsidP="0043316B">
            <w:pPr>
              <w:pStyle w:val="Tabletext"/>
              <w:keepNext w:val="0"/>
              <w:widowControl w:val="0"/>
            </w:pPr>
            <w:r w:rsidRPr="00D85E09">
              <w:t>Search ("standard gamble")</w:t>
            </w:r>
          </w:p>
        </w:tc>
        <w:tc>
          <w:tcPr>
            <w:tcW w:w="1450" w:type="pct"/>
            <w:tcBorders>
              <w:top w:val="single" w:sz="4" w:space="0" w:color="auto"/>
              <w:left w:val="single" w:sz="4" w:space="0" w:color="auto"/>
              <w:bottom w:val="single" w:sz="4" w:space="0" w:color="auto"/>
              <w:right w:val="single" w:sz="4" w:space="0" w:color="auto"/>
            </w:tcBorders>
            <w:vAlign w:val="bottom"/>
            <w:hideMark/>
          </w:tcPr>
          <w:p w14:paraId="135DAA4F" w14:textId="77777777" w:rsidR="00A41E60" w:rsidRPr="00D85E09" w:rsidRDefault="00A41E60" w:rsidP="0043316B">
            <w:pPr>
              <w:pStyle w:val="Tabletext"/>
              <w:keepNext w:val="0"/>
              <w:widowControl w:val="0"/>
            </w:pPr>
            <w:r w:rsidRPr="00D85E09">
              <w:t>720</w:t>
            </w:r>
          </w:p>
        </w:tc>
      </w:tr>
      <w:tr w:rsidR="00A41E60" w:rsidRPr="00D85E09" w14:paraId="6B06B01B" w14:textId="77777777" w:rsidTr="00A41E60">
        <w:tc>
          <w:tcPr>
            <w:tcW w:w="458" w:type="pct"/>
            <w:tcBorders>
              <w:top w:val="single" w:sz="4" w:space="0" w:color="auto"/>
              <w:left w:val="single" w:sz="4" w:space="0" w:color="auto"/>
              <w:bottom w:val="single" w:sz="4" w:space="0" w:color="auto"/>
              <w:right w:val="single" w:sz="4" w:space="0" w:color="auto"/>
            </w:tcBorders>
            <w:vAlign w:val="bottom"/>
            <w:hideMark/>
          </w:tcPr>
          <w:p w14:paraId="4C68BF46" w14:textId="77777777" w:rsidR="00A41E60" w:rsidRPr="00D85E09" w:rsidRDefault="00A41E60" w:rsidP="0043316B">
            <w:pPr>
              <w:pStyle w:val="Tabletext"/>
              <w:keepNext w:val="0"/>
              <w:widowControl w:val="0"/>
            </w:pPr>
            <w:r w:rsidRPr="00D85E09">
              <w:t>#2</w:t>
            </w:r>
          </w:p>
        </w:tc>
        <w:tc>
          <w:tcPr>
            <w:tcW w:w="3092" w:type="pct"/>
            <w:tcBorders>
              <w:top w:val="single" w:sz="4" w:space="0" w:color="auto"/>
              <w:left w:val="single" w:sz="4" w:space="0" w:color="auto"/>
              <w:bottom w:val="single" w:sz="4" w:space="0" w:color="auto"/>
              <w:right w:val="single" w:sz="4" w:space="0" w:color="auto"/>
            </w:tcBorders>
            <w:vAlign w:val="bottom"/>
            <w:hideMark/>
          </w:tcPr>
          <w:p w14:paraId="697EB360" w14:textId="77777777" w:rsidR="00A41E60" w:rsidRPr="00D85E09" w:rsidRDefault="00A41E60" w:rsidP="0043316B">
            <w:pPr>
              <w:pStyle w:val="Tabletext"/>
              <w:keepNext w:val="0"/>
              <w:widowControl w:val="0"/>
            </w:pPr>
            <w:r w:rsidRPr="00D85E09">
              <w:t>Search ("Short Form 6D" OR "sf 6d" OR sf6d)</w:t>
            </w:r>
          </w:p>
        </w:tc>
        <w:tc>
          <w:tcPr>
            <w:tcW w:w="1450" w:type="pct"/>
            <w:tcBorders>
              <w:top w:val="single" w:sz="4" w:space="0" w:color="auto"/>
              <w:left w:val="single" w:sz="4" w:space="0" w:color="auto"/>
              <w:bottom w:val="single" w:sz="4" w:space="0" w:color="auto"/>
              <w:right w:val="single" w:sz="4" w:space="0" w:color="auto"/>
            </w:tcBorders>
            <w:vAlign w:val="bottom"/>
            <w:hideMark/>
          </w:tcPr>
          <w:p w14:paraId="3CB446A3" w14:textId="77777777" w:rsidR="00A41E60" w:rsidRPr="00D85E09" w:rsidRDefault="00A41E60" w:rsidP="0043316B">
            <w:pPr>
              <w:pStyle w:val="Tabletext"/>
              <w:keepNext w:val="0"/>
              <w:widowControl w:val="0"/>
            </w:pPr>
            <w:r w:rsidRPr="00D85E09">
              <w:t>561</w:t>
            </w:r>
          </w:p>
        </w:tc>
      </w:tr>
      <w:tr w:rsidR="00A41E60" w:rsidRPr="00D85E09" w14:paraId="76F21AA4" w14:textId="77777777" w:rsidTr="00A41E60">
        <w:tc>
          <w:tcPr>
            <w:tcW w:w="458" w:type="pct"/>
            <w:tcBorders>
              <w:top w:val="single" w:sz="4" w:space="0" w:color="auto"/>
              <w:left w:val="single" w:sz="4" w:space="0" w:color="auto"/>
              <w:bottom w:val="single" w:sz="4" w:space="0" w:color="auto"/>
              <w:right w:val="single" w:sz="4" w:space="0" w:color="auto"/>
            </w:tcBorders>
            <w:vAlign w:val="bottom"/>
            <w:hideMark/>
          </w:tcPr>
          <w:p w14:paraId="7A9EF44A" w14:textId="77777777" w:rsidR="00A41E60" w:rsidRPr="00D85E09" w:rsidRDefault="00A41E60" w:rsidP="0043316B">
            <w:pPr>
              <w:pStyle w:val="Tabletext"/>
              <w:keepNext w:val="0"/>
              <w:widowControl w:val="0"/>
            </w:pPr>
            <w:r w:rsidRPr="00D85E09">
              <w:t>#1</w:t>
            </w:r>
          </w:p>
        </w:tc>
        <w:tc>
          <w:tcPr>
            <w:tcW w:w="3092" w:type="pct"/>
            <w:tcBorders>
              <w:top w:val="single" w:sz="4" w:space="0" w:color="auto"/>
              <w:left w:val="single" w:sz="4" w:space="0" w:color="auto"/>
              <w:bottom w:val="single" w:sz="4" w:space="0" w:color="auto"/>
              <w:right w:val="single" w:sz="4" w:space="0" w:color="auto"/>
            </w:tcBorders>
            <w:vAlign w:val="bottom"/>
            <w:hideMark/>
          </w:tcPr>
          <w:p w14:paraId="3F0EBE15" w14:textId="324DBD74" w:rsidR="00A41E60" w:rsidRPr="00D85E09" w:rsidRDefault="00A41E60" w:rsidP="0043316B">
            <w:pPr>
              <w:pStyle w:val="Tabletext"/>
              <w:keepNext w:val="0"/>
              <w:widowControl w:val="0"/>
            </w:pPr>
            <w:r w:rsidRPr="00D85E09">
              <w:t xml:space="preserve">Search ("eq 5d" OR eq5d OR </w:t>
            </w:r>
            <w:r w:rsidR="00F67AF7" w:rsidRPr="00D85E09">
              <w:t>E</w:t>
            </w:r>
            <w:r w:rsidRPr="00D85E09">
              <w:t>uro</w:t>
            </w:r>
            <w:r w:rsidR="00F67AF7" w:rsidRPr="00D85E09">
              <w:t>Q</w:t>
            </w:r>
            <w:r w:rsidRPr="00D85E09">
              <w:t>ol OR "european quality of life")</w:t>
            </w:r>
          </w:p>
        </w:tc>
        <w:tc>
          <w:tcPr>
            <w:tcW w:w="1450" w:type="pct"/>
            <w:tcBorders>
              <w:top w:val="single" w:sz="4" w:space="0" w:color="auto"/>
              <w:left w:val="single" w:sz="4" w:space="0" w:color="auto"/>
              <w:bottom w:val="single" w:sz="4" w:space="0" w:color="auto"/>
              <w:right w:val="single" w:sz="4" w:space="0" w:color="auto"/>
            </w:tcBorders>
            <w:vAlign w:val="bottom"/>
            <w:hideMark/>
          </w:tcPr>
          <w:p w14:paraId="339F0791" w14:textId="77777777" w:rsidR="00A41E60" w:rsidRPr="00D85E09" w:rsidRDefault="00A41E60" w:rsidP="0043316B">
            <w:pPr>
              <w:pStyle w:val="Tabletext"/>
              <w:keepNext w:val="0"/>
              <w:widowControl w:val="0"/>
            </w:pPr>
            <w:r w:rsidRPr="00D85E09">
              <w:t>13,127</w:t>
            </w:r>
          </w:p>
        </w:tc>
      </w:tr>
    </w:tbl>
    <w:p w14:paraId="12CEDCB3" w14:textId="30598E9C" w:rsidR="00A41E60" w:rsidRPr="00D85E09" w:rsidRDefault="00A41E60" w:rsidP="0043316B">
      <w:pPr>
        <w:widowControl w:val="0"/>
      </w:pPr>
      <w:r w:rsidRPr="00D85E09">
        <w:lastRenderedPageBreak/>
        <w:t>Of the 69 citations identified by the literature search above, there were two systematic reviews (Smith et al 2013 and Post et al 2001). This pre-modelling study will focus on the Smith systematic because it provided far greater details than Post et al (2001). Post et al (2001) was also considered as being outdated.</w:t>
      </w:r>
    </w:p>
    <w:p w14:paraId="24F57BDF" w14:textId="66B32B69" w:rsidR="00A41E60" w:rsidRPr="00D85E09" w:rsidRDefault="00A41E60" w:rsidP="0043316B">
      <w:pPr>
        <w:widowControl w:val="0"/>
      </w:pPr>
      <w:r w:rsidRPr="00D85E09">
        <w:t>For the purpose of this pre-modelling study, any utility data that were not preference-based utility values (i.e., health</w:t>
      </w:r>
      <w:r w:rsidR="00D32933" w:rsidRPr="00D85E09">
        <w:t>-</w:t>
      </w:r>
      <w:r w:rsidRPr="00D85E09">
        <w:t>related QoL scores, VAS scores, utility values that relied on transformations from a HRQoL instrument, or expert opinion) are excluded. In other words, only those utility estimates based on a direct preference elicitation method (</w:t>
      </w:r>
      <w:r w:rsidR="0070191F" w:rsidRPr="00D85E09">
        <w:t>time trade off</w:t>
      </w:r>
      <w:r w:rsidRPr="00D85E09">
        <w:t xml:space="preserve">, </w:t>
      </w:r>
      <w:r w:rsidR="0070191F" w:rsidRPr="00D85E09">
        <w:t>standard gamble</w:t>
      </w:r>
      <w:r w:rsidRPr="00D85E09">
        <w:t>, DCE) or a MAUI (EQ-5D, SF-6D, AQoL and HUI) are included. Importantly, this pre-modelling study will focus on utility values reported by functional levels to match the Section D model structure.</w:t>
      </w:r>
    </w:p>
    <w:p w14:paraId="789DE05E" w14:textId="28F93C3E" w:rsidR="00A41E60" w:rsidRDefault="00A41E60" w:rsidP="0043316B">
      <w:pPr>
        <w:widowControl w:val="0"/>
      </w:pPr>
      <w:r w:rsidRPr="00D85E09">
        <w:t xml:space="preserve">Smith et al (2013) included a total of 52 studies in their review for stroke utility values. According to Table 1 of the publication, the following studies reported utility values by stroke severity, as summarised in </w:t>
      </w:r>
      <w:r w:rsidRPr="00D85E09">
        <w:fldChar w:fldCharType="begin"/>
      </w:r>
      <w:r w:rsidRPr="00D85E09">
        <w:instrText xml:space="preserve"> REF _Ref447709688 \h </w:instrText>
      </w:r>
      <w:r w:rsidRPr="00D85E09">
        <w:fldChar w:fldCharType="separate"/>
      </w:r>
      <w:r w:rsidR="00A456ED" w:rsidRPr="00D85E09">
        <w:t xml:space="preserve">Table </w:t>
      </w:r>
      <w:r w:rsidR="00A456ED">
        <w:rPr>
          <w:noProof/>
        </w:rPr>
        <w:t>50</w:t>
      </w:r>
      <w:r w:rsidRPr="00D85E09">
        <w:fldChar w:fldCharType="end"/>
      </w:r>
      <w:r w:rsidRPr="00D85E09">
        <w:t xml:space="preserve"> below.</w:t>
      </w:r>
    </w:p>
    <w:p w14:paraId="4AACECCF" w14:textId="77777777" w:rsidR="00181227" w:rsidRPr="00D85E09" w:rsidRDefault="00181227" w:rsidP="0043316B">
      <w:pPr>
        <w:widowControl w:val="0"/>
      </w:pPr>
    </w:p>
    <w:p w14:paraId="5BB5657E" w14:textId="099AE49C" w:rsidR="00A41E60" w:rsidRPr="00D85E09" w:rsidRDefault="00A41E60" w:rsidP="0043316B">
      <w:pPr>
        <w:pStyle w:val="Caption"/>
        <w:keepNext w:val="0"/>
        <w:widowControl w:val="0"/>
        <w:rPr>
          <w:lang w:val="en-AU"/>
        </w:rPr>
      </w:pPr>
      <w:bookmarkStart w:id="405" w:name="_Ref447709688"/>
      <w:bookmarkStart w:id="406" w:name="_Toc45306538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50</w:t>
      </w:r>
      <w:r w:rsidRPr="00D85E09">
        <w:rPr>
          <w:lang w:val="en-AU"/>
        </w:rPr>
        <w:fldChar w:fldCharType="end"/>
      </w:r>
      <w:bookmarkEnd w:id="405"/>
      <w:r w:rsidRPr="00D85E09">
        <w:rPr>
          <w:lang w:val="en-AU"/>
        </w:rPr>
        <w:tab/>
        <w:t>Published evaluation studies that reported utility values by severity</w:t>
      </w:r>
      <w:bookmarkEnd w:id="406"/>
    </w:p>
    <w:tbl>
      <w:tblPr>
        <w:tblStyle w:val="TableGrid"/>
        <w:tblW w:w="0" w:type="auto"/>
        <w:tblLook w:val="04A0" w:firstRow="1" w:lastRow="0" w:firstColumn="1" w:lastColumn="0" w:noHBand="0" w:noVBand="1"/>
        <w:tblDescription w:val="Table 50. Published evaluation studies that reported utility values by severity "/>
      </w:tblPr>
      <w:tblGrid>
        <w:gridCol w:w="8778"/>
      </w:tblGrid>
      <w:tr w:rsidR="00A41E60" w:rsidRPr="00D85E09" w14:paraId="72F799E1"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hideMark/>
          </w:tcPr>
          <w:p w14:paraId="5903699D" w14:textId="77777777" w:rsidR="00A41E60" w:rsidRPr="00D85E09" w:rsidRDefault="00A41E60" w:rsidP="0043316B">
            <w:pPr>
              <w:pStyle w:val="Tabletext"/>
              <w:keepNext w:val="0"/>
              <w:widowControl w:val="0"/>
              <w:rPr>
                <w:b/>
                <w:i/>
              </w:rPr>
            </w:pPr>
            <w:r w:rsidRPr="00D85E09">
              <w:rPr>
                <w:b/>
                <w:i/>
              </w:rPr>
              <w:t>Papers identified through Smith et al 2013; those reporting utility values by disability levels</w:t>
            </w:r>
          </w:p>
        </w:tc>
      </w:tr>
      <w:tr w:rsidR="00A41E60" w:rsidRPr="00D85E09" w14:paraId="1D937AA2"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1FD73185" w14:textId="77777777" w:rsidR="00A41E60" w:rsidRPr="00D85E09" w:rsidRDefault="00A41E60" w:rsidP="0043316B">
            <w:pPr>
              <w:pStyle w:val="Tabletext"/>
              <w:keepNext w:val="0"/>
              <w:widowControl w:val="0"/>
            </w:pPr>
            <w:r w:rsidRPr="00D85E09">
              <w:t>Adams J, Lee J, Gonzalo F. Deriving utility values from the general population for dronedarone in the treatment of atrial fibrillation. Value Health 14(7), A384 (2011).</w:t>
            </w:r>
          </w:p>
        </w:tc>
      </w:tr>
      <w:tr w:rsidR="00A41E60" w:rsidRPr="00D85E09" w14:paraId="174CC3FD"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3DD45EFC" w14:textId="77777777" w:rsidR="00A41E60" w:rsidRPr="00D85E09" w:rsidRDefault="00A41E60" w:rsidP="0043316B">
            <w:pPr>
              <w:pStyle w:val="Tabletext"/>
              <w:keepNext w:val="0"/>
              <w:widowControl w:val="0"/>
            </w:pPr>
            <w:r w:rsidRPr="00D85E09">
              <w:t>Baker R, Robinson A. Responses to standard gambles: are preferences ’well constructed’? Health Econ. 13(1), 37–48 (2004).</w:t>
            </w:r>
          </w:p>
        </w:tc>
      </w:tr>
      <w:tr w:rsidR="00A41E60" w:rsidRPr="00D85E09" w14:paraId="756A5BBA"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77077D99" w14:textId="16A19182" w:rsidR="00A41E60" w:rsidRPr="00D85E09" w:rsidRDefault="00A41E60" w:rsidP="0043316B">
            <w:pPr>
              <w:pStyle w:val="Tabletext"/>
              <w:keepNext w:val="0"/>
              <w:widowControl w:val="0"/>
            </w:pPr>
            <w:r w:rsidRPr="00D85E09">
              <w:t>Dorman P, Dennis M, Sandercock P. Are the modified “simple questions” a valid and reliable measure of health</w:t>
            </w:r>
            <w:r w:rsidR="00D32933" w:rsidRPr="00D85E09">
              <w:t>-</w:t>
            </w:r>
            <w:r w:rsidRPr="00D85E09">
              <w:t>related quality of life after stroke? United Kingdom Collaborators in the International Stroke Trial. J. Neurol. Neurosurg. Psychiatry 69(4), 487–493 (2000).</w:t>
            </w:r>
          </w:p>
        </w:tc>
      </w:tr>
      <w:tr w:rsidR="00A41E60" w:rsidRPr="00D85E09" w14:paraId="2386426C"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0C4DE63C" w14:textId="77777777" w:rsidR="00A41E60" w:rsidRPr="00D85E09" w:rsidRDefault="00A41E60" w:rsidP="0043316B">
            <w:pPr>
              <w:pStyle w:val="Tabletext"/>
              <w:keepNext w:val="0"/>
              <w:widowControl w:val="0"/>
            </w:pPr>
            <w:r w:rsidRPr="00D85E09">
              <w:t>Gage BF, Cardinalli AB, Owens DK. The effect of stroke and stroke prophylaxis with aspirin or warfarin on quality of life. Arch. Intern. Med. 156(16), 1829–1836 (1996).</w:t>
            </w:r>
          </w:p>
        </w:tc>
      </w:tr>
      <w:tr w:rsidR="00A41E60" w:rsidRPr="00D85E09" w14:paraId="01BA483F"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70AEECAB" w14:textId="77777777" w:rsidR="00A41E60" w:rsidRPr="00D85E09" w:rsidRDefault="00A41E60" w:rsidP="0043316B">
            <w:pPr>
              <w:pStyle w:val="Tabletext"/>
              <w:keepNext w:val="0"/>
              <w:widowControl w:val="0"/>
            </w:pPr>
            <w:r w:rsidRPr="00D85E09">
              <w:t>Hallan S, Asberg A, Indredavik B, Wideroe TE. Quality of life after cerebrovascular stroke: a systematic study of patients’ preferences for different functional outcomes. J. Intern. Med. 246(3), 309–316 (1999).</w:t>
            </w:r>
          </w:p>
        </w:tc>
      </w:tr>
      <w:tr w:rsidR="00A41E60" w:rsidRPr="00D85E09" w14:paraId="56895637"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272508F" w14:textId="77777777" w:rsidR="00A41E60" w:rsidRPr="00D85E09" w:rsidRDefault="00A41E60" w:rsidP="0043316B">
            <w:pPr>
              <w:pStyle w:val="Tabletext"/>
              <w:keepNext w:val="0"/>
              <w:widowControl w:val="0"/>
              <w:rPr>
                <w:vertAlign w:val="superscript"/>
              </w:rPr>
            </w:pPr>
            <w:r w:rsidRPr="00D85E09">
              <w:t>Lai SM, Duncan PW. Stroke recovery profile and the Modified Rankin assessment. Neuroepidemiology 20(1), 26–30 (2001).</w:t>
            </w:r>
            <w:r w:rsidRPr="00D85E09">
              <w:rPr>
                <w:vertAlign w:val="superscript"/>
              </w:rPr>
              <w:t>1</w:t>
            </w:r>
          </w:p>
        </w:tc>
      </w:tr>
      <w:tr w:rsidR="00A41E60" w:rsidRPr="00D85E09" w14:paraId="16DC6512"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DBD6BC5" w14:textId="77777777" w:rsidR="00A41E60" w:rsidRPr="00D85E09" w:rsidRDefault="00A41E60" w:rsidP="0043316B">
            <w:pPr>
              <w:pStyle w:val="Tabletext"/>
              <w:keepNext w:val="0"/>
              <w:widowControl w:val="0"/>
            </w:pPr>
            <w:r w:rsidRPr="00D85E09">
              <w:t>Murphy R, Sackley CM, Miller P, Harwood RH. Effect of experience of severe stroke on subjective valuations of quality of life after stroke. J. Neurol. Neurosurg. Psychiatry 70(5), 679–681 (2001).</w:t>
            </w:r>
          </w:p>
        </w:tc>
      </w:tr>
      <w:tr w:rsidR="00A41E60" w:rsidRPr="00D85E09" w14:paraId="405CA3FC"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201E2ACC" w14:textId="77777777" w:rsidR="00A41E60" w:rsidRPr="00D85E09" w:rsidRDefault="00A41E60" w:rsidP="0043316B">
            <w:pPr>
              <w:pStyle w:val="Tabletext"/>
              <w:keepNext w:val="0"/>
              <w:widowControl w:val="0"/>
            </w:pPr>
            <w:r w:rsidRPr="00D85E09">
              <w:t>Noto S, Uemura T, Izumi R, Moriwaki K. Construct validity of health utilities index (HUI) Japanese version: Cross-sectional study for stroke in Japan. Value Health 14(3), A45 (2011).</w:t>
            </w:r>
          </w:p>
        </w:tc>
      </w:tr>
      <w:tr w:rsidR="00A41E60" w:rsidRPr="00D85E09" w14:paraId="07BD8436"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3D0BC626" w14:textId="77777777" w:rsidR="00A41E60" w:rsidRPr="00D85E09" w:rsidRDefault="00A41E60" w:rsidP="0043316B">
            <w:pPr>
              <w:pStyle w:val="Tabletext"/>
              <w:keepNext w:val="0"/>
              <w:widowControl w:val="0"/>
            </w:pPr>
            <w:r w:rsidRPr="00D85E09">
              <w:t>Robinson A, Thomson R, Parkin D, Sudlow M, Eccles M. How patients with atrial fibrillation value different health outcomes: a standard gamble study. J. Health Serv. Res. Policy 6(2), 92–98 (2001).</w:t>
            </w:r>
          </w:p>
        </w:tc>
      </w:tr>
      <w:tr w:rsidR="00A41E60" w:rsidRPr="00D85E09" w14:paraId="044B3303"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0C85CE62" w14:textId="77777777" w:rsidR="00A41E60" w:rsidRPr="00D85E09" w:rsidRDefault="00A41E60" w:rsidP="0043316B">
            <w:pPr>
              <w:pStyle w:val="Tabletext"/>
              <w:keepNext w:val="0"/>
              <w:widowControl w:val="0"/>
            </w:pPr>
            <w:r w:rsidRPr="00D85E09">
              <w:t>Shin AY, Porter PJ, Wallace MC, Naglie G. Quality of life of stroke in younger individuals: Utility assessment in patients with arteriovenous malformations. Stroke 28(12), 2395–2399 (1997).</w:t>
            </w:r>
          </w:p>
        </w:tc>
      </w:tr>
      <w:tr w:rsidR="00A41E60" w:rsidRPr="00D85E09" w14:paraId="53ACA06F"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53F0B069" w14:textId="77777777" w:rsidR="00A41E60" w:rsidRPr="00D85E09" w:rsidRDefault="00A41E60" w:rsidP="0043316B">
            <w:pPr>
              <w:pStyle w:val="Tabletext"/>
              <w:keepNext w:val="0"/>
              <w:widowControl w:val="0"/>
            </w:pPr>
            <w:r w:rsidRPr="00D85E09">
              <w:t>Slot KB, Berge E. Thrombolytic treatment for stroke: patient preferences for treatment, information, and involvement. J. Stroke Cerebrovasc. Dis. 18(1), 17–22 (2009).</w:t>
            </w:r>
          </w:p>
        </w:tc>
      </w:tr>
      <w:tr w:rsidR="00A41E60" w:rsidRPr="00D85E09" w14:paraId="5950CF23"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20939892" w14:textId="2D5EA805" w:rsidR="00A41E60" w:rsidRPr="00D85E09" w:rsidRDefault="00A41E60" w:rsidP="0043316B">
            <w:pPr>
              <w:pStyle w:val="Tabletext"/>
              <w:keepNext w:val="0"/>
              <w:widowControl w:val="0"/>
            </w:pPr>
            <w:r w:rsidRPr="00D85E09">
              <w:lastRenderedPageBreak/>
              <w:t>Tengs TO, Lin TH. A meta-analysis of quality</w:t>
            </w:r>
            <w:r w:rsidR="00300BB6" w:rsidRPr="00D85E09">
              <w:t xml:space="preserve"> </w:t>
            </w:r>
            <w:r w:rsidRPr="00D85E09">
              <w:t>of</w:t>
            </w:r>
            <w:r w:rsidR="00300BB6" w:rsidRPr="00D85E09">
              <w:t xml:space="preserve"> </w:t>
            </w:r>
            <w:r w:rsidRPr="00D85E09">
              <w:t>life estimates for stroke. Pharmacoeconomics 21(3), 191–200 (2003).</w:t>
            </w:r>
          </w:p>
        </w:tc>
      </w:tr>
      <w:tr w:rsidR="00A41E60" w:rsidRPr="00D85E09" w14:paraId="5B5F0EB0"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0C27511A" w14:textId="77777777" w:rsidR="00A41E60" w:rsidRPr="00D85E09" w:rsidRDefault="00A41E60" w:rsidP="0043316B">
            <w:pPr>
              <w:pStyle w:val="Tabletext"/>
              <w:keepNext w:val="0"/>
              <w:widowControl w:val="0"/>
            </w:pPr>
            <w:r w:rsidRPr="00D85E09">
              <w:t>Tengs TO, Yu M, Luistro E. Health-related quality of life after stroke a comprehensive review. Stroke 32(4), 964–972 (2001).</w:t>
            </w:r>
          </w:p>
        </w:tc>
      </w:tr>
      <w:tr w:rsidR="00A41E60" w:rsidRPr="00D85E09" w14:paraId="2811D461"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8C35146" w14:textId="77777777" w:rsidR="00A41E60" w:rsidRPr="00D85E09" w:rsidRDefault="00A41E60" w:rsidP="0043316B">
            <w:pPr>
              <w:pStyle w:val="Tabletext"/>
              <w:keepNext w:val="0"/>
              <w:widowControl w:val="0"/>
            </w:pPr>
            <w:r w:rsidRPr="00D85E09">
              <w:t>van Exel NJ, Scholte op Reimer WJ, Koopmanschap MA. Assessment of post-stroke quality of life in cost-effectiveness studies: the usefulness of the Barthel Index and the EuroQoL-5D. Qual. Life Res. 13(2), 427–433 (2004).</w:t>
            </w:r>
          </w:p>
        </w:tc>
      </w:tr>
      <w:tr w:rsidR="00A41E60" w:rsidRPr="00D85E09" w14:paraId="4F4C868B"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4F0D60EF" w14:textId="77777777" w:rsidR="00A41E60" w:rsidRPr="00D85E09" w:rsidRDefault="00A41E60" w:rsidP="0043316B">
            <w:pPr>
              <w:pStyle w:val="Tabletext"/>
              <w:keepNext w:val="0"/>
              <w:widowControl w:val="0"/>
            </w:pPr>
            <w:r w:rsidRPr="00D85E09">
              <w:t>Warren JA, Jordan WD, Jr., Heudebert GR, Whitley D, Wirthlin DJ. Determining patient preference for treatment of extracranial carotid artery stenosis: carotid angioplasty and stenting versus carotid endarterectomy. Ann. Vasc. Surg. 17(1), 15–21 (2003).</w:t>
            </w:r>
          </w:p>
        </w:tc>
      </w:tr>
      <w:tr w:rsidR="00A41E60" w:rsidRPr="00D85E09" w14:paraId="31022E5D"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45D2548B" w14:textId="77777777" w:rsidR="00A41E60" w:rsidRPr="00D85E09" w:rsidRDefault="00A41E60" w:rsidP="0043316B">
            <w:pPr>
              <w:pStyle w:val="Tabletext"/>
              <w:keepNext w:val="0"/>
              <w:widowControl w:val="0"/>
              <w:rPr>
                <w:b/>
                <w:i/>
              </w:rPr>
            </w:pPr>
            <w:r w:rsidRPr="00D85E09">
              <w:rPr>
                <w:b/>
                <w:i/>
              </w:rPr>
              <w:t>Identified via supplementary ad-hoc search</w:t>
            </w:r>
          </w:p>
        </w:tc>
      </w:tr>
      <w:tr w:rsidR="00A41E60" w:rsidRPr="00D85E09" w14:paraId="574DA431"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3BB985C5" w14:textId="3F8F9863" w:rsidR="00A41E60" w:rsidRPr="00D85E09" w:rsidRDefault="00A41E60" w:rsidP="0043316B">
            <w:pPr>
              <w:pStyle w:val="Tabletext"/>
              <w:keepNext w:val="0"/>
              <w:widowControl w:val="0"/>
            </w:pPr>
            <w:r w:rsidRPr="00D85E09">
              <w:t xml:space="preserve">Sturm JW, Osborne RH, Dewey HM, Donnan GA, Macdonell RA, Thrift AG. Brief comprehensive quality of life assessment after stroke: the assessment of quality of life instrument in the </w:t>
            </w:r>
            <w:r w:rsidR="00F67AF7" w:rsidRPr="00D85E09">
              <w:t>N</w:t>
            </w:r>
            <w:r w:rsidRPr="00D85E09">
              <w:t xml:space="preserve">orth East </w:t>
            </w:r>
            <w:r w:rsidR="00F67AF7" w:rsidRPr="00D85E09">
              <w:t>M</w:t>
            </w:r>
            <w:r w:rsidRPr="00D85E09">
              <w:t xml:space="preserve">elbourne </w:t>
            </w:r>
            <w:r w:rsidR="00F67AF7" w:rsidRPr="00D85E09">
              <w:t>S</w:t>
            </w:r>
            <w:r w:rsidRPr="00D85E09">
              <w:t xml:space="preserve">troke </w:t>
            </w:r>
            <w:r w:rsidR="00F67AF7" w:rsidRPr="00D85E09">
              <w:t>I</w:t>
            </w:r>
            <w:r w:rsidRPr="00D85E09">
              <w:t xml:space="preserve">ncidence </w:t>
            </w:r>
            <w:r w:rsidR="00F67AF7" w:rsidRPr="00D85E09">
              <w:t>S</w:t>
            </w:r>
            <w:r w:rsidRPr="00D85E09">
              <w:t>tudy (NEMESIS). Stroke. 2002 Dec;33(12):2888-94.</w:t>
            </w:r>
          </w:p>
        </w:tc>
      </w:tr>
      <w:tr w:rsidR="00A41E60" w:rsidRPr="00D85E09" w14:paraId="2BD36A5B"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58A0CC88" w14:textId="77777777" w:rsidR="00A41E60" w:rsidRPr="00D85E09" w:rsidRDefault="00A41E60" w:rsidP="0043316B">
            <w:pPr>
              <w:pStyle w:val="Tabletext"/>
              <w:keepNext w:val="0"/>
              <w:widowControl w:val="0"/>
            </w:pPr>
            <w:r w:rsidRPr="00D85E09">
              <w:t>Rivero-Arias O, Ouellet M, Gray A, Wolstenholme J, Rothwell PM, Luengo-Fernandez R. Mapping the modified Rankin scale (mRS) measurement into the generic EuroQol (EQ-5D) health outcome. Med Decis Making. 2010 May-Jun;30(3):341-54.</w:t>
            </w:r>
          </w:p>
        </w:tc>
      </w:tr>
    </w:tbl>
    <w:p w14:paraId="68A3DC94" w14:textId="4BC88F1B" w:rsidR="00A41E60" w:rsidRPr="00D85E09" w:rsidRDefault="00A41E60" w:rsidP="0043316B">
      <w:pPr>
        <w:pStyle w:val="Tabletext"/>
        <w:keepNext w:val="0"/>
        <w:widowControl w:val="0"/>
      </w:pPr>
      <w:r w:rsidRPr="00D85E09">
        <w:rPr>
          <w:vertAlign w:val="superscript"/>
        </w:rPr>
        <w:t>1</w:t>
      </w:r>
      <w:r w:rsidRPr="00D85E09">
        <w:t xml:space="preserve"> No actual publication could not be obtained. Data / methodology extracted from the abstract / Smith et al 2013.</w:t>
      </w:r>
    </w:p>
    <w:p w14:paraId="71520A75" w14:textId="77777777" w:rsidR="00A41E60" w:rsidRPr="00D85E09" w:rsidRDefault="00A41E60" w:rsidP="0043316B">
      <w:pPr>
        <w:widowControl w:val="0"/>
      </w:pPr>
    </w:p>
    <w:p w14:paraId="73680B89" w14:textId="14015153" w:rsidR="00A41E60" w:rsidRPr="00D85E09" w:rsidRDefault="00A41E60" w:rsidP="0043316B">
      <w:pPr>
        <w:widowControl w:val="0"/>
      </w:pPr>
      <w:r w:rsidRPr="00D85E09">
        <w:t>In addition, ad-hoc searches identified an Australian utility study performed as a part of the North East Melbourne Stroke Incidence Study (NEMESIS) (Sturm et al 2002) and an UK evaluation study conducted as part of the Oxford Vascular study (OXVASC) (Rivero-Arias et al 2010). NEMESIS is a widely-quoted population-based observational study performed in Melbourne. The Smith review presented only one relevant Australian study (i.e., Adams et al 2011; abstract only) and it had included very limited utility data. To this end, Sturm et al (2002) was also included for further consideration. Rivero-Arias et al (2010) was a relatively recent, large observational study in the UK (OXVASC), providing a full range of EQ-5D utility scores by mRS.</w:t>
      </w:r>
    </w:p>
    <w:p w14:paraId="798F694C" w14:textId="3C887BE4" w:rsidR="00A41E60" w:rsidRPr="00D85E09" w:rsidRDefault="00A41E60" w:rsidP="0043316B">
      <w:pPr>
        <w:widowControl w:val="0"/>
      </w:pPr>
      <w:r w:rsidRPr="00D85E09">
        <w:t>Furthermore, utility estimates employed in other published economic evaluation for mechanical thrombectomy are also explored (Aronsson et al 2016; Ganesalingam et al 2015; Kim et al 2011; Nguyen-Huynh and Johnston 2011; Patil et al 2009). Section D performs a review of cost-effectiveness evaluations of mechanical thrombectomy in the literature.</w:t>
      </w:r>
    </w:p>
    <w:p w14:paraId="0DC7836C"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07" w:name="_Toc453065289"/>
      <w:r w:rsidRPr="00D85E09">
        <w:rPr>
          <w:lang w:val="en-AU"/>
        </w:rPr>
        <w:t>Results of the pre-modelling study</w:t>
      </w:r>
      <w:bookmarkEnd w:id="407"/>
    </w:p>
    <w:p w14:paraId="3A096E9F" w14:textId="2D799D01" w:rsidR="00A41E60" w:rsidRPr="00D85E09" w:rsidRDefault="00A41E60" w:rsidP="0043316B">
      <w:pPr>
        <w:widowControl w:val="0"/>
      </w:pPr>
      <w:r w:rsidRPr="00D85E09">
        <w:t xml:space="preserve">Findings from the current literature review are summarised in </w:t>
      </w:r>
      <w:r w:rsidRPr="00D85E09">
        <w:fldChar w:fldCharType="begin"/>
      </w:r>
      <w:r w:rsidRPr="00D85E09">
        <w:instrText xml:space="preserve"> REF _Ref448482207 \h  \* MERGEFORMAT </w:instrText>
      </w:r>
      <w:r w:rsidRPr="00D85E09">
        <w:fldChar w:fldCharType="separate"/>
      </w:r>
      <w:r w:rsidR="00A456ED" w:rsidRPr="00D85E09">
        <w:t xml:space="preserve">Table </w:t>
      </w:r>
      <w:r w:rsidR="00A456ED">
        <w:t>51</w:t>
      </w:r>
      <w:r w:rsidRPr="00D85E09">
        <w:fldChar w:fldCharType="end"/>
      </w:r>
      <w:r w:rsidRPr="00D85E09">
        <w:t xml:space="preserve"> below. As expected, there exists a wide range in the reported values relevant to each disability levels, which is attributable to population differences, elicitation methodology and other factors. There nonetheless exists a clear trend where major post-stroke disability (thus very high dependency on care to perform usual everyday activities) is characterised by a </w:t>
      </w:r>
      <w:r w:rsidRPr="00D85E09">
        <w:lastRenderedPageBreak/>
        <w:t>severely compromised QoL with reported utility values as low as -0.23 when evaluated in stroke survivors (Noto et al 2011; HUI3) and &lt;0.00 when evaluated other populations (Murphy et al 2001; SG in patients with AF or “at risk” population). This was reported to be 0.14 when elicited in the general public (Baker and Robinson 2004; SG).</w:t>
      </w:r>
    </w:p>
    <w:p w14:paraId="1ECC63AD" w14:textId="3809259A" w:rsidR="00A41E60" w:rsidRPr="00D85E09" w:rsidRDefault="00A41E60" w:rsidP="0043316B">
      <w:pPr>
        <w:pStyle w:val="Caption"/>
        <w:keepNext w:val="0"/>
        <w:widowControl w:val="0"/>
        <w:rPr>
          <w:lang w:val="en-AU"/>
        </w:rPr>
      </w:pPr>
      <w:bookmarkStart w:id="408" w:name="_Ref448482207"/>
      <w:bookmarkStart w:id="409" w:name="_Toc45306538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51</w:t>
      </w:r>
      <w:r w:rsidRPr="00D85E09">
        <w:rPr>
          <w:lang w:val="en-AU"/>
        </w:rPr>
        <w:fldChar w:fldCharType="end"/>
      </w:r>
      <w:bookmarkEnd w:id="408"/>
      <w:r w:rsidRPr="00D85E09">
        <w:rPr>
          <w:lang w:val="en-AU"/>
        </w:rPr>
        <w:tab/>
        <w:t>Summary of utility values by disability levels in the literature</w:t>
      </w:r>
      <w:bookmarkEnd w:id="409"/>
    </w:p>
    <w:tbl>
      <w:tblPr>
        <w:tblStyle w:val="TableGrid"/>
        <w:tblW w:w="5000" w:type="pct"/>
        <w:tblLook w:val="04A0" w:firstRow="1" w:lastRow="0" w:firstColumn="1" w:lastColumn="0" w:noHBand="0" w:noVBand="1"/>
        <w:tblDescription w:val="Table 51. Summary of utility values by disability levels in the literature"/>
      </w:tblPr>
      <w:tblGrid>
        <w:gridCol w:w="1887"/>
        <w:gridCol w:w="2615"/>
        <w:gridCol w:w="2251"/>
        <w:gridCol w:w="2251"/>
      </w:tblGrid>
      <w:tr w:rsidR="00A41E60" w:rsidRPr="00D85E09" w14:paraId="6624E276" w14:textId="77777777" w:rsidTr="00BE6331">
        <w:trPr>
          <w:tblHeader/>
        </w:trPr>
        <w:tc>
          <w:tcPr>
            <w:tcW w:w="1048" w:type="pct"/>
            <w:tcBorders>
              <w:top w:val="single" w:sz="4" w:space="0" w:color="000000"/>
              <w:left w:val="single" w:sz="4" w:space="0" w:color="000000"/>
              <w:bottom w:val="single" w:sz="4" w:space="0" w:color="000000"/>
              <w:right w:val="single" w:sz="4" w:space="0" w:color="000000"/>
            </w:tcBorders>
            <w:hideMark/>
          </w:tcPr>
          <w:p w14:paraId="2218B359" w14:textId="77777777" w:rsidR="00A41E60" w:rsidRPr="00D85E09" w:rsidRDefault="00A41E60" w:rsidP="0043316B">
            <w:pPr>
              <w:pStyle w:val="Tabletext"/>
              <w:keepNext w:val="0"/>
              <w:widowControl w:val="0"/>
            </w:pPr>
            <w:r w:rsidRPr="00D85E09">
              <w:t>Study</w:t>
            </w:r>
          </w:p>
        </w:tc>
        <w:tc>
          <w:tcPr>
            <w:tcW w:w="1452" w:type="pct"/>
            <w:tcBorders>
              <w:top w:val="single" w:sz="4" w:space="0" w:color="000000"/>
              <w:left w:val="single" w:sz="4" w:space="0" w:color="000000"/>
              <w:bottom w:val="single" w:sz="4" w:space="0" w:color="000000"/>
              <w:right w:val="single" w:sz="4" w:space="0" w:color="000000"/>
            </w:tcBorders>
            <w:hideMark/>
          </w:tcPr>
          <w:p w14:paraId="28A52C75" w14:textId="77777777" w:rsidR="00A41E60" w:rsidRPr="00D85E09" w:rsidRDefault="00A41E60" w:rsidP="0043316B">
            <w:pPr>
              <w:pStyle w:val="Tabletext"/>
              <w:keepNext w:val="0"/>
              <w:widowControl w:val="0"/>
            </w:pPr>
            <w:r w:rsidRPr="00D85E09">
              <w:t>Population / study design</w:t>
            </w:r>
          </w:p>
        </w:tc>
        <w:tc>
          <w:tcPr>
            <w:tcW w:w="1250" w:type="pct"/>
            <w:tcBorders>
              <w:top w:val="single" w:sz="4" w:space="0" w:color="000000"/>
              <w:left w:val="single" w:sz="4" w:space="0" w:color="000000"/>
              <w:bottom w:val="single" w:sz="4" w:space="0" w:color="000000"/>
              <w:right w:val="single" w:sz="4" w:space="0" w:color="000000"/>
            </w:tcBorders>
          </w:tcPr>
          <w:p w14:paraId="63A75726" w14:textId="77777777" w:rsidR="00A41E60" w:rsidRPr="00D85E09" w:rsidRDefault="00A41E60" w:rsidP="0043316B">
            <w:pPr>
              <w:pStyle w:val="Tabletext"/>
              <w:keepNext w:val="0"/>
              <w:widowControl w:val="0"/>
            </w:pPr>
          </w:p>
        </w:tc>
        <w:tc>
          <w:tcPr>
            <w:tcW w:w="1250" w:type="pct"/>
            <w:tcBorders>
              <w:top w:val="single" w:sz="4" w:space="0" w:color="000000"/>
              <w:left w:val="single" w:sz="4" w:space="0" w:color="000000"/>
              <w:bottom w:val="single" w:sz="4" w:space="0" w:color="000000"/>
              <w:right w:val="single" w:sz="4" w:space="0" w:color="000000"/>
            </w:tcBorders>
          </w:tcPr>
          <w:p w14:paraId="25C7340F" w14:textId="77777777" w:rsidR="00A41E60" w:rsidRPr="00D85E09" w:rsidRDefault="00A41E60" w:rsidP="0043316B">
            <w:pPr>
              <w:pStyle w:val="Tabletext"/>
              <w:keepNext w:val="0"/>
              <w:widowControl w:val="0"/>
            </w:pPr>
          </w:p>
        </w:tc>
      </w:tr>
      <w:tr w:rsidR="00A41E60" w:rsidRPr="00D85E09" w14:paraId="0D9CF91F" w14:textId="77777777" w:rsidTr="00A41E60">
        <w:tc>
          <w:tcPr>
            <w:tcW w:w="5000" w:type="pct"/>
            <w:gridSpan w:val="4"/>
            <w:tcBorders>
              <w:top w:val="single" w:sz="4" w:space="0" w:color="000000"/>
              <w:left w:val="single" w:sz="4" w:space="0" w:color="000000"/>
              <w:bottom w:val="single" w:sz="4" w:space="0" w:color="000000"/>
              <w:right w:val="single" w:sz="4" w:space="0" w:color="000000"/>
            </w:tcBorders>
            <w:hideMark/>
          </w:tcPr>
          <w:p w14:paraId="3010BFDB" w14:textId="77777777" w:rsidR="00A41E60" w:rsidRPr="00D85E09" w:rsidRDefault="00A41E60" w:rsidP="0043316B">
            <w:pPr>
              <w:pStyle w:val="Tabletext"/>
              <w:keepNext w:val="0"/>
              <w:widowControl w:val="0"/>
              <w:rPr>
                <w:b/>
                <w:i/>
              </w:rPr>
            </w:pPr>
            <w:r w:rsidRPr="00D85E09">
              <w:rPr>
                <w:b/>
                <w:i/>
              </w:rPr>
              <w:t>Studies included in Smith et al 2013</w:t>
            </w:r>
          </w:p>
        </w:tc>
      </w:tr>
      <w:tr w:rsidR="00A41E60" w:rsidRPr="00D85E09" w14:paraId="6D661576"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5A0DD574" w14:textId="77777777" w:rsidR="00A41E60" w:rsidRPr="00D85E09" w:rsidRDefault="00A41E60" w:rsidP="0043316B">
            <w:pPr>
              <w:pStyle w:val="Tabletext"/>
              <w:keepNext w:val="0"/>
              <w:widowControl w:val="0"/>
            </w:pPr>
            <w:r w:rsidRPr="00D85E09">
              <w:t>Adams et al 2011</w:t>
            </w:r>
          </w:p>
        </w:tc>
        <w:tc>
          <w:tcPr>
            <w:tcW w:w="1452" w:type="pct"/>
            <w:tcBorders>
              <w:top w:val="single" w:sz="4" w:space="0" w:color="000000"/>
              <w:left w:val="single" w:sz="4" w:space="0" w:color="000000"/>
              <w:bottom w:val="single" w:sz="4" w:space="0" w:color="000000"/>
              <w:right w:val="single" w:sz="4" w:space="0" w:color="000000"/>
            </w:tcBorders>
            <w:hideMark/>
          </w:tcPr>
          <w:p w14:paraId="5FC2B003" w14:textId="188CB965" w:rsidR="00A41E60" w:rsidRPr="00D85E09" w:rsidRDefault="00A41E60" w:rsidP="0043316B">
            <w:pPr>
              <w:pStyle w:val="Tabletext"/>
              <w:keepNext w:val="0"/>
              <w:widowControl w:val="0"/>
            </w:pPr>
            <w:r w:rsidRPr="00D85E09">
              <w:t>General public in Australia (aged 18-69; mean 44).</w:t>
            </w:r>
          </w:p>
          <w:p w14:paraId="4AE73A02" w14:textId="77777777" w:rsidR="00A41E60" w:rsidRPr="00D85E09" w:rsidRDefault="00A41E60" w:rsidP="0043316B">
            <w:pPr>
              <w:pStyle w:val="Tabletext"/>
              <w:keepNext w:val="0"/>
              <w:widowControl w:val="0"/>
            </w:pPr>
            <w:r w:rsidRPr="00D85E09">
              <w:t>SG with 8 health states (various CV conditions).</w:t>
            </w:r>
          </w:p>
          <w:p w14:paraId="23A92D2E" w14:textId="77777777" w:rsidR="00A41E60" w:rsidRPr="00D85E09" w:rsidRDefault="00A41E60" w:rsidP="0043316B">
            <w:pPr>
              <w:pStyle w:val="Tabletext"/>
              <w:keepNext w:val="0"/>
              <w:widowControl w:val="0"/>
            </w:pPr>
            <w:r w:rsidRPr="00D85E09">
              <w:t>n=119</w:t>
            </w:r>
          </w:p>
        </w:tc>
        <w:tc>
          <w:tcPr>
            <w:tcW w:w="1250" w:type="pct"/>
            <w:tcBorders>
              <w:top w:val="single" w:sz="4" w:space="0" w:color="000000"/>
              <w:left w:val="single" w:sz="4" w:space="0" w:color="000000"/>
              <w:bottom w:val="single" w:sz="4" w:space="0" w:color="000000"/>
              <w:right w:val="single" w:sz="4" w:space="0" w:color="000000"/>
            </w:tcBorders>
            <w:hideMark/>
          </w:tcPr>
          <w:p w14:paraId="2C36F802" w14:textId="77777777" w:rsidR="00A41E60" w:rsidRPr="00D85E09" w:rsidRDefault="00A41E60" w:rsidP="0043316B">
            <w:pPr>
              <w:pStyle w:val="Tabletext"/>
              <w:keepNext w:val="0"/>
              <w:widowControl w:val="0"/>
            </w:pPr>
            <w:r w:rsidRPr="00D85E09">
              <w:t>Severe stroke and MI 0.41</w:t>
            </w:r>
          </w:p>
          <w:p w14:paraId="53D52457" w14:textId="77777777" w:rsidR="00A41E60" w:rsidRPr="00D85E09" w:rsidRDefault="00A41E60" w:rsidP="0043316B">
            <w:pPr>
              <w:pStyle w:val="Tabletext"/>
              <w:keepNext w:val="0"/>
              <w:widowControl w:val="0"/>
            </w:pPr>
            <w:r w:rsidRPr="00D85E09">
              <w:t>Mild stroke 0.78</w:t>
            </w:r>
          </w:p>
        </w:tc>
        <w:tc>
          <w:tcPr>
            <w:tcW w:w="1250" w:type="pct"/>
            <w:tcBorders>
              <w:top w:val="single" w:sz="4" w:space="0" w:color="000000"/>
              <w:left w:val="single" w:sz="4" w:space="0" w:color="000000"/>
              <w:bottom w:val="single" w:sz="4" w:space="0" w:color="000000"/>
              <w:right w:val="single" w:sz="4" w:space="0" w:color="000000"/>
            </w:tcBorders>
            <w:hideMark/>
          </w:tcPr>
          <w:p w14:paraId="32DFFF9D" w14:textId="2CE2A4D0" w:rsidR="00A41E60" w:rsidRPr="00D85E09" w:rsidRDefault="00A41E60" w:rsidP="0043316B">
            <w:pPr>
              <w:pStyle w:val="Tabletext"/>
              <w:keepNext w:val="0"/>
              <w:widowControl w:val="0"/>
            </w:pPr>
            <w:r w:rsidRPr="00D85E09">
              <w:t>No values reported for severe stroke only or moderate stroke.</w:t>
            </w:r>
          </w:p>
          <w:p w14:paraId="565DF3FD" w14:textId="77777777" w:rsidR="00A41E60" w:rsidRPr="00D85E09" w:rsidRDefault="00A41E60" w:rsidP="0043316B">
            <w:pPr>
              <w:pStyle w:val="Tabletext"/>
              <w:keepNext w:val="0"/>
              <w:widowControl w:val="0"/>
            </w:pPr>
            <w:r w:rsidRPr="00D85E09">
              <w:t xml:space="preserve">Abstract only. </w:t>
            </w:r>
          </w:p>
        </w:tc>
      </w:tr>
      <w:tr w:rsidR="00A41E60" w:rsidRPr="00D85E09" w14:paraId="151CA75F"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005246EF" w14:textId="77777777" w:rsidR="00A41E60" w:rsidRPr="00D85E09" w:rsidRDefault="00A41E60" w:rsidP="0043316B">
            <w:pPr>
              <w:pStyle w:val="Tabletext"/>
              <w:keepNext w:val="0"/>
              <w:widowControl w:val="0"/>
            </w:pPr>
            <w:r w:rsidRPr="00D85E09">
              <w:t>Baker and Robinson 2004</w:t>
            </w:r>
          </w:p>
        </w:tc>
        <w:tc>
          <w:tcPr>
            <w:tcW w:w="1452" w:type="pct"/>
            <w:tcBorders>
              <w:top w:val="single" w:sz="4" w:space="0" w:color="000000"/>
              <w:left w:val="single" w:sz="4" w:space="0" w:color="000000"/>
              <w:bottom w:val="single" w:sz="4" w:space="0" w:color="000000"/>
              <w:right w:val="single" w:sz="4" w:space="0" w:color="000000"/>
            </w:tcBorders>
            <w:hideMark/>
          </w:tcPr>
          <w:p w14:paraId="6F77E410" w14:textId="749D82BC" w:rsidR="00A41E60" w:rsidRPr="00D85E09" w:rsidRDefault="00A41E60" w:rsidP="0043316B">
            <w:pPr>
              <w:pStyle w:val="Tabletext"/>
              <w:keepNext w:val="0"/>
              <w:widowControl w:val="0"/>
            </w:pPr>
            <w:r w:rsidRPr="00D85E09">
              <w:t>General public in UK (mean age = 64).</w:t>
            </w:r>
          </w:p>
          <w:p w14:paraId="65751E37" w14:textId="77777777" w:rsidR="00A41E60" w:rsidRPr="00D85E09" w:rsidRDefault="00A41E60" w:rsidP="0043316B">
            <w:pPr>
              <w:pStyle w:val="Tabletext"/>
              <w:keepNext w:val="0"/>
              <w:widowControl w:val="0"/>
            </w:pPr>
            <w:r w:rsidRPr="00D85E09">
              <w:t>SG with 7 health states (various CV conditions).</w:t>
            </w:r>
          </w:p>
          <w:p w14:paraId="59151B7D" w14:textId="77777777" w:rsidR="00A41E60" w:rsidRPr="00D85E09" w:rsidRDefault="00A41E60" w:rsidP="0043316B">
            <w:pPr>
              <w:pStyle w:val="Tabletext"/>
              <w:keepNext w:val="0"/>
              <w:widowControl w:val="0"/>
            </w:pPr>
            <w:r w:rsidRPr="00D85E09">
              <w:t>n=28</w:t>
            </w:r>
          </w:p>
        </w:tc>
        <w:tc>
          <w:tcPr>
            <w:tcW w:w="1250" w:type="pct"/>
            <w:tcBorders>
              <w:top w:val="single" w:sz="4" w:space="0" w:color="000000"/>
              <w:left w:val="single" w:sz="4" w:space="0" w:color="000000"/>
              <w:bottom w:val="single" w:sz="4" w:space="0" w:color="000000"/>
              <w:right w:val="single" w:sz="4" w:space="0" w:color="000000"/>
            </w:tcBorders>
          </w:tcPr>
          <w:p w14:paraId="19CC7FC0" w14:textId="0A20070A" w:rsidR="00A41E60" w:rsidRPr="00D85E09" w:rsidRDefault="00A41E60" w:rsidP="0043316B">
            <w:pPr>
              <w:pStyle w:val="Tabletext"/>
              <w:keepNext w:val="0"/>
              <w:widowControl w:val="0"/>
            </w:pPr>
            <w:r w:rsidRPr="00D85E09">
              <w:t>Mild stroke 0.55</w:t>
            </w:r>
          </w:p>
          <w:p w14:paraId="554DAD75" w14:textId="77777777" w:rsidR="00A41E60" w:rsidRPr="00D85E09" w:rsidRDefault="00A41E60" w:rsidP="0043316B">
            <w:pPr>
              <w:pStyle w:val="Tabletext"/>
              <w:keepNext w:val="0"/>
              <w:widowControl w:val="0"/>
            </w:pPr>
            <w:r w:rsidRPr="00D85E09">
              <w:t>Severe stroke 0.14</w:t>
            </w:r>
          </w:p>
          <w:p w14:paraId="20045100" w14:textId="77777777" w:rsidR="00A41E60" w:rsidRPr="00D85E09" w:rsidRDefault="00A41E60" w:rsidP="0043316B">
            <w:pPr>
              <w:pStyle w:val="Tabletext"/>
              <w:keepNext w:val="0"/>
              <w:widowControl w:val="0"/>
            </w:pPr>
          </w:p>
        </w:tc>
        <w:tc>
          <w:tcPr>
            <w:tcW w:w="1250" w:type="pct"/>
            <w:tcBorders>
              <w:top w:val="single" w:sz="4" w:space="0" w:color="000000"/>
              <w:left w:val="single" w:sz="4" w:space="0" w:color="000000"/>
              <w:bottom w:val="single" w:sz="4" w:space="0" w:color="000000"/>
              <w:right w:val="single" w:sz="4" w:space="0" w:color="000000"/>
            </w:tcBorders>
            <w:hideMark/>
          </w:tcPr>
          <w:p w14:paraId="60A42B44" w14:textId="77777777" w:rsidR="00A41E60" w:rsidRPr="00D85E09" w:rsidRDefault="00A41E60" w:rsidP="0043316B">
            <w:pPr>
              <w:pStyle w:val="Tabletext"/>
              <w:keepNext w:val="0"/>
              <w:widowControl w:val="0"/>
            </w:pPr>
            <w:r w:rsidRPr="00D85E09">
              <w:t xml:space="preserve">Small study sample. </w:t>
            </w:r>
          </w:p>
        </w:tc>
      </w:tr>
      <w:tr w:rsidR="00A41E60" w:rsidRPr="00D85E09" w14:paraId="3F53FA6F"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074DAEEC" w14:textId="77777777" w:rsidR="00A41E60" w:rsidRPr="00D85E09" w:rsidRDefault="00A41E60" w:rsidP="0043316B">
            <w:pPr>
              <w:pStyle w:val="Tabletext"/>
              <w:keepNext w:val="0"/>
              <w:widowControl w:val="0"/>
            </w:pPr>
            <w:r w:rsidRPr="00D85E09">
              <w:t>Dorman et al 2000</w:t>
            </w:r>
          </w:p>
        </w:tc>
        <w:tc>
          <w:tcPr>
            <w:tcW w:w="1452" w:type="pct"/>
            <w:tcBorders>
              <w:top w:val="single" w:sz="4" w:space="0" w:color="000000"/>
              <w:left w:val="single" w:sz="4" w:space="0" w:color="000000"/>
              <w:bottom w:val="single" w:sz="4" w:space="0" w:color="000000"/>
              <w:right w:val="single" w:sz="4" w:space="0" w:color="000000"/>
            </w:tcBorders>
            <w:hideMark/>
          </w:tcPr>
          <w:p w14:paraId="4A3C4B2E" w14:textId="78EC7300" w:rsidR="00A41E60" w:rsidRPr="00D85E09" w:rsidRDefault="00A41E60" w:rsidP="0043316B">
            <w:pPr>
              <w:pStyle w:val="Tabletext"/>
              <w:keepNext w:val="0"/>
              <w:widowControl w:val="0"/>
            </w:pPr>
            <w:r w:rsidRPr="00D85E09">
              <w:t>Stroke survivors in UK (72 weeks post</w:t>
            </w:r>
            <w:r w:rsidR="00300BB6" w:rsidRPr="00D85E09">
              <w:t>-</w:t>
            </w:r>
            <w:r w:rsidRPr="00D85E09">
              <w:t>stroke; median), enrolled in the International Stroke Trial.</w:t>
            </w:r>
          </w:p>
          <w:p w14:paraId="061D0D70" w14:textId="77777777" w:rsidR="00A41E60" w:rsidRPr="00D85E09" w:rsidRDefault="00A41E60" w:rsidP="0043316B">
            <w:pPr>
              <w:pStyle w:val="Tabletext"/>
              <w:keepNext w:val="0"/>
              <w:widowControl w:val="0"/>
            </w:pPr>
            <w:r w:rsidRPr="00D85E09">
              <w:t>EQ5D</w:t>
            </w:r>
          </w:p>
          <w:p w14:paraId="2399407B" w14:textId="77777777" w:rsidR="00A41E60" w:rsidRPr="00D85E09" w:rsidRDefault="00A41E60" w:rsidP="0043316B">
            <w:pPr>
              <w:pStyle w:val="Tabletext"/>
              <w:keepNext w:val="0"/>
              <w:widowControl w:val="0"/>
            </w:pPr>
            <w:r w:rsidRPr="00D85E09">
              <w:t>n=2253 (867 completed EQ5D)</w:t>
            </w:r>
          </w:p>
        </w:tc>
        <w:tc>
          <w:tcPr>
            <w:tcW w:w="1250" w:type="pct"/>
            <w:tcBorders>
              <w:top w:val="single" w:sz="4" w:space="0" w:color="000000"/>
              <w:left w:val="single" w:sz="4" w:space="0" w:color="000000"/>
              <w:bottom w:val="single" w:sz="4" w:space="0" w:color="000000"/>
              <w:right w:val="single" w:sz="4" w:space="0" w:color="000000"/>
            </w:tcBorders>
            <w:hideMark/>
          </w:tcPr>
          <w:p w14:paraId="494B6A67" w14:textId="77777777" w:rsidR="00A41E60" w:rsidRPr="00D85E09" w:rsidRDefault="00A41E60" w:rsidP="0043316B">
            <w:pPr>
              <w:pStyle w:val="Tabletext"/>
              <w:keepNext w:val="0"/>
              <w:widowControl w:val="0"/>
            </w:pPr>
            <w:r w:rsidRPr="00D85E09">
              <w:t>Recovered 0.88</w:t>
            </w:r>
          </w:p>
          <w:p w14:paraId="6D3DC257" w14:textId="77777777" w:rsidR="00A41E60" w:rsidRPr="00D85E09" w:rsidRDefault="00A41E60" w:rsidP="0043316B">
            <w:pPr>
              <w:pStyle w:val="Tabletext"/>
              <w:keepNext w:val="0"/>
              <w:widowControl w:val="0"/>
            </w:pPr>
            <w:r w:rsidRPr="00D85E09">
              <w:t>Independent but not recovered 0.71</w:t>
            </w:r>
          </w:p>
          <w:p w14:paraId="75556409" w14:textId="77777777" w:rsidR="00A41E60" w:rsidRPr="00D85E09" w:rsidRDefault="00A41E60" w:rsidP="0043316B">
            <w:pPr>
              <w:pStyle w:val="Tabletext"/>
              <w:keepNext w:val="0"/>
              <w:widowControl w:val="0"/>
            </w:pPr>
            <w:r w:rsidRPr="00D85E09">
              <w:t>Dependent 0.31</w:t>
            </w:r>
          </w:p>
        </w:tc>
        <w:tc>
          <w:tcPr>
            <w:tcW w:w="1250" w:type="pct"/>
            <w:tcBorders>
              <w:top w:val="single" w:sz="4" w:space="0" w:color="000000"/>
              <w:left w:val="single" w:sz="4" w:space="0" w:color="000000"/>
              <w:bottom w:val="single" w:sz="4" w:space="0" w:color="000000"/>
              <w:right w:val="single" w:sz="4" w:space="0" w:color="000000"/>
            </w:tcBorders>
          </w:tcPr>
          <w:p w14:paraId="67EBA4C7" w14:textId="756294AD" w:rsidR="00A41E60" w:rsidRPr="00D85E09" w:rsidRDefault="00A41E60" w:rsidP="0043316B">
            <w:pPr>
              <w:pStyle w:val="Tabletext"/>
              <w:keepNext w:val="0"/>
              <w:widowControl w:val="0"/>
            </w:pPr>
            <w:r w:rsidRPr="00D85E09">
              <w:t>Subjective questionnaire defining “dependent”, “independent but not recovered” and “recovered”.</w:t>
            </w:r>
          </w:p>
          <w:p w14:paraId="561D5BB4" w14:textId="77777777" w:rsidR="00A41E60" w:rsidRPr="00D85E09" w:rsidRDefault="00A41E60" w:rsidP="0043316B">
            <w:pPr>
              <w:pStyle w:val="Tabletext"/>
              <w:keepNext w:val="0"/>
              <w:widowControl w:val="0"/>
            </w:pPr>
          </w:p>
        </w:tc>
      </w:tr>
      <w:tr w:rsidR="00A41E60" w:rsidRPr="00D85E09" w14:paraId="7C66E8D4"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13BB3956" w14:textId="77777777" w:rsidR="00A41E60" w:rsidRPr="00D85E09" w:rsidRDefault="00A41E60" w:rsidP="0043316B">
            <w:pPr>
              <w:pStyle w:val="Tabletext"/>
              <w:keepNext w:val="0"/>
              <w:widowControl w:val="0"/>
            </w:pPr>
            <w:r w:rsidRPr="00D85E09">
              <w:t>Gage et al 1996</w:t>
            </w:r>
          </w:p>
        </w:tc>
        <w:tc>
          <w:tcPr>
            <w:tcW w:w="1452" w:type="pct"/>
            <w:tcBorders>
              <w:top w:val="single" w:sz="4" w:space="0" w:color="000000"/>
              <w:left w:val="single" w:sz="4" w:space="0" w:color="000000"/>
              <w:bottom w:val="single" w:sz="4" w:space="0" w:color="000000"/>
              <w:right w:val="single" w:sz="4" w:space="0" w:color="000000"/>
            </w:tcBorders>
            <w:hideMark/>
          </w:tcPr>
          <w:p w14:paraId="109356E3" w14:textId="77777777" w:rsidR="00A41E60" w:rsidRPr="00D85E09" w:rsidRDefault="00A41E60" w:rsidP="0043316B">
            <w:pPr>
              <w:pStyle w:val="Tabletext"/>
              <w:keepNext w:val="0"/>
              <w:widowControl w:val="0"/>
            </w:pPr>
            <w:r w:rsidRPr="00D85E09">
              <w:t>Patients with AF (“at risk”) in US.</w:t>
            </w:r>
          </w:p>
          <w:p w14:paraId="7F78F03E" w14:textId="51D7D010" w:rsidR="00A41E60" w:rsidRPr="00D85E09" w:rsidRDefault="00A41E60" w:rsidP="0043316B">
            <w:pPr>
              <w:pStyle w:val="Tabletext"/>
              <w:keepNext w:val="0"/>
              <w:widowControl w:val="0"/>
            </w:pPr>
            <w:r w:rsidRPr="00D85E09">
              <w:t>TTO via computer-based interview.</w:t>
            </w:r>
          </w:p>
          <w:p w14:paraId="5DA57A0D" w14:textId="77777777" w:rsidR="00A41E60" w:rsidRPr="00D85E09" w:rsidRDefault="00A41E60" w:rsidP="0043316B">
            <w:pPr>
              <w:pStyle w:val="Tabletext"/>
              <w:keepNext w:val="0"/>
              <w:widowControl w:val="0"/>
            </w:pPr>
            <w:r w:rsidRPr="00D85E09">
              <w:t xml:space="preserve">n=70 </w:t>
            </w:r>
          </w:p>
        </w:tc>
        <w:tc>
          <w:tcPr>
            <w:tcW w:w="1250" w:type="pct"/>
            <w:tcBorders>
              <w:top w:val="single" w:sz="4" w:space="0" w:color="000000"/>
              <w:left w:val="single" w:sz="4" w:space="0" w:color="000000"/>
              <w:bottom w:val="single" w:sz="4" w:space="0" w:color="000000"/>
              <w:right w:val="single" w:sz="4" w:space="0" w:color="000000"/>
            </w:tcBorders>
            <w:hideMark/>
          </w:tcPr>
          <w:p w14:paraId="3048248F" w14:textId="77777777" w:rsidR="00A41E60" w:rsidRPr="00D85E09" w:rsidRDefault="00A41E60" w:rsidP="0043316B">
            <w:pPr>
              <w:pStyle w:val="Tabletext"/>
              <w:keepNext w:val="0"/>
              <w:widowControl w:val="0"/>
            </w:pPr>
            <w:r w:rsidRPr="00D85E09">
              <w:t>Current health 0.82</w:t>
            </w:r>
          </w:p>
          <w:p w14:paraId="5AAF41A3" w14:textId="77777777" w:rsidR="00A41E60" w:rsidRPr="00D85E09" w:rsidRDefault="00A41E60" w:rsidP="0043316B">
            <w:pPr>
              <w:pStyle w:val="Tabletext"/>
              <w:keepNext w:val="0"/>
              <w:widowControl w:val="0"/>
            </w:pPr>
            <w:r w:rsidRPr="00D85E09">
              <w:t>mRS 1-2 0.79</w:t>
            </w:r>
          </w:p>
          <w:p w14:paraId="1075F331" w14:textId="77777777" w:rsidR="00A41E60" w:rsidRPr="00D85E09" w:rsidRDefault="00A41E60" w:rsidP="0043316B">
            <w:pPr>
              <w:pStyle w:val="Tabletext"/>
              <w:keepNext w:val="0"/>
              <w:widowControl w:val="0"/>
            </w:pPr>
            <w:r w:rsidRPr="00D85E09">
              <w:t>mRS3-4 0.39 (0.26 when standard gamble assessment is applied)</w:t>
            </w:r>
          </w:p>
          <w:p w14:paraId="17FF64A3" w14:textId="77777777" w:rsidR="00A41E60" w:rsidRPr="00D85E09" w:rsidRDefault="00A41E60" w:rsidP="0043316B">
            <w:pPr>
              <w:pStyle w:val="Tabletext"/>
              <w:keepNext w:val="0"/>
              <w:widowControl w:val="0"/>
            </w:pPr>
            <w:r w:rsidRPr="00D85E09">
              <w:t>mRS5 0.11</w:t>
            </w:r>
          </w:p>
        </w:tc>
        <w:tc>
          <w:tcPr>
            <w:tcW w:w="1250" w:type="pct"/>
            <w:tcBorders>
              <w:top w:val="single" w:sz="4" w:space="0" w:color="000000"/>
              <w:left w:val="single" w:sz="4" w:space="0" w:color="000000"/>
              <w:bottom w:val="single" w:sz="4" w:space="0" w:color="000000"/>
              <w:right w:val="single" w:sz="4" w:space="0" w:color="000000"/>
            </w:tcBorders>
            <w:hideMark/>
          </w:tcPr>
          <w:p w14:paraId="3BC47FC8" w14:textId="77777777" w:rsidR="00A41E60" w:rsidRPr="00D85E09" w:rsidRDefault="00A41E60" w:rsidP="0043316B">
            <w:pPr>
              <w:pStyle w:val="Tabletext"/>
              <w:keepNext w:val="0"/>
              <w:widowControl w:val="0"/>
            </w:pPr>
            <w:r w:rsidRPr="00D85E09">
              <w:t xml:space="preserve">Only moderate stroke was assessed TTO as well as SG. </w:t>
            </w:r>
          </w:p>
        </w:tc>
      </w:tr>
      <w:tr w:rsidR="00A41E60" w:rsidRPr="00D85E09" w14:paraId="4750400C"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12FF10AB" w14:textId="77777777" w:rsidR="00A41E60" w:rsidRPr="00D85E09" w:rsidRDefault="00A41E60" w:rsidP="0043316B">
            <w:pPr>
              <w:pStyle w:val="Tabletext"/>
              <w:keepNext w:val="0"/>
              <w:widowControl w:val="0"/>
            </w:pPr>
            <w:r w:rsidRPr="00D85E09">
              <w:t>Hallan et al 1999</w:t>
            </w:r>
          </w:p>
        </w:tc>
        <w:tc>
          <w:tcPr>
            <w:tcW w:w="1452" w:type="pct"/>
            <w:tcBorders>
              <w:top w:val="single" w:sz="4" w:space="0" w:color="000000"/>
              <w:left w:val="single" w:sz="4" w:space="0" w:color="000000"/>
              <w:bottom w:val="single" w:sz="4" w:space="0" w:color="000000"/>
              <w:right w:val="single" w:sz="4" w:space="0" w:color="000000"/>
            </w:tcBorders>
            <w:hideMark/>
          </w:tcPr>
          <w:p w14:paraId="5E2F2924" w14:textId="7199A896" w:rsidR="00A41E60" w:rsidRPr="00D85E09" w:rsidRDefault="00A41E60" w:rsidP="0043316B">
            <w:pPr>
              <w:pStyle w:val="Tabletext"/>
              <w:keepNext w:val="0"/>
              <w:widowControl w:val="0"/>
            </w:pPr>
            <w:r w:rsidRPr="00D85E09">
              <w:t>General public in Norway (aged 20-84) and stroke survivors (mRS2-3: 23 subjects; eRS4-5: 18 subjects).</w:t>
            </w:r>
          </w:p>
          <w:p w14:paraId="524A2CAF" w14:textId="77777777" w:rsidR="00A41E60" w:rsidRPr="00D85E09" w:rsidRDefault="00A41E60" w:rsidP="0043316B">
            <w:pPr>
              <w:pStyle w:val="Tabletext"/>
              <w:keepNext w:val="0"/>
              <w:widowControl w:val="0"/>
            </w:pPr>
            <w:r w:rsidRPr="00D85E09">
              <w:t>TTO and SG</w:t>
            </w:r>
          </w:p>
          <w:p w14:paraId="02A110EA" w14:textId="77777777" w:rsidR="00A41E60" w:rsidRPr="00D85E09" w:rsidRDefault="00A41E60" w:rsidP="0043316B">
            <w:pPr>
              <w:pStyle w:val="Tabletext"/>
              <w:keepNext w:val="0"/>
              <w:widowControl w:val="0"/>
            </w:pPr>
            <w:r w:rsidRPr="00D85E09">
              <w:t xml:space="preserve">n=158 in total </w:t>
            </w:r>
          </w:p>
        </w:tc>
        <w:tc>
          <w:tcPr>
            <w:tcW w:w="1250" w:type="pct"/>
            <w:tcBorders>
              <w:top w:val="single" w:sz="4" w:space="0" w:color="000000"/>
              <w:left w:val="single" w:sz="4" w:space="0" w:color="000000"/>
              <w:bottom w:val="single" w:sz="4" w:space="0" w:color="000000"/>
              <w:right w:val="single" w:sz="4" w:space="0" w:color="000000"/>
            </w:tcBorders>
            <w:hideMark/>
          </w:tcPr>
          <w:p w14:paraId="7812A497" w14:textId="77777777" w:rsidR="00A41E60" w:rsidRPr="00D85E09" w:rsidRDefault="00A41E60" w:rsidP="0043316B">
            <w:pPr>
              <w:pStyle w:val="Tabletext"/>
              <w:keepNext w:val="0"/>
              <w:widowControl w:val="0"/>
            </w:pPr>
            <w:r w:rsidRPr="00D85E09">
              <w:t>Median utility values from SG /TTO:</w:t>
            </w:r>
          </w:p>
          <w:p w14:paraId="7E412EEA" w14:textId="77777777" w:rsidR="00A41E60" w:rsidRPr="00D85E09" w:rsidRDefault="00A41E60" w:rsidP="0043316B">
            <w:pPr>
              <w:pStyle w:val="Tabletext"/>
              <w:keepNext w:val="0"/>
              <w:widowControl w:val="0"/>
            </w:pPr>
            <w:r w:rsidRPr="00D85E09">
              <w:t>mRS2-3: 0.91 / 0.88</w:t>
            </w:r>
          </w:p>
          <w:p w14:paraId="25B1B3BB" w14:textId="77777777" w:rsidR="00A41E60" w:rsidRPr="00D85E09" w:rsidRDefault="00A41E60" w:rsidP="0043316B">
            <w:pPr>
              <w:pStyle w:val="Tabletext"/>
              <w:keepNext w:val="0"/>
              <w:widowControl w:val="0"/>
            </w:pPr>
            <w:r w:rsidRPr="00D85E09">
              <w:t>mRS4-5: 0.61 / 0.51</w:t>
            </w:r>
          </w:p>
        </w:tc>
        <w:tc>
          <w:tcPr>
            <w:tcW w:w="1250" w:type="pct"/>
            <w:tcBorders>
              <w:top w:val="single" w:sz="4" w:space="0" w:color="000000"/>
              <w:left w:val="single" w:sz="4" w:space="0" w:color="000000"/>
              <w:bottom w:val="single" w:sz="4" w:space="0" w:color="000000"/>
              <w:right w:val="single" w:sz="4" w:space="0" w:color="000000"/>
            </w:tcBorders>
            <w:hideMark/>
          </w:tcPr>
          <w:p w14:paraId="2D48D5FD" w14:textId="08D7ED7B" w:rsidR="00A41E60" w:rsidRPr="00D85E09" w:rsidRDefault="00A41E60" w:rsidP="0043316B">
            <w:pPr>
              <w:pStyle w:val="Tabletext"/>
              <w:keepNext w:val="0"/>
              <w:widowControl w:val="0"/>
            </w:pPr>
            <w:r w:rsidRPr="00D85E09">
              <w:t>No mean values reported.</w:t>
            </w:r>
          </w:p>
          <w:p w14:paraId="5E462892" w14:textId="5CCA1B74" w:rsidR="00A41E60" w:rsidRPr="00D85E09" w:rsidRDefault="00A41E60" w:rsidP="0043316B">
            <w:pPr>
              <w:pStyle w:val="Tabletext"/>
              <w:keepNext w:val="0"/>
              <w:widowControl w:val="0"/>
            </w:pPr>
            <w:r w:rsidRPr="00D85E09">
              <w:t>No value reported for mRS 0-1.</w:t>
            </w:r>
          </w:p>
          <w:p w14:paraId="448F44D4" w14:textId="77777777" w:rsidR="00A41E60" w:rsidRPr="00D85E09" w:rsidRDefault="00A41E60" w:rsidP="0043316B">
            <w:pPr>
              <w:pStyle w:val="Tabletext"/>
              <w:keepNext w:val="0"/>
              <w:widowControl w:val="0"/>
            </w:pPr>
            <w:r w:rsidRPr="00D85E09">
              <w:t xml:space="preserve">Figure 2 shows a strong skew towards higher values for mRS 2-3. </w:t>
            </w:r>
          </w:p>
        </w:tc>
      </w:tr>
      <w:tr w:rsidR="00A41E60" w:rsidRPr="00D85E09" w14:paraId="792626DD"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6CB5EDB0" w14:textId="77777777" w:rsidR="00A41E60" w:rsidRPr="00D85E09" w:rsidRDefault="00A41E60" w:rsidP="0043316B">
            <w:pPr>
              <w:pStyle w:val="Tabletext"/>
              <w:keepNext w:val="0"/>
              <w:widowControl w:val="0"/>
            </w:pPr>
            <w:r w:rsidRPr="00D85E09">
              <w:t xml:space="preserve">Lai and Duncan 2001 </w:t>
            </w:r>
          </w:p>
        </w:tc>
        <w:tc>
          <w:tcPr>
            <w:tcW w:w="1452" w:type="pct"/>
            <w:tcBorders>
              <w:top w:val="single" w:sz="4" w:space="0" w:color="000000"/>
              <w:left w:val="single" w:sz="4" w:space="0" w:color="000000"/>
              <w:bottom w:val="single" w:sz="4" w:space="0" w:color="000000"/>
              <w:right w:val="single" w:sz="4" w:space="0" w:color="000000"/>
            </w:tcBorders>
            <w:hideMark/>
          </w:tcPr>
          <w:p w14:paraId="1A6C7745" w14:textId="7FB8872A" w:rsidR="00A41E60" w:rsidRPr="00D85E09" w:rsidRDefault="00A41E60" w:rsidP="0043316B">
            <w:pPr>
              <w:pStyle w:val="Tabletext"/>
              <w:keepNext w:val="0"/>
              <w:widowControl w:val="0"/>
            </w:pPr>
            <w:r w:rsidRPr="00D85E09">
              <w:t>Stroke survivors in US.</w:t>
            </w:r>
          </w:p>
          <w:p w14:paraId="4E284F22" w14:textId="2AE0FB27" w:rsidR="00A41E60" w:rsidRPr="00D85E09" w:rsidRDefault="00A41E60" w:rsidP="0043316B">
            <w:pPr>
              <w:pStyle w:val="Tabletext"/>
              <w:keepNext w:val="0"/>
              <w:widowControl w:val="0"/>
            </w:pPr>
            <w:r w:rsidRPr="00D85E09">
              <w:t>Prospective evaluation of changes in mRS and QoL / utility.</w:t>
            </w:r>
          </w:p>
          <w:p w14:paraId="7B70A69C" w14:textId="77777777" w:rsidR="00A41E60" w:rsidRPr="00D85E09" w:rsidRDefault="00A41E60" w:rsidP="0043316B">
            <w:pPr>
              <w:pStyle w:val="Tabletext"/>
              <w:keepNext w:val="0"/>
              <w:widowControl w:val="0"/>
            </w:pPr>
            <w:r w:rsidRPr="00D85E09">
              <w:t>TTO</w:t>
            </w:r>
          </w:p>
          <w:p w14:paraId="2BB4B804" w14:textId="77777777" w:rsidR="00A41E60" w:rsidRPr="00D85E09" w:rsidRDefault="00A41E60" w:rsidP="0043316B">
            <w:pPr>
              <w:pStyle w:val="Tabletext"/>
              <w:keepNext w:val="0"/>
              <w:widowControl w:val="0"/>
            </w:pPr>
            <w:r w:rsidRPr="00D85E09">
              <w:t xml:space="preserve">n=459 (of those, 280 or 62% sifted mRS from baseline to 3 months). </w:t>
            </w:r>
          </w:p>
        </w:tc>
        <w:tc>
          <w:tcPr>
            <w:tcW w:w="1250" w:type="pct"/>
            <w:tcBorders>
              <w:top w:val="single" w:sz="4" w:space="0" w:color="000000"/>
              <w:left w:val="single" w:sz="4" w:space="0" w:color="000000"/>
              <w:bottom w:val="single" w:sz="4" w:space="0" w:color="000000"/>
              <w:right w:val="single" w:sz="4" w:space="0" w:color="000000"/>
            </w:tcBorders>
            <w:hideMark/>
          </w:tcPr>
          <w:p w14:paraId="4F044958" w14:textId="77777777" w:rsidR="00A41E60" w:rsidRPr="00D85E09" w:rsidRDefault="00A41E60" w:rsidP="0043316B">
            <w:pPr>
              <w:pStyle w:val="Tabletext"/>
              <w:keepNext w:val="0"/>
              <w:widowControl w:val="0"/>
            </w:pPr>
            <w:r w:rsidRPr="00D85E09">
              <w:t xml:space="preserve">Mean utility gain among those improving at least one mRS scale between 0-3: 0.08-0.09 </w:t>
            </w:r>
          </w:p>
        </w:tc>
        <w:tc>
          <w:tcPr>
            <w:tcW w:w="1250" w:type="pct"/>
            <w:tcBorders>
              <w:top w:val="single" w:sz="4" w:space="0" w:color="000000"/>
              <w:left w:val="single" w:sz="4" w:space="0" w:color="000000"/>
              <w:bottom w:val="single" w:sz="4" w:space="0" w:color="000000"/>
              <w:right w:val="single" w:sz="4" w:space="0" w:color="000000"/>
            </w:tcBorders>
            <w:hideMark/>
          </w:tcPr>
          <w:p w14:paraId="727E9147" w14:textId="08AE2EAB" w:rsidR="00A41E60" w:rsidRPr="00D85E09" w:rsidRDefault="00A41E60" w:rsidP="0043316B">
            <w:pPr>
              <w:pStyle w:val="Tabletext"/>
              <w:keepNext w:val="0"/>
              <w:widowControl w:val="0"/>
            </w:pPr>
            <w:r w:rsidRPr="00D85E09">
              <w:t>No actual publication could not be obtained.</w:t>
            </w:r>
          </w:p>
          <w:p w14:paraId="7C98489A" w14:textId="77777777" w:rsidR="00A41E60" w:rsidRPr="00D85E09" w:rsidRDefault="00A41E60" w:rsidP="0043316B">
            <w:pPr>
              <w:pStyle w:val="Tabletext"/>
              <w:keepNext w:val="0"/>
              <w:widowControl w:val="0"/>
            </w:pPr>
            <w:r w:rsidRPr="00D85E09">
              <w:t xml:space="preserve">Data / methodology extracted from the abstract / Smith et al 2013. </w:t>
            </w:r>
          </w:p>
        </w:tc>
      </w:tr>
      <w:tr w:rsidR="00A41E60" w:rsidRPr="00D85E09" w14:paraId="3C16B920"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47ADF448" w14:textId="77777777" w:rsidR="00A41E60" w:rsidRPr="00D85E09" w:rsidRDefault="00A41E60" w:rsidP="0043316B">
            <w:pPr>
              <w:pStyle w:val="Tabletext"/>
              <w:keepNext w:val="0"/>
              <w:widowControl w:val="0"/>
            </w:pPr>
            <w:r w:rsidRPr="00D85E09">
              <w:t>Murphy et al 2001</w:t>
            </w:r>
          </w:p>
        </w:tc>
        <w:tc>
          <w:tcPr>
            <w:tcW w:w="1452" w:type="pct"/>
            <w:tcBorders>
              <w:top w:val="single" w:sz="4" w:space="0" w:color="000000"/>
              <w:left w:val="single" w:sz="4" w:space="0" w:color="000000"/>
              <w:bottom w:val="single" w:sz="4" w:space="0" w:color="000000"/>
              <w:right w:val="single" w:sz="4" w:space="0" w:color="000000"/>
            </w:tcBorders>
            <w:hideMark/>
          </w:tcPr>
          <w:p w14:paraId="77813BB4" w14:textId="4161211C" w:rsidR="00A41E60" w:rsidRPr="00D85E09" w:rsidRDefault="00A41E60" w:rsidP="0043316B">
            <w:pPr>
              <w:pStyle w:val="Tabletext"/>
              <w:keepNext w:val="0"/>
              <w:widowControl w:val="0"/>
            </w:pPr>
            <w:r w:rsidRPr="00D85E09">
              <w:t xml:space="preserve">Stroke survivors at 12 months (n=11), patients on anticoagulation (at risk patient; n=22) and medical staff (n=20) </w:t>
            </w:r>
            <w:r w:rsidRPr="00D85E09">
              <w:lastRenderedPageBreak/>
              <w:t>in UK</w:t>
            </w:r>
          </w:p>
          <w:p w14:paraId="33DC6885" w14:textId="77777777" w:rsidR="00A41E60" w:rsidRPr="00D85E09" w:rsidRDefault="00A41E60" w:rsidP="0043316B">
            <w:pPr>
              <w:pStyle w:val="Tabletext"/>
              <w:keepNext w:val="0"/>
              <w:widowControl w:val="0"/>
            </w:pPr>
            <w:r w:rsidRPr="00D85E09">
              <w:t>SG via interviews</w:t>
            </w:r>
          </w:p>
        </w:tc>
        <w:tc>
          <w:tcPr>
            <w:tcW w:w="1250" w:type="pct"/>
            <w:tcBorders>
              <w:top w:val="single" w:sz="4" w:space="0" w:color="000000"/>
              <w:left w:val="single" w:sz="4" w:space="0" w:color="000000"/>
              <w:bottom w:val="single" w:sz="4" w:space="0" w:color="000000"/>
              <w:right w:val="single" w:sz="4" w:space="0" w:color="000000"/>
            </w:tcBorders>
            <w:hideMark/>
          </w:tcPr>
          <w:p w14:paraId="29A2812C" w14:textId="77777777" w:rsidR="00A41E60" w:rsidRPr="00D85E09" w:rsidRDefault="00A41E60" w:rsidP="0043316B">
            <w:pPr>
              <w:pStyle w:val="Tabletext"/>
              <w:keepNext w:val="0"/>
              <w:widowControl w:val="0"/>
            </w:pPr>
            <w:r w:rsidRPr="00D85E09">
              <w:lastRenderedPageBreak/>
              <w:t>Median utility for survivors/at risk/staff:</w:t>
            </w:r>
          </w:p>
          <w:p w14:paraId="5A423A11" w14:textId="77777777" w:rsidR="00A41E60" w:rsidRPr="00D85E09" w:rsidRDefault="00A41E60" w:rsidP="0043316B">
            <w:pPr>
              <w:pStyle w:val="Tabletext"/>
              <w:keepNext w:val="0"/>
              <w:widowControl w:val="0"/>
            </w:pPr>
            <w:r w:rsidRPr="00D85E09">
              <w:t>Current health 0.70/0.85/0.98</w:t>
            </w:r>
          </w:p>
          <w:p w14:paraId="39BA8A26" w14:textId="77777777" w:rsidR="00A41E60" w:rsidRPr="00D85E09" w:rsidRDefault="00A41E60" w:rsidP="0043316B">
            <w:pPr>
              <w:pStyle w:val="Tabletext"/>
              <w:keepNext w:val="0"/>
              <w:widowControl w:val="0"/>
            </w:pPr>
            <w:r w:rsidRPr="00D85E09">
              <w:lastRenderedPageBreak/>
              <w:t>mRS 1-2: 0.93/0.78/0.88</w:t>
            </w:r>
          </w:p>
          <w:p w14:paraId="4452A3D4" w14:textId="77777777" w:rsidR="00A41E60" w:rsidRPr="00D85E09" w:rsidRDefault="00A41E60" w:rsidP="0043316B">
            <w:pPr>
              <w:pStyle w:val="Tabletext"/>
              <w:keepNext w:val="0"/>
              <w:widowControl w:val="0"/>
            </w:pPr>
            <w:r w:rsidRPr="00D85E09">
              <w:t>mRS 3-4: 0.73/0.30/0.68</w:t>
            </w:r>
          </w:p>
          <w:p w14:paraId="3163D58E" w14:textId="77777777" w:rsidR="00A41E60" w:rsidRPr="00D85E09" w:rsidRDefault="00A41E60" w:rsidP="0043316B">
            <w:pPr>
              <w:pStyle w:val="Tabletext"/>
              <w:keepNext w:val="0"/>
              <w:widowControl w:val="0"/>
            </w:pPr>
            <w:r w:rsidRPr="00D85E09">
              <w:t>mRS 5: 0.40/&lt;0.00/0.14</w:t>
            </w:r>
          </w:p>
        </w:tc>
        <w:tc>
          <w:tcPr>
            <w:tcW w:w="1250" w:type="pct"/>
            <w:tcBorders>
              <w:top w:val="single" w:sz="4" w:space="0" w:color="000000"/>
              <w:left w:val="single" w:sz="4" w:space="0" w:color="000000"/>
              <w:bottom w:val="single" w:sz="4" w:space="0" w:color="000000"/>
              <w:right w:val="single" w:sz="4" w:space="0" w:color="000000"/>
            </w:tcBorders>
            <w:hideMark/>
          </w:tcPr>
          <w:p w14:paraId="5E0484BF" w14:textId="326B422C" w:rsidR="00A41E60" w:rsidRPr="00D85E09" w:rsidRDefault="00A41E60" w:rsidP="0043316B">
            <w:pPr>
              <w:pStyle w:val="Tabletext"/>
              <w:keepNext w:val="0"/>
              <w:widowControl w:val="0"/>
            </w:pPr>
            <w:r w:rsidRPr="00D85E09">
              <w:lastRenderedPageBreak/>
              <w:t>No mean values reported.</w:t>
            </w:r>
          </w:p>
          <w:p w14:paraId="6E657D42" w14:textId="7B8FE799" w:rsidR="00A41E60" w:rsidRPr="00D85E09" w:rsidRDefault="00A41E60" w:rsidP="0043316B">
            <w:pPr>
              <w:pStyle w:val="Tabletext"/>
              <w:keepNext w:val="0"/>
              <w:widowControl w:val="0"/>
            </w:pPr>
            <w:r w:rsidRPr="00D85E09">
              <w:t>Three separate samples (patients, general public, medical staff).</w:t>
            </w:r>
          </w:p>
          <w:p w14:paraId="46834011" w14:textId="77777777" w:rsidR="00A41E60" w:rsidRPr="00D85E09" w:rsidRDefault="00A41E60" w:rsidP="0043316B">
            <w:pPr>
              <w:pStyle w:val="Tabletext"/>
              <w:keepNext w:val="0"/>
              <w:widowControl w:val="0"/>
            </w:pPr>
            <w:r w:rsidRPr="00D85E09">
              <w:lastRenderedPageBreak/>
              <w:t>Health states (descriptors) based on Gage et al 1996 (above).</w:t>
            </w:r>
          </w:p>
          <w:p w14:paraId="343DA604" w14:textId="77777777" w:rsidR="00A41E60" w:rsidRPr="00D85E09" w:rsidRDefault="00A41E60" w:rsidP="0043316B">
            <w:pPr>
              <w:pStyle w:val="Tabletext"/>
              <w:keepNext w:val="0"/>
              <w:widowControl w:val="0"/>
            </w:pPr>
            <w:r w:rsidRPr="00D85E09">
              <w:t xml:space="preserve">Small study sample. </w:t>
            </w:r>
          </w:p>
        </w:tc>
      </w:tr>
      <w:tr w:rsidR="00A41E60" w:rsidRPr="00D85E09" w14:paraId="32FFABC7"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4EC8DA04" w14:textId="77777777" w:rsidR="00A41E60" w:rsidRPr="00D85E09" w:rsidRDefault="00A41E60" w:rsidP="0043316B">
            <w:pPr>
              <w:pStyle w:val="Tabletext"/>
              <w:keepNext w:val="0"/>
              <w:widowControl w:val="0"/>
            </w:pPr>
            <w:r w:rsidRPr="00D85E09">
              <w:lastRenderedPageBreak/>
              <w:t>Noto et al 2011</w:t>
            </w:r>
          </w:p>
        </w:tc>
        <w:tc>
          <w:tcPr>
            <w:tcW w:w="1452" w:type="pct"/>
            <w:tcBorders>
              <w:top w:val="single" w:sz="4" w:space="0" w:color="000000"/>
              <w:left w:val="single" w:sz="4" w:space="0" w:color="000000"/>
              <w:bottom w:val="single" w:sz="4" w:space="0" w:color="000000"/>
              <w:right w:val="single" w:sz="4" w:space="0" w:color="000000"/>
            </w:tcBorders>
            <w:hideMark/>
          </w:tcPr>
          <w:p w14:paraId="0A6099AF" w14:textId="27B744B9" w:rsidR="00A41E60" w:rsidRPr="00D85E09" w:rsidRDefault="00A41E60" w:rsidP="0043316B">
            <w:pPr>
              <w:pStyle w:val="Tabletext"/>
              <w:keepNext w:val="0"/>
              <w:widowControl w:val="0"/>
            </w:pPr>
            <w:r w:rsidRPr="00D85E09">
              <w:t>Stroke survivors admitted at 7 hospitals in Japan.</w:t>
            </w:r>
          </w:p>
          <w:p w14:paraId="36F473F7" w14:textId="77777777" w:rsidR="00A41E60" w:rsidRPr="00D85E09" w:rsidRDefault="00A41E60" w:rsidP="0043316B">
            <w:pPr>
              <w:pStyle w:val="Tabletext"/>
              <w:keepNext w:val="0"/>
              <w:widowControl w:val="0"/>
            </w:pPr>
            <w:r w:rsidRPr="00D85E09">
              <w:t>HUI3</w:t>
            </w:r>
          </w:p>
          <w:p w14:paraId="5B1196B5" w14:textId="77777777" w:rsidR="00A41E60" w:rsidRPr="00D85E09" w:rsidRDefault="00A41E60" w:rsidP="0043316B">
            <w:pPr>
              <w:pStyle w:val="Tabletext"/>
              <w:keepNext w:val="0"/>
              <w:widowControl w:val="0"/>
            </w:pPr>
            <w:r w:rsidRPr="00D85E09">
              <w:t>n=553</w:t>
            </w:r>
          </w:p>
        </w:tc>
        <w:tc>
          <w:tcPr>
            <w:tcW w:w="1250" w:type="pct"/>
            <w:tcBorders>
              <w:top w:val="single" w:sz="4" w:space="0" w:color="000000"/>
              <w:left w:val="single" w:sz="4" w:space="0" w:color="000000"/>
              <w:bottom w:val="single" w:sz="4" w:space="0" w:color="000000"/>
              <w:right w:val="single" w:sz="4" w:space="0" w:color="000000"/>
            </w:tcBorders>
            <w:hideMark/>
          </w:tcPr>
          <w:p w14:paraId="4CCF7EA3" w14:textId="77777777" w:rsidR="00A41E60" w:rsidRPr="00D85E09" w:rsidRDefault="00A41E60" w:rsidP="0043316B">
            <w:pPr>
              <w:pStyle w:val="Tabletext"/>
              <w:keepNext w:val="0"/>
              <w:widowControl w:val="0"/>
            </w:pPr>
            <w:r w:rsidRPr="00D85E09">
              <w:t>mRS 1: 0.62</w:t>
            </w:r>
          </w:p>
          <w:p w14:paraId="4F3A07BC" w14:textId="77777777" w:rsidR="00A41E60" w:rsidRPr="00D85E09" w:rsidRDefault="00A41E60" w:rsidP="0043316B">
            <w:pPr>
              <w:pStyle w:val="Tabletext"/>
              <w:keepNext w:val="0"/>
              <w:widowControl w:val="0"/>
            </w:pPr>
            <w:r w:rsidRPr="00D85E09">
              <w:t>mRS 2: 0.48</w:t>
            </w:r>
          </w:p>
          <w:p w14:paraId="00478CF2" w14:textId="77777777" w:rsidR="00A41E60" w:rsidRPr="00D85E09" w:rsidRDefault="00A41E60" w:rsidP="0043316B">
            <w:pPr>
              <w:pStyle w:val="Tabletext"/>
              <w:keepNext w:val="0"/>
              <w:widowControl w:val="0"/>
            </w:pPr>
            <w:r w:rsidRPr="00D85E09">
              <w:t>mRS 3: 0.27</w:t>
            </w:r>
          </w:p>
          <w:p w14:paraId="53F6C4A1" w14:textId="77777777" w:rsidR="00A41E60" w:rsidRPr="00D85E09" w:rsidRDefault="00A41E60" w:rsidP="0043316B">
            <w:pPr>
              <w:pStyle w:val="Tabletext"/>
              <w:keepNext w:val="0"/>
              <w:widowControl w:val="0"/>
            </w:pPr>
            <w:r w:rsidRPr="00D85E09">
              <w:t>mRS 4: 0.00</w:t>
            </w:r>
          </w:p>
          <w:p w14:paraId="3CE22E7B" w14:textId="77777777" w:rsidR="00A41E60" w:rsidRPr="00D85E09" w:rsidRDefault="00A41E60" w:rsidP="0043316B">
            <w:pPr>
              <w:pStyle w:val="Tabletext"/>
              <w:keepNext w:val="0"/>
              <w:widowControl w:val="0"/>
            </w:pPr>
            <w:r w:rsidRPr="00D85E09">
              <w:t>mRS 5: –0.23</w:t>
            </w:r>
          </w:p>
        </w:tc>
        <w:tc>
          <w:tcPr>
            <w:tcW w:w="1250" w:type="pct"/>
            <w:tcBorders>
              <w:top w:val="single" w:sz="4" w:space="0" w:color="000000"/>
              <w:left w:val="single" w:sz="4" w:space="0" w:color="000000"/>
              <w:bottom w:val="single" w:sz="4" w:space="0" w:color="000000"/>
              <w:right w:val="single" w:sz="4" w:space="0" w:color="000000"/>
            </w:tcBorders>
            <w:hideMark/>
          </w:tcPr>
          <w:p w14:paraId="4C1DEC51" w14:textId="77777777" w:rsidR="00A41E60" w:rsidRPr="00D85E09" w:rsidRDefault="00A41E60" w:rsidP="0043316B">
            <w:pPr>
              <w:pStyle w:val="Tabletext"/>
              <w:keepNext w:val="0"/>
              <w:widowControl w:val="0"/>
            </w:pPr>
            <w:r w:rsidRPr="00D85E09">
              <w:t xml:space="preserve">Abstract only. </w:t>
            </w:r>
          </w:p>
        </w:tc>
      </w:tr>
      <w:tr w:rsidR="00A41E60" w:rsidRPr="00D85E09" w14:paraId="48821495"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156DCEA8" w14:textId="77777777" w:rsidR="00A41E60" w:rsidRPr="00D85E09" w:rsidRDefault="00A41E60" w:rsidP="0043316B">
            <w:pPr>
              <w:pStyle w:val="Tabletext"/>
              <w:keepNext w:val="0"/>
              <w:widowControl w:val="0"/>
            </w:pPr>
            <w:r w:rsidRPr="00D85E09">
              <w:t>Robinson et al 2001</w:t>
            </w:r>
          </w:p>
        </w:tc>
        <w:tc>
          <w:tcPr>
            <w:tcW w:w="1452" w:type="pct"/>
            <w:tcBorders>
              <w:top w:val="single" w:sz="4" w:space="0" w:color="000000"/>
              <w:left w:val="single" w:sz="4" w:space="0" w:color="000000"/>
              <w:bottom w:val="single" w:sz="4" w:space="0" w:color="000000"/>
              <w:right w:val="single" w:sz="4" w:space="0" w:color="000000"/>
            </w:tcBorders>
            <w:hideMark/>
          </w:tcPr>
          <w:p w14:paraId="309DC2F2" w14:textId="3447EECD" w:rsidR="00A41E60" w:rsidRPr="00D85E09" w:rsidRDefault="00A41E60" w:rsidP="0043316B">
            <w:pPr>
              <w:pStyle w:val="Tabletext"/>
              <w:keepNext w:val="0"/>
              <w:widowControl w:val="0"/>
            </w:pPr>
            <w:r w:rsidRPr="00D85E09">
              <w:t>Patients with AF at three GP offices in UK.</w:t>
            </w:r>
          </w:p>
          <w:p w14:paraId="2F4C956F" w14:textId="77777777" w:rsidR="00A41E60" w:rsidRPr="00D85E09" w:rsidRDefault="00A41E60" w:rsidP="0043316B">
            <w:pPr>
              <w:pStyle w:val="Tabletext"/>
              <w:keepNext w:val="0"/>
              <w:widowControl w:val="0"/>
            </w:pPr>
            <w:r w:rsidRPr="00D85E09">
              <w:t>SG</w:t>
            </w:r>
          </w:p>
          <w:p w14:paraId="280D7CCC" w14:textId="77777777" w:rsidR="00A41E60" w:rsidRPr="00D85E09" w:rsidRDefault="00A41E60" w:rsidP="0043316B">
            <w:pPr>
              <w:pStyle w:val="Tabletext"/>
              <w:keepNext w:val="0"/>
              <w:widowControl w:val="0"/>
            </w:pPr>
            <w:r w:rsidRPr="00D85E09">
              <w:t>n=69</w:t>
            </w:r>
          </w:p>
        </w:tc>
        <w:tc>
          <w:tcPr>
            <w:tcW w:w="1250" w:type="pct"/>
            <w:tcBorders>
              <w:top w:val="single" w:sz="4" w:space="0" w:color="000000"/>
              <w:left w:val="single" w:sz="4" w:space="0" w:color="000000"/>
              <w:bottom w:val="single" w:sz="4" w:space="0" w:color="000000"/>
              <w:right w:val="single" w:sz="4" w:space="0" w:color="000000"/>
            </w:tcBorders>
            <w:hideMark/>
          </w:tcPr>
          <w:p w14:paraId="28795DCD" w14:textId="5D22566B" w:rsidR="00A41E60" w:rsidRPr="00D85E09" w:rsidRDefault="00A41E60" w:rsidP="0043316B">
            <w:pPr>
              <w:pStyle w:val="Tabletext"/>
              <w:keepNext w:val="0"/>
              <w:widowControl w:val="0"/>
            </w:pPr>
            <w:r w:rsidRPr="00D85E09">
              <w:t>Mild stroke: 0.68</w:t>
            </w:r>
          </w:p>
          <w:p w14:paraId="53104415" w14:textId="77777777" w:rsidR="00A41E60" w:rsidRPr="00D85E09" w:rsidRDefault="00A41E60" w:rsidP="0043316B">
            <w:pPr>
              <w:pStyle w:val="Tabletext"/>
              <w:keepNext w:val="0"/>
              <w:widowControl w:val="0"/>
            </w:pPr>
            <w:r w:rsidRPr="00D85E09">
              <w:t>Severe stroke: 0.00</w:t>
            </w:r>
          </w:p>
        </w:tc>
        <w:tc>
          <w:tcPr>
            <w:tcW w:w="1250" w:type="pct"/>
            <w:tcBorders>
              <w:top w:val="single" w:sz="4" w:space="0" w:color="000000"/>
              <w:left w:val="single" w:sz="4" w:space="0" w:color="000000"/>
              <w:bottom w:val="single" w:sz="4" w:space="0" w:color="000000"/>
              <w:right w:val="single" w:sz="4" w:space="0" w:color="000000"/>
            </w:tcBorders>
            <w:hideMark/>
          </w:tcPr>
          <w:p w14:paraId="3210C5D4" w14:textId="77777777" w:rsidR="00A41E60" w:rsidRPr="00D85E09" w:rsidRDefault="00A41E60" w:rsidP="0043316B">
            <w:pPr>
              <w:pStyle w:val="Tabletext"/>
              <w:keepNext w:val="0"/>
              <w:widowControl w:val="0"/>
            </w:pPr>
            <w:r w:rsidRPr="00D85E09">
              <w:t xml:space="preserve">Population is “at risk” patients. </w:t>
            </w:r>
          </w:p>
        </w:tc>
      </w:tr>
      <w:tr w:rsidR="00A41E60" w:rsidRPr="00D85E09" w14:paraId="21DCD4EE"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415C654E" w14:textId="77777777" w:rsidR="00A41E60" w:rsidRPr="00D85E09" w:rsidRDefault="00A41E60" w:rsidP="0043316B">
            <w:pPr>
              <w:pStyle w:val="Tabletext"/>
              <w:keepNext w:val="0"/>
              <w:widowControl w:val="0"/>
            </w:pPr>
            <w:r w:rsidRPr="00D85E09">
              <w:t>Shin et al 1997</w:t>
            </w:r>
          </w:p>
        </w:tc>
        <w:tc>
          <w:tcPr>
            <w:tcW w:w="1452" w:type="pct"/>
            <w:tcBorders>
              <w:top w:val="single" w:sz="4" w:space="0" w:color="000000"/>
              <w:left w:val="single" w:sz="4" w:space="0" w:color="000000"/>
              <w:bottom w:val="single" w:sz="4" w:space="0" w:color="000000"/>
              <w:right w:val="single" w:sz="4" w:space="0" w:color="000000"/>
            </w:tcBorders>
            <w:hideMark/>
          </w:tcPr>
          <w:p w14:paraId="10A73EA0" w14:textId="01DD4175" w:rsidR="00A41E60" w:rsidRPr="00D85E09" w:rsidRDefault="00A41E60" w:rsidP="0043316B">
            <w:pPr>
              <w:pStyle w:val="Tabletext"/>
              <w:keepNext w:val="0"/>
              <w:widowControl w:val="0"/>
            </w:pPr>
            <w:r w:rsidRPr="00D85E09">
              <w:t>Young stroke survivors (mean age 37l range, 18-57) in Canada,</w:t>
            </w:r>
          </w:p>
          <w:p w14:paraId="7B1A3911" w14:textId="77777777" w:rsidR="00A41E60" w:rsidRPr="00D85E09" w:rsidRDefault="00A41E60" w:rsidP="0043316B">
            <w:pPr>
              <w:pStyle w:val="Tabletext"/>
              <w:keepNext w:val="0"/>
              <w:widowControl w:val="0"/>
            </w:pPr>
            <w:r w:rsidRPr="00D85E09">
              <w:t>SG</w:t>
            </w:r>
          </w:p>
          <w:p w14:paraId="380C432D" w14:textId="77777777" w:rsidR="00A41E60" w:rsidRPr="00D85E09" w:rsidRDefault="00A41E60" w:rsidP="0043316B">
            <w:pPr>
              <w:pStyle w:val="Tabletext"/>
              <w:keepNext w:val="0"/>
              <w:widowControl w:val="0"/>
            </w:pPr>
            <w:r w:rsidRPr="00D85E09">
              <w:t>n=31</w:t>
            </w:r>
          </w:p>
        </w:tc>
        <w:tc>
          <w:tcPr>
            <w:tcW w:w="1250" w:type="pct"/>
            <w:tcBorders>
              <w:top w:val="single" w:sz="4" w:space="0" w:color="000000"/>
              <w:left w:val="single" w:sz="4" w:space="0" w:color="000000"/>
              <w:bottom w:val="single" w:sz="4" w:space="0" w:color="000000"/>
              <w:right w:val="single" w:sz="4" w:space="0" w:color="000000"/>
            </w:tcBorders>
            <w:hideMark/>
          </w:tcPr>
          <w:p w14:paraId="4979F4E2" w14:textId="4561A471" w:rsidR="00A41E60" w:rsidRPr="00D85E09" w:rsidRDefault="00A41E60" w:rsidP="0043316B">
            <w:pPr>
              <w:pStyle w:val="Tabletext"/>
              <w:keepNext w:val="0"/>
              <w:widowControl w:val="0"/>
            </w:pPr>
            <w:r w:rsidRPr="00D85E09">
              <w:t>Minor stroke: 0.81</w:t>
            </w:r>
          </w:p>
          <w:p w14:paraId="66B44C47" w14:textId="77777777" w:rsidR="00A41E60" w:rsidRPr="00D85E09" w:rsidRDefault="00A41E60" w:rsidP="0043316B">
            <w:pPr>
              <w:pStyle w:val="Tabletext"/>
              <w:keepNext w:val="0"/>
              <w:widowControl w:val="0"/>
            </w:pPr>
            <w:r w:rsidRPr="00D85E09">
              <w:t>Major stroke: 0.45</w:t>
            </w:r>
          </w:p>
        </w:tc>
        <w:tc>
          <w:tcPr>
            <w:tcW w:w="1250" w:type="pct"/>
            <w:tcBorders>
              <w:top w:val="single" w:sz="4" w:space="0" w:color="000000"/>
              <w:left w:val="single" w:sz="4" w:space="0" w:color="000000"/>
              <w:bottom w:val="single" w:sz="4" w:space="0" w:color="000000"/>
              <w:right w:val="single" w:sz="4" w:space="0" w:color="000000"/>
            </w:tcBorders>
            <w:hideMark/>
          </w:tcPr>
          <w:p w14:paraId="2DDF3941" w14:textId="5A7D949B" w:rsidR="00A41E60" w:rsidRPr="00D85E09" w:rsidRDefault="00A41E60" w:rsidP="0043316B">
            <w:pPr>
              <w:pStyle w:val="Tabletext"/>
              <w:keepNext w:val="0"/>
              <w:widowControl w:val="0"/>
            </w:pPr>
            <w:r w:rsidRPr="00D85E09">
              <w:t>Younger patient population.</w:t>
            </w:r>
          </w:p>
          <w:p w14:paraId="67A436F2" w14:textId="77777777" w:rsidR="00A41E60" w:rsidRPr="00D85E09" w:rsidRDefault="00A41E60" w:rsidP="0043316B">
            <w:pPr>
              <w:pStyle w:val="Tabletext"/>
              <w:keepNext w:val="0"/>
              <w:widowControl w:val="0"/>
            </w:pPr>
            <w:r w:rsidRPr="00D85E09">
              <w:t xml:space="preserve">Small study sample. </w:t>
            </w:r>
          </w:p>
        </w:tc>
      </w:tr>
      <w:tr w:rsidR="00A41E60" w:rsidRPr="00D85E09" w14:paraId="202E638C"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2FE18155" w14:textId="77777777" w:rsidR="00A41E60" w:rsidRPr="00D85E09" w:rsidRDefault="00A41E60" w:rsidP="0043316B">
            <w:pPr>
              <w:pStyle w:val="Tabletext"/>
              <w:keepNext w:val="0"/>
              <w:widowControl w:val="0"/>
            </w:pPr>
            <w:r w:rsidRPr="00D85E09">
              <w:t>Slot and Berge 2009</w:t>
            </w:r>
          </w:p>
        </w:tc>
        <w:tc>
          <w:tcPr>
            <w:tcW w:w="1452" w:type="pct"/>
            <w:tcBorders>
              <w:top w:val="single" w:sz="4" w:space="0" w:color="000000"/>
              <w:left w:val="single" w:sz="4" w:space="0" w:color="000000"/>
              <w:bottom w:val="single" w:sz="4" w:space="0" w:color="000000"/>
              <w:right w:val="single" w:sz="4" w:space="0" w:color="000000"/>
            </w:tcBorders>
            <w:hideMark/>
          </w:tcPr>
          <w:p w14:paraId="792B6FAB" w14:textId="77777777" w:rsidR="00A41E60" w:rsidRPr="00D85E09" w:rsidRDefault="00A41E60" w:rsidP="0043316B">
            <w:pPr>
              <w:pStyle w:val="Tabletext"/>
              <w:keepNext w:val="0"/>
              <w:widowControl w:val="0"/>
            </w:pPr>
            <w:r w:rsidRPr="00D85E09">
              <w:t>Stroke survivors (n=75; + 1 year ago) and healthy, age-matched control (n=75) in Norway.</w:t>
            </w:r>
          </w:p>
          <w:p w14:paraId="1267F281" w14:textId="77777777" w:rsidR="00A41E60" w:rsidRPr="00D85E09" w:rsidRDefault="00A41E60" w:rsidP="0043316B">
            <w:pPr>
              <w:pStyle w:val="Tabletext"/>
              <w:keepNext w:val="0"/>
              <w:widowControl w:val="0"/>
            </w:pPr>
            <w:r w:rsidRPr="00D85E09">
              <w:t>SG</w:t>
            </w:r>
          </w:p>
        </w:tc>
        <w:tc>
          <w:tcPr>
            <w:tcW w:w="1250" w:type="pct"/>
            <w:tcBorders>
              <w:top w:val="single" w:sz="4" w:space="0" w:color="000000"/>
              <w:left w:val="single" w:sz="4" w:space="0" w:color="000000"/>
              <w:bottom w:val="single" w:sz="4" w:space="0" w:color="000000"/>
              <w:right w:val="single" w:sz="4" w:space="0" w:color="000000"/>
            </w:tcBorders>
            <w:hideMark/>
          </w:tcPr>
          <w:p w14:paraId="38CEEA3F" w14:textId="77777777" w:rsidR="00A41E60" w:rsidRPr="00D85E09" w:rsidRDefault="00A41E60" w:rsidP="0043316B">
            <w:pPr>
              <w:pStyle w:val="Tabletext"/>
              <w:keepNext w:val="0"/>
              <w:widowControl w:val="0"/>
            </w:pPr>
            <w:r w:rsidRPr="00D85E09">
              <w:t>Median utility for survivors / general public:</w:t>
            </w:r>
          </w:p>
          <w:p w14:paraId="74FD533E" w14:textId="77777777" w:rsidR="00A41E60" w:rsidRPr="00D85E09" w:rsidRDefault="00A41E60" w:rsidP="0043316B">
            <w:pPr>
              <w:pStyle w:val="Tabletext"/>
              <w:keepNext w:val="0"/>
              <w:widowControl w:val="0"/>
            </w:pPr>
            <w:r w:rsidRPr="00D85E09">
              <w:t>mRS 1: 0.93 / 0.91</w:t>
            </w:r>
          </w:p>
          <w:p w14:paraId="356F61FE" w14:textId="77777777" w:rsidR="00A41E60" w:rsidRPr="00D85E09" w:rsidRDefault="00A41E60" w:rsidP="0043316B">
            <w:pPr>
              <w:pStyle w:val="Tabletext"/>
              <w:keepNext w:val="0"/>
              <w:widowControl w:val="0"/>
            </w:pPr>
            <w:r w:rsidRPr="00D85E09">
              <w:t>mRS 3: 0.78 / 0.68</w:t>
            </w:r>
          </w:p>
          <w:p w14:paraId="0D0F197B" w14:textId="77777777" w:rsidR="00A41E60" w:rsidRPr="00D85E09" w:rsidRDefault="00A41E60" w:rsidP="0043316B">
            <w:pPr>
              <w:pStyle w:val="Tabletext"/>
              <w:keepNext w:val="0"/>
              <w:widowControl w:val="0"/>
            </w:pPr>
            <w:r w:rsidRPr="00D85E09">
              <w:t>mRS 5 :0.18 / 0.11</w:t>
            </w:r>
          </w:p>
        </w:tc>
        <w:tc>
          <w:tcPr>
            <w:tcW w:w="1250" w:type="pct"/>
            <w:tcBorders>
              <w:top w:val="single" w:sz="4" w:space="0" w:color="000000"/>
              <w:left w:val="single" w:sz="4" w:space="0" w:color="000000"/>
              <w:bottom w:val="single" w:sz="4" w:space="0" w:color="000000"/>
              <w:right w:val="single" w:sz="4" w:space="0" w:color="000000"/>
            </w:tcBorders>
            <w:hideMark/>
          </w:tcPr>
          <w:p w14:paraId="17512CBF" w14:textId="77777777" w:rsidR="00A41E60" w:rsidRPr="00D85E09" w:rsidRDefault="00A41E60" w:rsidP="0043316B">
            <w:pPr>
              <w:pStyle w:val="Tabletext"/>
              <w:keepNext w:val="0"/>
              <w:widowControl w:val="0"/>
            </w:pPr>
            <w:r w:rsidRPr="00D85E09">
              <w:t xml:space="preserve">No mean values reported. </w:t>
            </w:r>
          </w:p>
        </w:tc>
      </w:tr>
      <w:tr w:rsidR="00A41E60" w:rsidRPr="00D85E09" w14:paraId="08794764"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2EADA244" w14:textId="77777777" w:rsidR="00A41E60" w:rsidRPr="00D85E09" w:rsidRDefault="00A41E60" w:rsidP="0043316B">
            <w:pPr>
              <w:pStyle w:val="Tabletext"/>
              <w:keepNext w:val="0"/>
              <w:widowControl w:val="0"/>
            </w:pPr>
            <w:r w:rsidRPr="00D85E09">
              <w:t>Tengs et al 2001</w:t>
            </w:r>
          </w:p>
        </w:tc>
        <w:tc>
          <w:tcPr>
            <w:tcW w:w="1452" w:type="pct"/>
            <w:tcBorders>
              <w:top w:val="single" w:sz="4" w:space="0" w:color="000000"/>
              <w:left w:val="single" w:sz="4" w:space="0" w:color="000000"/>
              <w:bottom w:val="single" w:sz="4" w:space="0" w:color="000000"/>
              <w:right w:val="single" w:sz="4" w:space="0" w:color="000000"/>
            </w:tcBorders>
            <w:hideMark/>
          </w:tcPr>
          <w:p w14:paraId="5636CB37" w14:textId="77777777" w:rsidR="00A41E60" w:rsidRPr="00D85E09" w:rsidRDefault="00A41E60" w:rsidP="0043316B">
            <w:pPr>
              <w:pStyle w:val="Tabletext"/>
              <w:keepNext w:val="0"/>
              <w:widowControl w:val="0"/>
            </w:pPr>
            <w:r w:rsidRPr="00D85E09">
              <w:t>Literature review</w:t>
            </w:r>
          </w:p>
        </w:tc>
        <w:tc>
          <w:tcPr>
            <w:tcW w:w="1250" w:type="pct"/>
            <w:tcBorders>
              <w:top w:val="single" w:sz="4" w:space="0" w:color="000000"/>
              <w:left w:val="single" w:sz="4" w:space="0" w:color="000000"/>
              <w:bottom w:val="single" w:sz="4" w:space="0" w:color="000000"/>
              <w:right w:val="single" w:sz="4" w:space="0" w:color="000000"/>
            </w:tcBorders>
            <w:hideMark/>
          </w:tcPr>
          <w:p w14:paraId="0F1EE5E2" w14:textId="77777777" w:rsidR="00A41E60" w:rsidRPr="00D85E09" w:rsidRDefault="00A41E60" w:rsidP="0043316B">
            <w:pPr>
              <w:pStyle w:val="Tabletext"/>
              <w:keepNext w:val="0"/>
              <w:widowControl w:val="0"/>
            </w:pPr>
            <w:r w:rsidRPr="00D85E09">
              <w:t>Minor stroke: 0.45-0.92</w:t>
            </w:r>
          </w:p>
          <w:p w14:paraId="2F65CDF8" w14:textId="77777777" w:rsidR="00A41E60" w:rsidRPr="00D85E09" w:rsidRDefault="00A41E60" w:rsidP="0043316B">
            <w:pPr>
              <w:pStyle w:val="Tabletext"/>
              <w:keepNext w:val="0"/>
              <w:widowControl w:val="0"/>
            </w:pPr>
            <w:r w:rsidRPr="00D85E09">
              <w:t>Moderate stroke: 0.12-0.81</w:t>
            </w:r>
          </w:p>
          <w:p w14:paraId="6F9B65C7" w14:textId="77777777" w:rsidR="00A41E60" w:rsidRPr="00D85E09" w:rsidRDefault="00A41E60" w:rsidP="0043316B">
            <w:pPr>
              <w:pStyle w:val="Tabletext"/>
              <w:keepNext w:val="0"/>
              <w:widowControl w:val="0"/>
            </w:pPr>
            <w:r w:rsidRPr="00D85E09">
              <w:t>Major stroke: -0.02-0.71</w:t>
            </w:r>
          </w:p>
        </w:tc>
        <w:tc>
          <w:tcPr>
            <w:tcW w:w="1250" w:type="pct"/>
            <w:tcBorders>
              <w:top w:val="single" w:sz="4" w:space="0" w:color="000000"/>
              <w:left w:val="single" w:sz="4" w:space="0" w:color="000000"/>
              <w:bottom w:val="single" w:sz="4" w:space="0" w:color="000000"/>
              <w:right w:val="single" w:sz="4" w:space="0" w:color="000000"/>
            </w:tcBorders>
            <w:hideMark/>
          </w:tcPr>
          <w:p w14:paraId="379C7675" w14:textId="77777777" w:rsidR="00A41E60" w:rsidRPr="00D85E09" w:rsidRDefault="00A41E60" w:rsidP="0043316B">
            <w:pPr>
              <w:pStyle w:val="Tabletext"/>
              <w:keepNext w:val="0"/>
              <w:widowControl w:val="0"/>
            </w:pPr>
            <w:r w:rsidRPr="00D85E09">
              <w:t xml:space="preserve">Ranges reported. </w:t>
            </w:r>
          </w:p>
        </w:tc>
      </w:tr>
      <w:tr w:rsidR="00A41E60" w:rsidRPr="00D85E09" w14:paraId="094ADCC5"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2FB4757C" w14:textId="77777777" w:rsidR="00A41E60" w:rsidRPr="00D85E09" w:rsidRDefault="00A41E60" w:rsidP="0043316B">
            <w:pPr>
              <w:pStyle w:val="Tabletext"/>
              <w:keepNext w:val="0"/>
              <w:widowControl w:val="0"/>
            </w:pPr>
            <w:r w:rsidRPr="00D85E09">
              <w:t>Tengs and Lin 2003</w:t>
            </w:r>
          </w:p>
        </w:tc>
        <w:tc>
          <w:tcPr>
            <w:tcW w:w="1452" w:type="pct"/>
            <w:tcBorders>
              <w:top w:val="single" w:sz="4" w:space="0" w:color="000000"/>
              <w:left w:val="single" w:sz="4" w:space="0" w:color="000000"/>
              <w:bottom w:val="single" w:sz="4" w:space="0" w:color="000000"/>
              <w:right w:val="single" w:sz="4" w:space="0" w:color="000000"/>
            </w:tcBorders>
            <w:hideMark/>
          </w:tcPr>
          <w:p w14:paraId="390BEBB1" w14:textId="373CBF21" w:rsidR="00A41E60" w:rsidRPr="00D85E09" w:rsidRDefault="00A41E60" w:rsidP="0043316B">
            <w:pPr>
              <w:pStyle w:val="Tabletext"/>
              <w:keepNext w:val="0"/>
              <w:widowControl w:val="0"/>
            </w:pPr>
            <w:r w:rsidRPr="00D85E09">
              <w:t>Meta-analysis of published evidence.</w:t>
            </w:r>
          </w:p>
          <w:p w14:paraId="195DB062" w14:textId="77777777" w:rsidR="00A41E60" w:rsidRPr="00D85E09" w:rsidRDefault="00A41E60" w:rsidP="0043316B">
            <w:pPr>
              <w:pStyle w:val="Tabletext"/>
              <w:keepNext w:val="0"/>
              <w:widowControl w:val="0"/>
            </w:pPr>
            <w:r w:rsidRPr="00D85E09">
              <w:t xml:space="preserve">A regression equation developed to estimate utility values by severity. </w:t>
            </w:r>
          </w:p>
        </w:tc>
        <w:tc>
          <w:tcPr>
            <w:tcW w:w="1250" w:type="pct"/>
            <w:tcBorders>
              <w:top w:val="single" w:sz="4" w:space="0" w:color="000000"/>
              <w:left w:val="single" w:sz="4" w:space="0" w:color="000000"/>
              <w:bottom w:val="single" w:sz="4" w:space="0" w:color="000000"/>
              <w:right w:val="single" w:sz="4" w:space="0" w:color="000000"/>
            </w:tcBorders>
            <w:hideMark/>
          </w:tcPr>
          <w:p w14:paraId="3A44533A" w14:textId="77777777" w:rsidR="00A41E60" w:rsidRPr="00D85E09" w:rsidRDefault="00A41E60" w:rsidP="0043316B">
            <w:pPr>
              <w:pStyle w:val="Tabletext"/>
              <w:keepNext w:val="0"/>
              <w:widowControl w:val="0"/>
            </w:pPr>
            <w:r w:rsidRPr="00D85E09">
              <w:t>Minor stroke: 0.87</w:t>
            </w:r>
          </w:p>
          <w:p w14:paraId="6A39B7AD" w14:textId="77777777" w:rsidR="00A41E60" w:rsidRPr="00D85E09" w:rsidRDefault="00A41E60" w:rsidP="0043316B">
            <w:pPr>
              <w:pStyle w:val="Tabletext"/>
              <w:keepNext w:val="0"/>
              <w:widowControl w:val="0"/>
            </w:pPr>
            <w:r w:rsidRPr="00D85E09">
              <w:t>Moderate stroke: 0.68</w:t>
            </w:r>
          </w:p>
          <w:p w14:paraId="43485F5C" w14:textId="77777777" w:rsidR="00A41E60" w:rsidRPr="00D85E09" w:rsidRDefault="00A41E60" w:rsidP="0043316B">
            <w:pPr>
              <w:pStyle w:val="Tabletext"/>
              <w:keepNext w:val="0"/>
              <w:widowControl w:val="0"/>
            </w:pPr>
            <w:r w:rsidRPr="00D85E09">
              <w:t>Major stroke: 0.52</w:t>
            </w:r>
          </w:p>
        </w:tc>
        <w:tc>
          <w:tcPr>
            <w:tcW w:w="1250" w:type="pct"/>
            <w:tcBorders>
              <w:top w:val="single" w:sz="4" w:space="0" w:color="000000"/>
              <w:left w:val="single" w:sz="4" w:space="0" w:color="000000"/>
              <w:bottom w:val="single" w:sz="4" w:space="0" w:color="000000"/>
              <w:right w:val="single" w:sz="4" w:space="0" w:color="000000"/>
            </w:tcBorders>
            <w:hideMark/>
          </w:tcPr>
          <w:p w14:paraId="4A7F1B65" w14:textId="77777777" w:rsidR="00A41E60" w:rsidRPr="00D85E09" w:rsidRDefault="00A41E60" w:rsidP="0043316B">
            <w:pPr>
              <w:pStyle w:val="Tabletext"/>
              <w:keepNext w:val="0"/>
              <w:widowControl w:val="0"/>
            </w:pPr>
            <w:r w:rsidRPr="00D85E09">
              <w:t xml:space="preserve">Regression analysis estimated a coefficient for severe (vs moderate) to be -0.165 and that for mild to be 0.187; based on TTO in general public. </w:t>
            </w:r>
          </w:p>
        </w:tc>
      </w:tr>
      <w:tr w:rsidR="00A41E60" w:rsidRPr="00D85E09" w14:paraId="73E184C8"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18041456" w14:textId="77777777" w:rsidR="00A41E60" w:rsidRPr="00D85E09" w:rsidRDefault="00A41E60" w:rsidP="0043316B">
            <w:pPr>
              <w:pStyle w:val="Tabletext"/>
              <w:keepNext w:val="0"/>
              <w:widowControl w:val="0"/>
            </w:pPr>
            <w:r w:rsidRPr="00D85E09">
              <w:t>van Exel et al 2004</w:t>
            </w:r>
          </w:p>
        </w:tc>
        <w:tc>
          <w:tcPr>
            <w:tcW w:w="1452" w:type="pct"/>
            <w:tcBorders>
              <w:top w:val="single" w:sz="4" w:space="0" w:color="000000"/>
              <w:left w:val="single" w:sz="4" w:space="0" w:color="000000"/>
              <w:bottom w:val="single" w:sz="4" w:space="0" w:color="000000"/>
              <w:right w:val="single" w:sz="4" w:space="0" w:color="000000"/>
            </w:tcBorders>
            <w:hideMark/>
          </w:tcPr>
          <w:p w14:paraId="6F8CE581" w14:textId="363D4BFF" w:rsidR="00A41E60" w:rsidRPr="00D85E09" w:rsidRDefault="00A41E60" w:rsidP="0043316B">
            <w:pPr>
              <w:pStyle w:val="Tabletext"/>
              <w:keepNext w:val="0"/>
              <w:widowControl w:val="0"/>
            </w:pPr>
            <w:r w:rsidRPr="00D85E09">
              <w:t>Stroke survivors (those who achieved hospital discharge) at 2 months (n=364) and 6 months (n=357) in the Netherlands.</w:t>
            </w:r>
          </w:p>
          <w:p w14:paraId="0B4D83E5" w14:textId="77777777" w:rsidR="00A41E60" w:rsidRPr="00D85E09" w:rsidRDefault="00A41E60" w:rsidP="0043316B">
            <w:pPr>
              <w:pStyle w:val="Tabletext"/>
              <w:keepNext w:val="0"/>
              <w:widowControl w:val="0"/>
            </w:pPr>
            <w:r w:rsidRPr="00D85E09">
              <w:t>EQ5D</w:t>
            </w:r>
          </w:p>
          <w:p w14:paraId="37C9AFC0" w14:textId="77777777" w:rsidR="00A41E60" w:rsidRPr="00D85E09" w:rsidRDefault="00A41E60" w:rsidP="0043316B">
            <w:pPr>
              <w:pStyle w:val="Tabletext"/>
              <w:keepNext w:val="0"/>
              <w:widowControl w:val="0"/>
            </w:pPr>
            <w:r w:rsidRPr="00D85E09">
              <w:t>Stroke severity defined by Barthel Index (BI)</w:t>
            </w:r>
          </w:p>
        </w:tc>
        <w:tc>
          <w:tcPr>
            <w:tcW w:w="1250" w:type="pct"/>
            <w:tcBorders>
              <w:top w:val="single" w:sz="4" w:space="0" w:color="000000"/>
              <w:left w:val="single" w:sz="4" w:space="0" w:color="000000"/>
              <w:bottom w:val="single" w:sz="4" w:space="0" w:color="000000"/>
              <w:right w:val="single" w:sz="4" w:space="0" w:color="000000"/>
            </w:tcBorders>
            <w:hideMark/>
          </w:tcPr>
          <w:p w14:paraId="4F681E22" w14:textId="77777777" w:rsidR="00A41E60" w:rsidRPr="00D85E09" w:rsidRDefault="00A41E60" w:rsidP="0043316B">
            <w:pPr>
              <w:pStyle w:val="Tabletext"/>
              <w:keepNext w:val="0"/>
              <w:widowControl w:val="0"/>
            </w:pPr>
            <w:r w:rsidRPr="00D85E09">
              <w:t>Mean utility values at 2 months / 6 months / combined:</w:t>
            </w:r>
          </w:p>
          <w:p w14:paraId="6858DFD5" w14:textId="77777777" w:rsidR="00A41E60" w:rsidRPr="00D85E09" w:rsidRDefault="00A41E60" w:rsidP="0043316B">
            <w:pPr>
              <w:pStyle w:val="Tabletext"/>
              <w:keepNext w:val="0"/>
              <w:widowControl w:val="0"/>
            </w:pPr>
            <w:r w:rsidRPr="00D85E09">
              <w:t>Independent (BI 20): 0.76 / 0.81 / 0.78</w:t>
            </w:r>
          </w:p>
          <w:p w14:paraId="348FD448" w14:textId="77777777" w:rsidR="00A41E60" w:rsidRPr="00D85E09" w:rsidRDefault="00A41E60" w:rsidP="0043316B">
            <w:pPr>
              <w:pStyle w:val="Tabletext"/>
              <w:keepNext w:val="0"/>
              <w:widowControl w:val="0"/>
            </w:pPr>
            <w:r w:rsidRPr="00D85E09">
              <w:t>Mild (BI 15-19): 0.61 / 0.56 / 0.58</w:t>
            </w:r>
          </w:p>
          <w:p w14:paraId="0CCFA933" w14:textId="77777777" w:rsidR="00A41E60" w:rsidRPr="00D85E09" w:rsidRDefault="00A41E60" w:rsidP="0043316B">
            <w:pPr>
              <w:pStyle w:val="Tabletext"/>
              <w:keepNext w:val="0"/>
              <w:widowControl w:val="0"/>
            </w:pPr>
            <w:r w:rsidRPr="00D85E09">
              <w:t>Moderate (BI 10-14): 0.41 / 0.33 / 0.31</w:t>
            </w:r>
          </w:p>
          <w:p w14:paraId="159AB13E" w14:textId="77777777" w:rsidR="00A41E60" w:rsidRPr="00D85E09" w:rsidRDefault="00A41E60" w:rsidP="0043316B">
            <w:pPr>
              <w:pStyle w:val="Tabletext"/>
              <w:keepNext w:val="0"/>
              <w:widowControl w:val="0"/>
            </w:pPr>
            <w:r w:rsidRPr="00D85E09">
              <w:t>Severe (BI 5-9): 0.06 / 0.09 / 0.08</w:t>
            </w:r>
          </w:p>
          <w:p w14:paraId="6A8E5556" w14:textId="77777777" w:rsidR="00A41E60" w:rsidRPr="00D85E09" w:rsidRDefault="00A41E60" w:rsidP="0043316B">
            <w:pPr>
              <w:pStyle w:val="Tabletext"/>
              <w:keepNext w:val="0"/>
              <w:widowControl w:val="0"/>
            </w:pPr>
            <w:r w:rsidRPr="00D85E09">
              <w:t>Very severe (BI 0-4): -0.14 / -0.11 / -0.12</w:t>
            </w:r>
          </w:p>
        </w:tc>
        <w:tc>
          <w:tcPr>
            <w:tcW w:w="1250" w:type="pct"/>
            <w:tcBorders>
              <w:top w:val="single" w:sz="4" w:space="0" w:color="000000"/>
              <w:left w:val="single" w:sz="4" w:space="0" w:color="000000"/>
              <w:bottom w:val="single" w:sz="4" w:space="0" w:color="000000"/>
              <w:right w:val="single" w:sz="4" w:space="0" w:color="000000"/>
            </w:tcBorders>
            <w:hideMark/>
          </w:tcPr>
          <w:p w14:paraId="716CBED2" w14:textId="77777777" w:rsidR="00A41E60" w:rsidRPr="00D85E09" w:rsidRDefault="00A41E60" w:rsidP="0043316B">
            <w:pPr>
              <w:pStyle w:val="Tabletext"/>
              <w:keepNext w:val="0"/>
              <w:widowControl w:val="0"/>
            </w:pPr>
            <w:r w:rsidRPr="00D85E09">
              <w:t xml:space="preserve">Relatively small changes between 2 months and 6 months. </w:t>
            </w:r>
          </w:p>
        </w:tc>
      </w:tr>
      <w:tr w:rsidR="00A41E60" w:rsidRPr="00D85E09" w14:paraId="356FC892"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2DAFEEA9" w14:textId="77777777" w:rsidR="00A41E60" w:rsidRPr="00D85E09" w:rsidRDefault="00A41E60" w:rsidP="0043316B">
            <w:pPr>
              <w:pStyle w:val="Tabletext"/>
              <w:keepNext w:val="0"/>
              <w:widowControl w:val="0"/>
            </w:pPr>
            <w:r w:rsidRPr="00D85E09">
              <w:t>Warren et al 2003</w:t>
            </w:r>
          </w:p>
        </w:tc>
        <w:tc>
          <w:tcPr>
            <w:tcW w:w="1452" w:type="pct"/>
            <w:tcBorders>
              <w:top w:val="single" w:sz="4" w:space="0" w:color="000000"/>
              <w:left w:val="single" w:sz="4" w:space="0" w:color="000000"/>
              <w:bottom w:val="single" w:sz="4" w:space="0" w:color="000000"/>
              <w:right w:val="single" w:sz="4" w:space="0" w:color="000000"/>
            </w:tcBorders>
            <w:hideMark/>
          </w:tcPr>
          <w:p w14:paraId="51638290" w14:textId="71001719" w:rsidR="00A41E60" w:rsidRPr="00D85E09" w:rsidRDefault="00A41E60" w:rsidP="0043316B">
            <w:pPr>
              <w:pStyle w:val="Tabletext"/>
              <w:keepNext w:val="0"/>
              <w:widowControl w:val="0"/>
            </w:pPr>
            <w:r w:rsidRPr="00D85E09">
              <w:t>Prospective patients evaluated for extracranial carotid artery stenosis in US.</w:t>
            </w:r>
          </w:p>
          <w:p w14:paraId="7194BEDA" w14:textId="77777777" w:rsidR="00A41E60" w:rsidRPr="00D85E09" w:rsidRDefault="00A41E60" w:rsidP="0043316B">
            <w:pPr>
              <w:pStyle w:val="Tabletext"/>
              <w:keepNext w:val="0"/>
              <w:widowControl w:val="0"/>
            </w:pPr>
            <w:r w:rsidRPr="00D85E09">
              <w:lastRenderedPageBreak/>
              <w:t>TTO</w:t>
            </w:r>
          </w:p>
          <w:p w14:paraId="726AAAA7" w14:textId="77777777" w:rsidR="00A41E60" w:rsidRPr="00D85E09" w:rsidRDefault="00A41E60" w:rsidP="0043316B">
            <w:pPr>
              <w:pStyle w:val="Tabletext"/>
              <w:keepNext w:val="0"/>
              <w:widowControl w:val="0"/>
            </w:pPr>
            <w:r w:rsidRPr="00D85E09">
              <w:t>n=43</w:t>
            </w:r>
          </w:p>
        </w:tc>
        <w:tc>
          <w:tcPr>
            <w:tcW w:w="1250" w:type="pct"/>
            <w:tcBorders>
              <w:top w:val="single" w:sz="4" w:space="0" w:color="000000"/>
              <w:left w:val="single" w:sz="4" w:space="0" w:color="000000"/>
              <w:bottom w:val="single" w:sz="4" w:space="0" w:color="000000"/>
              <w:right w:val="single" w:sz="4" w:space="0" w:color="000000"/>
            </w:tcBorders>
          </w:tcPr>
          <w:p w14:paraId="0121B372" w14:textId="77777777" w:rsidR="00A41E60" w:rsidRPr="00D85E09" w:rsidRDefault="00A41E60" w:rsidP="0043316B">
            <w:pPr>
              <w:pStyle w:val="Tabletext"/>
              <w:keepNext w:val="0"/>
              <w:widowControl w:val="0"/>
            </w:pPr>
            <w:r w:rsidRPr="00D85E09">
              <w:lastRenderedPageBreak/>
              <w:t>Minor non-disabling stoke: 0.797</w:t>
            </w:r>
          </w:p>
          <w:p w14:paraId="04EDC9C0" w14:textId="77777777" w:rsidR="00A41E60" w:rsidRPr="00D85E09" w:rsidRDefault="00A41E60" w:rsidP="0043316B">
            <w:pPr>
              <w:pStyle w:val="Tabletext"/>
              <w:keepNext w:val="0"/>
              <w:widowControl w:val="0"/>
            </w:pPr>
            <w:r w:rsidRPr="00D85E09">
              <w:t xml:space="preserve">Major disabling stroke: </w:t>
            </w:r>
            <w:r w:rsidRPr="00D85E09">
              <w:lastRenderedPageBreak/>
              <w:t>0.520</w:t>
            </w:r>
          </w:p>
          <w:p w14:paraId="31617A1B" w14:textId="77777777" w:rsidR="00A41E60" w:rsidRPr="00D85E09" w:rsidRDefault="00A41E60" w:rsidP="0043316B">
            <w:pPr>
              <w:pStyle w:val="Tabletext"/>
              <w:keepNext w:val="0"/>
              <w:widowControl w:val="0"/>
            </w:pPr>
          </w:p>
        </w:tc>
        <w:tc>
          <w:tcPr>
            <w:tcW w:w="1250" w:type="pct"/>
            <w:tcBorders>
              <w:top w:val="single" w:sz="4" w:space="0" w:color="000000"/>
              <w:left w:val="single" w:sz="4" w:space="0" w:color="000000"/>
              <w:bottom w:val="single" w:sz="4" w:space="0" w:color="000000"/>
              <w:right w:val="single" w:sz="4" w:space="0" w:color="000000"/>
            </w:tcBorders>
            <w:hideMark/>
          </w:tcPr>
          <w:p w14:paraId="03963B5B" w14:textId="77777777" w:rsidR="00A41E60" w:rsidRPr="00D85E09" w:rsidRDefault="00A41E60" w:rsidP="0043316B">
            <w:pPr>
              <w:pStyle w:val="Tabletext"/>
              <w:keepNext w:val="0"/>
              <w:widowControl w:val="0"/>
            </w:pPr>
            <w:r w:rsidRPr="00D85E09">
              <w:lastRenderedPageBreak/>
              <w:t xml:space="preserve">“At risk” patients (i.e., extracranial carotid artery stenosis). </w:t>
            </w:r>
          </w:p>
        </w:tc>
      </w:tr>
      <w:tr w:rsidR="00A41E60" w:rsidRPr="00D85E09" w14:paraId="4FC78B0D" w14:textId="77777777" w:rsidTr="00A41E60">
        <w:tc>
          <w:tcPr>
            <w:tcW w:w="5000" w:type="pct"/>
            <w:gridSpan w:val="4"/>
            <w:tcBorders>
              <w:top w:val="single" w:sz="4" w:space="0" w:color="000000"/>
              <w:left w:val="single" w:sz="4" w:space="0" w:color="000000"/>
              <w:bottom w:val="single" w:sz="4" w:space="0" w:color="000000"/>
              <w:right w:val="single" w:sz="4" w:space="0" w:color="000000"/>
            </w:tcBorders>
            <w:hideMark/>
          </w:tcPr>
          <w:p w14:paraId="1C6E5535" w14:textId="77777777" w:rsidR="00A41E60" w:rsidRPr="00D85E09" w:rsidRDefault="00A41E60" w:rsidP="0043316B">
            <w:pPr>
              <w:pStyle w:val="Tabletext"/>
              <w:keepNext w:val="0"/>
              <w:widowControl w:val="0"/>
              <w:rPr>
                <w:b/>
                <w:i/>
              </w:rPr>
            </w:pPr>
            <w:r w:rsidRPr="00D85E09">
              <w:rPr>
                <w:b/>
                <w:i/>
              </w:rPr>
              <w:lastRenderedPageBreak/>
              <w:t>Identified via supplementary ad-hoc search</w:t>
            </w:r>
          </w:p>
        </w:tc>
      </w:tr>
      <w:tr w:rsidR="00A41E60" w:rsidRPr="00D85E09" w14:paraId="2573DBB7" w14:textId="77777777" w:rsidTr="00A41E60">
        <w:tc>
          <w:tcPr>
            <w:tcW w:w="1048" w:type="pct"/>
            <w:tcBorders>
              <w:top w:val="single" w:sz="4" w:space="0" w:color="000000"/>
              <w:left w:val="single" w:sz="4" w:space="0" w:color="000000"/>
              <w:bottom w:val="single" w:sz="4" w:space="0" w:color="000000"/>
              <w:right w:val="single" w:sz="4" w:space="0" w:color="000000"/>
            </w:tcBorders>
            <w:hideMark/>
          </w:tcPr>
          <w:p w14:paraId="352E3F6D" w14:textId="77777777" w:rsidR="00A41E60" w:rsidRPr="00D85E09" w:rsidRDefault="00A41E60" w:rsidP="0043316B">
            <w:pPr>
              <w:pStyle w:val="Tabletext"/>
              <w:keepNext w:val="0"/>
              <w:widowControl w:val="0"/>
            </w:pPr>
            <w:r w:rsidRPr="00D85E09">
              <w:t>Sturm et al 2002</w:t>
            </w:r>
          </w:p>
        </w:tc>
        <w:tc>
          <w:tcPr>
            <w:tcW w:w="1452" w:type="pct"/>
            <w:tcBorders>
              <w:top w:val="single" w:sz="4" w:space="0" w:color="000000"/>
              <w:left w:val="single" w:sz="4" w:space="0" w:color="000000"/>
              <w:bottom w:val="single" w:sz="4" w:space="0" w:color="000000"/>
              <w:right w:val="single" w:sz="4" w:space="0" w:color="000000"/>
            </w:tcBorders>
            <w:hideMark/>
          </w:tcPr>
          <w:p w14:paraId="4A43F9EF" w14:textId="2E851DC2" w:rsidR="00A41E60" w:rsidRPr="00D85E09" w:rsidRDefault="00A41E60" w:rsidP="0043316B">
            <w:pPr>
              <w:pStyle w:val="Tabletext"/>
              <w:keepNext w:val="0"/>
              <w:widowControl w:val="0"/>
            </w:pPr>
            <w:r w:rsidRPr="00D85E09">
              <w:t>Stroke survivors (at 3 months) in North East Melbourne Stroke Incidence Study (NEMESIS).</w:t>
            </w:r>
          </w:p>
          <w:p w14:paraId="2CD82EA7" w14:textId="2D01B6DB" w:rsidR="00A41E60" w:rsidRPr="00D85E09" w:rsidRDefault="00A41E60" w:rsidP="0043316B">
            <w:pPr>
              <w:pStyle w:val="Tabletext"/>
              <w:keepNext w:val="0"/>
              <w:widowControl w:val="0"/>
            </w:pPr>
            <w:r w:rsidRPr="00D85E09">
              <w:t>AQoL.</w:t>
            </w:r>
          </w:p>
          <w:p w14:paraId="7C827490" w14:textId="77777777" w:rsidR="00A41E60" w:rsidRPr="00D85E09" w:rsidRDefault="00A41E60" w:rsidP="0043316B">
            <w:pPr>
              <w:pStyle w:val="Tabletext"/>
              <w:keepNext w:val="0"/>
              <w:widowControl w:val="0"/>
            </w:pPr>
            <w:r w:rsidRPr="00D85E09">
              <w:t>Stroke severity defined by Barthel Index (BI)</w:t>
            </w:r>
          </w:p>
          <w:p w14:paraId="33BEA57C" w14:textId="77777777" w:rsidR="00A41E60" w:rsidRPr="00D85E09" w:rsidRDefault="00A41E60" w:rsidP="0043316B">
            <w:pPr>
              <w:pStyle w:val="Tabletext"/>
              <w:keepNext w:val="0"/>
              <w:widowControl w:val="0"/>
            </w:pPr>
            <w:r w:rsidRPr="00D85E09">
              <w:t>n=93</w:t>
            </w:r>
          </w:p>
        </w:tc>
        <w:tc>
          <w:tcPr>
            <w:tcW w:w="1250" w:type="pct"/>
            <w:tcBorders>
              <w:top w:val="single" w:sz="4" w:space="0" w:color="000000"/>
              <w:left w:val="single" w:sz="4" w:space="0" w:color="000000"/>
              <w:bottom w:val="single" w:sz="4" w:space="0" w:color="000000"/>
              <w:right w:val="single" w:sz="4" w:space="0" w:color="000000"/>
            </w:tcBorders>
            <w:hideMark/>
          </w:tcPr>
          <w:p w14:paraId="33DF528D" w14:textId="77777777" w:rsidR="00A41E60" w:rsidRPr="00D85E09" w:rsidRDefault="00A41E60" w:rsidP="0043316B">
            <w:pPr>
              <w:pStyle w:val="Tabletext"/>
              <w:keepNext w:val="0"/>
              <w:widowControl w:val="0"/>
            </w:pPr>
            <w:r w:rsidRPr="00D85E09">
              <w:t>Mean utility values:</w:t>
            </w:r>
          </w:p>
          <w:p w14:paraId="196EB029" w14:textId="77777777" w:rsidR="00A41E60" w:rsidRPr="00D85E09" w:rsidRDefault="00A41E60" w:rsidP="0043316B">
            <w:pPr>
              <w:pStyle w:val="Tabletext"/>
              <w:keepNext w:val="0"/>
              <w:widowControl w:val="0"/>
            </w:pPr>
            <w:r w:rsidRPr="00D85E09">
              <w:t>BI 20 (independent): 0.63</w:t>
            </w:r>
          </w:p>
          <w:p w14:paraId="4668CC91" w14:textId="77777777" w:rsidR="00A41E60" w:rsidRPr="00D85E09" w:rsidRDefault="00A41E60" w:rsidP="0043316B">
            <w:pPr>
              <w:pStyle w:val="Tabletext"/>
              <w:keepNext w:val="0"/>
              <w:widowControl w:val="0"/>
            </w:pPr>
            <w:r w:rsidRPr="00D85E09">
              <w:t>BI 15-19 (mild): 0.40</w:t>
            </w:r>
          </w:p>
          <w:p w14:paraId="3D7CAEF1" w14:textId="77777777" w:rsidR="00A41E60" w:rsidRPr="00D85E09" w:rsidRDefault="00A41E60" w:rsidP="0043316B">
            <w:pPr>
              <w:pStyle w:val="Tabletext"/>
              <w:keepNext w:val="0"/>
              <w:widowControl w:val="0"/>
            </w:pPr>
            <w:r w:rsidRPr="00D85E09">
              <w:t>BI 10-14 (moderate): 0.18</w:t>
            </w:r>
          </w:p>
          <w:p w14:paraId="73502C57" w14:textId="77777777" w:rsidR="00A41E60" w:rsidRPr="00D85E09" w:rsidRDefault="00A41E60" w:rsidP="0043316B">
            <w:pPr>
              <w:pStyle w:val="Tabletext"/>
              <w:keepNext w:val="0"/>
              <w:widowControl w:val="0"/>
            </w:pPr>
            <w:r w:rsidRPr="00D85E09">
              <w:t>BI 5-9 (severe): 0.06</w:t>
            </w:r>
          </w:p>
          <w:p w14:paraId="65C1E8CF" w14:textId="77777777" w:rsidR="00A41E60" w:rsidRPr="00D85E09" w:rsidRDefault="00A41E60" w:rsidP="0043316B">
            <w:pPr>
              <w:pStyle w:val="Tabletext"/>
              <w:keepNext w:val="0"/>
              <w:widowControl w:val="0"/>
            </w:pPr>
            <w:r w:rsidRPr="00D85E09">
              <w:t>BI 0-4 (very severe): 0.02</w:t>
            </w:r>
          </w:p>
        </w:tc>
        <w:tc>
          <w:tcPr>
            <w:tcW w:w="1250" w:type="pct"/>
            <w:tcBorders>
              <w:top w:val="single" w:sz="4" w:space="0" w:color="000000"/>
              <w:left w:val="single" w:sz="4" w:space="0" w:color="000000"/>
              <w:bottom w:val="single" w:sz="4" w:space="0" w:color="000000"/>
              <w:right w:val="single" w:sz="4" w:space="0" w:color="000000"/>
            </w:tcBorders>
            <w:hideMark/>
          </w:tcPr>
          <w:p w14:paraId="5B0D39EB" w14:textId="77777777" w:rsidR="00A41E60" w:rsidRPr="00D85E09" w:rsidRDefault="00A41E60" w:rsidP="0043316B">
            <w:pPr>
              <w:pStyle w:val="Tabletext"/>
              <w:keepNext w:val="0"/>
              <w:widowControl w:val="0"/>
            </w:pPr>
            <w:r w:rsidRPr="00D85E09">
              <w:t xml:space="preserve">Mean values read from Figure 1. </w:t>
            </w:r>
          </w:p>
        </w:tc>
      </w:tr>
      <w:tr w:rsidR="00A41E60" w:rsidRPr="00D85E09" w14:paraId="16CA30C5" w14:textId="77777777" w:rsidTr="00A41E60">
        <w:tc>
          <w:tcPr>
            <w:tcW w:w="1048" w:type="pct"/>
            <w:tcBorders>
              <w:top w:val="single" w:sz="4" w:space="0" w:color="000000"/>
              <w:left w:val="single" w:sz="4" w:space="0" w:color="000000"/>
              <w:bottom w:val="single" w:sz="4" w:space="0" w:color="auto"/>
              <w:right w:val="single" w:sz="4" w:space="0" w:color="000000"/>
            </w:tcBorders>
            <w:hideMark/>
          </w:tcPr>
          <w:p w14:paraId="68C0D22C" w14:textId="77777777" w:rsidR="00A41E60" w:rsidRPr="00D85E09" w:rsidRDefault="00A41E60" w:rsidP="0043316B">
            <w:pPr>
              <w:pStyle w:val="Tabletext"/>
              <w:keepNext w:val="0"/>
              <w:widowControl w:val="0"/>
            </w:pPr>
            <w:r w:rsidRPr="00D85E09">
              <w:t>Rivero-Arias et al 2010</w:t>
            </w:r>
          </w:p>
        </w:tc>
        <w:tc>
          <w:tcPr>
            <w:tcW w:w="1452" w:type="pct"/>
            <w:tcBorders>
              <w:top w:val="single" w:sz="4" w:space="0" w:color="000000"/>
              <w:left w:val="single" w:sz="4" w:space="0" w:color="000000"/>
              <w:bottom w:val="single" w:sz="4" w:space="0" w:color="auto"/>
              <w:right w:val="single" w:sz="4" w:space="0" w:color="000000"/>
            </w:tcBorders>
            <w:hideMark/>
          </w:tcPr>
          <w:p w14:paraId="484BC1E4" w14:textId="0F74421D" w:rsidR="00A41E60" w:rsidRPr="00D85E09" w:rsidRDefault="00A41E60" w:rsidP="0043316B">
            <w:pPr>
              <w:pStyle w:val="Tabletext"/>
              <w:keepNext w:val="0"/>
              <w:widowControl w:val="0"/>
            </w:pPr>
            <w:r w:rsidRPr="00D85E09">
              <w:t>Model-based mapping of mRS to EQ-5D values based on the Oxford Vascular study (OXVASC), a large population-based cohort study in UK.</w:t>
            </w:r>
          </w:p>
          <w:p w14:paraId="1D5A34DA" w14:textId="77777777" w:rsidR="00A41E60" w:rsidRPr="00D85E09" w:rsidRDefault="00A41E60" w:rsidP="0043316B">
            <w:pPr>
              <w:pStyle w:val="Tabletext"/>
              <w:keepNext w:val="0"/>
              <w:widowControl w:val="0"/>
            </w:pPr>
            <w:r w:rsidRPr="00D85E09">
              <w:t>This analysis based on 1283 stroke and TIA patients.</w:t>
            </w:r>
          </w:p>
          <w:p w14:paraId="28AA4DB0" w14:textId="77777777" w:rsidR="00A41E60" w:rsidRPr="00D85E09" w:rsidRDefault="00A41E60" w:rsidP="0043316B">
            <w:pPr>
              <w:pStyle w:val="Tabletext"/>
              <w:keepNext w:val="0"/>
              <w:widowControl w:val="0"/>
            </w:pPr>
            <w:r w:rsidRPr="00D85E09">
              <w:t>EQ-5D</w:t>
            </w:r>
          </w:p>
        </w:tc>
        <w:tc>
          <w:tcPr>
            <w:tcW w:w="1250" w:type="pct"/>
            <w:tcBorders>
              <w:top w:val="single" w:sz="4" w:space="0" w:color="000000"/>
              <w:left w:val="single" w:sz="4" w:space="0" w:color="000000"/>
              <w:bottom w:val="single" w:sz="4" w:space="0" w:color="auto"/>
              <w:right w:val="single" w:sz="4" w:space="0" w:color="000000"/>
            </w:tcBorders>
            <w:hideMark/>
          </w:tcPr>
          <w:p w14:paraId="28731F26" w14:textId="77777777" w:rsidR="00A41E60" w:rsidRPr="00D85E09" w:rsidRDefault="00A41E60" w:rsidP="0043316B">
            <w:pPr>
              <w:pStyle w:val="Tabletext"/>
              <w:keepNext w:val="0"/>
              <w:widowControl w:val="0"/>
            </w:pPr>
            <w:r w:rsidRPr="00D85E09">
              <w:t>mRS 0: 0.936</w:t>
            </w:r>
          </w:p>
          <w:p w14:paraId="637EAFD9" w14:textId="77777777" w:rsidR="00A41E60" w:rsidRPr="00D85E09" w:rsidRDefault="00A41E60" w:rsidP="0043316B">
            <w:pPr>
              <w:pStyle w:val="Tabletext"/>
              <w:keepNext w:val="0"/>
              <w:widowControl w:val="0"/>
            </w:pPr>
            <w:r w:rsidRPr="00D85E09">
              <w:t>mRS 1: 0.817</w:t>
            </w:r>
          </w:p>
          <w:p w14:paraId="0E2CF6C5" w14:textId="77777777" w:rsidR="00A41E60" w:rsidRPr="00D85E09" w:rsidRDefault="00A41E60" w:rsidP="0043316B">
            <w:pPr>
              <w:pStyle w:val="Tabletext"/>
              <w:keepNext w:val="0"/>
              <w:widowControl w:val="0"/>
            </w:pPr>
            <w:r w:rsidRPr="00D85E09">
              <w:t>mRS 2: 0.681</w:t>
            </w:r>
          </w:p>
          <w:p w14:paraId="6E039C5C" w14:textId="77777777" w:rsidR="00A41E60" w:rsidRPr="00D85E09" w:rsidRDefault="00A41E60" w:rsidP="0043316B">
            <w:pPr>
              <w:pStyle w:val="Tabletext"/>
              <w:keepNext w:val="0"/>
              <w:widowControl w:val="0"/>
            </w:pPr>
            <w:r w:rsidRPr="00D85E09">
              <w:t>mRS 3: 0.558</w:t>
            </w:r>
          </w:p>
          <w:p w14:paraId="1B92697D" w14:textId="77777777" w:rsidR="00A41E60" w:rsidRPr="00D85E09" w:rsidRDefault="00A41E60" w:rsidP="0043316B">
            <w:pPr>
              <w:pStyle w:val="Tabletext"/>
              <w:keepNext w:val="0"/>
              <w:widowControl w:val="0"/>
            </w:pPr>
            <w:r w:rsidRPr="00D85E09">
              <w:t>mRS 4: 0.265</w:t>
            </w:r>
          </w:p>
          <w:p w14:paraId="5AE5A1D2" w14:textId="77777777" w:rsidR="00A41E60" w:rsidRPr="00D85E09" w:rsidRDefault="00A41E60" w:rsidP="0043316B">
            <w:pPr>
              <w:pStyle w:val="Tabletext"/>
              <w:keepNext w:val="0"/>
              <w:widowControl w:val="0"/>
            </w:pPr>
            <w:r w:rsidRPr="00D85E09">
              <w:t>mRS 5: -0.054</w:t>
            </w:r>
          </w:p>
        </w:tc>
        <w:tc>
          <w:tcPr>
            <w:tcW w:w="1250" w:type="pct"/>
            <w:tcBorders>
              <w:top w:val="single" w:sz="4" w:space="0" w:color="000000"/>
              <w:left w:val="single" w:sz="4" w:space="0" w:color="000000"/>
              <w:bottom w:val="single" w:sz="4" w:space="0" w:color="auto"/>
              <w:right w:val="single" w:sz="4" w:space="0" w:color="000000"/>
            </w:tcBorders>
            <w:hideMark/>
          </w:tcPr>
          <w:p w14:paraId="367DE515" w14:textId="77777777" w:rsidR="00A41E60" w:rsidRPr="00D85E09" w:rsidRDefault="00A41E60" w:rsidP="0043316B">
            <w:pPr>
              <w:pStyle w:val="Tabletext"/>
              <w:keepNext w:val="0"/>
              <w:widowControl w:val="0"/>
            </w:pPr>
            <w:r w:rsidRPr="00D85E09">
              <w:t xml:space="preserve">Mapping to utility values by regression models. </w:t>
            </w:r>
          </w:p>
        </w:tc>
      </w:tr>
    </w:tbl>
    <w:p w14:paraId="65BDBCBF" w14:textId="38131C1C" w:rsidR="00A41E60" w:rsidRPr="00D85E09" w:rsidRDefault="00A41E60" w:rsidP="0043316B">
      <w:pPr>
        <w:pStyle w:val="Tablefooter"/>
        <w:widowControl w:val="0"/>
      </w:pPr>
      <w:r w:rsidRPr="00D85E09">
        <w:t xml:space="preserve">Abbreviations: AF, arterial fibrillation; SG, standard gamble; TTO, time trade off; mRS, modified Rankin </w:t>
      </w:r>
      <w:r w:rsidR="00F67AF7" w:rsidRPr="00D85E09">
        <w:t>s</w:t>
      </w:r>
      <w:r w:rsidRPr="00D85E09">
        <w:t>core; AQoL, Assessment of Quality of Life; BI, Barthel Index; SG, standard gamble; EQ-5D,</w:t>
      </w:r>
    </w:p>
    <w:p w14:paraId="3AFEDAA8" w14:textId="323B8E8B" w:rsidR="00A41E60" w:rsidRPr="00D85E09" w:rsidRDefault="00A41E60" w:rsidP="0043316B">
      <w:pPr>
        <w:pStyle w:val="Tablefooter"/>
        <w:widowControl w:val="0"/>
      </w:pPr>
      <w:r w:rsidRPr="00D85E09">
        <w:t>Note: Gore et al (1995) also reported utility values by disability (included by Smith et al 2013); but the study was performed in patient treated for acute myocardial infarction (stroke being a complication as a result of thrombolysis). This study was excluded due to significant population differences.</w:t>
      </w:r>
    </w:p>
    <w:p w14:paraId="5E172EC1" w14:textId="77777777" w:rsidR="00A41E60" w:rsidRPr="00D85E09" w:rsidRDefault="00A41E60" w:rsidP="0043316B">
      <w:pPr>
        <w:pStyle w:val="ReportText"/>
        <w:widowControl w:val="0"/>
        <w:rPr>
          <w:lang w:val="en-AU"/>
        </w:rPr>
      </w:pPr>
    </w:p>
    <w:p w14:paraId="7D4BFFB9" w14:textId="2D331FAA" w:rsidR="00A41E60" w:rsidRPr="00D85E09" w:rsidRDefault="00A41E60" w:rsidP="0043316B">
      <w:pPr>
        <w:widowControl w:val="0"/>
      </w:pPr>
      <w:r w:rsidRPr="00D85E09">
        <w:t xml:space="preserve">A regression equation developed by Tengs and Lin 2003 (included in </w:t>
      </w:r>
      <w:r w:rsidRPr="00D85E09">
        <w:fldChar w:fldCharType="begin"/>
      </w:r>
      <w:r w:rsidRPr="00D85E09">
        <w:instrText xml:space="preserve"> REF _Ref448482207 \h  \* MERGEFORMAT </w:instrText>
      </w:r>
      <w:r w:rsidRPr="00D85E09">
        <w:fldChar w:fldCharType="separate"/>
      </w:r>
      <w:r w:rsidR="00A456ED" w:rsidRPr="00D85E09">
        <w:t xml:space="preserve">Table </w:t>
      </w:r>
      <w:r w:rsidR="00A456ED">
        <w:t>51</w:t>
      </w:r>
      <w:r w:rsidRPr="00D85E09">
        <w:fldChar w:fldCharType="end"/>
      </w:r>
      <w:r w:rsidRPr="00D85E09">
        <w:t>) to estimate utility values by stroke severity suggested an estimated utility value for minor, moderate and severe disability to be 0.87, 0.68 and 0.52, respectively. This analysis was based on a meta-analysis of published evidence for TTO results elicited from the general public (Tengs and Lin 2003).</w:t>
      </w:r>
    </w:p>
    <w:p w14:paraId="679E4494" w14:textId="6B16D845" w:rsidR="00A41E60" w:rsidRPr="00D85E09" w:rsidRDefault="00A41E60" w:rsidP="0043316B">
      <w:pPr>
        <w:widowControl w:val="0"/>
      </w:pPr>
      <w:r w:rsidRPr="00D85E09">
        <w:t>In a large EQ-5D evaluation study identified via an ad-hoc search (Rivero-Arias et al 2010), utility values for the health states ranged from 0.935 to -0.054, where a mRS score of 5 resulted in a negative utility, indicating that living with a score of mRS 5 is worse than death. As noted above, this trend was observed in other studies as well (e.g., Noto et al 2011 and Murphy et al 2001).</w:t>
      </w:r>
    </w:p>
    <w:p w14:paraId="3DB9E304" w14:textId="6B08B7FE" w:rsidR="00A41E60" w:rsidRPr="00D85E09" w:rsidRDefault="00A41E60" w:rsidP="0043316B">
      <w:pPr>
        <w:widowControl w:val="0"/>
      </w:pPr>
      <w:r w:rsidRPr="00D85E09">
        <w:t xml:space="preserve">Only two Australian studies were identified (Adams et al 2011 and Sturm et al 2002). Adams et al (2011) was only available as an abstract and the only relevant estimate reported was the utility value for mild stroke (0.78). On the other hand, based on the NEMESIS dataset, Sturm et al (2002) reported a full range of utility values by disability </w:t>
      </w:r>
      <w:r w:rsidRPr="00D85E09">
        <w:lastRenderedPageBreak/>
        <w:t>levels</w:t>
      </w:r>
      <w:r w:rsidRPr="00D85E09">
        <w:rPr>
          <w:rStyle w:val="FootnoteReference"/>
        </w:rPr>
        <w:footnoteReference w:id="3"/>
      </w:r>
      <w:r w:rsidRPr="00D85E09">
        <w:t xml:space="preserve"> elicited from 93 stroke survivors at three months. Disability level of independent, mild, moderate, severe and very severe was associated with an estimated utility value of 0.63, 0.40, 0.18, 0.06, and 0.02, respectively.</w:t>
      </w:r>
    </w:p>
    <w:p w14:paraId="1F46F6F5" w14:textId="7290B143" w:rsidR="00A41E60" w:rsidRPr="00D85E09" w:rsidRDefault="00A41E60" w:rsidP="0043316B">
      <w:pPr>
        <w:widowControl w:val="0"/>
      </w:pPr>
      <w:r w:rsidRPr="00D85E09">
        <w:fldChar w:fldCharType="begin"/>
      </w:r>
      <w:r w:rsidRPr="00D85E09">
        <w:instrText xml:space="preserve"> REF _Ref448496128 \h </w:instrText>
      </w:r>
      <w:r w:rsidRPr="00D85E09">
        <w:fldChar w:fldCharType="separate"/>
      </w:r>
      <w:r w:rsidR="00A456ED" w:rsidRPr="00D85E09">
        <w:t xml:space="preserve">Table </w:t>
      </w:r>
      <w:r w:rsidR="00A456ED">
        <w:rPr>
          <w:noProof/>
        </w:rPr>
        <w:t>52</w:t>
      </w:r>
      <w:r w:rsidRPr="00D85E09">
        <w:fldChar w:fldCharType="end"/>
      </w:r>
      <w:r w:rsidRPr="00D85E09">
        <w:t xml:space="preserve"> below shows that a range of utility data sources had been considered in the cost-effectiveness studies reported in the literature. All studies except Aronsson et al (2016) aggregated mRS groups into two (0-2 and 3-4). It is considered as preferable to include granularity in QALY calculations by having a full range of stroke disability levels (i.e., mRS 0 to 5, individually; as done in Aronsson et al 2016). The values used in the Aronsson analysis are largely in line with but have slightly larger decrements than in Sturm et al (2002); i.e., -0.08 vs 0.02 for severe disability and 0.75 vs 0.63 for independent / slight disability (Aronsson vs Sturm).</w:t>
      </w:r>
    </w:p>
    <w:p w14:paraId="007CDB11" w14:textId="323EA520" w:rsidR="00A41E60" w:rsidRPr="00D85E09" w:rsidRDefault="00A41E60" w:rsidP="0043316B">
      <w:pPr>
        <w:pStyle w:val="Caption"/>
        <w:keepNext w:val="0"/>
        <w:widowControl w:val="0"/>
        <w:rPr>
          <w:lang w:val="en-AU"/>
        </w:rPr>
      </w:pPr>
      <w:bookmarkStart w:id="410" w:name="_Ref448496128"/>
      <w:bookmarkStart w:id="411" w:name="_Toc45306538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52</w:t>
      </w:r>
      <w:r w:rsidRPr="00D85E09">
        <w:rPr>
          <w:lang w:val="en-AU"/>
        </w:rPr>
        <w:fldChar w:fldCharType="end"/>
      </w:r>
      <w:bookmarkEnd w:id="410"/>
      <w:r w:rsidRPr="00D85E09">
        <w:rPr>
          <w:lang w:val="en-AU"/>
        </w:rPr>
        <w:tab/>
        <w:t>Utility values considered in the published cost-effectiveness analyses of mechanical thrombectomy</w:t>
      </w:r>
      <w:bookmarkEnd w:id="411"/>
    </w:p>
    <w:tbl>
      <w:tblPr>
        <w:tblStyle w:val="TableGrid"/>
        <w:tblW w:w="5000" w:type="pct"/>
        <w:tblLook w:val="04A0" w:firstRow="1" w:lastRow="0" w:firstColumn="1" w:lastColumn="0" w:noHBand="0" w:noVBand="1"/>
        <w:tblDescription w:val="Table 52.Utility values considered in the published cost-effectiveness analyses of mechanical thrombectomy"/>
      </w:tblPr>
      <w:tblGrid>
        <w:gridCol w:w="1184"/>
        <w:gridCol w:w="1954"/>
        <w:gridCol w:w="1956"/>
        <w:gridCol w:w="1954"/>
        <w:gridCol w:w="1956"/>
      </w:tblGrid>
      <w:tr w:rsidR="00A41E60" w:rsidRPr="00D85E09" w14:paraId="03DDB0D5" w14:textId="77777777" w:rsidTr="00BE6331">
        <w:trPr>
          <w:tblHeader/>
        </w:trPr>
        <w:tc>
          <w:tcPr>
            <w:tcW w:w="658" w:type="pct"/>
            <w:tcBorders>
              <w:top w:val="single" w:sz="4" w:space="0" w:color="000000"/>
              <w:left w:val="single" w:sz="4" w:space="0" w:color="000000"/>
              <w:bottom w:val="single" w:sz="4" w:space="0" w:color="000000"/>
              <w:right w:val="single" w:sz="4" w:space="0" w:color="000000"/>
            </w:tcBorders>
            <w:hideMark/>
          </w:tcPr>
          <w:p w14:paraId="50ECC848" w14:textId="77777777" w:rsidR="00A41E60" w:rsidRPr="00D85E09" w:rsidRDefault="00A41E60" w:rsidP="0043316B">
            <w:pPr>
              <w:pStyle w:val="Tabletext"/>
              <w:keepNext w:val="0"/>
              <w:widowControl w:val="0"/>
            </w:pPr>
            <w:r w:rsidRPr="00D85E09">
              <w:t>mRS</w:t>
            </w:r>
          </w:p>
        </w:tc>
        <w:tc>
          <w:tcPr>
            <w:tcW w:w="1085" w:type="pct"/>
            <w:tcBorders>
              <w:top w:val="single" w:sz="4" w:space="0" w:color="000000"/>
              <w:left w:val="single" w:sz="4" w:space="0" w:color="000000"/>
              <w:bottom w:val="single" w:sz="4" w:space="0" w:color="000000"/>
              <w:right w:val="single" w:sz="4" w:space="0" w:color="000000"/>
            </w:tcBorders>
            <w:hideMark/>
          </w:tcPr>
          <w:p w14:paraId="26CC5956" w14:textId="77777777" w:rsidR="00A41E60" w:rsidRPr="00D85E09" w:rsidRDefault="00A41E60" w:rsidP="0043316B">
            <w:pPr>
              <w:pStyle w:val="Tabletext"/>
              <w:keepNext w:val="0"/>
              <w:widowControl w:val="0"/>
            </w:pPr>
            <w:r w:rsidRPr="00D85E09">
              <w:t>Aronsson 2016</w:t>
            </w:r>
          </w:p>
        </w:tc>
        <w:tc>
          <w:tcPr>
            <w:tcW w:w="1086" w:type="pct"/>
            <w:tcBorders>
              <w:top w:val="single" w:sz="4" w:space="0" w:color="000000"/>
              <w:left w:val="single" w:sz="4" w:space="0" w:color="000000"/>
              <w:bottom w:val="single" w:sz="4" w:space="0" w:color="000000"/>
              <w:right w:val="single" w:sz="4" w:space="0" w:color="000000"/>
            </w:tcBorders>
            <w:hideMark/>
          </w:tcPr>
          <w:p w14:paraId="088BFBC2" w14:textId="77777777" w:rsidR="00A41E60" w:rsidRPr="00D85E09" w:rsidRDefault="00A41E60" w:rsidP="0043316B">
            <w:pPr>
              <w:pStyle w:val="Tabletext"/>
              <w:keepNext w:val="0"/>
              <w:widowControl w:val="0"/>
            </w:pPr>
            <w:r w:rsidRPr="00D85E09">
              <w:t>Ganesalingam 2015</w:t>
            </w:r>
          </w:p>
        </w:tc>
        <w:tc>
          <w:tcPr>
            <w:tcW w:w="1085" w:type="pct"/>
            <w:tcBorders>
              <w:top w:val="single" w:sz="4" w:space="0" w:color="000000"/>
              <w:left w:val="single" w:sz="4" w:space="0" w:color="000000"/>
              <w:bottom w:val="single" w:sz="4" w:space="0" w:color="000000"/>
              <w:right w:val="single" w:sz="4" w:space="0" w:color="000000"/>
            </w:tcBorders>
            <w:hideMark/>
          </w:tcPr>
          <w:p w14:paraId="7D45E7D6" w14:textId="4EE6A450" w:rsidR="00A41E60" w:rsidRPr="00D85E09" w:rsidRDefault="00A41E60" w:rsidP="0043316B">
            <w:pPr>
              <w:pStyle w:val="Tabletext"/>
              <w:keepNext w:val="0"/>
              <w:widowControl w:val="0"/>
              <w:rPr>
                <w:lang w:eastAsia="ja-JP"/>
              </w:rPr>
            </w:pPr>
            <w:r w:rsidRPr="00D85E09">
              <w:t>Kim et al 2013 /</w:t>
            </w:r>
          </w:p>
          <w:p w14:paraId="7DDBFCF1" w14:textId="77777777" w:rsidR="00A41E60" w:rsidRPr="00D85E09" w:rsidRDefault="00A41E60" w:rsidP="0043316B">
            <w:pPr>
              <w:pStyle w:val="Tabletext"/>
              <w:keepNext w:val="0"/>
              <w:widowControl w:val="0"/>
            </w:pPr>
            <w:r w:rsidRPr="00D85E09">
              <w:t>Nguyen-Huynh and Johnstone 2013</w:t>
            </w:r>
          </w:p>
        </w:tc>
        <w:tc>
          <w:tcPr>
            <w:tcW w:w="1086" w:type="pct"/>
            <w:tcBorders>
              <w:top w:val="single" w:sz="4" w:space="0" w:color="000000"/>
              <w:left w:val="single" w:sz="4" w:space="0" w:color="000000"/>
              <w:bottom w:val="single" w:sz="4" w:space="0" w:color="000000"/>
              <w:right w:val="single" w:sz="4" w:space="0" w:color="000000"/>
            </w:tcBorders>
            <w:hideMark/>
          </w:tcPr>
          <w:p w14:paraId="7B83A1A8" w14:textId="77777777" w:rsidR="00A41E60" w:rsidRPr="00D85E09" w:rsidRDefault="00A41E60" w:rsidP="0043316B">
            <w:pPr>
              <w:pStyle w:val="Tabletext"/>
              <w:keepNext w:val="0"/>
              <w:widowControl w:val="0"/>
            </w:pPr>
            <w:r w:rsidRPr="00D85E09">
              <w:t>Patil et al 2010</w:t>
            </w:r>
          </w:p>
        </w:tc>
      </w:tr>
      <w:tr w:rsidR="00A41E60" w:rsidRPr="00D85E09" w14:paraId="06165903"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6AD58629" w14:textId="77777777" w:rsidR="00A41E60" w:rsidRPr="00D85E09" w:rsidRDefault="00A41E60" w:rsidP="0043316B">
            <w:pPr>
              <w:pStyle w:val="Tabletext"/>
              <w:keepNext w:val="0"/>
              <w:widowControl w:val="0"/>
            </w:pPr>
            <w:r w:rsidRPr="00D85E09">
              <w:t>0</w:t>
            </w:r>
          </w:p>
        </w:tc>
        <w:tc>
          <w:tcPr>
            <w:tcW w:w="1085" w:type="pct"/>
            <w:tcBorders>
              <w:top w:val="single" w:sz="4" w:space="0" w:color="000000"/>
              <w:left w:val="single" w:sz="4" w:space="0" w:color="000000"/>
              <w:bottom w:val="single" w:sz="4" w:space="0" w:color="000000"/>
              <w:right w:val="single" w:sz="4" w:space="0" w:color="000000"/>
            </w:tcBorders>
            <w:hideMark/>
          </w:tcPr>
          <w:p w14:paraId="1C88C83C" w14:textId="77777777" w:rsidR="00A41E60" w:rsidRPr="00D85E09" w:rsidRDefault="00A41E60" w:rsidP="0043316B">
            <w:pPr>
              <w:pStyle w:val="Tabletext"/>
              <w:keepNext w:val="0"/>
              <w:widowControl w:val="0"/>
            </w:pPr>
            <w:r w:rsidRPr="00D85E09">
              <w:t>0.75</w:t>
            </w:r>
          </w:p>
        </w:tc>
        <w:tc>
          <w:tcPr>
            <w:tcW w:w="1086" w:type="pct"/>
            <w:vMerge w:val="restart"/>
            <w:tcBorders>
              <w:top w:val="single" w:sz="4" w:space="0" w:color="000000"/>
              <w:left w:val="single" w:sz="4" w:space="0" w:color="000000"/>
              <w:bottom w:val="single" w:sz="4" w:space="0" w:color="000000"/>
              <w:right w:val="single" w:sz="4" w:space="0" w:color="000000"/>
            </w:tcBorders>
            <w:hideMark/>
          </w:tcPr>
          <w:p w14:paraId="46766AA8" w14:textId="77777777" w:rsidR="00A41E60" w:rsidRPr="00D85E09" w:rsidRDefault="00A41E60" w:rsidP="0043316B">
            <w:pPr>
              <w:pStyle w:val="Tabletext"/>
              <w:keepNext w:val="0"/>
              <w:widowControl w:val="0"/>
            </w:pPr>
            <w:r w:rsidRPr="00D85E09">
              <w:t>0.74</w:t>
            </w:r>
          </w:p>
        </w:tc>
        <w:tc>
          <w:tcPr>
            <w:tcW w:w="1085" w:type="pct"/>
            <w:vMerge w:val="restart"/>
            <w:tcBorders>
              <w:top w:val="single" w:sz="4" w:space="0" w:color="000000"/>
              <w:left w:val="single" w:sz="4" w:space="0" w:color="000000"/>
              <w:bottom w:val="single" w:sz="4" w:space="0" w:color="000000"/>
              <w:right w:val="single" w:sz="4" w:space="0" w:color="000000"/>
            </w:tcBorders>
            <w:hideMark/>
          </w:tcPr>
          <w:p w14:paraId="47E68619" w14:textId="77777777" w:rsidR="00A41E60" w:rsidRPr="00D85E09" w:rsidRDefault="00A41E60" w:rsidP="0043316B">
            <w:pPr>
              <w:pStyle w:val="Tabletext"/>
              <w:keepNext w:val="0"/>
              <w:widowControl w:val="0"/>
            </w:pPr>
            <w:r w:rsidRPr="00D85E09">
              <w:t>0.85</w:t>
            </w:r>
          </w:p>
        </w:tc>
        <w:tc>
          <w:tcPr>
            <w:tcW w:w="1086" w:type="pct"/>
            <w:vMerge w:val="restart"/>
            <w:tcBorders>
              <w:top w:val="single" w:sz="4" w:space="0" w:color="000000"/>
              <w:left w:val="single" w:sz="4" w:space="0" w:color="000000"/>
              <w:bottom w:val="single" w:sz="4" w:space="0" w:color="000000"/>
              <w:right w:val="single" w:sz="4" w:space="0" w:color="000000"/>
            </w:tcBorders>
            <w:hideMark/>
          </w:tcPr>
          <w:p w14:paraId="71B34977" w14:textId="77777777" w:rsidR="00A41E60" w:rsidRPr="00D85E09" w:rsidRDefault="00A41E60" w:rsidP="0043316B">
            <w:pPr>
              <w:pStyle w:val="Tabletext"/>
              <w:keepNext w:val="0"/>
              <w:widowControl w:val="0"/>
            </w:pPr>
            <w:r w:rsidRPr="00D85E09">
              <w:t>0.74</w:t>
            </w:r>
          </w:p>
        </w:tc>
      </w:tr>
      <w:tr w:rsidR="00A41E60" w:rsidRPr="00D85E09" w14:paraId="3A9CCA27"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22618875" w14:textId="77777777" w:rsidR="00A41E60" w:rsidRPr="00D85E09" w:rsidRDefault="00A41E60" w:rsidP="0043316B">
            <w:pPr>
              <w:pStyle w:val="Tabletext"/>
              <w:keepNext w:val="0"/>
              <w:widowControl w:val="0"/>
            </w:pPr>
            <w:r w:rsidRPr="00D85E09">
              <w:t>1</w:t>
            </w:r>
          </w:p>
        </w:tc>
        <w:tc>
          <w:tcPr>
            <w:tcW w:w="1085" w:type="pct"/>
            <w:tcBorders>
              <w:top w:val="single" w:sz="4" w:space="0" w:color="000000"/>
              <w:left w:val="single" w:sz="4" w:space="0" w:color="000000"/>
              <w:bottom w:val="single" w:sz="4" w:space="0" w:color="000000"/>
              <w:right w:val="single" w:sz="4" w:space="0" w:color="000000"/>
            </w:tcBorders>
            <w:hideMark/>
          </w:tcPr>
          <w:p w14:paraId="12BCA51B" w14:textId="77777777" w:rsidR="00A41E60" w:rsidRPr="00D85E09" w:rsidRDefault="00A41E60" w:rsidP="0043316B">
            <w:pPr>
              <w:pStyle w:val="Tabletext"/>
              <w:keepNext w:val="0"/>
              <w:widowControl w:val="0"/>
            </w:pPr>
            <w:r w:rsidRPr="00D85E09">
              <w:t>0.64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16C3EA"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6D050"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23A8C"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1B404E1"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2C0403F9" w14:textId="77777777" w:rsidR="00A41E60" w:rsidRPr="00D85E09" w:rsidRDefault="00A41E60" w:rsidP="0043316B">
            <w:pPr>
              <w:pStyle w:val="Tabletext"/>
              <w:keepNext w:val="0"/>
              <w:widowControl w:val="0"/>
            </w:pPr>
            <w:r w:rsidRPr="00D85E09">
              <w:t>2</w:t>
            </w:r>
          </w:p>
        </w:tc>
        <w:tc>
          <w:tcPr>
            <w:tcW w:w="1085" w:type="pct"/>
            <w:tcBorders>
              <w:top w:val="single" w:sz="4" w:space="0" w:color="000000"/>
              <w:left w:val="single" w:sz="4" w:space="0" w:color="000000"/>
              <w:bottom w:val="single" w:sz="4" w:space="0" w:color="000000"/>
              <w:right w:val="single" w:sz="4" w:space="0" w:color="000000"/>
            </w:tcBorders>
            <w:hideMark/>
          </w:tcPr>
          <w:p w14:paraId="31193E13" w14:textId="77777777" w:rsidR="00A41E60" w:rsidRPr="00D85E09" w:rsidRDefault="00A41E60" w:rsidP="0043316B">
            <w:pPr>
              <w:pStyle w:val="Tabletext"/>
              <w:keepNext w:val="0"/>
              <w:widowControl w:val="0"/>
            </w:pPr>
            <w:r w:rsidRPr="00D85E09">
              <w:t>0.40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F37D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E2440"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81695D"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7C7A43D1"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622BFB63" w14:textId="77777777" w:rsidR="00A41E60" w:rsidRPr="00D85E09" w:rsidRDefault="00A41E60" w:rsidP="0043316B">
            <w:pPr>
              <w:pStyle w:val="Tabletext"/>
              <w:keepNext w:val="0"/>
              <w:widowControl w:val="0"/>
            </w:pPr>
            <w:r w:rsidRPr="00D85E09">
              <w:t>3</w:t>
            </w:r>
          </w:p>
        </w:tc>
        <w:tc>
          <w:tcPr>
            <w:tcW w:w="1085" w:type="pct"/>
            <w:tcBorders>
              <w:top w:val="single" w:sz="4" w:space="0" w:color="000000"/>
              <w:left w:val="single" w:sz="4" w:space="0" w:color="000000"/>
              <w:bottom w:val="single" w:sz="4" w:space="0" w:color="000000"/>
              <w:right w:val="single" w:sz="4" w:space="0" w:color="000000"/>
            </w:tcBorders>
            <w:hideMark/>
          </w:tcPr>
          <w:p w14:paraId="4C57E206" w14:textId="77777777" w:rsidR="00A41E60" w:rsidRPr="00D85E09" w:rsidRDefault="00A41E60" w:rsidP="0043316B">
            <w:pPr>
              <w:pStyle w:val="Tabletext"/>
              <w:keepNext w:val="0"/>
              <w:widowControl w:val="0"/>
            </w:pPr>
            <w:r w:rsidRPr="00D85E09">
              <w:t>0.25</w:t>
            </w:r>
          </w:p>
        </w:tc>
        <w:tc>
          <w:tcPr>
            <w:tcW w:w="1086" w:type="pct"/>
            <w:vMerge w:val="restart"/>
            <w:tcBorders>
              <w:top w:val="single" w:sz="4" w:space="0" w:color="000000"/>
              <w:left w:val="single" w:sz="4" w:space="0" w:color="000000"/>
              <w:bottom w:val="single" w:sz="4" w:space="0" w:color="000000"/>
              <w:right w:val="single" w:sz="4" w:space="0" w:color="000000"/>
            </w:tcBorders>
            <w:hideMark/>
          </w:tcPr>
          <w:p w14:paraId="6286F0F2" w14:textId="77777777" w:rsidR="00A41E60" w:rsidRPr="00D85E09" w:rsidRDefault="00A41E60" w:rsidP="0043316B">
            <w:pPr>
              <w:pStyle w:val="Tabletext"/>
              <w:keepNext w:val="0"/>
              <w:widowControl w:val="0"/>
            </w:pPr>
            <w:r w:rsidRPr="00D85E09">
              <w:t>0.38</w:t>
            </w:r>
          </w:p>
        </w:tc>
        <w:tc>
          <w:tcPr>
            <w:tcW w:w="1085" w:type="pct"/>
            <w:vMerge w:val="restart"/>
            <w:tcBorders>
              <w:top w:val="single" w:sz="4" w:space="0" w:color="000000"/>
              <w:left w:val="single" w:sz="4" w:space="0" w:color="000000"/>
              <w:bottom w:val="single" w:sz="4" w:space="0" w:color="000000"/>
              <w:right w:val="single" w:sz="4" w:space="0" w:color="000000"/>
            </w:tcBorders>
            <w:hideMark/>
          </w:tcPr>
          <w:p w14:paraId="6DD65BE9" w14:textId="77777777" w:rsidR="00A41E60" w:rsidRPr="00D85E09" w:rsidRDefault="00A41E60" w:rsidP="0043316B">
            <w:pPr>
              <w:pStyle w:val="Tabletext"/>
              <w:keepNext w:val="0"/>
              <w:widowControl w:val="0"/>
            </w:pPr>
            <w:r w:rsidRPr="00D85E09">
              <w:t>0.27</w:t>
            </w:r>
          </w:p>
        </w:tc>
        <w:tc>
          <w:tcPr>
            <w:tcW w:w="1086" w:type="pct"/>
            <w:vMerge w:val="restart"/>
            <w:tcBorders>
              <w:top w:val="single" w:sz="4" w:space="0" w:color="000000"/>
              <w:left w:val="single" w:sz="4" w:space="0" w:color="000000"/>
              <w:bottom w:val="single" w:sz="4" w:space="0" w:color="000000"/>
              <w:right w:val="single" w:sz="4" w:space="0" w:color="000000"/>
            </w:tcBorders>
            <w:hideMark/>
          </w:tcPr>
          <w:p w14:paraId="5390FE57" w14:textId="77777777" w:rsidR="00A41E60" w:rsidRPr="00D85E09" w:rsidRDefault="00A41E60" w:rsidP="0043316B">
            <w:pPr>
              <w:pStyle w:val="Tabletext"/>
              <w:keepNext w:val="0"/>
              <w:widowControl w:val="0"/>
            </w:pPr>
            <w:r w:rsidRPr="00D85E09">
              <w:t>0.40</w:t>
            </w:r>
          </w:p>
        </w:tc>
      </w:tr>
      <w:tr w:rsidR="00A41E60" w:rsidRPr="00D85E09" w14:paraId="42BDE9C3"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79889E8F" w14:textId="77777777" w:rsidR="00A41E60" w:rsidRPr="00D85E09" w:rsidRDefault="00A41E60" w:rsidP="0043316B">
            <w:pPr>
              <w:pStyle w:val="Tabletext"/>
              <w:keepNext w:val="0"/>
              <w:widowControl w:val="0"/>
            </w:pPr>
            <w:r w:rsidRPr="00D85E09">
              <w:t>4</w:t>
            </w:r>
          </w:p>
        </w:tc>
        <w:tc>
          <w:tcPr>
            <w:tcW w:w="1085" w:type="pct"/>
            <w:tcBorders>
              <w:top w:val="single" w:sz="4" w:space="0" w:color="000000"/>
              <w:left w:val="single" w:sz="4" w:space="0" w:color="000000"/>
              <w:bottom w:val="single" w:sz="4" w:space="0" w:color="000000"/>
              <w:right w:val="single" w:sz="4" w:space="0" w:color="000000"/>
            </w:tcBorders>
            <w:hideMark/>
          </w:tcPr>
          <w:p w14:paraId="0937DB0C" w14:textId="77777777" w:rsidR="00A41E60" w:rsidRPr="00D85E09" w:rsidRDefault="00A41E60" w:rsidP="0043316B">
            <w:pPr>
              <w:pStyle w:val="Tabletext"/>
              <w:keepNext w:val="0"/>
              <w:widowControl w:val="0"/>
            </w:pPr>
            <w:r w:rsidRPr="00D85E09">
              <w:t>0.17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B2204"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4D84E"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B14E8"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78DD1FEE"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0ABDC3D2" w14:textId="77777777" w:rsidR="00A41E60" w:rsidRPr="00D85E09" w:rsidRDefault="00A41E60" w:rsidP="0043316B">
            <w:pPr>
              <w:pStyle w:val="Tabletext"/>
              <w:keepNext w:val="0"/>
              <w:widowControl w:val="0"/>
            </w:pPr>
            <w:r w:rsidRPr="00D85E09">
              <w:t>5</w:t>
            </w:r>
          </w:p>
        </w:tc>
        <w:tc>
          <w:tcPr>
            <w:tcW w:w="1085" w:type="pct"/>
            <w:tcBorders>
              <w:top w:val="single" w:sz="4" w:space="0" w:color="000000"/>
              <w:left w:val="single" w:sz="4" w:space="0" w:color="000000"/>
              <w:bottom w:val="single" w:sz="4" w:space="0" w:color="000000"/>
              <w:right w:val="single" w:sz="4" w:space="0" w:color="000000"/>
            </w:tcBorders>
            <w:hideMark/>
          </w:tcPr>
          <w:p w14:paraId="2D0E0AEF" w14:textId="77777777" w:rsidR="00A41E60" w:rsidRPr="00D85E09" w:rsidRDefault="00A41E60" w:rsidP="0043316B">
            <w:pPr>
              <w:pStyle w:val="Tabletext"/>
              <w:keepNext w:val="0"/>
              <w:widowControl w:val="0"/>
            </w:pPr>
            <w:r w:rsidRPr="00D85E09">
              <w:t>-0.08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C63CC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682D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A68F8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A3F3735" w14:textId="77777777" w:rsidTr="00A41E60">
        <w:tc>
          <w:tcPr>
            <w:tcW w:w="658" w:type="pct"/>
            <w:tcBorders>
              <w:top w:val="single" w:sz="4" w:space="0" w:color="000000"/>
              <w:left w:val="single" w:sz="4" w:space="0" w:color="000000"/>
              <w:bottom w:val="single" w:sz="4" w:space="0" w:color="000000"/>
              <w:right w:val="single" w:sz="4" w:space="0" w:color="000000"/>
            </w:tcBorders>
            <w:hideMark/>
          </w:tcPr>
          <w:p w14:paraId="561EF142" w14:textId="77777777" w:rsidR="00A41E60" w:rsidRPr="00D85E09" w:rsidRDefault="00A41E60" w:rsidP="0043316B">
            <w:pPr>
              <w:pStyle w:val="Tabletext"/>
              <w:keepNext w:val="0"/>
              <w:widowControl w:val="0"/>
            </w:pPr>
            <w:r w:rsidRPr="00D85E09">
              <w:t>Source / methodology</w:t>
            </w:r>
          </w:p>
        </w:tc>
        <w:tc>
          <w:tcPr>
            <w:tcW w:w="1085" w:type="pct"/>
            <w:tcBorders>
              <w:top w:val="single" w:sz="4" w:space="0" w:color="000000"/>
              <w:left w:val="single" w:sz="4" w:space="0" w:color="000000"/>
              <w:bottom w:val="single" w:sz="4" w:space="0" w:color="000000"/>
              <w:right w:val="single" w:sz="4" w:space="0" w:color="000000"/>
            </w:tcBorders>
            <w:hideMark/>
          </w:tcPr>
          <w:p w14:paraId="7C1A5E4B" w14:textId="4D6A825E" w:rsidR="00A41E60" w:rsidRPr="00D85E09" w:rsidRDefault="00A41E60" w:rsidP="0043316B">
            <w:pPr>
              <w:pStyle w:val="Tabletext"/>
              <w:keepNext w:val="0"/>
              <w:widowControl w:val="0"/>
            </w:pPr>
            <w:r w:rsidRPr="00D85E09">
              <w:t>Dewilde et al 2014</w:t>
            </w:r>
          </w:p>
          <w:p w14:paraId="1AA063FA" w14:textId="77777777" w:rsidR="00A41E60" w:rsidRPr="00D85E09" w:rsidRDefault="00A41E60" w:rsidP="0043316B">
            <w:pPr>
              <w:pStyle w:val="Tabletext"/>
              <w:keepNext w:val="0"/>
              <w:widowControl w:val="0"/>
            </w:pPr>
            <w:r w:rsidRPr="00D85E09">
              <w:t>Stroke survivors in 10 Swedish hospitals (n=569).</w:t>
            </w:r>
          </w:p>
          <w:p w14:paraId="162823B2" w14:textId="77777777" w:rsidR="00A41E60" w:rsidRPr="00D85E09" w:rsidRDefault="00A41E60" w:rsidP="0043316B">
            <w:pPr>
              <w:pStyle w:val="Tabletext"/>
              <w:keepNext w:val="0"/>
              <w:widowControl w:val="0"/>
            </w:pPr>
            <w:r w:rsidRPr="00D85E09">
              <w:t>EQ5D</w:t>
            </w:r>
          </w:p>
        </w:tc>
        <w:tc>
          <w:tcPr>
            <w:tcW w:w="1086" w:type="pct"/>
            <w:tcBorders>
              <w:top w:val="single" w:sz="4" w:space="0" w:color="000000"/>
              <w:left w:val="single" w:sz="4" w:space="0" w:color="000000"/>
              <w:bottom w:val="single" w:sz="4" w:space="0" w:color="000000"/>
              <w:right w:val="single" w:sz="4" w:space="0" w:color="000000"/>
            </w:tcBorders>
            <w:hideMark/>
          </w:tcPr>
          <w:p w14:paraId="1CEE2E25" w14:textId="77777777" w:rsidR="00A41E60" w:rsidRPr="00D85E09" w:rsidRDefault="00A41E60" w:rsidP="0043316B">
            <w:pPr>
              <w:pStyle w:val="Tabletext"/>
              <w:keepNext w:val="0"/>
              <w:widowControl w:val="0"/>
            </w:pPr>
            <w:r w:rsidRPr="00D85E09">
              <w:t>Dorman et al 1997</w:t>
            </w:r>
          </w:p>
          <w:p w14:paraId="786D0A0B" w14:textId="372908CD" w:rsidR="00A41E60" w:rsidRPr="00D85E09" w:rsidRDefault="00A41E60" w:rsidP="0043316B">
            <w:pPr>
              <w:pStyle w:val="Tabletext"/>
              <w:keepNext w:val="0"/>
              <w:widowControl w:val="0"/>
            </w:pPr>
            <w:r w:rsidRPr="00D85E09">
              <w:t>Stroke survivors with no severe communication difficulties in UK (n=146).</w:t>
            </w:r>
          </w:p>
          <w:p w14:paraId="0A274894" w14:textId="36E7A5D9" w:rsidR="00A41E60" w:rsidRPr="00D85E09" w:rsidRDefault="00A41E60" w:rsidP="0043316B">
            <w:pPr>
              <w:pStyle w:val="Tabletext"/>
              <w:keepNext w:val="0"/>
              <w:widowControl w:val="0"/>
            </w:pPr>
            <w:r w:rsidRPr="00D85E09">
              <w:t>Face to face interview by a nurse.</w:t>
            </w:r>
          </w:p>
          <w:p w14:paraId="2017FD8E" w14:textId="77777777" w:rsidR="00A41E60" w:rsidRPr="00D85E09" w:rsidRDefault="00A41E60" w:rsidP="0043316B">
            <w:pPr>
              <w:pStyle w:val="Tabletext"/>
              <w:keepNext w:val="0"/>
              <w:widowControl w:val="0"/>
            </w:pPr>
            <w:r w:rsidRPr="00D85E09">
              <w:t>n=146</w:t>
            </w:r>
          </w:p>
          <w:p w14:paraId="5366F55F" w14:textId="77777777" w:rsidR="00A41E60" w:rsidRPr="00D85E09" w:rsidRDefault="00A41E60" w:rsidP="0043316B">
            <w:pPr>
              <w:pStyle w:val="Tabletext"/>
              <w:keepNext w:val="0"/>
              <w:widowControl w:val="0"/>
            </w:pPr>
            <w:r w:rsidRPr="00D85E09">
              <w:t>Six patients were excluded due to severe communication difficulties.</w:t>
            </w:r>
          </w:p>
          <w:p w14:paraId="2FE00D9D" w14:textId="77777777" w:rsidR="00A41E60" w:rsidRPr="00D85E09" w:rsidRDefault="00A41E60" w:rsidP="0043316B">
            <w:pPr>
              <w:pStyle w:val="Tabletext"/>
              <w:keepNext w:val="0"/>
              <w:widowControl w:val="0"/>
            </w:pPr>
            <w:r w:rsidRPr="00D85E09">
              <w:t>EQ5D</w:t>
            </w:r>
          </w:p>
        </w:tc>
        <w:tc>
          <w:tcPr>
            <w:tcW w:w="1085" w:type="pct"/>
            <w:tcBorders>
              <w:top w:val="single" w:sz="4" w:space="0" w:color="000000"/>
              <w:left w:val="single" w:sz="4" w:space="0" w:color="000000"/>
              <w:bottom w:val="single" w:sz="4" w:space="0" w:color="000000"/>
              <w:right w:val="single" w:sz="4" w:space="0" w:color="000000"/>
            </w:tcBorders>
            <w:hideMark/>
          </w:tcPr>
          <w:p w14:paraId="4176FA2E" w14:textId="77777777" w:rsidR="00A41E60" w:rsidRPr="00D85E09" w:rsidRDefault="00A41E60" w:rsidP="0043316B">
            <w:pPr>
              <w:pStyle w:val="Tabletext"/>
              <w:keepNext w:val="0"/>
              <w:widowControl w:val="0"/>
            </w:pPr>
            <w:r w:rsidRPr="00D85E09">
              <w:t>While the authors reference to other cost-effectiveness evaluations, the original source appears to be Gage et al 1993 (abstract only; could not be obtained).</w:t>
            </w:r>
          </w:p>
          <w:p w14:paraId="0C688EC1" w14:textId="728D0C4B" w:rsidR="00A41E60" w:rsidRPr="00D85E09" w:rsidRDefault="00A41E60" w:rsidP="0043316B">
            <w:pPr>
              <w:pStyle w:val="Tabletext"/>
              <w:keepNext w:val="0"/>
              <w:widowControl w:val="0"/>
            </w:pPr>
            <w:r w:rsidRPr="00D85E09">
              <w:t xml:space="preserve">It appears Gage et al 1996 (included in </w:t>
            </w:r>
            <w:r w:rsidRPr="00D85E09">
              <w:fldChar w:fldCharType="begin"/>
            </w:r>
            <w:r w:rsidRPr="00D85E09">
              <w:instrText xml:space="preserve"> REF _Ref448482207 \h </w:instrText>
            </w:r>
            <w:r w:rsidRPr="00D85E09">
              <w:fldChar w:fldCharType="separate"/>
            </w:r>
            <w:r w:rsidR="00A456ED" w:rsidRPr="00D85E09">
              <w:rPr>
                <w:lang w:val="en-AU"/>
              </w:rPr>
              <w:t xml:space="preserve">Table </w:t>
            </w:r>
            <w:r w:rsidR="00A456ED">
              <w:rPr>
                <w:noProof/>
                <w:lang w:val="en-AU"/>
              </w:rPr>
              <w:t>51</w:t>
            </w:r>
            <w:r w:rsidRPr="00D85E09">
              <w:fldChar w:fldCharType="end"/>
            </w:r>
            <w:r w:rsidRPr="00D85E09">
              <w:t xml:space="preserve"> above) employed a similar methodology. </w:t>
            </w:r>
          </w:p>
        </w:tc>
        <w:tc>
          <w:tcPr>
            <w:tcW w:w="1086" w:type="pct"/>
            <w:tcBorders>
              <w:top w:val="single" w:sz="4" w:space="0" w:color="000000"/>
              <w:left w:val="single" w:sz="4" w:space="0" w:color="000000"/>
              <w:bottom w:val="single" w:sz="4" w:space="0" w:color="000000"/>
              <w:right w:val="single" w:sz="4" w:space="0" w:color="000000"/>
            </w:tcBorders>
            <w:hideMark/>
          </w:tcPr>
          <w:p w14:paraId="22394600" w14:textId="77777777" w:rsidR="00A41E60" w:rsidRPr="00D85E09" w:rsidRDefault="00A41E60" w:rsidP="0043316B">
            <w:pPr>
              <w:pStyle w:val="Tabletext"/>
              <w:keepNext w:val="0"/>
              <w:widowControl w:val="0"/>
            </w:pPr>
            <w:r w:rsidRPr="00D85E09">
              <w:t>Hacke et al 2004 (utility values appear to be data on file).</w:t>
            </w:r>
          </w:p>
        </w:tc>
      </w:tr>
    </w:tbl>
    <w:p w14:paraId="3635B17D" w14:textId="77777777" w:rsidR="00A41E60" w:rsidRPr="00D85E09" w:rsidRDefault="00A41E60" w:rsidP="0043316B">
      <w:pPr>
        <w:widowControl w:val="0"/>
      </w:pPr>
    </w:p>
    <w:p w14:paraId="44E6DBF5" w14:textId="4B01A4AA" w:rsidR="00A41E60" w:rsidRPr="00D85E09" w:rsidRDefault="00A41E60" w:rsidP="0043316B">
      <w:pPr>
        <w:widowControl w:val="0"/>
        <w:rPr>
          <w:i/>
        </w:rPr>
      </w:pPr>
      <w:r w:rsidRPr="00D85E09">
        <w:rPr>
          <w:i/>
        </w:rPr>
        <w:lastRenderedPageBreak/>
        <w:t>Sturm et al (2002) is selected as the base case source of utility values for the current Section D because it offers provides locally</w:t>
      </w:r>
      <w:r w:rsidR="00D32933" w:rsidRPr="00D85E09">
        <w:rPr>
          <w:i/>
        </w:rPr>
        <w:t>-</w:t>
      </w:r>
      <w:r w:rsidRPr="00D85E09">
        <w:rPr>
          <w:i/>
        </w:rPr>
        <w:t>relevant values (providing a superior applicability over other studies). Also, it reported a full range of disability levels, providing granularity in QALY calculations. It is acknowledged that the utility values in this study was stratified by the BI scores (i.e., 0 corresponds to complete dependence, while 20 is equivalent to total independence). It is assumed that the dependency stratification provided by Sturm et al (2002) is applicable to the disability stratification by mRS.</w:t>
      </w:r>
    </w:p>
    <w:p w14:paraId="42CAB24F"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12" w:name="_Toc453065290"/>
      <w:r w:rsidRPr="00D85E09">
        <w:rPr>
          <w:lang w:val="en-AU"/>
        </w:rPr>
        <w:t>Relationship of the pre-modelling study to the economic model</w:t>
      </w:r>
      <w:bookmarkEnd w:id="412"/>
    </w:p>
    <w:p w14:paraId="752755D1" w14:textId="382F41CA" w:rsidR="00A41E60" w:rsidRPr="00D85E09" w:rsidRDefault="00A41E60" w:rsidP="0043316B">
      <w:pPr>
        <w:widowControl w:val="0"/>
      </w:pPr>
      <w:r w:rsidRPr="00D85E09">
        <w:fldChar w:fldCharType="begin"/>
      </w:r>
      <w:r w:rsidRPr="00D85E09">
        <w:instrText xml:space="preserve"> REF _Ref448499506 \h </w:instrText>
      </w:r>
      <w:r w:rsidRPr="00D85E09">
        <w:fldChar w:fldCharType="separate"/>
      </w:r>
      <w:r w:rsidR="00A456ED" w:rsidRPr="00D85E09">
        <w:t xml:space="preserve">Table </w:t>
      </w:r>
      <w:r w:rsidR="00A456ED">
        <w:rPr>
          <w:noProof/>
        </w:rPr>
        <w:t>53</w:t>
      </w:r>
      <w:r w:rsidRPr="00D85E09">
        <w:fldChar w:fldCharType="end"/>
      </w:r>
      <w:r w:rsidRPr="00D85E09">
        <w:t xml:space="preserve"> summarises utility values informing the base case analysis presented in Section D. As discussed above, Sturm et al (2002) is selected as the base case source of utility values. Sensitivity analysis will examine other data sources.</w:t>
      </w:r>
    </w:p>
    <w:p w14:paraId="011419F5" w14:textId="0531E277" w:rsidR="00A41E60" w:rsidRPr="00D85E09" w:rsidRDefault="00A41E60" w:rsidP="0043316B">
      <w:pPr>
        <w:widowControl w:val="0"/>
      </w:pPr>
      <w:r w:rsidRPr="00D85E09">
        <w:t>It is acknowledged that none of the reported utility values specifically relate to the patient population for which the listing of mechanical thrombectomy is requested. Nonetheless, the QoL of patients should be primarily dependent on the on-going disability levels, and the mode of thrombolysis or other acute care (e.g., mechanical vs pharmacological / medical) should not have persisting impacts; providing support to the employed values.</w:t>
      </w:r>
    </w:p>
    <w:p w14:paraId="7B34762F" w14:textId="43BA796B" w:rsidR="00A41E60" w:rsidRPr="00D85E09" w:rsidRDefault="00A41E60" w:rsidP="0043316B">
      <w:pPr>
        <w:pStyle w:val="Caption"/>
        <w:keepNext w:val="0"/>
        <w:widowControl w:val="0"/>
        <w:rPr>
          <w:lang w:val="en-AU"/>
        </w:rPr>
      </w:pPr>
      <w:bookmarkStart w:id="413" w:name="_Ref448499506"/>
      <w:bookmarkStart w:id="414" w:name="_Toc45306538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53</w:t>
      </w:r>
      <w:r w:rsidRPr="00D85E09">
        <w:rPr>
          <w:lang w:val="en-AU"/>
        </w:rPr>
        <w:fldChar w:fldCharType="end"/>
      </w:r>
      <w:bookmarkEnd w:id="413"/>
      <w:r w:rsidRPr="00D85E09">
        <w:rPr>
          <w:lang w:val="en-AU"/>
        </w:rPr>
        <w:tab/>
        <w:t>Summary of utility inputs for the Section D cost-effectiveness model</w:t>
      </w:r>
      <w:bookmarkEnd w:id="414"/>
    </w:p>
    <w:tbl>
      <w:tblPr>
        <w:tblStyle w:val="TableGrid"/>
        <w:tblW w:w="5000" w:type="pct"/>
        <w:tblLook w:val="04A0" w:firstRow="1" w:lastRow="0" w:firstColumn="1" w:lastColumn="0" w:noHBand="0" w:noVBand="1"/>
        <w:tblDescription w:val="Table 53. Summary of utiility inputs for the Section D cost-effectiveness model"/>
      </w:tblPr>
      <w:tblGrid>
        <w:gridCol w:w="3922"/>
        <w:gridCol w:w="2080"/>
        <w:gridCol w:w="3002"/>
      </w:tblGrid>
      <w:tr w:rsidR="00A41E60" w:rsidRPr="00D85E09" w14:paraId="2ACE40AD" w14:textId="77777777" w:rsidTr="00BE6331">
        <w:trPr>
          <w:tblHeader/>
        </w:trPr>
        <w:tc>
          <w:tcPr>
            <w:tcW w:w="2178" w:type="pct"/>
            <w:tcBorders>
              <w:top w:val="single" w:sz="4" w:space="0" w:color="000000"/>
              <w:left w:val="single" w:sz="4" w:space="0" w:color="000000"/>
              <w:bottom w:val="single" w:sz="4" w:space="0" w:color="000000"/>
              <w:right w:val="single" w:sz="4" w:space="0" w:color="000000"/>
            </w:tcBorders>
            <w:hideMark/>
          </w:tcPr>
          <w:p w14:paraId="26A6F365" w14:textId="77777777" w:rsidR="00A41E60" w:rsidRPr="00D85E09" w:rsidRDefault="00A41E60" w:rsidP="0043316B">
            <w:pPr>
              <w:pStyle w:val="Tabletext"/>
              <w:keepNext w:val="0"/>
              <w:widowControl w:val="0"/>
              <w:rPr>
                <w:b/>
              </w:rPr>
            </w:pPr>
            <w:r w:rsidRPr="00D85E09">
              <w:rPr>
                <w:b/>
              </w:rPr>
              <w:t>Resource use</w:t>
            </w:r>
          </w:p>
        </w:tc>
        <w:tc>
          <w:tcPr>
            <w:tcW w:w="1155" w:type="pct"/>
            <w:tcBorders>
              <w:top w:val="single" w:sz="4" w:space="0" w:color="000000"/>
              <w:left w:val="single" w:sz="4" w:space="0" w:color="000000"/>
              <w:bottom w:val="single" w:sz="4" w:space="0" w:color="000000"/>
              <w:right w:val="single" w:sz="4" w:space="0" w:color="000000"/>
            </w:tcBorders>
            <w:hideMark/>
          </w:tcPr>
          <w:p w14:paraId="6DD4348B" w14:textId="77777777" w:rsidR="00A41E60" w:rsidRPr="00D85E09" w:rsidRDefault="00A41E60" w:rsidP="0043316B">
            <w:pPr>
              <w:pStyle w:val="Tabletext"/>
              <w:keepNext w:val="0"/>
              <w:widowControl w:val="0"/>
              <w:rPr>
                <w:b/>
              </w:rPr>
            </w:pPr>
            <w:r w:rsidRPr="00D85E09">
              <w:rPr>
                <w:b/>
              </w:rPr>
              <w:t>Utility input (base case)</w:t>
            </w:r>
          </w:p>
        </w:tc>
        <w:tc>
          <w:tcPr>
            <w:tcW w:w="1667" w:type="pct"/>
            <w:tcBorders>
              <w:top w:val="single" w:sz="4" w:space="0" w:color="000000"/>
              <w:left w:val="single" w:sz="4" w:space="0" w:color="000000"/>
              <w:bottom w:val="single" w:sz="4" w:space="0" w:color="000000"/>
              <w:right w:val="single" w:sz="4" w:space="0" w:color="000000"/>
            </w:tcBorders>
            <w:hideMark/>
          </w:tcPr>
          <w:p w14:paraId="00F0A3F3" w14:textId="77777777" w:rsidR="00A41E60" w:rsidRPr="00D85E09" w:rsidRDefault="00A41E60" w:rsidP="0043316B">
            <w:pPr>
              <w:pStyle w:val="Tabletext"/>
              <w:keepNext w:val="0"/>
              <w:widowControl w:val="0"/>
              <w:rPr>
                <w:b/>
              </w:rPr>
            </w:pPr>
            <w:r w:rsidRPr="00D85E09">
              <w:rPr>
                <w:b/>
              </w:rPr>
              <w:t>Source / notes</w:t>
            </w:r>
          </w:p>
        </w:tc>
      </w:tr>
      <w:tr w:rsidR="00A41E60" w:rsidRPr="00D85E09" w14:paraId="472368D3"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4593E472" w14:textId="77777777" w:rsidR="00A41E60" w:rsidRPr="00D85E09" w:rsidRDefault="00A41E60" w:rsidP="0043316B">
            <w:pPr>
              <w:pStyle w:val="Tabletext"/>
              <w:keepNext w:val="0"/>
              <w:widowControl w:val="0"/>
            </w:pPr>
            <w:r w:rsidRPr="00D85E09">
              <w:t>Post-stroke disability by mRS</w:t>
            </w:r>
          </w:p>
        </w:tc>
        <w:tc>
          <w:tcPr>
            <w:tcW w:w="1155" w:type="pct"/>
            <w:tcBorders>
              <w:top w:val="single" w:sz="4" w:space="0" w:color="000000"/>
              <w:left w:val="single" w:sz="4" w:space="0" w:color="000000"/>
              <w:bottom w:val="single" w:sz="4" w:space="0" w:color="000000"/>
              <w:right w:val="single" w:sz="4" w:space="0" w:color="000000"/>
            </w:tcBorders>
          </w:tcPr>
          <w:p w14:paraId="55AFC636"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single" w:sz="4" w:space="0" w:color="000000"/>
              <w:right w:val="single" w:sz="4" w:space="0" w:color="000000"/>
            </w:tcBorders>
            <w:hideMark/>
          </w:tcPr>
          <w:p w14:paraId="5353F137" w14:textId="77777777" w:rsidR="00A41E60" w:rsidRPr="00D85E09" w:rsidRDefault="00A41E60" w:rsidP="0043316B">
            <w:pPr>
              <w:pStyle w:val="Tabletext"/>
              <w:keepNext w:val="0"/>
              <w:widowControl w:val="0"/>
            </w:pPr>
            <w:r w:rsidRPr="00D85E09">
              <w:t>Sturm et al 2002</w:t>
            </w:r>
          </w:p>
          <w:p w14:paraId="56599E86" w14:textId="77777777" w:rsidR="00A41E60" w:rsidRPr="00D85E09" w:rsidRDefault="00A41E60" w:rsidP="0043316B">
            <w:pPr>
              <w:pStyle w:val="Tabletext"/>
              <w:keepNext w:val="0"/>
              <w:widowControl w:val="0"/>
            </w:pPr>
            <w:r w:rsidRPr="00D85E09">
              <w:t xml:space="preserve">BI 20 is assumed to correspond to mRS0-1. </w:t>
            </w:r>
          </w:p>
        </w:tc>
      </w:tr>
      <w:tr w:rsidR="00A41E60" w:rsidRPr="00D85E09" w14:paraId="3A91CF47" w14:textId="77777777" w:rsidTr="00A41E60">
        <w:trPr>
          <w:trHeight w:val="254"/>
        </w:trPr>
        <w:tc>
          <w:tcPr>
            <w:tcW w:w="2178" w:type="pct"/>
            <w:tcBorders>
              <w:top w:val="single" w:sz="4" w:space="0" w:color="000000"/>
              <w:left w:val="single" w:sz="4" w:space="0" w:color="000000"/>
              <w:bottom w:val="single" w:sz="4" w:space="0" w:color="000000"/>
              <w:right w:val="single" w:sz="4" w:space="0" w:color="000000"/>
            </w:tcBorders>
            <w:hideMark/>
          </w:tcPr>
          <w:p w14:paraId="347940F1" w14:textId="651687B2" w:rsidR="00A41E60" w:rsidRPr="00D85E09" w:rsidRDefault="00A41E60" w:rsidP="0043316B">
            <w:pPr>
              <w:pStyle w:val="Tabletext"/>
              <w:keepNext w:val="0"/>
              <w:widowControl w:val="0"/>
            </w:pPr>
            <w:r w:rsidRPr="00D85E09">
              <w:t xml:space="preserve"> 0: No symptoms at all</w:t>
            </w:r>
          </w:p>
        </w:tc>
        <w:tc>
          <w:tcPr>
            <w:tcW w:w="1155" w:type="pct"/>
            <w:tcBorders>
              <w:top w:val="single" w:sz="4" w:space="0" w:color="000000"/>
              <w:left w:val="single" w:sz="4" w:space="0" w:color="000000"/>
              <w:bottom w:val="single" w:sz="4" w:space="0" w:color="000000"/>
              <w:right w:val="single" w:sz="4" w:space="0" w:color="000000"/>
            </w:tcBorders>
            <w:hideMark/>
          </w:tcPr>
          <w:p w14:paraId="2ABD32AC" w14:textId="77777777" w:rsidR="00A41E60" w:rsidRPr="00D85E09" w:rsidRDefault="00A41E60" w:rsidP="0043316B">
            <w:pPr>
              <w:pStyle w:val="Tabletext"/>
              <w:keepNext w:val="0"/>
              <w:widowControl w:val="0"/>
            </w:pPr>
            <w:r w:rsidRPr="00D85E09">
              <w:t>0.63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4DB126"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42276748"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06C9B3C8" w14:textId="00CB022A" w:rsidR="00A41E60" w:rsidRPr="00D85E09" w:rsidRDefault="00A41E60" w:rsidP="0043316B">
            <w:pPr>
              <w:pStyle w:val="Tabletext"/>
              <w:keepNext w:val="0"/>
              <w:widowControl w:val="0"/>
            </w:pPr>
            <w:r w:rsidRPr="00D85E09">
              <w:t xml:space="preserve"> 1: No significant disability despite symptoms</w:t>
            </w:r>
          </w:p>
        </w:tc>
        <w:tc>
          <w:tcPr>
            <w:tcW w:w="1155" w:type="pct"/>
            <w:tcBorders>
              <w:top w:val="single" w:sz="4" w:space="0" w:color="000000"/>
              <w:left w:val="single" w:sz="4" w:space="0" w:color="000000"/>
              <w:bottom w:val="single" w:sz="4" w:space="0" w:color="000000"/>
              <w:right w:val="single" w:sz="4" w:space="0" w:color="000000"/>
            </w:tcBorders>
            <w:hideMark/>
          </w:tcPr>
          <w:p w14:paraId="0302C319" w14:textId="77777777" w:rsidR="00A41E60" w:rsidRPr="00D85E09" w:rsidRDefault="00A41E60" w:rsidP="0043316B">
            <w:pPr>
              <w:pStyle w:val="Tabletext"/>
              <w:keepNext w:val="0"/>
              <w:widowControl w:val="0"/>
            </w:pPr>
            <w:r w:rsidRPr="00D85E09">
              <w:t>0.63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3357B"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2E171596"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7CB21D74" w14:textId="4390D99D" w:rsidR="00A41E60" w:rsidRPr="00D85E09" w:rsidRDefault="00A41E60" w:rsidP="0043316B">
            <w:pPr>
              <w:pStyle w:val="Tabletext"/>
              <w:keepNext w:val="0"/>
              <w:widowControl w:val="0"/>
            </w:pPr>
            <w:r w:rsidRPr="00D85E09">
              <w:t xml:space="preserve"> 2: Slight disability</w:t>
            </w:r>
          </w:p>
        </w:tc>
        <w:tc>
          <w:tcPr>
            <w:tcW w:w="1155" w:type="pct"/>
            <w:tcBorders>
              <w:top w:val="single" w:sz="4" w:space="0" w:color="000000"/>
              <w:left w:val="single" w:sz="4" w:space="0" w:color="000000"/>
              <w:bottom w:val="single" w:sz="4" w:space="0" w:color="000000"/>
              <w:right w:val="single" w:sz="4" w:space="0" w:color="000000"/>
            </w:tcBorders>
            <w:hideMark/>
          </w:tcPr>
          <w:p w14:paraId="5820E559" w14:textId="77777777" w:rsidR="00A41E60" w:rsidRPr="00D85E09" w:rsidRDefault="00A41E60" w:rsidP="0043316B">
            <w:pPr>
              <w:pStyle w:val="Tabletext"/>
              <w:keepNext w:val="0"/>
              <w:widowControl w:val="0"/>
            </w:pPr>
            <w:r w:rsidRPr="00D85E09">
              <w:t>0.40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0B6B1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C1AC8AB"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46A3EDFD" w14:textId="27C72889" w:rsidR="00A41E60" w:rsidRPr="00D85E09" w:rsidRDefault="00A41E60" w:rsidP="0043316B">
            <w:pPr>
              <w:pStyle w:val="Tabletext"/>
              <w:keepNext w:val="0"/>
              <w:widowControl w:val="0"/>
            </w:pPr>
            <w:r w:rsidRPr="00D85E09">
              <w:t xml:space="preserve"> 3: Moderate disability</w:t>
            </w:r>
          </w:p>
        </w:tc>
        <w:tc>
          <w:tcPr>
            <w:tcW w:w="1155" w:type="pct"/>
            <w:tcBorders>
              <w:top w:val="single" w:sz="4" w:space="0" w:color="000000"/>
              <w:left w:val="single" w:sz="4" w:space="0" w:color="000000"/>
              <w:bottom w:val="single" w:sz="4" w:space="0" w:color="000000"/>
              <w:right w:val="single" w:sz="4" w:space="0" w:color="000000"/>
            </w:tcBorders>
            <w:hideMark/>
          </w:tcPr>
          <w:p w14:paraId="19EDE7BB" w14:textId="77777777" w:rsidR="00A41E60" w:rsidRPr="00D85E09" w:rsidRDefault="00A41E60" w:rsidP="0043316B">
            <w:pPr>
              <w:pStyle w:val="Tabletext"/>
              <w:keepNext w:val="0"/>
              <w:widowControl w:val="0"/>
            </w:pPr>
            <w:r w:rsidRPr="00D85E09">
              <w:t>0.18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DFA070"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72566C2B"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0A913C1D" w14:textId="2B75665E" w:rsidR="00A41E60" w:rsidRPr="00D85E09" w:rsidRDefault="00A41E60" w:rsidP="0043316B">
            <w:pPr>
              <w:pStyle w:val="Tabletext"/>
              <w:keepNext w:val="0"/>
              <w:widowControl w:val="0"/>
            </w:pPr>
            <w:r w:rsidRPr="00D85E09">
              <w:t xml:space="preserve"> 4: Moderately severe disability</w:t>
            </w:r>
          </w:p>
        </w:tc>
        <w:tc>
          <w:tcPr>
            <w:tcW w:w="1155" w:type="pct"/>
            <w:tcBorders>
              <w:top w:val="single" w:sz="4" w:space="0" w:color="000000"/>
              <w:left w:val="single" w:sz="4" w:space="0" w:color="000000"/>
              <w:bottom w:val="single" w:sz="4" w:space="0" w:color="000000"/>
              <w:right w:val="single" w:sz="4" w:space="0" w:color="000000"/>
            </w:tcBorders>
            <w:hideMark/>
          </w:tcPr>
          <w:p w14:paraId="00BBDEE9" w14:textId="77777777" w:rsidR="00A41E60" w:rsidRPr="00D85E09" w:rsidRDefault="00A41E60" w:rsidP="0043316B">
            <w:pPr>
              <w:pStyle w:val="Tabletext"/>
              <w:keepNext w:val="0"/>
              <w:widowControl w:val="0"/>
            </w:pPr>
            <w:r w:rsidRPr="00D85E09">
              <w:t>0.06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6330DD"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1D96D79C"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7880A9C6" w14:textId="48BADBE9" w:rsidR="00A41E60" w:rsidRPr="00D85E09" w:rsidRDefault="00A41E60" w:rsidP="0043316B">
            <w:pPr>
              <w:pStyle w:val="Tabletext"/>
              <w:keepNext w:val="0"/>
              <w:widowControl w:val="0"/>
            </w:pPr>
            <w:r w:rsidRPr="00D85E09">
              <w:t xml:space="preserve"> 5: Severe disability</w:t>
            </w:r>
          </w:p>
        </w:tc>
        <w:tc>
          <w:tcPr>
            <w:tcW w:w="1155" w:type="pct"/>
            <w:tcBorders>
              <w:top w:val="single" w:sz="4" w:space="0" w:color="000000"/>
              <w:left w:val="single" w:sz="4" w:space="0" w:color="000000"/>
              <w:bottom w:val="single" w:sz="4" w:space="0" w:color="000000"/>
              <w:right w:val="single" w:sz="4" w:space="0" w:color="000000"/>
            </w:tcBorders>
            <w:hideMark/>
          </w:tcPr>
          <w:p w14:paraId="7AFE1061" w14:textId="77777777" w:rsidR="00A41E60" w:rsidRPr="00D85E09" w:rsidRDefault="00A41E60" w:rsidP="0043316B">
            <w:pPr>
              <w:pStyle w:val="Tabletext"/>
              <w:keepNext w:val="0"/>
              <w:widowControl w:val="0"/>
            </w:pPr>
            <w:r w:rsidRPr="00D85E09">
              <w:t>0.02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75863"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1EBC3D80"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3EDA4913" w14:textId="03AB6566" w:rsidR="00A41E60" w:rsidRPr="00D85E09" w:rsidRDefault="00A41E60" w:rsidP="0043316B">
            <w:pPr>
              <w:pStyle w:val="Tabletext"/>
              <w:keepNext w:val="0"/>
              <w:widowControl w:val="0"/>
            </w:pPr>
            <w:r w:rsidRPr="00D85E09">
              <w:t xml:space="preserve"> 6: Death</w:t>
            </w:r>
          </w:p>
        </w:tc>
        <w:tc>
          <w:tcPr>
            <w:tcW w:w="1155" w:type="pct"/>
            <w:tcBorders>
              <w:top w:val="single" w:sz="4" w:space="0" w:color="000000"/>
              <w:left w:val="single" w:sz="4" w:space="0" w:color="000000"/>
              <w:bottom w:val="single" w:sz="4" w:space="0" w:color="000000"/>
              <w:right w:val="single" w:sz="4" w:space="0" w:color="000000"/>
            </w:tcBorders>
            <w:hideMark/>
          </w:tcPr>
          <w:p w14:paraId="573229BB" w14:textId="77777777" w:rsidR="00A41E60" w:rsidRPr="00D85E09" w:rsidRDefault="00A41E60" w:rsidP="0043316B">
            <w:pPr>
              <w:pStyle w:val="Tabletext"/>
              <w:keepNext w:val="0"/>
              <w:widowControl w:val="0"/>
            </w:pPr>
            <w:r w:rsidRPr="00D85E09">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7BDE1" w14:textId="77777777" w:rsidR="00A41E60" w:rsidRPr="00D85E09" w:rsidRDefault="00A41E60" w:rsidP="0043316B">
            <w:pPr>
              <w:widowControl w:val="0"/>
              <w:spacing w:after="0" w:line="240" w:lineRule="auto"/>
              <w:rPr>
                <w:rFonts w:ascii="Arial Narrow" w:hAnsi="Arial Narrow" w:cs="Times New Roman"/>
                <w:sz w:val="20"/>
                <w:szCs w:val="20"/>
              </w:rPr>
            </w:pPr>
          </w:p>
        </w:tc>
      </w:tr>
    </w:tbl>
    <w:p w14:paraId="36902C65" w14:textId="480FA76A" w:rsidR="00A41E60" w:rsidRPr="00D85E09" w:rsidRDefault="00A41E60" w:rsidP="0043316B">
      <w:pPr>
        <w:pStyle w:val="Tablefooter"/>
        <w:widowControl w:val="0"/>
      </w:pPr>
      <w:r w:rsidRPr="00D85E09">
        <w:t>Abbreviation: BI, Barthel Index; mRS, modified Rankin Score.</w:t>
      </w:r>
    </w:p>
    <w:p w14:paraId="5403F0D0" w14:textId="77777777" w:rsidR="00A41E60" w:rsidRPr="00D85E09" w:rsidRDefault="00A41E60" w:rsidP="0043316B">
      <w:pPr>
        <w:widowControl w:val="0"/>
      </w:pPr>
    </w:p>
    <w:p w14:paraId="363A3866" w14:textId="77777777" w:rsidR="00A41E60" w:rsidRPr="00D85E09" w:rsidRDefault="00A41E60" w:rsidP="0043316B">
      <w:pPr>
        <w:pStyle w:val="Heading2"/>
        <w:widowControl w:val="0"/>
        <w:ind w:left="851" w:hanging="851"/>
        <w:rPr>
          <w:lang w:val="en-AU"/>
        </w:rPr>
      </w:pPr>
      <w:bookmarkStart w:id="415" w:name="_Ref452371316"/>
      <w:bookmarkStart w:id="416" w:name="_Toc453065291"/>
      <w:r w:rsidRPr="00D85E09">
        <w:rPr>
          <w:lang w:val="en-AU"/>
        </w:rPr>
        <w:t>Selection of costing data</w:t>
      </w:r>
      <w:bookmarkEnd w:id="415"/>
      <w:bookmarkEnd w:id="416"/>
    </w:p>
    <w:p w14:paraId="72927CEA" w14:textId="1FFA9C15" w:rsidR="00A41E60" w:rsidRPr="00D85E09" w:rsidRDefault="00A41E60" w:rsidP="0043316B">
      <w:pPr>
        <w:widowControl w:val="0"/>
        <w:rPr>
          <w:lang w:eastAsia="ja-JP"/>
        </w:rPr>
      </w:pPr>
      <w:r w:rsidRPr="00D85E09">
        <w:rPr>
          <w:lang w:eastAsia="ja-JP"/>
        </w:rPr>
        <w:t xml:space="preserve">The following pre-modelling study clarifies data inputs employed by the Section D model to inform the costing of modelled healthcare resource use. Costs can be broken down into treatment costs, costs in the acute / mid-term phase and long-term phase. </w:t>
      </w:r>
      <w:r w:rsidRPr="00D85E09">
        <w:rPr>
          <w:lang w:eastAsia="ja-JP"/>
        </w:rPr>
        <w:fldChar w:fldCharType="begin"/>
      </w:r>
      <w:r w:rsidRPr="00D85E09">
        <w:rPr>
          <w:lang w:eastAsia="ja-JP"/>
        </w:rPr>
        <w:instrText xml:space="preserve"> REF _Ref447024886 \h  \* MERGEFORMAT </w:instrText>
      </w:r>
      <w:r w:rsidRPr="00D85E09">
        <w:rPr>
          <w:lang w:eastAsia="ja-JP"/>
        </w:rPr>
      </w:r>
      <w:r w:rsidRPr="00D85E09">
        <w:rPr>
          <w:lang w:eastAsia="ja-JP"/>
        </w:rPr>
        <w:fldChar w:fldCharType="separate"/>
      </w:r>
      <w:r w:rsidR="00A456ED" w:rsidRPr="00D85E09">
        <w:t xml:space="preserve">Table </w:t>
      </w:r>
      <w:r w:rsidR="00A456ED">
        <w:t>54</w:t>
      </w:r>
      <w:r w:rsidRPr="00D85E09">
        <w:rPr>
          <w:lang w:eastAsia="ja-JP"/>
        </w:rPr>
        <w:fldChar w:fldCharType="end"/>
      </w:r>
      <w:r w:rsidRPr="00D85E09">
        <w:rPr>
          <w:lang w:eastAsia="ja-JP"/>
        </w:rPr>
        <w:t xml:space="preserve"> below summarises modelled resource use items and sources of costing data considered in the current pre-modelling study.</w:t>
      </w:r>
    </w:p>
    <w:p w14:paraId="78CF115E" w14:textId="51BAA090" w:rsidR="00A41E60" w:rsidRPr="00D85E09" w:rsidRDefault="00A41E60" w:rsidP="0043316B">
      <w:pPr>
        <w:widowControl w:val="0"/>
        <w:rPr>
          <w:lang w:eastAsia="ja-JP"/>
        </w:rPr>
      </w:pPr>
    </w:p>
    <w:p w14:paraId="3ADA46CC" w14:textId="537E6790" w:rsidR="00181227" w:rsidRDefault="00181227" w:rsidP="0043316B">
      <w:pPr>
        <w:widowControl w:val="0"/>
        <w:rPr>
          <w:lang w:eastAsia="ja-JP"/>
        </w:rPr>
      </w:pPr>
      <w:r>
        <w:rPr>
          <w:lang w:eastAsia="ja-JP"/>
        </w:rPr>
        <w:br w:type="page"/>
      </w:r>
    </w:p>
    <w:p w14:paraId="62DADF7E" w14:textId="09DD718C" w:rsidR="00A41E60" w:rsidRPr="00D85E09" w:rsidRDefault="00A41E60" w:rsidP="0043316B">
      <w:pPr>
        <w:pStyle w:val="Caption"/>
        <w:keepNext w:val="0"/>
        <w:widowControl w:val="0"/>
        <w:rPr>
          <w:lang w:val="en-AU" w:eastAsia="ja-JP"/>
        </w:rPr>
      </w:pPr>
      <w:bookmarkStart w:id="417" w:name="_Ref447024886"/>
      <w:bookmarkStart w:id="418" w:name="_Toc453065390"/>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54</w:t>
      </w:r>
      <w:r w:rsidRPr="00D85E09">
        <w:rPr>
          <w:lang w:val="en-AU"/>
        </w:rPr>
        <w:fldChar w:fldCharType="end"/>
      </w:r>
      <w:bookmarkEnd w:id="417"/>
      <w:r w:rsidRPr="00D85E09">
        <w:rPr>
          <w:lang w:val="en-AU"/>
        </w:rPr>
        <w:tab/>
      </w:r>
      <w:r w:rsidRPr="00D85E09">
        <w:rPr>
          <w:lang w:val="en-AU" w:eastAsia="ja-JP"/>
        </w:rPr>
        <w:t>Modelled healthcare resource items and sources of costing information</w:t>
      </w:r>
      <w:bookmarkEnd w:id="418"/>
    </w:p>
    <w:tbl>
      <w:tblPr>
        <w:tblStyle w:val="TableGrid"/>
        <w:tblW w:w="5000" w:type="pct"/>
        <w:tblLook w:val="04A0" w:firstRow="1" w:lastRow="0" w:firstColumn="1" w:lastColumn="0" w:noHBand="0" w:noVBand="1"/>
        <w:tblDescription w:val="Table 54. Modelled healthcare resource items and sources of costing information"/>
      </w:tblPr>
      <w:tblGrid>
        <w:gridCol w:w="3085"/>
        <w:gridCol w:w="2127"/>
        <w:gridCol w:w="3792"/>
      </w:tblGrid>
      <w:tr w:rsidR="00A41E60" w:rsidRPr="00D85E09" w14:paraId="4D0F5B65" w14:textId="77777777" w:rsidTr="00BE6331">
        <w:trPr>
          <w:tblHeader/>
        </w:trPr>
        <w:tc>
          <w:tcPr>
            <w:tcW w:w="1713" w:type="pct"/>
            <w:tcBorders>
              <w:top w:val="single" w:sz="4" w:space="0" w:color="000000"/>
              <w:left w:val="single" w:sz="4" w:space="0" w:color="000000"/>
              <w:bottom w:val="single" w:sz="4" w:space="0" w:color="000000"/>
              <w:right w:val="single" w:sz="4" w:space="0" w:color="000000"/>
            </w:tcBorders>
            <w:hideMark/>
          </w:tcPr>
          <w:p w14:paraId="01BCC762" w14:textId="77777777" w:rsidR="00A41E60" w:rsidRPr="00D85E09" w:rsidRDefault="00A41E60" w:rsidP="0043316B">
            <w:pPr>
              <w:pStyle w:val="Tabletext"/>
              <w:keepNext w:val="0"/>
              <w:widowControl w:val="0"/>
              <w:rPr>
                <w:b/>
                <w:lang w:eastAsia="ja-JP"/>
              </w:rPr>
            </w:pPr>
            <w:r w:rsidRPr="00D85E09">
              <w:rPr>
                <w:b/>
                <w:lang w:eastAsia="ja-JP"/>
              </w:rPr>
              <w:t>Resource use</w:t>
            </w:r>
          </w:p>
        </w:tc>
        <w:tc>
          <w:tcPr>
            <w:tcW w:w="1181" w:type="pct"/>
            <w:tcBorders>
              <w:top w:val="single" w:sz="4" w:space="0" w:color="000000"/>
              <w:left w:val="single" w:sz="4" w:space="0" w:color="000000"/>
              <w:bottom w:val="single" w:sz="4" w:space="0" w:color="000000"/>
              <w:right w:val="single" w:sz="4" w:space="0" w:color="000000"/>
            </w:tcBorders>
            <w:hideMark/>
          </w:tcPr>
          <w:p w14:paraId="4239AF93" w14:textId="77777777" w:rsidR="00A41E60" w:rsidRPr="00D85E09" w:rsidRDefault="00A41E60" w:rsidP="0043316B">
            <w:pPr>
              <w:pStyle w:val="Tabletext"/>
              <w:keepNext w:val="0"/>
              <w:widowControl w:val="0"/>
              <w:rPr>
                <w:b/>
                <w:lang w:eastAsia="ja-JP"/>
              </w:rPr>
            </w:pPr>
            <w:r w:rsidRPr="00D85E09">
              <w:rPr>
                <w:b/>
                <w:lang w:eastAsia="ja-JP"/>
              </w:rPr>
              <w:t>Data source</w:t>
            </w:r>
          </w:p>
        </w:tc>
        <w:tc>
          <w:tcPr>
            <w:tcW w:w="2106" w:type="pct"/>
            <w:tcBorders>
              <w:top w:val="single" w:sz="4" w:space="0" w:color="000000"/>
              <w:left w:val="single" w:sz="4" w:space="0" w:color="000000"/>
              <w:bottom w:val="single" w:sz="4" w:space="0" w:color="000000"/>
              <w:right w:val="single" w:sz="4" w:space="0" w:color="000000"/>
            </w:tcBorders>
            <w:hideMark/>
          </w:tcPr>
          <w:p w14:paraId="3A11845B" w14:textId="77777777" w:rsidR="00A41E60" w:rsidRPr="00D85E09" w:rsidRDefault="00A41E60" w:rsidP="0043316B">
            <w:pPr>
              <w:pStyle w:val="Tabletext"/>
              <w:keepNext w:val="0"/>
              <w:widowControl w:val="0"/>
              <w:rPr>
                <w:b/>
                <w:lang w:eastAsia="ja-JP"/>
              </w:rPr>
            </w:pPr>
            <w:r w:rsidRPr="00D85E09">
              <w:rPr>
                <w:b/>
                <w:lang w:eastAsia="ja-JP"/>
              </w:rPr>
              <w:t>Notes</w:t>
            </w:r>
          </w:p>
        </w:tc>
      </w:tr>
      <w:tr w:rsidR="00A41E60" w:rsidRPr="00D85E09" w14:paraId="71CA9191" w14:textId="77777777" w:rsidTr="00A41E60">
        <w:tc>
          <w:tcPr>
            <w:tcW w:w="1713" w:type="pct"/>
            <w:tcBorders>
              <w:top w:val="single" w:sz="4" w:space="0" w:color="000000"/>
              <w:left w:val="single" w:sz="4" w:space="0" w:color="000000"/>
              <w:bottom w:val="single" w:sz="4" w:space="0" w:color="000000"/>
              <w:right w:val="single" w:sz="4" w:space="0" w:color="000000"/>
            </w:tcBorders>
            <w:hideMark/>
          </w:tcPr>
          <w:p w14:paraId="6131FE57" w14:textId="77777777" w:rsidR="00A41E60" w:rsidRPr="00D85E09" w:rsidRDefault="00A41E60" w:rsidP="0043316B">
            <w:pPr>
              <w:pStyle w:val="Tabletext"/>
              <w:keepNext w:val="0"/>
              <w:widowControl w:val="0"/>
              <w:rPr>
                <w:lang w:eastAsia="ja-JP"/>
              </w:rPr>
            </w:pPr>
            <w:r w:rsidRPr="00D85E09">
              <w:rPr>
                <w:lang w:eastAsia="ja-JP"/>
              </w:rPr>
              <w:t xml:space="preserve">Modelled interventions (mechanical thrombectomy) </w:t>
            </w:r>
          </w:p>
        </w:tc>
        <w:tc>
          <w:tcPr>
            <w:tcW w:w="1181" w:type="pct"/>
            <w:tcBorders>
              <w:top w:val="single" w:sz="4" w:space="0" w:color="000000"/>
              <w:left w:val="single" w:sz="4" w:space="0" w:color="000000"/>
              <w:bottom w:val="single" w:sz="4" w:space="0" w:color="000000"/>
              <w:right w:val="single" w:sz="4" w:space="0" w:color="000000"/>
            </w:tcBorders>
            <w:hideMark/>
          </w:tcPr>
          <w:p w14:paraId="55F748D7" w14:textId="77777777" w:rsidR="00A41E60" w:rsidRPr="00D85E09" w:rsidRDefault="00A41E60" w:rsidP="0043316B">
            <w:pPr>
              <w:pStyle w:val="Tabletext"/>
              <w:keepNext w:val="0"/>
              <w:widowControl w:val="0"/>
              <w:rPr>
                <w:lang w:eastAsia="ja-JP"/>
              </w:rPr>
            </w:pPr>
            <w:r w:rsidRPr="00D85E09">
              <w:rPr>
                <w:lang w:eastAsia="ja-JP"/>
              </w:rPr>
              <w:t>Proposed fee, other relevant MBS service fees, consumables</w:t>
            </w:r>
          </w:p>
        </w:tc>
        <w:tc>
          <w:tcPr>
            <w:tcW w:w="2106" w:type="pct"/>
            <w:tcBorders>
              <w:top w:val="single" w:sz="4" w:space="0" w:color="000000"/>
              <w:left w:val="single" w:sz="4" w:space="0" w:color="000000"/>
              <w:bottom w:val="single" w:sz="4" w:space="0" w:color="000000"/>
              <w:right w:val="single" w:sz="4" w:space="0" w:color="000000"/>
            </w:tcBorders>
            <w:hideMark/>
          </w:tcPr>
          <w:p w14:paraId="0AB235E7" w14:textId="38C56949" w:rsidR="00A41E60" w:rsidRPr="00D85E09" w:rsidRDefault="00A41E60" w:rsidP="0043316B">
            <w:pPr>
              <w:pStyle w:val="Tabletext"/>
              <w:keepNext w:val="0"/>
              <w:widowControl w:val="0"/>
              <w:rPr>
                <w:lang w:eastAsia="ja-JP"/>
              </w:rPr>
            </w:pPr>
            <w:r w:rsidRPr="00D85E09">
              <w:rPr>
                <w:lang w:eastAsia="ja-JP"/>
              </w:rPr>
              <w:t xml:space="preserve">The proposed fee is $4000. See </w:t>
            </w:r>
            <w:r w:rsidRPr="00D85E09">
              <w:rPr>
                <w:lang w:eastAsia="ja-JP"/>
              </w:rPr>
              <w:fldChar w:fldCharType="begin"/>
            </w:r>
            <w:r w:rsidRPr="00D85E09">
              <w:rPr>
                <w:lang w:eastAsia="ja-JP"/>
              </w:rPr>
              <w:instrText xml:space="preserve"> REF _Ref447293125 \h </w:instrText>
            </w:r>
            <w:r w:rsidRPr="00D85E09">
              <w:rPr>
                <w:lang w:eastAsia="ja-JP"/>
              </w:rPr>
            </w:r>
            <w:r w:rsidRPr="00D85E09">
              <w:rPr>
                <w:lang w:eastAsia="ja-JP"/>
              </w:rPr>
              <w:fldChar w:fldCharType="separate"/>
            </w:r>
            <w:r w:rsidR="00A456ED">
              <w:rPr>
                <w:b/>
                <w:bCs/>
                <w:lang w:val="en-US" w:eastAsia="ja-JP"/>
              </w:rPr>
              <w:t>Error! Reference source not found.</w:t>
            </w:r>
            <w:r w:rsidRPr="00D85E09">
              <w:rPr>
                <w:lang w:eastAsia="ja-JP"/>
              </w:rPr>
              <w:fldChar w:fldCharType="end"/>
            </w:r>
            <w:r w:rsidRPr="00D85E09">
              <w:rPr>
                <w:lang w:eastAsia="ja-JP"/>
              </w:rPr>
              <w:t xml:space="preserve"> for full details of the associated resource use items. </w:t>
            </w:r>
          </w:p>
        </w:tc>
      </w:tr>
      <w:tr w:rsidR="00A41E60" w:rsidRPr="00D85E09" w14:paraId="2419B5FE" w14:textId="77777777" w:rsidTr="00A41E60">
        <w:tc>
          <w:tcPr>
            <w:tcW w:w="1713" w:type="pct"/>
            <w:tcBorders>
              <w:top w:val="single" w:sz="4" w:space="0" w:color="000000"/>
              <w:left w:val="single" w:sz="4" w:space="0" w:color="000000"/>
              <w:bottom w:val="single" w:sz="4" w:space="0" w:color="000000"/>
              <w:right w:val="single" w:sz="4" w:space="0" w:color="000000"/>
            </w:tcBorders>
            <w:hideMark/>
          </w:tcPr>
          <w:p w14:paraId="033F5FCA" w14:textId="77777777" w:rsidR="00A41E60" w:rsidRPr="00D85E09" w:rsidRDefault="00A41E60" w:rsidP="0043316B">
            <w:pPr>
              <w:pStyle w:val="Tabletext"/>
              <w:keepNext w:val="0"/>
              <w:widowControl w:val="0"/>
              <w:rPr>
                <w:lang w:eastAsia="ja-JP"/>
              </w:rPr>
            </w:pPr>
            <w:r w:rsidRPr="00D85E09">
              <w:rPr>
                <w:lang w:eastAsia="ja-JP"/>
              </w:rPr>
              <w:t>Acute stroke care / mid-term care (to Day 365)</w:t>
            </w:r>
          </w:p>
        </w:tc>
        <w:tc>
          <w:tcPr>
            <w:tcW w:w="1181" w:type="pct"/>
            <w:tcBorders>
              <w:top w:val="single" w:sz="4" w:space="0" w:color="000000"/>
              <w:left w:val="single" w:sz="4" w:space="0" w:color="000000"/>
              <w:bottom w:val="single" w:sz="4" w:space="0" w:color="000000"/>
              <w:right w:val="single" w:sz="4" w:space="0" w:color="000000"/>
            </w:tcBorders>
            <w:hideMark/>
          </w:tcPr>
          <w:p w14:paraId="314A8274" w14:textId="77777777" w:rsidR="00A41E60" w:rsidRPr="00D85E09" w:rsidRDefault="00A41E60" w:rsidP="0043316B">
            <w:pPr>
              <w:pStyle w:val="Tabletext"/>
              <w:keepNext w:val="0"/>
              <w:widowControl w:val="0"/>
              <w:rPr>
                <w:lang w:eastAsia="ja-JP"/>
              </w:rPr>
            </w:pPr>
            <w:r w:rsidRPr="00D85E09">
              <w:rPr>
                <w:lang w:eastAsia="ja-JP"/>
              </w:rPr>
              <w:t>Published evidence via literature review</w:t>
            </w:r>
          </w:p>
        </w:tc>
        <w:tc>
          <w:tcPr>
            <w:tcW w:w="2106" w:type="pct"/>
            <w:tcBorders>
              <w:top w:val="single" w:sz="4" w:space="0" w:color="000000"/>
              <w:left w:val="single" w:sz="4" w:space="0" w:color="000000"/>
              <w:bottom w:val="single" w:sz="4" w:space="0" w:color="000000"/>
              <w:right w:val="single" w:sz="4" w:space="0" w:color="000000"/>
            </w:tcBorders>
            <w:hideMark/>
          </w:tcPr>
          <w:p w14:paraId="127B6D38" w14:textId="4213FF9D" w:rsidR="00A41E60" w:rsidRPr="00D85E09" w:rsidRDefault="00A41E60" w:rsidP="0043316B">
            <w:pPr>
              <w:pStyle w:val="Tabletext"/>
              <w:keepNext w:val="0"/>
              <w:widowControl w:val="0"/>
              <w:rPr>
                <w:lang w:eastAsia="ja-JP"/>
              </w:rPr>
            </w:pPr>
            <w:r w:rsidRPr="00D85E09">
              <w:rPr>
                <w:lang w:eastAsia="ja-JP"/>
              </w:rPr>
              <w:t>Other resource use relevant to in-hospital acute treatment and mid-term out</w:t>
            </w:r>
            <w:r w:rsidR="00582C35" w:rsidRPr="00D85E09">
              <w:rPr>
                <w:lang w:eastAsia="ja-JP"/>
              </w:rPr>
              <w:t>-</w:t>
            </w:r>
            <w:r w:rsidRPr="00D85E09">
              <w:rPr>
                <w:lang w:eastAsia="ja-JP"/>
              </w:rPr>
              <w:t>of</w:t>
            </w:r>
            <w:r w:rsidR="00582C35" w:rsidRPr="00D85E09">
              <w:rPr>
                <w:lang w:eastAsia="ja-JP"/>
              </w:rPr>
              <w:t>-</w:t>
            </w:r>
            <w:r w:rsidRPr="00D85E09">
              <w:rPr>
                <w:lang w:eastAsia="ja-JP"/>
              </w:rPr>
              <w:t xml:space="preserve">hospital care (e.g., rehabilitation). </w:t>
            </w:r>
          </w:p>
        </w:tc>
      </w:tr>
      <w:tr w:rsidR="00A41E60" w:rsidRPr="00D85E09" w14:paraId="6C0C349A" w14:textId="77777777" w:rsidTr="00A41E60">
        <w:tc>
          <w:tcPr>
            <w:tcW w:w="1713" w:type="pct"/>
            <w:tcBorders>
              <w:top w:val="single" w:sz="4" w:space="0" w:color="000000"/>
              <w:left w:val="single" w:sz="4" w:space="0" w:color="000000"/>
              <w:bottom w:val="single" w:sz="4" w:space="0" w:color="000000"/>
              <w:right w:val="single" w:sz="4" w:space="0" w:color="000000"/>
            </w:tcBorders>
            <w:hideMark/>
          </w:tcPr>
          <w:p w14:paraId="0967910B" w14:textId="77777777" w:rsidR="00A41E60" w:rsidRPr="00D85E09" w:rsidRDefault="00A41E60" w:rsidP="0043316B">
            <w:pPr>
              <w:pStyle w:val="Tabletext"/>
              <w:keepNext w:val="0"/>
              <w:widowControl w:val="0"/>
              <w:rPr>
                <w:lang w:eastAsia="ja-JP"/>
              </w:rPr>
            </w:pPr>
            <w:r w:rsidRPr="00D85E09">
              <w:rPr>
                <w:lang w:eastAsia="ja-JP"/>
              </w:rPr>
              <w:t>Long-term stroke care</w:t>
            </w:r>
          </w:p>
        </w:tc>
        <w:tc>
          <w:tcPr>
            <w:tcW w:w="1181" w:type="pct"/>
            <w:tcBorders>
              <w:top w:val="single" w:sz="4" w:space="0" w:color="000000"/>
              <w:left w:val="single" w:sz="4" w:space="0" w:color="000000"/>
              <w:bottom w:val="single" w:sz="4" w:space="0" w:color="000000"/>
              <w:right w:val="single" w:sz="4" w:space="0" w:color="000000"/>
            </w:tcBorders>
            <w:hideMark/>
          </w:tcPr>
          <w:p w14:paraId="6533F636" w14:textId="77777777" w:rsidR="00A41E60" w:rsidRPr="00D85E09" w:rsidRDefault="00A41E60" w:rsidP="0043316B">
            <w:pPr>
              <w:pStyle w:val="Tabletext"/>
              <w:keepNext w:val="0"/>
              <w:widowControl w:val="0"/>
              <w:rPr>
                <w:lang w:eastAsia="ja-JP"/>
              </w:rPr>
            </w:pPr>
            <w:r w:rsidRPr="00D85E09">
              <w:rPr>
                <w:lang w:eastAsia="ja-JP"/>
              </w:rPr>
              <w:t>Published evidence via literature review</w:t>
            </w:r>
          </w:p>
        </w:tc>
        <w:tc>
          <w:tcPr>
            <w:tcW w:w="2106" w:type="pct"/>
            <w:tcBorders>
              <w:top w:val="single" w:sz="4" w:space="0" w:color="000000"/>
              <w:left w:val="single" w:sz="4" w:space="0" w:color="000000"/>
              <w:bottom w:val="single" w:sz="4" w:space="0" w:color="000000"/>
              <w:right w:val="single" w:sz="4" w:space="0" w:color="000000"/>
            </w:tcBorders>
            <w:hideMark/>
          </w:tcPr>
          <w:p w14:paraId="15795DB2" w14:textId="6CF59E65" w:rsidR="00A41E60" w:rsidRPr="00D85E09" w:rsidRDefault="00A41E60" w:rsidP="0043316B">
            <w:pPr>
              <w:pStyle w:val="Tabletext"/>
              <w:keepNext w:val="0"/>
              <w:widowControl w:val="0"/>
              <w:rPr>
                <w:lang w:eastAsia="ja-JP"/>
              </w:rPr>
            </w:pPr>
            <w:r w:rsidRPr="00D85E09">
              <w:rPr>
                <w:lang w:eastAsia="ja-JP"/>
              </w:rPr>
              <w:t>Long-term management costs</w:t>
            </w:r>
            <w:r w:rsidR="00AB4BBF" w:rsidRPr="00D85E09">
              <w:rPr>
                <w:lang w:eastAsia="ja-JP"/>
              </w:rPr>
              <w:t>.</w:t>
            </w:r>
            <w:r w:rsidRPr="00D85E09">
              <w:rPr>
                <w:lang w:eastAsia="ja-JP"/>
              </w:rPr>
              <w:t xml:space="preserve"> </w:t>
            </w:r>
          </w:p>
        </w:tc>
      </w:tr>
    </w:tbl>
    <w:p w14:paraId="2B4AE7F7" w14:textId="77777777" w:rsidR="00A41E60" w:rsidRPr="00D85E09" w:rsidRDefault="00A41E60" w:rsidP="0043316B">
      <w:pPr>
        <w:widowControl w:val="0"/>
      </w:pPr>
    </w:p>
    <w:p w14:paraId="73B1B77C" w14:textId="7B92A05F" w:rsidR="00A41E60" w:rsidRPr="00D85E09" w:rsidRDefault="00A41E60" w:rsidP="0043316B">
      <w:pPr>
        <w:widowControl w:val="0"/>
        <w:rPr>
          <w:lang w:eastAsia="ja-JP"/>
        </w:rPr>
      </w:pPr>
      <w:r w:rsidRPr="00D85E09">
        <w:t>Of note, mechanical thrombectomy is taken as being “additional” to the care currently provided as usual care. Costs of other interventions (including IV</w:t>
      </w:r>
      <w:r w:rsidR="00D32933" w:rsidRPr="00D85E09">
        <w:t>-</w:t>
      </w:r>
      <w:r w:rsidRPr="00D85E09">
        <w:t xml:space="preserve">tPA if the patient is eligible) and support care (e.g., nursing, monitoring, bed costs etc) would be captured in “acute stroke care” costs (see </w:t>
      </w:r>
      <w:r w:rsidRPr="00D85E09">
        <w:rPr>
          <w:lang w:eastAsia="ja-JP"/>
        </w:rPr>
        <w:fldChar w:fldCharType="begin"/>
      </w:r>
      <w:r w:rsidRPr="00D85E09">
        <w:rPr>
          <w:lang w:eastAsia="ja-JP"/>
        </w:rPr>
        <w:instrText xml:space="preserve"> REF _Ref447024886 \h </w:instrText>
      </w:r>
      <w:r w:rsidRPr="00D85E09">
        <w:rPr>
          <w:lang w:eastAsia="ja-JP"/>
        </w:rPr>
      </w:r>
      <w:r w:rsidRPr="00D85E09">
        <w:rPr>
          <w:lang w:eastAsia="ja-JP"/>
        </w:rPr>
        <w:fldChar w:fldCharType="separate"/>
      </w:r>
      <w:r w:rsidR="00A456ED" w:rsidRPr="00D85E09">
        <w:t xml:space="preserve">Table </w:t>
      </w:r>
      <w:r w:rsidR="00A456ED">
        <w:rPr>
          <w:noProof/>
        </w:rPr>
        <w:t>54</w:t>
      </w:r>
      <w:r w:rsidRPr="00D85E09">
        <w:rPr>
          <w:lang w:eastAsia="ja-JP"/>
        </w:rPr>
        <w:fldChar w:fldCharType="end"/>
      </w:r>
      <w:r w:rsidRPr="00D85E09">
        <w:rPr>
          <w:lang w:eastAsia="ja-JP"/>
        </w:rPr>
        <w:t xml:space="preserve">) and they are assumed to exist in both arms, thus largely cancelling out each other. </w:t>
      </w:r>
      <w:r w:rsidRPr="00D85E09">
        <w:rPr>
          <w:u w:val="single"/>
          <w:lang w:eastAsia="ja-JP"/>
        </w:rPr>
        <w:t>However, it is important to clarify that the use of mechanical thrombectomy improves the rate of revascularisation (reperfusion) during the first critical hours of stroke onset, which in turn reduces the extent / intensity (and thus costs) of other care provided during the acute care phase (to discharge)</w:t>
      </w:r>
      <w:r w:rsidRPr="00D85E09">
        <w:rPr>
          <w:lang w:eastAsia="ja-JP"/>
        </w:rPr>
        <w:t>. For example, the use of mechanical thrombectomy has been shown to shorten hospitalisation days, directly contributing to such cost savings (e.g., EXTEND-IA). Similarly, the costs of mid-/long-term rehabilitation can be significant, suggesting that improved functional outcomes offered by mechanical thrombectomy vs usual care would then produce further cost savings post</w:t>
      </w:r>
      <w:r w:rsidR="00582C35" w:rsidRPr="00D85E09">
        <w:rPr>
          <w:lang w:eastAsia="ja-JP"/>
        </w:rPr>
        <w:t>-</w:t>
      </w:r>
      <w:r w:rsidRPr="00D85E09">
        <w:rPr>
          <w:lang w:eastAsia="ja-JP"/>
        </w:rPr>
        <w:t>acute phase. These relationships have been documented in a with</w:t>
      </w:r>
      <w:r w:rsidR="00300BB6" w:rsidRPr="00D85E09">
        <w:rPr>
          <w:lang w:eastAsia="ja-JP"/>
        </w:rPr>
        <w:t>in</w:t>
      </w:r>
      <w:r w:rsidR="00582C35" w:rsidRPr="00D85E09">
        <w:rPr>
          <w:lang w:eastAsia="ja-JP"/>
        </w:rPr>
        <w:t>-</w:t>
      </w:r>
      <w:r w:rsidRPr="00D85E09">
        <w:rPr>
          <w:lang w:eastAsia="ja-JP"/>
        </w:rPr>
        <w:t xml:space="preserve">trial cost comparison performed in Australia (Campbell et al </w:t>
      </w:r>
      <w:r w:rsidR="004F68A7" w:rsidRPr="00D85E09">
        <w:rPr>
          <w:lang w:eastAsia="ja-JP"/>
        </w:rPr>
        <w:t>2015</w:t>
      </w:r>
      <w:r w:rsidRPr="00D85E09">
        <w:rPr>
          <w:lang w:eastAsia="ja-JP"/>
        </w:rPr>
        <w:t>) and is adequately captured by the Section D model.</w:t>
      </w:r>
    </w:p>
    <w:p w14:paraId="03D8F834" w14:textId="4117143B" w:rsidR="00A41E60" w:rsidRPr="00D85E09" w:rsidRDefault="00A41E60" w:rsidP="0043316B">
      <w:pPr>
        <w:widowControl w:val="0"/>
      </w:pPr>
      <w:r w:rsidRPr="00D85E09">
        <w:rPr>
          <w:i/>
        </w:rPr>
        <w:t>The Applicant acknowledges that the scope of costing exercise in this pre-modelling study is slightly limited than that put forward in Table 11 of the Protocol in terms of costed healthcare resource items. This approach is justified because only incremental cost implications should be captured in cost-effectiveness evaluation. This approach will also reduce the risk of possible double counting, for example, overnight hospitalisation cost for mechanical thrombectomy is unlikely to be separately incurred given the extent / intensity of care provided to these patients during the acute care phase (see Table 11 of the Protocol).</w:t>
      </w:r>
      <w:r w:rsidRPr="00D85E09">
        <w:t xml:space="preserve"> This point was clearly raised in the Protocol; “</w:t>
      </w:r>
      <w:r w:rsidRPr="00D85E09">
        <w:rPr>
          <w:i/>
        </w:rPr>
        <w:t xml:space="preserve">Further details of resource use will be identified during the assessment phase of this </w:t>
      </w:r>
      <w:r w:rsidR="00A8075A" w:rsidRPr="00D85E09">
        <w:rPr>
          <w:i/>
        </w:rPr>
        <w:t>A</w:t>
      </w:r>
      <w:r w:rsidRPr="00D85E09">
        <w:rPr>
          <w:i/>
        </w:rPr>
        <w:t xml:space="preserve">pplication. For example, it will be necessary to determine which resources to identify and treat patients (for current management and the proposed service) are encompassed within existing funding </w:t>
      </w:r>
      <w:r w:rsidRPr="00D85E09">
        <w:rPr>
          <w:i/>
        </w:rPr>
        <w:lastRenderedPageBreak/>
        <w:t>arrangements pertaining to stroke and cerebrovascular disease</w:t>
      </w:r>
      <w:r w:rsidRPr="00D85E09">
        <w:t>” (pg 32).</w:t>
      </w:r>
    </w:p>
    <w:p w14:paraId="35B68296" w14:textId="3F87BA57" w:rsidR="00A41E60" w:rsidRPr="00D85E09" w:rsidRDefault="00A41E60" w:rsidP="0043316B">
      <w:pPr>
        <w:widowControl w:val="0"/>
      </w:pPr>
      <w:r w:rsidRPr="00D85E09">
        <w:t xml:space="preserve">Of note, Section B.7 above demonstrated that mechanical thrombectomy is associated with a very small risk of procedural complications (&lt;3%). Procedural complications reported in RCTs are summarised in </w:t>
      </w:r>
      <w:r w:rsidRPr="00D85E09">
        <w:fldChar w:fldCharType="begin"/>
      </w:r>
      <w:r w:rsidRPr="00D85E09">
        <w:instrText xml:space="preserve"> REF _Ref450058728 \h  \* MERGEFORMAT </w:instrText>
      </w:r>
      <w:r w:rsidRPr="00D85E09">
        <w:fldChar w:fldCharType="separate"/>
      </w:r>
      <w:r w:rsidR="00A456ED" w:rsidRPr="00D85E09">
        <w:t xml:space="preserve">Table </w:t>
      </w:r>
      <w:r w:rsidR="00A456ED">
        <w:t>55</w:t>
      </w:r>
      <w:r w:rsidRPr="00D85E09">
        <w:fldChar w:fldCharType="end"/>
      </w:r>
      <w:r w:rsidRPr="00D85E09">
        <w:t xml:space="preserve">. Much of the treatment for these procedural complications may also be absorbed into the overall procedural activities and hospitalisation costs, thus not meaningfully producing any additional costs to the healthcare system. </w:t>
      </w:r>
      <w:r w:rsidRPr="00D85E09">
        <w:rPr>
          <w:i/>
        </w:rPr>
        <w:t xml:space="preserve">To this end, the base case analysis will not assign specific costs to the management of procedural complications. </w:t>
      </w:r>
      <w:r w:rsidRPr="00D85E09">
        <w:t>It is acknowledged that one outlier is the risk of access site hematoma observed in REVASCAT, which was observed in 10.7% of patients. The REVASCAT protocol defined serious hematoma to be any event requiring greater than 2 units of packed red blood cells transfusion. A sensitivity analysis is performed by applying an estimated cost of $1828 per episode of access site hematoma (based on 2 units of transfusion in Peel et al 2015); effectively increasing the procedural cost $195.60.</w:t>
      </w:r>
      <w:r w:rsidRPr="00D85E09">
        <w:rPr>
          <w:rStyle w:val="FootnoteReference"/>
        </w:rPr>
        <w:footnoteReference w:id="4"/>
      </w:r>
    </w:p>
    <w:p w14:paraId="35BC87F7" w14:textId="1A8F449F" w:rsidR="00A41E60" w:rsidRPr="00D85E09" w:rsidRDefault="00A41E60" w:rsidP="0043316B">
      <w:pPr>
        <w:pStyle w:val="Caption"/>
        <w:keepNext w:val="0"/>
        <w:widowControl w:val="0"/>
        <w:rPr>
          <w:lang w:val="en-AU"/>
        </w:rPr>
      </w:pPr>
      <w:bookmarkStart w:id="419" w:name="_Ref450058728"/>
      <w:bookmarkStart w:id="420" w:name="_Toc45306539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55</w:t>
      </w:r>
      <w:r w:rsidRPr="00D85E09">
        <w:rPr>
          <w:lang w:val="en-AU"/>
        </w:rPr>
        <w:fldChar w:fldCharType="end"/>
      </w:r>
      <w:bookmarkEnd w:id="419"/>
      <w:r w:rsidRPr="00D85E09">
        <w:rPr>
          <w:lang w:val="en-AU"/>
        </w:rPr>
        <w:tab/>
        <w:t>Summary of adverse events</w:t>
      </w:r>
      <w:bookmarkEnd w:id="420"/>
    </w:p>
    <w:tbl>
      <w:tblPr>
        <w:tblStyle w:val="TableGrid"/>
        <w:tblW w:w="5000" w:type="pct"/>
        <w:tblLook w:val="04A0" w:firstRow="1" w:lastRow="0" w:firstColumn="1" w:lastColumn="0" w:noHBand="0" w:noVBand="1"/>
        <w:tblDescription w:val="Table 55. Summary of adverse events"/>
      </w:tblPr>
      <w:tblGrid>
        <w:gridCol w:w="1524"/>
        <w:gridCol w:w="881"/>
        <w:gridCol w:w="735"/>
        <w:gridCol w:w="733"/>
        <w:gridCol w:w="733"/>
        <w:gridCol w:w="733"/>
        <w:gridCol w:w="733"/>
        <w:gridCol w:w="733"/>
        <w:gridCol w:w="733"/>
        <w:gridCol w:w="733"/>
        <w:gridCol w:w="733"/>
      </w:tblGrid>
      <w:tr w:rsidR="00A41E60" w:rsidRPr="00D85E09" w14:paraId="50EBFB1E" w14:textId="77777777" w:rsidTr="00BE6331">
        <w:trPr>
          <w:tblHeader/>
        </w:trPr>
        <w:tc>
          <w:tcPr>
            <w:tcW w:w="846" w:type="pct"/>
            <w:tcBorders>
              <w:top w:val="single" w:sz="4" w:space="0" w:color="000000"/>
              <w:left w:val="single" w:sz="4" w:space="0" w:color="000000"/>
              <w:bottom w:val="single" w:sz="4" w:space="0" w:color="000000"/>
              <w:right w:val="single" w:sz="4" w:space="0" w:color="000000"/>
            </w:tcBorders>
            <w:hideMark/>
          </w:tcPr>
          <w:p w14:paraId="1CB8CF8C" w14:textId="77777777" w:rsidR="00A41E60" w:rsidRPr="00D85E09" w:rsidRDefault="00A41E60" w:rsidP="0043316B">
            <w:pPr>
              <w:pStyle w:val="Tabletext"/>
              <w:keepNext w:val="0"/>
              <w:widowControl w:val="0"/>
              <w:rPr>
                <w:b/>
              </w:rPr>
            </w:pPr>
            <w:r w:rsidRPr="00D85E09">
              <w:rPr>
                <w:b/>
              </w:rPr>
              <w:t>Trial ID</w:t>
            </w:r>
          </w:p>
        </w:tc>
        <w:tc>
          <w:tcPr>
            <w:tcW w:w="897" w:type="pct"/>
            <w:gridSpan w:val="2"/>
            <w:tcBorders>
              <w:top w:val="single" w:sz="4" w:space="0" w:color="000000"/>
              <w:left w:val="single" w:sz="4" w:space="0" w:color="000000"/>
              <w:bottom w:val="single" w:sz="4" w:space="0" w:color="000000"/>
              <w:right w:val="single" w:sz="4" w:space="0" w:color="000000"/>
            </w:tcBorders>
            <w:vAlign w:val="center"/>
            <w:hideMark/>
          </w:tcPr>
          <w:p w14:paraId="78FEE5E7" w14:textId="77777777" w:rsidR="00A41E60" w:rsidRPr="00D85E09" w:rsidRDefault="00A41E60" w:rsidP="0043316B">
            <w:pPr>
              <w:pStyle w:val="Tabletext"/>
              <w:keepNext w:val="0"/>
              <w:widowControl w:val="0"/>
              <w:jc w:val="center"/>
              <w:rPr>
                <w:b/>
              </w:rPr>
            </w:pPr>
            <w:r w:rsidRPr="00D85E09">
              <w:rPr>
                <w:b/>
              </w:rPr>
              <w:t>ESCAPE</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14:paraId="65C6CA06" w14:textId="77777777" w:rsidR="00A41E60" w:rsidRPr="00D85E09" w:rsidRDefault="00A41E60" w:rsidP="0043316B">
            <w:pPr>
              <w:pStyle w:val="Tabletext"/>
              <w:keepNext w:val="0"/>
              <w:widowControl w:val="0"/>
              <w:jc w:val="center"/>
              <w:rPr>
                <w:b/>
              </w:rPr>
            </w:pPr>
            <w:r w:rsidRPr="00D85E09">
              <w:rPr>
                <w:b/>
              </w:rPr>
              <w:t>EXTEND-IA</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14:paraId="164132CE" w14:textId="77777777" w:rsidR="00A41E60" w:rsidRPr="00D85E09" w:rsidRDefault="00A41E60" w:rsidP="0043316B">
            <w:pPr>
              <w:pStyle w:val="Tabletext"/>
              <w:keepNext w:val="0"/>
              <w:widowControl w:val="0"/>
              <w:jc w:val="center"/>
              <w:rPr>
                <w:b/>
              </w:rPr>
            </w:pPr>
            <w:r w:rsidRPr="00D85E09">
              <w:rPr>
                <w:b/>
              </w:rPr>
              <w:t>MR CLEAN</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14:paraId="5E46CE85" w14:textId="77777777" w:rsidR="00A41E60" w:rsidRPr="00D85E09" w:rsidRDefault="00A41E60" w:rsidP="0043316B">
            <w:pPr>
              <w:pStyle w:val="Tabletext"/>
              <w:keepNext w:val="0"/>
              <w:widowControl w:val="0"/>
              <w:jc w:val="center"/>
              <w:rPr>
                <w:b/>
              </w:rPr>
            </w:pPr>
            <w:r w:rsidRPr="00D85E09">
              <w:rPr>
                <w:b/>
              </w:rPr>
              <w:t>REVASCAT</w:t>
            </w:r>
          </w:p>
        </w:tc>
        <w:tc>
          <w:tcPr>
            <w:tcW w:w="814" w:type="pct"/>
            <w:gridSpan w:val="2"/>
            <w:tcBorders>
              <w:top w:val="single" w:sz="4" w:space="0" w:color="000000"/>
              <w:left w:val="single" w:sz="4" w:space="0" w:color="000000"/>
              <w:bottom w:val="single" w:sz="4" w:space="0" w:color="000000"/>
              <w:right w:val="single" w:sz="4" w:space="0" w:color="000000"/>
            </w:tcBorders>
            <w:vAlign w:val="center"/>
            <w:hideMark/>
          </w:tcPr>
          <w:p w14:paraId="5D6D9B4F" w14:textId="77777777" w:rsidR="00A41E60" w:rsidRPr="00D85E09" w:rsidRDefault="00A41E60" w:rsidP="0043316B">
            <w:pPr>
              <w:pStyle w:val="Tabletext"/>
              <w:keepNext w:val="0"/>
              <w:widowControl w:val="0"/>
              <w:jc w:val="center"/>
              <w:rPr>
                <w:b/>
              </w:rPr>
            </w:pPr>
            <w:r w:rsidRPr="00D85E09">
              <w:rPr>
                <w:b/>
              </w:rPr>
              <w:t>SWIFT PRIME</w:t>
            </w:r>
          </w:p>
        </w:tc>
      </w:tr>
      <w:tr w:rsidR="00A41E60" w:rsidRPr="00D85E09" w14:paraId="10991818" w14:textId="77777777" w:rsidTr="00A41E60">
        <w:tc>
          <w:tcPr>
            <w:tcW w:w="846" w:type="pct"/>
            <w:tcBorders>
              <w:top w:val="single" w:sz="4" w:space="0" w:color="000000"/>
              <w:left w:val="single" w:sz="4" w:space="0" w:color="000000"/>
              <w:bottom w:val="single" w:sz="4" w:space="0" w:color="000000"/>
              <w:right w:val="single" w:sz="4" w:space="0" w:color="000000"/>
            </w:tcBorders>
            <w:hideMark/>
          </w:tcPr>
          <w:p w14:paraId="080D8A70" w14:textId="77777777" w:rsidR="00A41E60" w:rsidRPr="00D85E09" w:rsidRDefault="00A41E60" w:rsidP="0043316B">
            <w:pPr>
              <w:pStyle w:val="Tabletext"/>
              <w:keepNext w:val="0"/>
              <w:widowControl w:val="0"/>
              <w:rPr>
                <w:b/>
              </w:rPr>
            </w:pPr>
            <w:r w:rsidRPr="00D85E09">
              <w:rPr>
                <w:b/>
              </w:rPr>
              <w:t>Treatment arm</w:t>
            </w:r>
          </w:p>
        </w:tc>
        <w:tc>
          <w:tcPr>
            <w:tcW w:w="489" w:type="pct"/>
            <w:tcBorders>
              <w:top w:val="single" w:sz="4" w:space="0" w:color="000000"/>
              <w:left w:val="single" w:sz="4" w:space="0" w:color="000000"/>
              <w:bottom w:val="single" w:sz="4" w:space="0" w:color="000000"/>
              <w:right w:val="single" w:sz="4" w:space="0" w:color="000000"/>
            </w:tcBorders>
            <w:vAlign w:val="center"/>
            <w:hideMark/>
          </w:tcPr>
          <w:p w14:paraId="0A84AAAE" w14:textId="77777777" w:rsidR="00A41E60" w:rsidRPr="00D85E09" w:rsidRDefault="00A41E60" w:rsidP="0043316B">
            <w:pPr>
              <w:pStyle w:val="Tabletext"/>
              <w:keepNext w:val="0"/>
              <w:widowControl w:val="0"/>
              <w:jc w:val="center"/>
              <w:rPr>
                <w:b/>
              </w:rPr>
            </w:pPr>
            <w:r w:rsidRPr="00D85E09">
              <w:rPr>
                <w:b/>
              </w:rPr>
              <w:t>MT</w:t>
            </w:r>
          </w:p>
        </w:tc>
        <w:tc>
          <w:tcPr>
            <w:tcW w:w="408" w:type="pct"/>
            <w:tcBorders>
              <w:top w:val="single" w:sz="4" w:space="0" w:color="000000"/>
              <w:left w:val="single" w:sz="4" w:space="0" w:color="000000"/>
              <w:bottom w:val="single" w:sz="4" w:space="0" w:color="000000"/>
              <w:right w:val="single" w:sz="4" w:space="0" w:color="000000"/>
            </w:tcBorders>
            <w:vAlign w:val="center"/>
            <w:hideMark/>
          </w:tcPr>
          <w:p w14:paraId="1E948D56" w14:textId="77777777" w:rsidR="00A41E60" w:rsidRPr="00D85E09" w:rsidRDefault="00A41E60" w:rsidP="0043316B">
            <w:pPr>
              <w:pStyle w:val="Tabletext"/>
              <w:keepNext w:val="0"/>
              <w:widowControl w:val="0"/>
              <w:jc w:val="center"/>
              <w:rPr>
                <w:b/>
              </w:rPr>
            </w:pPr>
            <w:r w:rsidRPr="00D85E09">
              <w:rPr>
                <w:b/>
              </w:rPr>
              <w:t>Usual care</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43FED197" w14:textId="77777777" w:rsidR="00A41E60" w:rsidRPr="00D85E09" w:rsidRDefault="00A41E60" w:rsidP="0043316B">
            <w:pPr>
              <w:pStyle w:val="Tabletext"/>
              <w:keepNext w:val="0"/>
              <w:widowControl w:val="0"/>
              <w:jc w:val="center"/>
              <w:rPr>
                <w:b/>
              </w:rPr>
            </w:pPr>
            <w:r w:rsidRPr="00D85E09">
              <w:rPr>
                <w:b/>
              </w:rPr>
              <w:t>MT</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21BB7449" w14:textId="77777777" w:rsidR="00A41E60" w:rsidRPr="00D85E09" w:rsidRDefault="00A41E60" w:rsidP="0043316B">
            <w:pPr>
              <w:pStyle w:val="Tabletext"/>
              <w:keepNext w:val="0"/>
              <w:widowControl w:val="0"/>
              <w:jc w:val="center"/>
              <w:rPr>
                <w:b/>
              </w:rPr>
            </w:pPr>
            <w:r w:rsidRPr="00D85E09">
              <w:rPr>
                <w:b/>
              </w:rPr>
              <w:t>Usual care</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2F68D39C" w14:textId="77777777" w:rsidR="00A41E60" w:rsidRPr="00D85E09" w:rsidRDefault="00A41E60" w:rsidP="0043316B">
            <w:pPr>
              <w:pStyle w:val="Tabletext"/>
              <w:keepNext w:val="0"/>
              <w:widowControl w:val="0"/>
              <w:jc w:val="center"/>
              <w:rPr>
                <w:b/>
              </w:rPr>
            </w:pPr>
            <w:r w:rsidRPr="00D85E09">
              <w:rPr>
                <w:b/>
              </w:rPr>
              <w:t>MT</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638ADF43" w14:textId="77777777" w:rsidR="00A41E60" w:rsidRPr="00D85E09" w:rsidRDefault="00A41E60" w:rsidP="0043316B">
            <w:pPr>
              <w:pStyle w:val="Tabletext"/>
              <w:keepNext w:val="0"/>
              <w:widowControl w:val="0"/>
              <w:jc w:val="center"/>
              <w:rPr>
                <w:b/>
              </w:rPr>
            </w:pPr>
            <w:r w:rsidRPr="00D85E09">
              <w:rPr>
                <w:b/>
              </w:rPr>
              <w:t>Usual care</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61A3F424" w14:textId="77777777" w:rsidR="00A41E60" w:rsidRPr="00D85E09" w:rsidRDefault="00A41E60" w:rsidP="0043316B">
            <w:pPr>
              <w:pStyle w:val="Tabletext"/>
              <w:keepNext w:val="0"/>
              <w:widowControl w:val="0"/>
              <w:jc w:val="center"/>
              <w:rPr>
                <w:b/>
              </w:rPr>
            </w:pPr>
            <w:r w:rsidRPr="00D85E09">
              <w:rPr>
                <w:b/>
              </w:rPr>
              <w:t>MT</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69D9EB02" w14:textId="77777777" w:rsidR="00A41E60" w:rsidRPr="00D85E09" w:rsidRDefault="00A41E60" w:rsidP="0043316B">
            <w:pPr>
              <w:pStyle w:val="Tabletext"/>
              <w:keepNext w:val="0"/>
              <w:widowControl w:val="0"/>
              <w:jc w:val="center"/>
              <w:rPr>
                <w:b/>
              </w:rPr>
            </w:pPr>
            <w:r w:rsidRPr="00D85E09">
              <w:rPr>
                <w:b/>
              </w:rPr>
              <w:t>Usual care</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68199513" w14:textId="77777777" w:rsidR="00A41E60" w:rsidRPr="00D85E09" w:rsidRDefault="00A41E60" w:rsidP="0043316B">
            <w:pPr>
              <w:pStyle w:val="Tabletext"/>
              <w:keepNext w:val="0"/>
              <w:widowControl w:val="0"/>
              <w:jc w:val="center"/>
              <w:rPr>
                <w:b/>
              </w:rPr>
            </w:pPr>
            <w:r w:rsidRPr="00D85E09">
              <w:rPr>
                <w:b/>
              </w:rPr>
              <w:t>MT</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3878E294" w14:textId="77777777" w:rsidR="00A41E60" w:rsidRPr="00D85E09" w:rsidRDefault="00A41E60" w:rsidP="0043316B">
            <w:pPr>
              <w:pStyle w:val="Tabletext"/>
              <w:keepNext w:val="0"/>
              <w:widowControl w:val="0"/>
              <w:jc w:val="center"/>
              <w:rPr>
                <w:b/>
              </w:rPr>
            </w:pPr>
            <w:r w:rsidRPr="00D85E09">
              <w:rPr>
                <w:b/>
              </w:rPr>
              <w:t>Usual care</w:t>
            </w:r>
          </w:p>
        </w:tc>
      </w:tr>
      <w:tr w:rsidR="00A41E60" w:rsidRPr="00D85E09" w14:paraId="27B61677" w14:textId="77777777" w:rsidTr="00A41E60">
        <w:tc>
          <w:tcPr>
            <w:tcW w:w="846" w:type="pct"/>
            <w:tcBorders>
              <w:top w:val="single" w:sz="4" w:space="0" w:color="000000"/>
              <w:left w:val="single" w:sz="4" w:space="0" w:color="000000"/>
              <w:bottom w:val="single" w:sz="4" w:space="0" w:color="000000"/>
              <w:right w:val="single" w:sz="4" w:space="0" w:color="000000"/>
            </w:tcBorders>
            <w:hideMark/>
          </w:tcPr>
          <w:p w14:paraId="5C3DF967" w14:textId="77777777" w:rsidR="00A41E60" w:rsidRPr="00D85E09" w:rsidRDefault="00A41E60" w:rsidP="0043316B">
            <w:pPr>
              <w:pStyle w:val="Tabletext"/>
              <w:keepNext w:val="0"/>
              <w:widowControl w:val="0"/>
            </w:pPr>
            <w:r w:rsidRPr="00D85E09">
              <w:t>N</w:t>
            </w:r>
          </w:p>
        </w:tc>
        <w:tc>
          <w:tcPr>
            <w:tcW w:w="489" w:type="pct"/>
            <w:tcBorders>
              <w:top w:val="single" w:sz="4" w:space="0" w:color="000000"/>
              <w:left w:val="single" w:sz="4" w:space="0" w:color="000000"/>
              <w:bottom w:val="single" w:sz="4" w:space="0" w:color="000000"/>
              <w:right w:val="single" w:sz="4" w:space="0" w:color="000000"/>
            </w:tcBorders>
            <w:vAlign w:val="center"/>
            <w:hideMark/>
          </w:tcPr>
          <w:p w14:paraId="5095D675" w14:textId="77777777" w:rsidR="00A41E60" w:rsidRPr="00D85E09" w:rsidRDefault="00A41E60" w:rsidP="0043316B">
            <w:pPr>
              <w:pStyle w:val="Tabletext"/>
              <w:keepNext w:val="0"/>
              <w:widowControl w:val="0"/>
              <w:jc w:val="center"/>
            </w:pPr>
            <w:r w:rsidRPr="00D85E09">
              <w:t>165</w:t>
            </w:r>
          </w:p>
        </w:tc>
        <w:tc>
          <w:tcPr>
            <w:tcW w:w="408" w:type="pct"/>
            <w:tcBorders>
              <w:top w:val="single" w:sz="4" w:space="0" w:color="000000"/>
              <w:left w:val="single" w:sz="4" w:space="0" w:color="000000"/>
              <w:bottom w:val="single" w:sz="4" w:space="0" w:color="000000"/>
              <w:right w:val="single" w:sz="4" w:space="0" w:color="000000"/>
            </w:tcBorders>
            <w:vAlign w:val="center"/>
            <w:hideMark/>
          </w:tcPr>
          <w:p w14:paraId="1F5131E1" w14:textId="77777777" w:rsidR="00A41E60" w:rsidRPr="00D85E09" w:rsidRDefault="00A41E60" w:rsidP="0043316B">
            <w:pPr>
              <w:pStyle w:val="Tabletext"/>
              <w:keepNext w:val="0"/>
              <w:widowControl w:val="0"/>
              <w:jc w:val="center"/>
            </w:pPr>
            <w:r w:rsidRPr="00D85E09">
              <w:t>150</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08F34362" w14:textId="77777777" w:rsidR="00A41E60" w:rsidRPr="00D85E09" w:rsidRDefault="00A41E60" w:rsidP="0043316B">
            <w:pPr>
              <w:pStyle w:val="Tabletext"/>
              <w:keepNext w:val="0"/>
              <w:widowControl w:val="0"/>
              <w:jc w:val="center"/>
            </w:pPr>
            <w:r w:rsidRPr="00D85E09">
              <w:t>35</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776CB461" w14:textId="77777777" w:rsidR="00A41E60" w:rsidRPr="00D85E09" w:rsidRDefault="00A41E60" w:rsidP="0043316B">
            <w:pPr>
              <w:pStyle w:val="Tabletext"/>
              <w:keepNext w:val="0"/>
              <w:widowControl w:val="0"/>
              <w:jc w:val="center"/>
            </w:pPr>
            <w:r w:rsidRPr="00D85E09">
              <w:t>35</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2050ECC5" w14:textId="77777777" w:rsidR="00A41E60" w:rsidRPr="00D85E09" w:rsidRDefault="00A41E60" w:rsidP="0043316B">
            <w:pPr>
              <w:pStyle w:val="Tabletext"/>
              <w:keepNext w:val="0"/>
              <w:widowControl w:val="0"/>
              <w:jc w:val="center"/>
            </w:pPr>
            <w:r w:rsidRPr="00D85E09">
              <w:t>233</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5B97FB09" w14:textId="77777777" w:rsidR="00A41E60" w:rsidRPr="00D85E09" w:rsidRDefault="00A41E60" w:rsidP="0043316B">
            <w:pPr>
              <w:pStyle w:val="Tabletext"/>
              <w:keepNext w:val="0"/>
              <w:widowControl w:val="0"/>
              <w:jc w:val="center"/>
            </w:pPr>
            <w:r w:rsidRPr="00D85E09">
              <w:t>267</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70866E52" w14:textId="77777777" w:rsidR="00A41E60" w:rsidRPr="00D85E09" w:rsidRDefault="00A41E60" w:rsidP="0043316B">
            <w:pPr>
              <w:pStyle w:val="Tabletext"/>
              <w:keepNext w:val="0"/>
              <w:widowControl w:val="0"/>
              <w:jc w:val="center"/>
            </w:pPr>
            <w:r w:rsidRPr="00D85E09">
              <w:t>103</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704328C3" w14:textId="77777777" w:rsidR="00A41E60" w:rsidRPr="00D85E09" w:rsidRDefault="00A41E60" w:rsidP="0043316B">
            <w:pPr>
              <w:pStyle w:val="Tabletext"/>
              <w:keepNext w:val="0"/>
              <w:widowControl w:val="0"/>
              <w:jc w:val="center"/>
            </w:pPr>
            <w:r w:rsidRPr="00D85E09">
              <w:t>103</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5B7FAD1C" w14:textId="77777777" w:rsidR="00A41E60" w:rsidRPr="00D85E09" w:rsidRDefault="00A41E60" w:rsidP="0043316B">
            <w:pPr>
              <w:pStyle w:val="Tabletext"/>
              <w:keepNext w:val="0"/>
              <w:widowControl w:val="0"/>
              <w:jc w:val="center"/>
            </w:pPr>
            <w:r w:rsidRPr="00D85E09">
              <w:t>98</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4C20F725" w14:textId="77777777" w:rsidR="00A41E60" w:rsidRPr="00D85E09" w:rsidRDefault="00A41E60" w:rsidP="0043316B">
            <w:pPr>
              <w:pStyle w:val="Tabletext"/>
              <w:keepNext w:val="0"/>
              <w:widowControl w:val="0"/>
              <w:jc w:val="center"/>
            </w:pPr>
            <w:r w:rsidRPr="00D85E09">
              <w:t>97</w:t>
            </w:r>
          </w:p>
        </w:tc>
      </w:tr>
      <w:tr w:rsidR="00A41E60" w:rsidRPr="00D85E09" w14:paraId="6756876C" w14:textId="77777777" w:rsidTr="00A41E60">
        <w:tc>
          <w:tcPr>
            <w:tcW w:w="846" w:type="pct"/>
            <w:tcBorders>
              <w:top w:val="single" w:sz="4" w:space="0" w:color="000000"/>
              <w:left w:val="single" w:sz="4" w:space="0" w:color="000000"/>
              <w:bottom w:val="single" w:sz="4" w:space="0" w:color="000000"/>
              <w:right w:val="single" w:sz="4" w:space="0" w:color="000000"/>
            </w:tcBorders>
            <w:hideMark/>
          </w:tcPr>
          <w:p w14:paraId="0F88ACC6" w14:textId="77777777" w:rsidR="00A41E60" w:rsidRPr="00D85E09" w:rsidRDefault="00A41E60" w:rsidP="0043316B">
            <w:pPr>
              <w:pStyle w:val="Tabletext"/>
              <w:keepNext w:val="0"/>
              <w:widowControl w:val="0"/>
            </w:pPr>
            <w:r w:rsidRPr="00D85E09">
              <w:t>Procedural complications</w:t>
            </w:r>
          </w:p>
        </w:tc>
        <w:tc>
          <w:tcPr>
            <w:tcW w:w="489" w:type="pct"/>
            <w:tcBorders>
              <w:top w:val="single" w:sz="4" w:space="0" w:color="000000"/>
              <w:left w:val="single" w:sz="4" w:space="0" w:color="000000"/>
              <w:bottom w:val="single" w:sz="4" w:space="0" w:color="000000"/>
              <w:right w:val="single" w:sz="4" w:space="0" w:color="000000"/>
            </w:tcBorders>
            <w:vAlign w:val="center"/>
            <w:hideMark/>
          </w:tcPr>
          <w:p w14:paraId="0958DDBB" w14:textId="77777777" w:rsidR="00A41E60" w:rsidRPr="00D85E09" w:rsidRDefault="00A41E60" w:rsidP="0043316B">
            <w:pPr>
              <w:pStyle w:val="Tabletext"/>
              <w:keepNext w:val="0"/>
              <w:widowControl w:val="0"/>
              <w:jc w:val="center"/>
            </w:pPr>
            <w:r w:rsidRPr="00D85E09">
              <w:t>1 (0.6)</w:t>
            </w:r>
            <w:r w:rsidRPr="00D85E09">
              <w:rPr>
                <w:vertAlign w:val="superscript"/>
              </w:rPr>
              <w:t>a</w:t>
            </w:r>
          </w:p>
        </w:tc>
        <w:tc>
          <w:tcPr>
            <w:tcW w:w="408" w:type="pct"/>
            <w:tcBorders>
              <w:top w:val="single" w:sz="4" w:space="0" w:color="000000"/>
              <w:left w:val="single" w:sz="4" w:space="0" w:color="000000"/>
              <w:bottom w:val="single" w:sz="4" w:space="0" w:color="000000"/>
              <w:right w:val="single" w:sz="4" w:space="0" w:color="000000"/>
            </w:tcBorders>
            <w:vAlign w:val="center"/>
            <w:hideMark/>
          </w:tcPr>
          <w:p w14:paraId="313F1272" w14:textId="77777777" w:rsidR="00A41E60" w:rsidRPr="00D85E09" w:rsidRDefault="00A41E60" w:rsidP="0043316B">
            <w:pPr>
              <w:pStyle w:val="Tabletext"/>
              <w:keepNext w:val="0"/>
              <w:widowControl w:val="0"/>
              <w:jc w:val="center"/>
            </w:pPr>
            <w:r w:rsidRPr="00D85E09">
              <w:t>0</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5BB36C24" w14:textId="77777777" w:rsidR="00A41E60" w:rsidRPr="00D85E09" w:rsidRDefault="00A41E60" w:rsidP="0043316B">
            <w:pPr>
              <w:pStyle w:val="Tabletext"/>
              <w:keepNext w:val="0"/>
              <w:widowControl w:val="0"/>
              <w:jc w:val="center"/>
            </w:pPr>
            <w:r w:rsidRPr="00D85E09">
              <w:t>1 (2.9)</w:t>
            </w:r>
            <w:r w:rsidRPr="00D85E09">
              <w:rPr>
                <w:vertAlign w:val="superscript"/>
              </w:rPr>
              <w:t>b</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0D487AEC" w14:textId="77777777" w:rsidR="00A41E60" w:rsidRPr="00D85E09" w:rsidRDefault="00A41E60" w:rsidP="0043316B">
            <w:pPr>
              <w:pStyle w:val="Tabletext"/>
              <w:keepNext w:val="0"/>
              <w:widowControl w:val="0"/>
              <w:jc w:val="center"/>
            </w:pPr>
            <w:r w:rsidRPr="00D85E09">
              <w:t>0</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30A05B0B" w14:textId="77777777" w:rsidR="00A41E60" w:rsidRPr="00D85E09" w:rsidRDefault="00A41E60" w:rsidP="0043316B">
            <w:pPr>
              <w:pStyle w:val="Tabletext"/>
              <w:keepNext w:val="0"/>
              <w:widowControl w:val="0"/>
              <w:jc w:val="center"/>
            </w:pPr>
            <w:r w:rsidRPr="00D85E09">
              <w:t>NR</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12D18E63" w14:textId="77777777" w:rsidR="00A41E60" w:rsidRPr="00D85E09" w:rsidRDefault="00A41E60" w:rsidP="0043316B">
            <w:pPr>
              <w:pStyle w:val="Tabletext"/>
              <w:keepNext w:val="0"/>
              <w:widowControl w:val="0"/>
              <w:jc w:val="center"/>
            </w:pPr>
            <w:r w:rsidRPr="00D85E09">
              <w:t>NR</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0C503A32" w14:textId="77777777" w:rsidR="00A41E60" w:rsidRPr="00D85E09" w:rsidRDefault="00A41E60" w:rsidP="0043316B">
            <w:pPr>
              <w:pStyle w:val="Tabletext"/>
              <w:keepNext w:val="0"/>
              <w:widowControl w:val="0"/>
              <w:jc w:val="center"/>
            </w:pPr>
            <w:r w:rsidRPr="00D85E09">
              <w:t>NR</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7CD5358D" w14:textId="77777777" w:rsidR="00A41E60" w:rsidRPr="00D85E09" w:rsidRDefault="00A41E60" w:rsidP="0043316B">
            <w:pPr>
              <w:pStyle w:val="Tabletext"/>
              <w:keepNext w:val="0"/>
              <w:widowControl w:val="0"/>
              <w:jc w:val="center"/>
            </w:pPr>
            <w:r w:rsidRPr="00D85E09">
              <w:t>NR</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1A745491" w14:textId="77777777" w:rsidR="00A41E60" w:rsidRPr="00D85E09" w:rsidRDefault="00A41E60" w:rsidP="0043316B">
            <w:pPr>
              <w:pStyle w:val="Tabletext"/>
              <w:keepNext w:val="0"/>
              <w:widowControl w:val="0"/>
              <w:jc w:val="center"/>
            </w:pPr>
            <w:r w:rsidRPr="00D85E09">
              <w:t>NR</w:t>
            </w:r>
          </w:p>
        </w:tc>
        <w:tc>
          <w:tcPr>
            <w:tcW w:w="407" w:type="pct"/>
            <w:tcBorders>
              <w:top w:val="single" w:sz="4" w:space="0" w:color="000000"/>
              <w:left w:val="single" w:sz="4" w:space="0" w:color="000000"/>
              <w:bottom w:val="single" w:sz="4" w:space="0" w:color="000000"/>
              <w:right w:val="single" w:sz="4" w:space="0" w:color="000000"/>
            </w:tcBorders>
            <w:vAlign w:val="center"/>
            <w:hideMark/>
          </w:tcPr>
          <w:p w14:paraId="7BDCF957" w14:textId="77777777" w:rsidR="00A41E60" w:rsidRPr="00D85E09" w:rsidRDefault="00A41E60" w:rsidP="0043316B">
            <w:pPr>
              <w:pStyle w:val="Tabletext"/>
              <w:keepNext w:val="0"/>
              <w:widowControl w:val="0"/>
              <w:jc w:val="center"/>
            </w:pPr>
            <w:r w:rsidRPr="00D85E09">
              <w:t>NR</w:t>
            </w:r>
          </w:p>
        </w:tc>
      </w:tr>
      <w:tr w:rsidR="00A41E60" w:rsidRPr="00D85E09" w14:paraId="05BE1055" w14:textId="77777777" w:rsidTr="00A41E60">
        <w:tc>
          <w:tcPr>
            <w:tcW w:w="846" w:type="pct"/>
            <w:tcBorders>
              <w:top w:val="single" w:sz="4" w:space="0" w:color="000000"/>
              <w:left w:val="single" w:sz="4" w:space="0" w:color="000000"/>
              <w:bottom w:val="single" w:sz="4" w:space="0" w:color="auto"/>
              <w:right w:val="single" w:sz="4" w:space="0" w:color="000000"/>
            </w:tcBorders>
            <w:hideMark/>
          </w:tcPr>
          <w:p w14:paraId="7D962E25" w14:textId="77777777" w:rsidR="00A41E60" w:rsidRPr="00D85E09" w:rsidRDefault="00A41E60" w:rsidP="0043316B">
            <w:pPr>
              <w:pStyle w:val="Tabletext"/>
              <w:keepNext w:val="0"/>
              <w:widowControl w:val="0"/>
            </w:pPr>
            <w:r w:rsidRPr="00D85E09">
              <w:t>Hematoma at access site</w:t>
            </w:r>
          </w:p>
        </w:tc>
        <w:tc>
          <w:tcPr>
            <w:tcW w:w="489" w:type="pct"/>
            <w:tcBorders>
              <w:top w:val="single" w:sz="4" w:space="0" w:color="000000"/>
              <w:left w:val="single" w:sz="4" w:space="0" w:color="000000"/>
              <w:bottom w:val="single" w:sz="4" w:space="0" w:color="auto"/>
              <w:right w:val="single" w:sz="4" w:space="0" w:color="000000"/>
            </w:tcBorders>
            <w:vAlign w:val="center"/>
            <w:hideMark/>
          </w:tcPr>
          <w:p w14:paraId="05754193" w14:textId="77777777" w:rsidR="00A41E60" w:rsidRPr="00D85E09" w:rsidRDefault="00A41E60" w:rsidP="0043316B">
            <w:pPr>
              <w:pStyle w:val="Tabletext"/>
              <w:keepNext w:val="0"/>
              <w:widowControl w:val="0"/>
              <w:jc w:val="center"/>
            </w:pPr>
            <w:r w:rsidRPr="00D85E09">
              <w:t>3 (1.8)</w:t>
            </w:r>
          </w:p>
        </w:tc>
        <w:tc>
          <w:tcPr>
            <w:tcW w:w="408" w:type="pct"/>
            <w:tcBorders>
              <w:top w:val="single" w:sz="4" w:space="0" w:color="000000"/>
              <w:left w:val="single" w:sz="4" w:space="0" w:color="000000"/>
              <w:bottom w:val="single" w:sz="4" w:space="0" w:color="auto"/>
              <w:right w:val="single" w:sz="4" w:space="0" w:color="000000"/>
            </w:tcBorders>
            <w:vAlign w:val="center"/>
            <w:hideMark/>
          </w:tcPr>
          <w:p w14:paraId="7E6148E4" w14:textId="77777777" w:rsidR="00A41E60" w:rsidRPr="00D85E09" w:rsidRDefault="00A41E60" w:rsidP="0043316B">
            <w:pPr>
              <w:pStyle w:val="Tabletext"/>
              <w:keepNext w:val="0"/>
              <w:widowControl w:val="0"/>
              <w:jc w:val="center"/>
            </w:pPr>
            <w:r w:rsidRPr="00D85E09">
              <w:t>0</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75363E46" w14:textId="77777777" w:rsidR="00A41E60" w:rsidRPr="00D85E09" w:rsidRDefault="00A41E60" w:rsidP="0043316B">
            <w:pPr>
              <w:pStyle w:val="Tabletext"/>
              <w:keepNext w:val="0"/>
              <w:widowControl w:val="0"/>
              <w:jc w:val="center"/>
            </w:pPr>
            <w:r w:rsidRPr="00D85E09">
              <w:t>1 (2.9)</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3CFFEF8D" w14:textId="77777777" w:rsidR="00A41E60" w:rsidRPr="00D85E09" w:rsidRDefault="00A41E60" w:rsidP="0043316B">
            <w:pPr>
              <w:pStyle w:val="Tabletext"/>
              <w:keepNext w:val="0"/>
              <w:widowControl w:val="0"/>
              <w:jc w:val="center"/>
            </w:pPr>
            <w:r w:rsidRPr="00D85E09">
              <w:t>0</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4195D242" w14:textId="77777777" w:rsidR="00A41E60" w:rsidRPr="00D85E09" w:rsidRDefault="00A41E60" w:rsidP="0043316B">
            <w:pPr>
              <w:pStyle w:val="Tabletext"/>
              <w:keepNext w:val="0"/>
              <w:widowControl w:val="0"/>
              <w:jc w:val="center"/>
              <w:rPr>
                <w:rFonts w:eastAsia="OTNEJMScalaSansLF"/>
              </w:rPr>
            </w:pPr>
            <w:r w:rsidRPr="00D85E09">
              <w:t>NR</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2BB0063E" w14:textId="77777777" w:rsidR="00A41E60" w:rsidRPr="00D85E09" w:rsidRDefault="00A41E60" w:rsidP="0043316B">
            <w:pPr>
              <w:pStyle w:val="Tabletext"/>
              <w:keepNext w:val="0"/>
              <w:widowControl w:val="0"/>
              <w:jc w:val="center"/>
              <w:rPr>
                <w:rFonts w:eastAsia="OTNEJMScalaSansLF"/>
              </w:rPr>
            </w:pPr>
            <w:r w:rsidRPr="00D85E09">
              <w:t>NR</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1AEC5151" w14:textId="77777777" w:rsidR="00A41E60" w:rsidRPr="00D85E09" w:rsidRDefault="00A41E60" w:rsidP="0043316B">
            <w:pPr>
              <w:pStyle w:val="Tabletext"/>
              <w:keepNext w:val="0"/>
              <w:widowControl w:val="0"/>
              <w:jc w:val="center"/>
            </w:pPr>
            <w:r w:rsidRPr="00D85E09">
              <w:t>11 (10.7)</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76F84D44" w14:textId="77777777" w:rsidR="00A41E60" w:rsidRPr="00D85E09" w:rsidRDefault="00A41E60" w:rsidP="0043316B">
            <w:pPr>
              <w:pStyle w:val="Tabletext"/>
              <w:keepNext w:val="0"/>
              <w:widowControl w:val="0"/>
              <w:jc w:val="center"/>
            </w:pPr>
            <w:r w:rsidRPr="00D85E09">
              <w:t>0</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2EB9166D" w14:textId="77777777" w:rsidR="00A41E60" w:rsidRPr="00D85E09" w:rsidRDefault="00A41E60" w:rsidP="0043316B">
            <w:pPr>
              <w:pStyle w:val="Tabletext"/>
              <w:keepNext w:val="0"/>
              <w:widowControl w:val="0"/>
              <w:jc w:val="center"/>
            </w:pPr>
            <w:r w:rsidRPr="00D85E09">
              <w:t>NR</w:t>
            </w:r>
          </w:p>
        </w:tc>
        <w:tc>
          <w:tcPr>
            <w:tcW w:w="407" w:type="pct"/>
            <w:tcBorders>
              <w:top w:val="single" w:sz="4" w:space="0" w:color="000000"/>
              <w:left w:val="single" w:sz="4" w:space="0" w:color="000000"/>
              <w:bottom w:val="single" w:sz="4" w:space="0" w:color="auto"/>
              <w:right w:val="single" w:sz="4" w:space="0" w:color="000000"/>
            </w:tcBorders>
            <w:vAlign w:val="center"/>
            <w:hideMark/>
          </w:tcPr>
          <w:p w14:paraId="0D9E1CA8" w14:textId="77777777" w:rsidR="00A41E60" w:rsidRPr="00D85E09" w:rsidRDefault="00A41E60" w:rsidP="0043316B">
            <w:pPr>
              <w:pStyle w:val="Tabletext"/>
              <w:keepNext w:val="0"/>
              <w:widowControl w:val="0"/>
              <w:jc w:val="center"/>
            </w:pPr>
            <w:r w:rsidRPr="00D85E09">
              <w:t>NR</w:t>
            </w:r>
          </w:p>
        </w:tc>
      </w:tr>
    </w:tbl>
    <w:p w14:paraId="6785424D" w14:textId="328E56E6" w:rsidR="00A41E60" w:rsidRPr="00D85E09" w:rsidRDefault="00A41E60" w:rsidP="0043316B">
      <w:pPr>
        <w:pStyle w:val="TableNotes1"/>
        <w:keepNext w:val="0"/>
        <w:keepLines w:val="0"/>
        <w:widowControl w:val="0"/>
      </w:pPr>
      <w:r w:rsidRPr="00D85E09">
        <w:t>Abbreviations: MT, mechanical thrombectomy.</w:t>
      </w:r>
    </w:p>
    <w:p w14:paraId="7E4D715D" w14:textId="77777777" w:rsidR="00A41E60" w:rsidRPr="00D85E09" w:rsidRDefault="00A41E60" w:rsidP="0043316B">
      <w:pPr>
        <w:pStyle w:val="TableNotes1"/>
        <w:keepNext w:val="0"/>
        <w:keepLines w:val="0"/>
        <w:widowControl w:val="0"/>
        <w:numPr>
          <w:ilvl w:val="0"/>
          <w:numId w:val="33"/>
        </w:numPr>
      </w:pPr>
      <w:r w:rsidRPr="00D85E09">
        <w:t>Perforation of the middle cerebral artery</w:t>
      </w:r>
    </w:p>
    <w:p w14:paraId="7C03047A" w14:textId="77777777" w:rsidR="00A41E60" w:rsidRPr="00D85E09" w:rsidRDefault="00A41E60" w:rsidP="0043316B">
      <w:pPr>
        <w:pStyle w:val="TableNotes1"/>
        <w:keepNext w:val="0"/>
        <w:keepLines w:val="0"/>
        <w:widowControl w:val="0"/>
        <w:numPr>
          <w:ilvl w:val="0"/>
          <w:numId w:val="33"/>
        </w:numPr>
      </w:pPr>
      <w:r w:rsidRPr="00D85E09">
        <w:t>Wire perforation</w:t>
      </w:r>
    </w:p>
    <w:p w14:paraId="1ACFBABA" w14:textId="77777777" w:rsidR="00A41E60" w:rsidRPr="00D85E09" w:rsidRDefault="00A41E60" w:rsidP="0043316B">
      <w:pPr>
        <w:widowControl w:val="0"/>
      </w:pPr>
    </w:p>
    <w:p w14:paraId="2E3B3588" w14:textId="55E0385A" w:rsidR="00A41E60" w:rsidRPr="00D85E09" w:rsidRDefault="00A41E60" w:rsidP="0043316B">
      <w:pPr>
        <w:widowControl w:val="0"/>
        <w:rPr>
          <w:i/>
        </w:rPr>
      </w:pPr>
      <w:r w:rsidRPr="00D85E09">
        <w:t>Other “safety” outcomes explored in Section B included intra</w:t>
      </w:r>
      <w:r w:rsidR="00300BB6" w:rsidRPr="00D85E09">
        <w:t>-cranial</w:t>
      </w:r>
      <w:r w:rsidRPr="00D85E09">
        <w:t xml:space="preserve"> / intracerebral bleeding events as well as mortality. Risks of these events are similar or for the case of mortality more favourable for mechanical thrombectomy vs usual care (see Section B.7). The model considers these outcomes more as “efficacy”, and assumed to be captured in the mRS outcomes (i.e., death is captured as mRS of 6). </w:t>
      </w:r>
      <w:r w:rsidRPr="00D85E09">
        <w:rPr>
          <w:i/>
        </w:rPr>
        <w:t>Hence, any cost and QALY implications associated with these events are captured in the acute treatment costs and utility scores included the model.</w:t>
      </w:r>
    </w:p>
    <w:p w14:paraId="30817295"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21" w:name="_Toc453065292"/>
      <w:r w:rsidRPr="00D85E09">
        <w:rPr>
          <w:lang w:val="en-AU"/>
        </w:rPr>
        <w:lastRenderedPageBreak/>
        <w:t>Focused analytical plan</w:t>
      </w:r>
      <w:bookmarkEnd w:id="421"/>
    </w:p>
    <w:p w14:paraId="71157F3D" w14:textId="55D3E973" w:rsidR="00A41E60" w:rsidRPr="00D85E09" w:rsidRDefault="00A41E60" w:rsidP="0043316B">
      <w:pPr>
        <w:pStyle w:val="Heading5"/>
        <w:widowControl w:val="0"/>
        <w:rPr>
          <w:lang w:val="en-AU"/>
        </w:rPr>
      </w:pPr>
      <w:r w:rsidRPr="00D85E09">
        <w:rPr>
          <w:lang w:val="en-AU"/>
        </w:rPr>
        <w:t>Mechanical thrombectomy</w:t>
      </w:r>
    </w:p>
    <w:p w14:paraId="60BF4171" w14:textId="230E27A5" w:rsidR="00A41E60" w:rsidRPr="00D85E09" w:rsidRDefault="00A41E60" w:rsidP="0043316B">
      <w:pPr>
        <w:widowControl w:val="0"/>
      </w:pPr>
      <w:r w:rsidRPr="00D85E09">
        <w:t>Estimation of procedural costs for mechanical thrombectomy is performed in accordance with resource requirements described in the Protocol, supplemented by published evidence and expert inputs.</w:t>
      </w:r>
    </w:p>
    <w:p w14:paraId="243E76AD" w14:textId="77777777" w:rsidR="00A41E60" w:rsidRPr="00D85E09" w:rsidRDefault="00A41E60" w:rsidP="0043316B">
      <w:pPr>
        <w:pStyle w:val="Heading5"/>
        <w:widowControl w:val="0"/>
        <w:rPr>
          <w:lang w:val="en-AU"/>
        </w:rPr>
      </w:pPr>
      <w:r w:rsidRPr="00D85E09">
        <w:rPr>
          <w:lang w:val="en-AU"/>
        </w:rPr>
        <w:t>Costs of stroke care by mRS – acute and mid-/long-term costs</w:t>
      </w:r>
    </w:p>
    <w:p w14:paraId="0B5B9089" w14:textId="77777777" w:rsidR="00A41E60" w:rsidRPr="00D85E09" w:rsidRDefault="00A41E60" w:rsidP="0043316B">
      <w:pPr>
        <w:widowControl w:val="0"/>
      </w:pPr>
      <w:r w:rsidRPr="00D85E09">
        <w:t>To fully capture the cost implications of improved functional outcomes offered by mechanical thrombectomy vs usual care, the Section D model considers the following three time points:</w:t>
      </w:r>
    </w:p>
    <w:p w14:paraId="52C48866" w14:textId="77777777" w:rsidR="00A41E60" w:rsidRPr="00D85E09" w:rsidRDefault="00A41E60" w:rsidP="0043316B">
      <w:pPr>
        <w:pStyle w:val="ListParagraph"/>
        <w:widowControl w:val="0"/>
        <w:numPr>
          <w:ilvl w:val="0"/>
          <w:numId w:val="34"/>
        </w:numPr>
      </w:pPr>
      <w:r w:rsidRPr="00D85E09">
        <w:t>In-hospital acute care cost (other than the costs of mechanical thrombectomy, as above)</w:t>
      </w:r>
    </w:p>
    <w:p w14:paraId="58B18679" w14:textId="419EB98E" w:rsidR="00A41E60" w:rsidRPr="00D85E09" w:rsidRDefault="00A41E60" w:rsidP="0043316B">
      <w:pPr>
        <w:pStyle w:val="ListParagraph"/>
        <w:widowControl w:val="0"/>
        <w:numPr>
          <w:ilvl w:val="0"/>
          <w:numId w:val="34"/>
        </w:numPr>
      </w:pPr>
      <w:r w:rsidRPr="00D85E09">
        <w:t>Out</w:t>
      </w:r>
      <w:r w:rsidR="00582C35" w:rsidRPr="00D85E09">
        <w:t>-</w:t>
      </w:r>
      <w:r w:rsidRPr="00D85E09">
        <w:t>of</w:t>
      </w:r>
      <w:r w:rsidR="00582C35" w:rsidRPr="00D85E09">
        <w:t>-</w:t>
      </w:r>
      <w:r w:rsidRPr="00D85E09">
        <w:t>hospital cost to 12 months – mid-term stroke care costs</w:t>
      </w:r>
    </w:p>
    <w:p w14:paraId="2D80AC7F" w14:textId="1A002757" w:rsidR="00A41E60" w:rsidRPr="00D85E09" w:rsidRDefault="00A41E60" w:rsidP="0043316B">
      <w:pPr>
        <w:pStyle w:val="ListParagraph"/>
        <w:widowControl w:val="0"/>
        <w:numPr>
          <w:ilvl w:val="0"/>
          <w:numId w:val="34"/>
        </w:numPr>
      </w:pPr>
      <w:r w:rsidRPr="00D85E09">
        <w:t>Out</w:t>
      </w:r>
      <w:r w:rsidR="00582C35" w:rsidRPr="00D85E09">
        <w:t>-</w:t>
      </w:r>
      <w:r w:rsidRPr="00D85E09">
        <w:t>of</w:t>
      </w:r>
      <w:r w:rsidR="00582C35" w:rsidRPr="00D85E09">
        <w:t>-</w:t>
      </w:r>
      <w:r w:rsidRPr="00D85E09">
        <w:t>hospital cost beyond 12 months – long-term stroke care costs</w:t>
      </w:r>
    </w:p>
    <w:p w14:paraId="3C664420" w14:textId="2599D3F6" w:rsidR="00A41E60" w:rsidRPr="00D85E09" w:rsidRDefault="00A41E60" w:rsidP="0043316B">
      <w:pPr>
        <w:widowControl w:val="0"/>
      </w:pPr>
      <w:r w:rsidRPr="00D85E09">
        <w:t>To identify published cost information, a Pub</w:t>
      </w:r>
      <w:r w:rsidR="00F67AF7" w:rsidRPr="00D85E09">
        <w:t>M</w:t>
      </w:r>
      <w:r w:rsidRPr="00D85E09">
        <w:t>ed literature search was performed on the 15th of April with the following search string; “</w:t>
      </w:r>
      <w:r w:rsidRPr="00D85E09">
        <w:rPr>
          <w:i/>
        </w:rPr>
        <w:t>Australia* AND (Cost AND Stroke)</w:t>
      </w:r>
      <w:r w:rsidRPr="00D85E09">
        <w:t>”; returning 283 citations. Only observational studies (i.e., non-interventional; unless mechanical thrombectomy and/or usual care including IV</w:t>
      </w:r>
      <w:r w:rsidR="00D32933" w:rsidRPr="00D85E09">
        <w:t>-</w:t>
      </w:r>
      <w:r w:rsidRPr="00D85E09">
        <w:t>tPA are the studied interventions) performed in Australia are considered for inclusion. To further guide the inclusion / exclusion of papers for further review, a particular focus is then place on studies which reported costs by functional / disability levels. Only one study (Tanny et al 2013) provided cost estimates by post-stroke disability levels.</w:t>
      </w:r>
    </w:p>
    <w:p w14:paraId="3A505E1C" w14:textId="21DB3E8D" w:rsidR="00A41E60" w:rsidRPr="00D85E09" w:rsidRDefault="00A41E60" w:rsidP="0043316B">
      <w:pPr>
        <w:pStyle w:val="Caption"/>
        <w:keepNext w:val="0"/>
        <w:widowControl w:val="0"/>
        <w:rPr>
          <w:lang w:val="en-AU"/>
        </w:rPr>
      </w:pPr>
      <w:bookmarkStart w:id="422" w:name="_Toc45306539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56</w:t>
      </w:r>
      <w:r w:rsidRPr="00D85E09">
        <w:rPr>
          <w:lang w:val="en-AU"/>
        </w:rPr>
        <w:fldChar w:fldCharType="end"/>
      </w:r>
      <w:r w:rsidRPr="00D85E09">
        <w:rPr>
          <w:lang w:val="en-AU"/>
        </w:rPr>
        <w:tab/>
        <w:t>Publications considered in the current pre-modelling study</w:t>
      </w:r>
      <w:bookmarkEnd w:id="422"/>
    </w:p>
    <w:tbl>
      <w:tblPr>
        <w:tblStyle w:val="TableGrid"/>
        <w:tblW w:w="0" w:type="auto"/>
        <w:tblLook w:val="04A0" w:firstRow="1" w:lastRow="0" w:firstColumn="1" w:lastColumn="0" w:noHBand="0" w:noVBand="1"/>
        <w:tblDescription w:val="Table 56. Publications considered in the current pre-modelling study"/>
      </w:tblPr>
      <w:tblGrid>
        <w:gridCol w:w="8778"/>
      </w:tblGrid>
      <w:tr w:rsidR="00A41E60" w:rsidRPr="00D85E09" w14:paraId="38CE4B88"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hideMark/>
          </w:tcPr>
          <w:p w14:paraId="383733E3" w14:textId="77777777" w:rsidR="00A41E60" w:rsidRPr="00D85E09" w:rsidRDefault="00A41E60" w:rsidP="0043316B">
            <w:pPr>
              <w:pStyle w:val="Tabletext"/>
              <w:keepNext w:val="0"/>
              <w:widowControl w:val="0"/>
              <w:rPr>
                <w:b/>
                <w:i/>
              </w:rPr>
            </w:pPr>
            <w:r w:rsidRPr="00D85E09">
              <w:rPr>
                <w:b/>
                <w:i/>
              </w:rPr>
              <w:t>Study reporting cost information by disability level</w:t>
            </w:r>
          </w:p>
        </w:tc>
      </w:tr>
      <w:tr w:rsidR="00A41E60" w:rsidRPr="00D85E09" w14:paraId="3D4062BA"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5D345F7F" w14:textId="5569A143" w:rsidR="00A41E60" w:rsidRPr="00D85E09" w:rsidRDefault="00A41E60" w:rsidP="0043316B">
            <w:pPr>
              <w:pStyle w:val="Tabletext"/>
              <w:keepNext w:val="0"/>
              <w:widowControl w:val="0"/>
            </w:pPr>
            <w:r w:rsidRPr="00D85E09">
              <w:t>Tan Tanny SP, Busija L, Liew D, Teo S, Davis SM, Yan B. Cost-effectiveness of thrombolysis within 4.5 hours of acute isch</w:t>
            </w:r>
            <w:r w:rsidR="00E56287" w:rsidRPr="00D85E09">
              <w:t>aemic</w:t>
            </w:r>
            <w:r w:rsidRPr="00D85E09">
              <w:t xml:space="preserve"> stroke: experience from Australian stroke center. Stroke. 2013 Aug;44(8):2269-74.</w:t>
            </w:r>
          </w:p>
        </w:tc>
      </w:tr>
      <w:tr w:rsidR="00A41E60" w:rsidRPr="00D85E09" w14:paraId="4435FE71"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A18605F" w14:textId="77777777" w:rsidR="00A41E60" w:rsidRPr="00D85E09" w:rsidRDefault="00A41E60" w:rsidP="0043316B">
            <w:pPr>
              <w:pStyle w:val="Tabletext"/>
              <w:keepNext w:val="0"/>
              <w:widowControl w:val="0"/>
              <w:rPr>
                <w:b/>
                <w:i/>
              </w:rPr>
            </w:pPr>
            <w:r w:rsidRPr="00D85E09">
              <w:rPr>
                <w:b/>
                <w:i/>
              </w:rPr>
              <w:t>Publications of North East Melbourne Stroke Incidence Study (NEMESIS)</w:t>
            </w:r>
          </w:p>
        </w:tc>
      </w:tr>
      <w:tr w:rsidR="00A41E60" w:rsidRPr="00D85E09" w14:paraId="4FEE17BB"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66F1E66" w14:textId="77777777" w:rsidR="00A41E60" w:rsidRPr="00D85E09" w:rsidRDefault="00A41E60" w:rsidP="0043316B">
            <w:pPr>
              <w:pStyle w:val="Tabletext"/>
              <w:keepNext w:val="0"/>
              <w:widowControl w:val="0"/>
            </w:pPr>
            <w:r w:rsidRPr="00D85E09">
              <w:t>Gloede TD, Halbach SM, Thrift AG, Dewey HM, Pfaff H, Cadilhac DA. Long-term costs of stroke using 10-year longitudinal data from the North East Melbourne Stroke Incidence Study. Stroke. 2014 Nov;45(11):3389-94.</w:t>
            </w:r>
          </w:p>
        </w:tc>
      </w:tr>
      <w:tr w:rsidR="00A41E60" w:rsidRPr="00D85E09" w14:paraId="3A9B8007"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7C113141" w14:textId="77777777" w:rsidR="00A41E60" w:rsidRPr="00D85E09" w:rsidRDefault="00A41E60" w:rsidP="0043316B">
            <w:pPr>
              <w:pStyle w:val="Tabletext"/>
              <w:keepNext w:val="0"/>
              <w:widowControl w:val="0"/>
            </w:pPr>
            <w:r w:rsidRPr="00D85E09">
              <w:t xml:space="preserve">Cadilhac DA, Carter R, Thrift AG, Dewey HM. Estimating the long-term costs of ischemic and hemorrhagic stroke for Australia: new evidence derived from the North East Melbourne Stroke Incidence Study (NEMESIS). Stroke. 2009 Mar;40(3):915-21. </w:t>
            </w:r>
          </w:p>
        </w:tc>
      </w:tr>
      <w:tr w:rsidR="00A41E60" w:rsidRPr="00D85E09" w14:paraId="4EC72796"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7A8B584B" w14:textId="77777777" w:rsidR="00A41E60" w:rsidRPr="00D85E09" w:rsidRDefault="00A41E60" w:rsidP="0043316B">
            <w:pPr>
              <w:pStyle w:val="Tabletext"/>
              <w:keepNext w:val="0"/>
              <w:widowControl w:val="0"/>
            </w:pPr>
            <w:r w:rsidRPr="00D85E09">
              <w:t xml:space="preserve">Dewey HM, Thrift AG, Mihalopoulos C, Carter R, Macdonell RA, McNeil JJ, Donnan GA. 'Out of pocket' costs to stroke patients during the first year after stroke - results from the North East Melbourne Stroke Incidence Study. J Clin Neurosci. 2004 Feb;11(2):134-7. </w:t>
            </w:r>
          </w:p>
        </w:tc>
      </w:tr>
      <w:tr w:rsidR="00A41E60" w:rsidRPr="00D85E09" w14:paraId="31A3A523"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49468686" w14:textId="77777777" w:rsidR="00A41E60" w:rsidRPr="00D85E09" w:rsidRDefault="00A41E60" w:rsidP="0043316B">
            <w:pPr>
              <w:pStyle w:val="Tabletext"/>
              <w:keepNext w:val="0"/>
              <w:widowControl w:val="0"/>
            </w:pPr>
            <w:r w:rsidRPr="00D85E09">
              <w:t xml:space="preserve">Dewey HM, Thrift AG, Mihalopoulos C, Carter R, Macdonell RA, McNeil JJ, Donnan GA. Lifetime cost of stroke subtypes in Australia: findings from the North East Melbourne Stroke Incidence Study (NEMESIS). Stroke. 2003 Oct;34(10):2502-7. </w:t>
            </w:r>
          </w:p>
        </w:tc>
      </w:tr>
      <w:tr w:rsidR="00A41E60" w:rsidRPr="00D85E09" w14:paraId="03B533BB"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E02FD1D" w14:textId="77777777" w:rsidR="00A41E60" w:rsidRPr="00D85E09" w:rsidRDefault="00A41E60" w:rsidP="0043316B">
            <w:pPr>
              <w:pStyle w:val="Tabletext"/>
              <w:keepNext w:val="0"/>
              <w:widowControl w:val="0"/>
            </w:pPr>
            <w:r w:rsidRPr="00D85E09">
              <w:lastRenderedPageBreak/>
              <w:t>Dewey HM, Thrift AG, Mihalopoulos C, Carter R, Macdonell RA, McNeil JJ, Donnan GA. Informal care for stroke survivors: results from the North East Melbourne Stroke Incidence Study (NEMESIS). Stroke. 2002 Apr;33(4):1028-33.</w:t>
            </w:r>
          </w:p>
        </w:tc>
      </w:tr>
      <w:tr w:rsidR="00A41E60" w:rsidRPr="00D85E09" w14:paraId="404159B7"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598E3984" w14:textId="6D9CABAD" w:rsidR="00A41E60" w:rsidRPr="00D85E09" w:rsidRDefault="00A41E60" w:rsidP="0043316B">
            <w:pPr>
              <w:pStyle w:val="Tabletext"/>
              <w:keepNext w:val="0"/>
              <w:widowControl w:val="0"/>
            </w:pPr>
            <w:r w:rsidRPr="00D85E09">
              <w:t xml:space="preserve">Dewey HM, Thrift AG, Mihalopoulos C, Carter R, Macdonell RA, McNeil JJ, Donnan GA. Cost of stroke in Australia from a societal perspective: results from the North East Melbourne Stroke Incidence Study (NEMESIS). Stroke. 2001 Oct;32(10):2409-16. </w:t>
            </w:r>
          </w:p>
        </w:tc>
      </w:tr>
      <w:tr w:rsidR="00A41E60" w:rsidRPr="00D85E09" w14:paraId="0B64B300"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261B9660" w14:textId="77777777" w:rsidR="00A41E60" w:rsidRPr="00D85E09" w:rsidRDefault="00A41E60" w:rsidP="0043316B">
            <w:pPr>
              <w:pStyle w:val="Tabletext"/>
              <w:keepNext w:val="0"/>
              <w:widowControl w:val="0"/>
              <w:rPr>
                <w:b/>
                <w:i/>
                <w:vertAlign w:val="superscript"/>
              </w:rPr>
            </w:pPr>
            <w:r w:rsidRPr="00D85E09">
              <w:rPr>
                <w:b/>
                <w:i/>
              </w:rPr>
              <w:t>Other studies via supplementary searches</w:t>
            </w:r>
            <w:r w:rsidRPr="00D85E09">
              <w:rPr>
                <w:b/>
                <w:i/>
                <w:vertAlign w:val="superscript"/>
              </w:rPr>
              <w:t>1</w:t>
            </w:r>
          </w:p>
        </w:tc>
      </w:tr>
      <w:tr w:rsidR="00A41E60" w:rsidRPr="00D85E09" w14:paraId="28F8A6D2"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3133BD79" w14:textId="6FCE51F6" w:rsidR="00A41E60" w:rsidRPr="00D85E09" w:rsidRDefault="00A41E60" w:rsidP="0043316B">
            <w:pPr>
              <w:pStyle w:val="Tabletext"/>
              <w:keepNext w:val="0"/>
              <w:widowControl w:val="0"/>
            </w:pPr>
            <w:r w:rsidRPr="00D85E09">
              <w:t xml:space="preserve">Campbell et al (for the EXTEND-IA investigators) </w:t>
            </w:r>
            <w:r w:rsidR="004F68A7" w:rsidRPr="00D85E09">
              <w:t>2015</w:t>
            </w:r>
            <w:r w:rsidRPr="00D85E09">
              <w:t xml:space="preserve"> Endovascular thrombectomy reduces length of stay and treatment costs within 3 months of stroke [conference poster].</w:t>
            </w:r>
          </w:p>
        </w:tc>
      </w:tr>
      <w:tr w:rsidR="00A41E60" w:rsidRPr="00D85E09" w14:paraId="2459B818"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624944A" w14:textId="77777777" w:rsidR="00A41E60" w:rsidRPr="00D85E09" w:rsidRDefault="00A41E60" w:rsidP="0043316B">
            <w:pPr>
              <w:pStyle w:val="Tabletext"/>
              <w:keepNext w:val="0"/>
              <w:widowControl w:val="0"/>
            </w:pPr>
            <w:r w:rsidRPr="00D85E09">
              <w:t>Baeten SA, van Exel NJ, Dirks M, Koopmanschap MA, Dippel DW, Niessen LW. Lifetime health effects and medical costs of integrated stroke services – a non-randomized controlled cluster-trial based life table approach. Cost Eff Resour Alloc. 2010 Nov 17;8:21.</w:t>
            </w:r>
          </w:p>
        </w:tc>
      </w:tr>
      <w:tr w:rsidR="00A41E60" w:rsidRPr="00D85E09" w14:paraId="7017A434"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20F84910" w14:textId="77777777" w:rsidR="00A41E60" w:rsidRPr="00D85E09" w:rsidRDefault="00A41E60" w:rsidP="0043316B">
            <w:pPr>
              <w:pStyle w:val="Tabletext"/>
              <w:keepNext w:val="0"/>
              <w:widowControl w:val="0"/>
            </w:pPr>
            <w:r w:rsidRPr="00D85E09">
              <w:t xml:space="preserve">Aronsson M, Persson J, Blomstrand C, Wester P, Levin LÅ. Cost-effectiveness of endovascular thrombectomy in patients with acute ischemic stroke. Neurology. 2016 Mar 15;86(11):1053-9. </w:t>
            </w:r>
          </w:p>
        </w:tc>
      </w:tr>
      <w:tr w:rsidR="00A41E60" w:rsidRPr="00D85E09" w14:paraId="5B2D2469"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56036456" w14:textId="00531161" w:rsidR="00A41E60" w:rsidRPr="00D85E09" w:rsidRDefault="00A41E60" w:rsidP="0043316B">
            <w:pPr>
              <w:pStyle w:val="Tabletext"/>
              <w:keepNext w:val="0"/>
              <w:widowControl w:val="0"/>
            </w:pPr>
            <w:r w:rsidRPr="00D85E09">
              <w:t>Ganesalingam J, Pizzo E, Morris S, Sunderland T, Ames D, Lobotesis K. Cost-Utility Analysis of Mechanical Thrombectomy Using Stent Retrievers in Acute Ischemic Stroke. Stroke. 2015 Sep;46(9):2591-8. doi:</w:t>
            </w:r>
          </w:p>
        </w:tc>
      </w:tr>
      <w:tr w:rsidR="00A41E60" w:rsidRPr="00D85E09" w14:paraId="7C752F26"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DDAC2EF" w14:textId="77777777" w:rsidR="00A41E60" w:rsidRPr="00D85E09" w:rsidRDefault="00A41E60" w:rsidP="0043316B">
            <w:pPr>
              <w:pStyle w:val="Tabletext"/>
              <w:keepNext w:val="0"/>
              <w:widowControl w:val="0"/>
            </w:pPr>
            <w:r w:rsidRPr="00D85E09">
              <w:t>Kim AS, Nguyen-Huynh M, Johnston SC. A cost-utility analysis of mechanical thrombectomy as an adjunct to intravenous tissue-type plasminogen activator for acute large-vessel ischemic stroke. Stroke. 2011 Jul;42(7):2013-8.</w:t>
            </w:r>
          </w:p>
        </w:tc>
      </w:tr>
      <w:tr w:rsidR="00A41E60" w:rsidRPr="00D85E09" w14:paraId="053AA0FE"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369ECD66" w14:textId="77777777" w:rsidR="00A41E60" w:rsidRPr="00D85E09" w:rsidRDefault="00A41E60" w:rsidP="0043316B">
            <w:pPr>
              <w:pStyle w:val="Tabletext"/>
              <w:keepNext w:val="0"/>
              <w:widowControl w:val="0"/>
            </w:pPr>
            <w:r w:rsidRPr="00D85E09">
              <w:t xml:space="preserve">Nguyen-Huynh MN, Johnston SC. Is mechanical clot removal or disruption a cost-effective treatment for acute stroke? AJNR Am J Neuroradiol. 2011 Feb;32(2):244-9. </w:t>
            </w:r>
          </w:p>
        </w:tc>
      </w:tr>
      <w:tr w:rsidR="00A41E60" w:rsidRPr="00D85E09" w14:paraId="4980253D"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353EE912" w14:textId="77777777" w:rsidR="00A41E60" w:rsidRPr="00D85E09" w:rsidRDefault="00A41E60" w:rsidP="0043316B">
            <w:pPr>
              <w:pStyle w:val="Tabletext"/>
              <w:keepNext w:val="0"/>
              <w:widowControl w:val="0"/>
            </w:pPr>
            <w:r w:rsidRPr="00D85E09">
              <w:t xml:space="preserve">Patil CG, Long EF, Lansberg MG. Cost-effectiveness analysis of mechanical thrombectomy in acute ischemic stroke. J Neurosurg. 2009 Mar;110(3):508-13. </w:t>
            </w:r>
          </w:p>
        </w:tc>
      </w:tr>
    </w:tbl>
    <w:p w14:paraId="54217CDC" w14:textId="5FB4BC5F" w:rsidR="00A41E60" w:rsidRPr="00D85E09" w:rsidRDefault="00A41E60" w:rsidP="0043316B">
      <w:pPr>
        <w:pStyle w:val="Tablefooter"/>
        <w:widowControl w:val="0"/>
      </w:pPr>
      <w:r w:rsidRPr="00D85E09">
        <w:rPr>
          <w:vertAlign w:val="superscript"/>
        </w:rPr>
        <w:t>1</w:t>
      </w:r>
      <w:r w:rsidRPr="00D85E09">
        <w:t xml:space="preserve"> Including those identified through a search of published cost-effectiveness studies for Section D.</w:t>
      </w:r>
      <w:r w:rsidR="00166C2D" w:rsidRPr="00D85E09">
        <w:t>3.1</w:t>
      </w:r>
      <w:r w:rsidRPr="00D85E09">
        <w:t>.</w:t>
      </w:r>
    </w:p>
    <w:p w14:paraId="23BFECC0" w14:textId="77777777" w:rsidR="00A41E60" w:rsidRPr="00D85E09" w:rsidRDefault="00A41E60" w:rsidP="0043316B">
      <w:pPr>
        <w:widowControl w:val="0"/>
      </w:pPr>
    </w:p>
    <w:p w14:paraId="14EA39A6" w14:textId="1102BAB8" w:rsidR="00A41E60" w:rsidRPr="00D85E09" w:rsidRDefault="00A41E60" w:rsidP="0043316B">
      <w:pPr>
        <w:widowControl w:val="0"/>
      </w:pPr>
      <w:r w:rsidRPr="00D85E09">
        <w:t>Tanny et al (2013) was a cost-effectiveness analysis of IV tPA in an Australian setting. This study employed a decision analytic model with health states defined by mRS</w:t>
      </w:r>
      <w:r w:rsidRPr="00D85E09">
        <w:rPr>
          <w:rStyle w:val="FootnoteReference"/>
        </w:rPr>
        <w:footnoteReference w:id="5"/>
      </w:r>
      <w:r w:rsidRPr="00D85E09">
        <w:t>. Clinical inputs for this study were based on data from 378 patients with acute ischemic stroke who received IV tPA at Royal Melbourne Hospital Comprehensive Stroke Centre between January 2003 and December 2011.</w:t>
      </w:r>
    </w:p>
    <w:p w14:paraId="78B25C1C" w14:textId="4268E4EF" w:rsidR="00A41E60" w:rsidRPr="00D85E09" w:rsidRDefault="00A41E60" w:rsidP="0043316B">
      <w:pPr>
        <w:widowControl w:val="0"/>
      </w:pPr>
      <w:r w:rsidRPr="00D85E09">
        <w:t>Cost inputs during the acute in-hospital phase were based on actual expenditure for each of the 378 patients included in the study. These data were sourced from the Clinical Costing Unit of Royal Melbourne Hospital, which assigns detailed, itemised costs to every patient encounter. Out-of-hospital costs were estimated from the North East Melbourne Stroke Incidence Study (NEMESIS; see Dewey et al 2001). The mRS stratification of the out-of-hospital costs were based on discharge destinations of patients included in the study; no further information was reported in the publication. All cost data were analysed by mRS, as required by the health state definitions employed by the model.</w:t>
      </w:r>
    </w:p>
    <w:p w14:paraId="6D8490F6" w14:textId="12DF3F5D" w:rsidR="00A41E60" w:rsidRPr="00D85E09" w:rsidRDefault="00A41E60" w:rsidP="0043316B">
      <w:pPr>
        <w:widowControl w:val="0"/>
      </w:pPr>
      <w:r w:rsidRPr="00D85E09">
        <w:lastRenderedPageBreak/>
        <w:t>Tanny et al (2013) hence provides locally relevant “real world” cost data with adequate applicability to the proposed MBS population. It is acknowledged that an adjustment would have to be made for IV tPA costs because not all patients in the usual care arm of the Section D model would receive a concurrent IV tPA (see below).</w:t>
      </w:r>
    </w:p>
    <w:p w14:paraId="11BA11B3" w14:textId="01ADEB04" w:rsidR="00A41E60" w:rsidRPr="00D85E09" w:rsidRDefault="00A41E60" w:rsidP="0043316B">
      <w:pPr>
        <w:widowControl w:val="0"/>
      </w:pPr>
      <w:r w:rsidRPr="00D85E09">
        <w:t>NEMESIS is also a widely quoted Australian population-based study providing locally relevant “real world” cost information (Dewey et al 2001). Six publications stemming from NEMESIS were also identified by the aforementioned literature search; but none of them reported cost information by disability levels. These studies are presented as supplementary evidence to further support the reasonableness of the Tanny estimates.</w:t>
      </w:r>
    </w:p>
    <w:p w14:paraId="2A45BBE6" w14:textId="3E264A20" w:rsidR="00A41E60" w:rsidRPr="00D85E09" w:rsidRDefault="00A41E60" w:rsidP="0043316B">
      <w:pPr>
        <w:widowControl w:val="0"/>
      </w:pPr>
      <w:r w:rsidRPr="00D85E09">
        <w:t>In addition, this pre-modelling study explores cost information reported in other relevant cost-effectiveness studies reported in literature (to be reviewed in Section D.</w:t>
      </w:r>
      <w:r w:rsidR="00166C2D" w:rsidRPr="00D85E09">
        <w:t>3.1</w:t>
      </w:r>
      <w:r w:rsidRPr="00D85E09">
        <w:t>) as supplementary evidence.</w:t>
      </w:r>
    </w:p>
    <w:p w14:paraId="50461F0D"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23" w:name="_Toc453065293"/>
      <w:r w:rsidRPr="00D85E09">
        <w:rPr>
          <w:lang w:val="en-AU"/>
        </w:rPr>
        <w:t>Results of the pre-modelling study</w:t>
      </w:r>
      <w:bookmarkEnd w:id="423"/>
    </w:p>
    <w:p w14:paraId="2D220DEA" w14:textId="0D0C5D6A" w:rsidR="00A41E60" w:rsidRPr="00D85E09" w:rsidRDefault="00A41E60" w:rsidP="0043316B">
      <w:pPr>
        <w:pStyle w:val="Heading5"/>
        <w:widowControl w:val="0"/>
        <w:rPr>
          <w:lang w:val="en-AU"/>
        </w:rPr>
      </w:pPr>
      <w:r w:rsidRPr="00D85E09">
        <w:rPr>
          <w:lang w:val="en-AU"/>
        </w:rPr>
        <w:t>Mechanical thrombectomy</w:t>
      </w:r>
    </w:p>
    <w:p w14:paraId="0E7C9BD5" w14:textId="5C4E415B" w:rsidR="00A41E60" w:rsidRPr="00D85E09" w:rsidRDefault="00A41E60" w:rsidP="0043316B">
      <w:pPr>
        <w:widowControl w:val="0"/>
      </w:pPr>
      <w:r w:rsidRPr="00D85E09">
        <w:fldChar w:fldCharType="begin"/>
      </w:r>
      <w:r w:rsidRPr="00D85E09">
        <w:instrText xml:space="preserve"> REF _Ref447293125 \h </w:instrText>
      </w:r>
      <w:r w:rsidRPr="00D85E09">
        <w:fldChar w:fldCharType="separate"/>
      </w:r>
      <w:r w:rsidR="00A456ED">
        <w:rPr>
          <w:b/>
          <w:bCs/>
          <w:lang w:val="en-US"/>
        </w:rPr>
        <w:t>Error! Reference source not found.</w:t>
      </w:r>
      <w:r w:rsidRPr="00D85E09">
        <w:fldChar w:fldCharType="end"/>
      </w:r>
      <w:r w:rsidRPr="00D85E09">
        <w:t xml:space="preserve"> below estimates the total cost of mechanical thrombectomy per procedure. Of note, as discussed in Section </w:t>
      </w:r>
      <w:r w:rsidR="00B5717D" w:rsidRPr="00D85E09">
        <w:fldChar w:fldCharType="begin"/>
      </w:r>
      <w:r w:rsidR="00B5717D" w:rsidRPr="00D85E09">
        <w:instrText xml:space="preserve"> REF _Ref452472669 \r \h </w:instrText>
      </w:r>
      <w:r w:rsidR="00B5717D" w:rsidRPr="00D85E09">
        <w:fldChar w:fldCharType="separate"/>
      </w:r>
      <w:r w:rsidR="00A456ED">
        <w:t>C.2</w:t>
      </w:r>
      <w:r w:rsidR="00B5717D" w:rsidRPr="00D85E09">
        <w:fldChar w:fldCharType="end"/>
      </w:r>
      <w:r w:rsidRPr="00D85E09">
        <w:t>, pre-procedural imaging tests (CT or MR-based imaging) are a part of the routine diagnostic work-up provided under the current usual care; thus existing in both treatment arms.</w:t>
      </w:r>
      <w:r w:rsidR="009F7332" w:rsidRPr="00D85E09">
        <w:rPr>
          <w:rStyle w:val="FootnoteReference"/>
        </w:rPr>
        <w:footnoteReference w:id="6"/>
      </w:r>
      <w:r w:rsidRPr="00D85E09">
        <w:t xml:space="preserve"> To this end, these costs are not included here. Based on the local </w:t>
      </w:r>
      <w:r w:rsidR="0070191F" w:rsidRPr="00D85E09">
        <w:t>key opinion leader (</w:t>
      </w:r>
      <w:r w:rsidRPr="00D85E09">
        <w:t>KOL</w:t>
      </w:r>
      <w:r w:rsidR="0070191F" w:rsidRPr="00D85E09">
        <w:t>)</w:t>
      </w:r>
      <w:r w:rsidRPr="00D85E09">
        <w:t xml:space="preserve"> inputs, two additional imaging tests are included post procedure; whole head digital subtraction angiography (DSA) to assess for emboli</w:t>
      </w:r>
      <w:r w:rsidR="00E56287" w:rsidRPr="00D85E09">
        <w:t>s</w:t>
      </w:r>
      <w:r w:rsidRPr="00D85E09">
        <w:t>ation to new brain territory or other complications and leg angiography and management of groin arteriotomy.</w:t>
      </w:r>
    </w:p>
    <w:p w14:paraId="4FE099A5" w14:textId="5B73F603" w:rsidR="00181227" w:rsidRDefault="00A41E60" w:rsidP="0043316B">
      <w:pPr>
        <w:widowControl w:val="0"/>
      </w:pPr>
      <w:r w:rsidRPr="00D85E09">
        <w:t xml:space="preserve">Total cost of stent retriever, </w:t>
      </w:r>
      <w:r w:rsidR="00B5717D" w:rsidRPr="00D85E09">
        <w:t>catheter</w:t>
      </w:r>
      <w:r w:rsidRPr="00D85E09">
        <w:t xml:space="preserve"> and other components related to mechanical thrombectomy is $</w:t>
      </w:r>
      <w:r w:rsidR="00841DDD" w:rsidRPr="00841DDD">
        <w:rPr>
          <w:b/>
        </w:rPr>
        <w:t>redacted</w:t>
      </w:r>
      <w:r w:rsidRPr="00D85E09">
        <w:t>. It is assumed that on average each procedure requires 1.2stent retrievers, meaning up to 20% of patients may require more than 1 stent retriever per procedure (data on file; SWIFT PRIME).</w:t>
      </w:r>
    </w:p>
    <w:p w14:paraId="5D72FB57" w14:textId="547D6A70" w:rsidR="00181227" w:rsidRDefault="00181227" w:rsidP="0043316B">
      <w:pPr>
        <w:widowControl w:val="0"/>
      </w:pPr>
    </w:p>
    <w:p w14:paraId="02418A6F" w14:textId="2637F4AA" w:rsidR="00181227" w:rsidRDefault="00181227" w:rsidP="004C614F">
      <w:pPr>
        <w:pStyle w:val="Caption"/>
        <w:keepNext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Description w:val="Table 57. Resource items required to perform mechanical thrombectomy"/>
      </w:tblPr>
      <w:tblGrid>
        <w:gridCol w:w="3994"/>
        <w:gridCol w:w="1143"/>
        <w:gridCol w:w="3707"/>
      </w:tblGrid>
      <w:tr w:rsidR="004C614F" w:rsidRPr="00D85E09" w14:paraId="7575227E" w14:textId="77777777" w:rsidTr="004C614F">
        <w:trPr>
          <w:tblHeader/>
        </w:trPr>
        <w:tc>
          <w:tcPr>
            <w:tcW w:w="5000" w:type="pct"/>
            <w:gridSpan w:val="3"/>
            <w:tcBorders>
              <w:top w:val="nil"/>
              <w:left w:val="nil"/>
              <w:bottom w:val="single" w:sz="4" w:space="0" w:color="auto"/>
              <w:right w:val="nil"/>
            </w:tcBorders>
            <w:vAlign w:val="center"/>
          </w:tcPr>
          <w:p w14:paraId="69DA4425" w14:textId="041820F8" w:rsidR="004C614F" w:rsidRPr="004C614F" w:rsidRDefault="004C614F" w:rsidP="004C614F">
            <w:pPr>
              <w:pStyle w:val="Caption"/>
            </w:pPr>
            <w:bookmarkStart w:id="424" w:name="_Toc453065393"/>
            <w:r>
              <w:lastRenderedPageBreak/>
              <w:t xml:space="preserve">Table </w:t>
            </w:r>
            <w:r>
              <w:fldChar w:fldCharType="begin"/>
            </w:r>
            <w:r>
              <w:instrText xml:space="preserve"> SEQ Table \* ARABIC </w:instrText>
            </w:r>
            <w:r>
              <w:fldChar w:fldCharType="separate"/>
            </w:r>
            <w:r w:rsidR="00A456ED">
              <w:rPr>
                <w:noProof/>
              </w:rPr>
              <w:t>57</w:t>
            </w:r>
            <w:r>
              <w:fldChar w:fldCharType="end"/>
            </w:r>
            <w:r>
              <w:tab/>
            </w:r>
            <w:r w:rsidRPr="00D85E09">
              <w:t>Resource items required to perform mechanical thrombectomy</w:t>
            </w:r>
            <w:bookmarkEnd w:id="424"/>
          </w:p>
        </w:tc>
      </w:tr>
      <w:tr w:rsidR="00A41E60" w:rsidRPr="00D85E09" w14:paraId="753007E8" w14:textId="77777777" w:rsidTr="004C614F">
        <w:trPr>
          <w:tblHeader/>
        </w:trPr>
        <w:tc>
          <w:tcPr>
            <w:tcW w:w="2258" w:type="pct"/>
            <w:tcBorders>
              <w:top w:val="single" w:sz="4" w:space="0" w:color="auto"/>
              <w:left w:val="single" w:sz="4" w:space="0" w:color="auto"/>
              <w:bottom w:val="single" w:sz="4" w:space="0" w:color="auto"/>
              <w:right w:val="single" w:sz="4" w:space="0" w:color="auto"/>
            </w:tcBorders>
            <w:vAlign w:val="center"/>
            <w:hideMark/>
          </w:tcPr>
          <w:p w14:paraId="55937124" w14:textId="77777777" w:rsidR="00A41E60" w:rsidRPr="004C614F" w:rsidRDefault="00A41E60" w:rsidP="004C614F">
            <w:pPr>
              <w:pStyle w:val="Tabletext"/>
              <w:keepNext w:val="0"/>
              <w:rPr>
                <w:b/>
              </w:rPr>
            </w:pPr>
            <w:r w:rsidRPr="004C614F">
              <w:rPr>
                <w:b/>
              </w:rPr>
              <w:t>Resource items</w:t>
            </w:r>
          </w:p>
        </w:tc>
        <w:tc>
          <w:tcPr>
            <w:tcW w:w="646" w:type="pct"/>
            <w:tcBorders>
              <w:top w:val="single" w:sz="4" w:space="0" w:color="auto"/>
              <w:left w:val="single" w:sz="4" w:space="0" w:color="auto"/>
              <w:bottom w:val="single" w:sz="4" w:space="0" w:color="auto"/>
              <w:right w:val="single" w:sz="4" w:space="0" w:color="auto"/>
            </w:tcBorders>
            <w:vAlign w:val="center"/>
            <w:hideMark/>
          </w:tcPr>
          <w:p w14:paraId="14685D61" w14:textId="77777777" w:rsidR="00A41E60" w:rsidRPr="004C614F" w:rsidRDefault="00A41E60" w:rsidP="004C614F">
            <w:pPr>
              <w:pStyle w:val="Tabletext"/>
              <w:keepNext w:val="0"/>
              <w:rPr>
                <w:b/>
              </w:rPr>
            </w:pPr>
            <w:r w:rsidRPr="004C614F">
              <w:rPr>
                <w:b/>
              </w:rPr>
              <w:t>Cost input</w:t>
            </w:r>
          </w:p>
        </w:tc>
        <w:tc>
          <w:tcPr>
            <w:tcW w:w="2096" w:type="pct"/>
            <w:tcBorders>
              <w:top w:val="single" w:sz="4" w:space="0" w:color="auto"/>
              <w:left w:val="single" w:sz="4" w:space="0" w:color="auto"/>
              <w:bottom w:val="single" w:sz="4" w:space="0" w:color="auto"/>
              <w:right w:val="single" w:sz="4" w:space="0" w:color="auto"/>
            </w:tcBorders>
            <w:vAlign w:val="center"/>
            <w:hideMark/>
          </w:tcPr>
          <w:p w14:paraId="02D309EA" w14:textId="77777777" w:rsidR="00A41E60" w:rsidRPr="004C614F" w:rsidRDefault="00A41E60" w:rsidP="004C614F">
            <w:pPr>
              <w:pStyle w:val="Tabletext"/>
              <w:keepNext w:val="0"/>
              <w:rPr>
                <w:b/>
              </w:rPr>
            </w:pPr>
            <w:r w:rsidRPr="004C614F">
              <w:rPr>
                <w:b/>
              </w:rPr>
              <w:t>Source / notes</w:t>
            </w:r>
          </w:p>
        </w:tc>
      </w:tr>
      <w:tr w:rsidR="00A41E60" w:rsidRPr="00D85E09" w14:paraId="611C429D"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4EAC4E70" w14:textId="77777777" w:rsidR="00A41E60" w:rsidRPr="00D85E09" w:rsidRDefault="00A41E60" w:rsidP="004C614F">
            <w:pPr>
              <w:pStyle w:val="Tabletext"/>
              <w:keepNext w:val="0"/>
              <w:rPr>
                <w:i/>
              </w:rPr>
            </w:pPr>
            <w:r w:rsidRPr="00D85E09">
              <w:rPr>
                <w:i/>
              </w:rPr>
              <w:t>Mechanical thrombectomy devices and consumables</w:t>
            </w:r>
          </w:p>
        </w:tc>
        <w:tc>
          <w:tcPr>
            <w:tcW w:w="646" w:type="pct"/>
            <w:tcBorders>
              <w:top w:val="single" w:sz="4" w:space="0" w:color="auto"/>
              <w:left w:val="single" w:sz="4" w:space="0" w:color="auto"/>
              <w:bottom w:val="single" w:sz="4" w:space="0" w:color="auto"/>
              <w:right w:val="single" w:sz="4" w:space="0" w:color="auto"/>
            </w:tcBorders>
            <w:vAlign w:val="center"/>
          </w:tcPr>
          <w:p w14:paraId="4349F288" w14:textId="77777777" w:rsidR="00A41E60" w:rsidRPr="00D85E09" w:rsidRDefault="00A41E60" w:rsidP="004C614F">
            <w:pPr>
              <w:pStyle w:val="Tabletext"/>
              <w:keepNext w:val="0"/>
            </w:pPr>
          </w:p>
        </w:tc>
        <w:tc>
          <w:tcPr>
            <w:tcW w:w="2096" w:type="pct"/>
            <w:tcBorders>
              <w:top w:val="single" w:sz="4" w:space="0" w:color="auto"/>
              <w:left w:val="single" w:sz="4" w:space="0" w:color="auto"/>
              <w:bottom w:val="single" w:sz="4" w:space="0" w:color="auto"/>
              <w:right w:val="single" w:sz="4" w:space="0" w:color="auto"/>
            </w:tcBorders>
            <w:vAlign w:val="center"/>
          </w:tcPr>
          <w:p w14:paraId="06EA2F11" w14:textId="77777777" w:rsidR="00A41E60" w:rsidRPr="00D85E09" w:rsidRDefault="00A41E60" w:rsidP="004C614F">
            <w:pPr>
              <w:pStyle w:val="Tabletext"/>
              <w:keepNext w:val="0"/>
            </w:pPr>
          </w:p>
        </w:tc>
      </w:tr>
      <w:tr w:rsidR="00A41E60" w:rsidRPr="00D85E09" w14:paraId="204D2FA2"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14347E05" w14:textId="327A6359" w:rsidR="00A41E60" w:rsidRPr="00D85E09" w:rsidRDefault="00A41E60" w:rsidP="004C614F">
            <w:pPr>
              <w:pStyle w:val="Tabletext"/>
              <w:keepNext w:val="0"/>
            </w:pPr>
            <w:r w:rsidRPr="00D85E09">
              <w:t xml:space="preserve"> Stent retriever</w:t>
            </w:r>
          </w:p>
        </w:tc>
        <w:tc>
          <w:tcPr>
            <w:tcW w:w="646" w:type="pct"/>
            <w:tcBorders>
              <w:top w:val="single" w:sz="4" w:space="0" w:color="auto"/>
              <w:left w:val="single" w:sz="4" w:space="0" w:color="auto"/>
              <w:bottom w:val="single" w:sz="4" w:space="0" w:color="auto"/>
              <w:right w:val="single" w:sz="4" w:space="0" w:color="auto"/>
            </w:tcBorders>
            <w:hideMark/>
          </w:tcPr>
          <w:p w14:paraId="3CD33865" w14:textId="016D4D9F" w:rsidR="00A41E60" w:rsidRPr="00D85E09" w:rsidRDefault="00A41E60" w:rsidP="00841DDD">
            <w:pPr>
              <w:pStyle w:val="Tabletext"/>
              <w:keepNext w:val="0"/>
            </w:pPr>
            <w:r w:rsidRPr="00D85E09">
              <w:t>$</w:t>
            </w:r>
            <w:r w:rsidR="00841DDD" w:rsidRPr="00841DDD">
              <w:rPr>
                <w:b/>
              </w:rPr>
              <w:t>redacted</w:t>
            </w:r>
            <w:r w:rsidR="00841DDD">
              <w:t xml:space="preserve"> </w:t>
            </w:r>
          </w:p>
        </w:tc>
        <w:tc>
          <w:tcPr>
            <w:tcW w:w="2096" w:type="pct"/>
            <w:tcBorders>
              <w:top w:val="single" w:sz="4" w:space="0" w:color="auto"/>
              <w:left w:val="single" w:sz="4" w:space="0" w:color="auto"/>
              <w:bottom w:val="single" w:sz="4" w:space="0" w:color="auto"/>
              <w:right w:val="single" w:sz="4" w:space="0" w:color="auto"/>
            </w:tcBorders>
            <w:hideMark/>
          </w:tcPr>
          <w:p w14:paraId="0E274579" w14:textId="77777777" w:rsidR="00A41E60" w:rsidRPr="00D85E09" w:rsidRDefault="00A41E60" w:rsidP="004C614F">
            <w:pPr>
              <w:pStyle w:val="Tabletext"/>
              <w:keepNext w:val="0"/>
            </w:pPr>
            <w:r w:rsidRPr="00D85E09">
              <w:t>Applicant</w:t>
            </w:r>
          </w:p>
          <w:p w14:paraId="13A0F113" w14:textId="77777777" w:rsidR="00A41E60" w:rsidRPr="00D85E09" w:rsidRDefault="00A41E60" w:rsidP="004C614F">
            <w:pPr>
              <w:pStyle w:val="Tabletext"/>
              <w:keepNext w:val="0"/>
            </w:pPr>
            <w:r w:rsidRPr="00D85E09">
              <w:t>1.2 units per procedure (unpublished data from SWIFT PRIME study)</w:t>
            </w:r>
          </w:p>
        </w:tc>
      </w:tr>
      <w:tr w:rsidR="00A41E60" w:rsidRPr="00D85E09" w14:paraId="42F14F05" w14:textId="77777777" w:rsidTr="00A41E60">
        <w:trPr>
          <w:tblHeader/>
        </w:trPr>
        <w:tc>
          <w:tcPr>
            <w:tcW w:w="2258" w:type="pct"/>
            <w:tcBorders>
              <w:top w:val="single" w:sz="4" w:space="0" w:color="auto"/>
              <w:left w:val="single" w:sz="4" w:space="0" w:color="auto"/>
              <w:bottom w:val="single" w:sz="4" w:space="0" w:color="auto"/>
              <w:right w:val="single" w:sz="4" w:space="0" w:color="auto"/>
            </w:tcBorders>
          </w:tcPr>
          <w:p w14:paraId="4C292980" w14:textId="51579ED8" w:rsidR="00A41E60" w:rsidRPr="00D85E09" w:rsidRDefault="00A41E60" w:rsidP="004C614F">
            <w:pPr>
              <w:pStyle w:val="Tabletext"/>
              <w:keepNext w:val="0"/>
            </w:pPr>
            <w:r w:rsidRPr="00D85E09">
              <w:t xml:space="preserve"> Catheter and other consumables</w:t>
            </w:r>
          </w:p>
          <w:p w14:paraId="6229F08F" w14:textId="77777777" w:rsidR="00A41E60" w:rsidRPr="00D85E09" w:rsidRDefault="00A41E60" w:rsidP="004C614F">
            <w:pPr>
              <w:pStyle w:val="Tabletext"/>
              <w:keepNext w:val="0"/>
            </w:pPr>
          </w:p>
        </w:tc>
        <w:tc>
          <w:tcPr>
            <w:tcW w:w="646" w:type="pct"/>
            <w:tcBorders>
              <w:top w:val="single" w:sz="4" w:space="0" w:color="auto"/>
              <w:left w:val="single" w:sz="4" w:space="0" w:color="auto"/>
              <w:bottom w:val="single" w:sz="4" w:space="0" w:color="auto"/>
              <w:right w:val="single" w:sz="4" w:space="0" w:color="auto"/>
            </w:tcBorders>
            <w:hideMark/>
          </w:tcPr>
          <w:p w14:paraId="7DFE8EB6" w14:textId="4C823EED" w:rsidR="00A41E60" w:rsidRPr="00D85E09" w:rsidRDefault="00A41E60" w:rsidP="004C614F">
            <w:pPr>
              <w:pStyle w:val="Tabletext"/>
              <w:keepNext w:val="0"/>
            </w:pPr>
            <w:r w:rsidRPr="00D85E09">
              <w:t>$</w:t>
            </w:r>
            <w:r w:rsidR="00841DDD" w:rsidRPr="00841DDD">
              <w:rPr>
                <w:b/>
              </w:rPr>
              <w:t>redacted</w:t>
            </w:r>
          </w:p>
        </w:tc>
        <w:tc>
          <w:tcPr>
            <w:tcW w:w="2096" w:type="pct"/>
            <w:tcBorders>
              <w:top w:val="single" w:sz="4" w:space="0" w:color="auto"/>
              <w:left w:val="single" w:sz="4" w:space="0" w:color="auto"/>
              <w:bottom w:val="single" w:sz="4" w:space="0" w:color="auto"/>
              <w:right w:val="single" w:sz="4" w:space="0" w:color="auto"/>
            </w:tcBorders>
            <w:hideMark/>
          </w:tcPr>
          <w:p w14:paraId="29B5EA7C" w14:textId="77777777" w:rsidR="00A41E60" w:rsidRPr="00D85E09" w:rsidRDefault="00A41E60" w:rsidP="004C614F">
            <w:pPr>
              <w:pStyle w:val="Tabletext"/>
              <w:keepNext w:val="0"/>
            </w:pPr>
            <w:r w:rsidRPr="00D85E09">
              <w:t>Applicant</w:t>
            </w:r>
          </w:p>
        </w:tc>
      </w:tr>
      <w:tr w:rsidR="00A41E60" w:rsidRPr="00D85E09" w14:paraId="1A6B389A" w14:textId="77777777" w:rsidTr="00A41E60">
        <w:trPr>
          <w:tblHeader/>
        </w:trPr>
        <w:tc>
          <w:tcPr>
            <w:tcW w:w="2258" w:type="pct"/>
            <w:tcBorders>
              <w:top w:val="single" w:sz="4" w:space="0" w:color="auto"/>
              <w:left w:val="single" w:sz="4" w:space="0" w:color="auto"/>
              <w:bottom w:val="single" w:sz="4" w:space="0" w:color="auto"/>
              <w:right w:val="single" w:sz="4" w:space="0" w:color="auto"/>
            </w:tcBorders>
          </w:tcPr>
          <w:p w14:paraId="19C7CF87" w14:textId="1773F220" w:rsidR="00A41E60" w:rsidRPr="00D85E09" w:rsidRDefault="00A41E60" w:rsidP="004C614F">
            <w:pPr>
              <w:pStyle w:val="Tabletext"/>
              <w:keepNext w:val="0"/>
              <w:rPr>
                <w:i/>
              </w:rPr>
            </w:pPr>
            <w:r w:rsidRPr="00D85E09">
              <w:rPr>
                <w:i/>
              </w:rPr>
              <w:t>Mechanical thrombectomy procedure (service fee)</w:t>
            </w:r>
          </w:p>
        </w:tc>
        <w:tc>
          <w:tcPr>
            <w:tcW w:w="646" w:type="pct"/>
            <w:tcBorders>
              <w:top w:val="single" w:sz="4" w:space="0" w:color="auto"/>
              <w:left w:val="single" w:sz="4" w:space="0" w:color="auto"/>
              <w:bottom w:val="single" w:sz="4" w:space="0" w:color="auto"/>
              <w:right w:val="single" w:sz="4" w:space="0" w:color="auto"/>
            </w:tcBorders>
            <w:hideMark/>
          </w:tcPr>
          <w:p w14:paraId="21712C63" w14:textId="77777777" w:rsidR="00A41E60" w:rsidRPr="00D85E09" w:rsidRDefault="00A41E60" w:rsidP="004C614F">
            <w:pPr>
              <w:pStyle w:val="Tabletext"/>
              <w:keepNext w:val="0"/>
            </w:pPr>
            <w:r w:rsidRPr="00D85E09">
              <w:t>$3,500</w:t>
            </w:r>
          </w:p>
        </w:tc>
        <w:tc>
          <w:tcPr>
            <w:tcW w:w="2096" w:type="pct"/>
            <w:tcBorders>
              <w:top w:val="single" w:sz="4" w:space="0" w:color="auto"/>
              <w:left w:val="single" w:sz="4" w:space="0" w:color="auto"/>
              <w:bottom w:val="single" w:sz="4" w:space="0" w:color="auto"/>
              <w:right w:val="single" w:sz="4" w:space="0" w:color="auto"/>
            </w:tcBorders>
            <w:hideMark/>
          </w:tcPr>
          <w:p w14:paraId="2E840972" w14:textId="7BD96575" w:rsidR="00A41E60" w:rsidRPr="00D85E09" w:rsidRDefault="00A41E60" w:rsidP="004C614F">
            <w:pPr>
              <w:pStyle w:val="Tabletext"/>
              <w:keepNext w:val="0"/>
            </w:pPr>
            <w:r w:rsidRPr="00D85E09">
              <w:t xml:space="preserve">Proposed MBS fee </w:t>
            </w:r>
          </w:p>
        </w:tc>
      </w:tr>
      <w:tr w:rsidR="00A41E60" w:rsidRPr="00D85E09" w14:paraId="14F0EA52"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1E672BC9" w14:textId="77777777" w:rsidR="00A41E60" w:rsidRPr="00D85E09" w:rsidRDefault="00A41E60" w:rsidP="004C614F">
            <w:pPr>
              <w:pStyle w:val="Tabletext"/>
              <w:keepNext w:val="0"/>
              <w:rPr>
                <w:i/>
              </w:rPr>
            </w:pPr>
            <w:r w:rsidRPr="00D85E09">
              <w:rPr>
                <w:i/>
              </w:rPr>
              <w:t>Anaesthesia</w:t>
            </w:r>
          </w:p>
        </w:tc>
        <w:tc>
          <w:tcPr>
            <w:tcW w:w="646" w:type="pct"/>
            <w:tcBorders>
              <w:top w:val="single" w:sz="4" w:space="0" w:color="auto"/>
              <w:left w:val="single" w:sz="4" w:space="0" w:color="auto"/>
              <w:bottom w:val="single" w:sz="4" w:space="0" w:color="auto"/>
              <w:right w:val="single" w:sz="4" w:space="0" w:color="auto"/>
            </w:tcBorders>
            <w:vAlign w:val="center"/>
          </w:tcPr>
          <w:p w14:paraId="77078E90" w14:textId="77777777" w:rsidR="00A41E60" w:rsidRPr="00D85E09" w:rsidRDefault="00A41E60" w:rsidP="004C614F">
            <w:pPr>
              <w:pStyle w:val="Tabletext"/>
              <w:keepNext w:val="0"/>
            </w:pPr>
          </w:p>
        </w:tc>
        <w:tc>
          <w:tcPr>
            <w:tcW w:w="2096" w:type="pct"/>
            <w:tcBorders>
              <w:top w:val="single" w:sz="4" w:space="0" w:color="auto"/>
              <w:left w:val="single" w:sz="4" w:space="0" w:color="auto"/>
              <w:bottom w:val="single" w:sz="4" w:space="0" w:color="auto"/>
              <w:right w:val="single" w:sz="4" w:space="0" w:color="auto"/>
            </w:tcBorders>
          </w:tcPr>
          <w:p w14:paraId="77F534A1" w14:textId="77777777" w:rsidR="00A41E60" w:rsidRPr="00D85E09" w:rsidRDefault="00A41E60" w:rsidP="004C614F">
            <w:pPr>
              <w:pStyle w:val="Tabletext"/>
              <w:keepNext w:val="0"/>
            </w:pPr>
          </w:p>
        </w:tc>
      </w:tr>
      <w:tr w:rsidR="00A41E60" w:rsidRPr="00D85E09" w14:paraId="1EC64843"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7959F991" w14:textId="77777777" w:rsidR="00A41E60" w:rsidRPr="00D85E09" w:rsidRDefault="00A41E60" w:rsidP="004C614F">
            <w:pPr>
              <w:pStyle w:val="Tabletext"/>
              <w:keepNext w:val="0"/>
            </w:pPr>
            <w:r w:rsidRPr="00D85E09">
              <w:t>General anaesthesia (only relevant to 36% of patients)</w:t>
            </w:r>
          </w:p>
        </w:tc>
        <w:tc>
          <w:tcPr>
            <w:tcW w:w="646" w:type="pct"/>
            <w:tcBorders>
              <w:top w:val="single" w:sz="4" w:space="0" w:color="auto"/>
              <w:left w:val="single" w:sz="4" w:space="0" w:color="auto"/>
              <w:bottom w:val="single" w:sz="4" w:space="0" w:color="auto"/>
              <w:right w:val="single" w:sz="4" w:space="0" w:color="auto"/>
            </w:tcBorders>
            <w:vAlign w:val="center"/>
          </w:tcPr>
          <w:p w14:paraId="0BC82F35" w14:textId="77777777" w:rsidR="00A41E60" w:rsidRPr="00D85E09" w:rsidRDefault="00A41E60" w:rsidP="004C614F">
            <w:pPr>
              <w:pStyle w:val="Tabletext"/>
              <w:keepNext w:val="0"/>
            </w:pPr>
          </w:p>
        </w:tc>
        <w:tc>
          <w:tcPr>
            <w:tcW w:w="2096" w:type="pct"/>
            <w:tcBorders>
              <w:top w:val="single" w:sz="4" w:space="0" w:color="auto"/>
              <w:left w:val="single" w:sz="4" w:space="0" w:color="auto"/>
              <w:bottom w:val="single" w:sz="4" w:space="0" w:color="auto"/>
              <w:right w:val="single" w:sz="4" w:space="0" w:color="auto"/>
            </w:tcBorders>
            <w:hideMark/>
          </w:tcPr>
          <w:p w14:paraId="19C7BDBA" w14:textId="77777777" w:rsidR="00A41E60" w:rsidRPr="00D85E09" w:rsidRDefault="00A41E60" w:rsidP="004C614F">
            <w:pPr>
              <w:pStyle w:val="Tabletext"/>
              <w:keepNext w:val="0"/>
            </w:pPr>
            <w:r w:rsidRPr="00D85E09">
              <w:t>Assuming 36% of patients require general anaesthetics, based on EXTEND-IA.</w:t>
            </w:r>
          </w:p>
        </w:tc>
      </w:tr>
      <w:tr w:rsidR="00A41E60" w:rsidRPr="00D85E09" w14:paraId="623D49A4"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37CEF4F4" w14:textId="77777777" w:rsidR="00A41E60" w:rsidRPr="00D85E09" w:rsidRDefault="00A41E60" w:rsidP="004C614F">
            <w:pPr>
              <w:pStyle w:val="Tabletext"/>
              <w:keepNext w:val="0"/>
            </w:pPr>
            <w:r w:rsidRPr="00D85E09">
              <w:t>Initiation of management of anaesthesia</w:t>
            </w:r>
          </w:p>
        </w:tc>
        <w:tc>
          <w:tcPr>
            <w:tcW w:w="646" w:type="pct"/>
            <w:tcBorders>
              <w:top w:val="single" w:sz="4" w:space="0" w:color="auto"/>
              <w:left w:val="single" w:sz="4" w:space="0" w:color="auto"/>
              <w:bottom w:val="single" w:sz="4" w:space="0" w:color="auto"/>
              <w:right w:val="single" w:sz="4" w:space="0" w:color="auto"/>
            </w:tcBorders>
            <w:vAlign w:val="center"/>
            <w:hideMark/>
          </w:tcPr>
          <w:p w14:paraId="1997FA7A" w14:textId="77777777" w:rsidR="00A41E60" w:rsidRPr="00D85E09" w:rsidRDefault="00A41E60" w:rsidP="004C614F">
            <w:pPr>
              <w:pStyle w:val="Tabletext"/>
              <w:keepNext w:val="0"/>
            </w:pPr>
            <w:r w:rsidRPr="00D85E09">
              <w:t>$297.00</w:t>
            </w:r>
          </w:p>
        </w:tc>
        <w:tc>
          <w:tcPr>
            <w:tcW w:w="2096" w:type="pct"/>
            <w:tcBorders>
              <w:top w:val="single" w:sz="4" w:space="0" w:color="auto"/>
              <w:left w:val="single" w:sz="4" w:space="0" w:color="auto"/>
              <w:bottom w:val="single" w:sz="4" w:space="0" w:color="auto"/>
              <w:right w:val="single" w:sz="4" w:space="0" w:color="auto"/>
            </w:tcBorders>
            <w:hideMark/>
          </w:tcPr>
          <w:p w14:paraId="7670D8E2" w14:textId="77777777" w:rsidR="00A41E60" w:rsidRPr="00D85E09" w:rsidRDefault="00A41E60" w:rsidP="004C614F">
            <w:pPr>
              <w:pStyle w:val="Tabletext"/>
              <w:keepNext w:val="0"/>
            </w:pPr>
            <w:r w:rsidRPr="00D85E09">
              <w:t>MBS item 20210</w:t>
            </w:r>
          </w:p>
        </w:tc>
      </w:tr>
      <w:tr w:rsidR="00A41E60" w:rsidRPr="00D85E09" w14:paraId="694B996C"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643EF603" w14:textId="77777777" w:rsidR="00A41E60" w:rsidRPr="00D85E09" w:rsidRDefault="00A41E60" w:rsidP="004C614F">
            <w:pPr>
              <w:pStyle w:val="Tabletext"/>
              <w:keepNext w:val="0"/>
            </w:pPr>
            <w:r w:rsidRPr="00D85E09">
              <w:t>Intra-arterial cannulation with anaesthesia</w:t>
            </w:r>
          </w:p>
        </w:tc>
        <w:tc>
          <w:tcPr>
            <w:tcW w:w="646" w:type="pct"/>
            <w:tcBorders>
              <w:top w:val="single" w:sz="4" w:space="0" w:color="auto"/>
              <w:left w:val="single" w:sz="4" w:space="0" w:color="auto"/>
              <w:bottom w:val="single" w:sz="4" w:space="0" w:color="auto"/>
              <w:right w:val="single" w:sz="4" w:space="0" w:color="auto"/>
            </w:tcBorders>
            <w:vAlign w:val="center"/>
            <w:hideMark/>
          </w:tcPr>
          <w:p w14:paraId="5E70BE55" w14:textId="77777777" w:rsidR="00A41E60" w:rsidRPr="00D85E09" w:rsidRDefault="00A41E60" w:rsidP="004C614F">
            <w:pPr>
              <w:pStyle w:val="Tabletext"/>
              <w:keepNext w:val="0"/>
            </w:pPr>
            <w:r w:rsidRPr="00D85E09">
              <w:t>$79.20</w:t>
            </w:r>
          </w:p>
        </w:tc>
        <w:tc>
          <w:tcPr>
            <w:tcW w:w="2096" w:type="pct"/>
            <w:tcBorders>
              <w:top w:val="single" w:sz="4" w:space="0" w:color="auto"/>
              <w:left w:val="single" w:sz="4" w:space="0" w:color="auto"/>
              <w:bottom w:val="single" w:sz="4" w:space="0" w:color="auto"/>
              <w:right w:val="single" w:sz="4" w:space="0" w:color="auto"/>
            </w:tcBorders>
            <w:hideMark/>
          </w:tcPr>
          <w:p w14:paraId="2642BCA4" w14:textId="77777777" w:rsidR="00A41E60" w:rsidRPr="00D85E09" w:rsidRDefault="00A41E60" w:rsidP="004C614F">
            <w:pPr>
              <w:pStyle w:val="Tabletext"/>
              <w:keepNext w:val="0"/>
            </w:pPr>
            <w:r w:rsidRPr="00D85E09">
              <w:t>MBS item 22025</w:t>
            </w:r>
          </w:p>
        </w:tc>
      </w:tr>
      <w:tr w:rsidR="00A41E60" w:rsidRPr="00D85E09" w14:paraId="6B59817D"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1449A6C5" w14:textId="77777777" w:rsidR="00A41E60" w:rsidRPr="00D85E09" w:rsidRDefault="00A41E60" w:rsidP="004C614F">
            <w:pPr>
              <w:pStyle w:val="Tabletext"/>
              <w:keepNext w:val="0"/>
            </w:pPr>
            <w:r w:rsidRPr="00D85E09">
              <w:t xml:space="preserve">Management of anaesthesia </w:t>
            </w:r>
          </w:p>
        </w:tc>
        <w:tc>
          <w:tcPr>
            <w:tcW w:w="646" w:type="pct"/>
            <w:tcBorders>
              <w:top w:val="single" w:sz="4" w:space="0" w:color="auto"/>
              <w:left w:val="single" w:sz="4" w:space="0" w:color="auto"/>
              <w:bottom w:val="single" w:sz="4" w:space="0" w:color="auto"/>
              <w:right w:val="single" w:sz="4" w:space="0" w:color="auto"/>
            </w:tcBorders>
            <w:vAlign w:val="center"/>
            <w:hideMark/>
          </w:tcPr>
          <w:p w14:paraId="688F8192" w14:textId="77777777" w:rsidR="00A41E60" w:rsidRPr="00D85E09" w:rsidRDefault="00A41E60" w:rsidP="004C614F">
            <w:pPr>
              <w:pStyle w:val="Tabletext"/>
              <w:keepNext w:val="0"/>
            </w:pPr>
            <w:r w:rsidRPr="00D85E09">
              <w:t>$79.20</w:t>
            </w:r>
          </w:p>
        </w:tc>
        <w:tc>
          <w:tcPr>
            <w:tcW w:w="2096" w:type="pct"/>
            <w:tcBorders>
              <w:top w:val="single" w:sz="4" w:space="0" w:color="auto"/>
              <w:left w:val="single" w:sz="4" w:space="0" w:color="auto"/>
              <w:bottom w:val="single" w:sz="4" w:space="0" w:color="auto"/>
              <w:right w:val="single" w:sz="4" w:space="0" w:color="auto"/>
            </w:tcBorders>
            <w:hideMark/>
          </w:tcPr>
          <w:p w14:paraId="646AAC1B" w14:textId="77777777" w:rsidR="00A41E60" w:rsidRPr="00D85E09" w:rsidRDefault="00A41E60" w:rsidP="004C614F">
            <w:pPr>
              <w:pStyle w:val="Tabletext"/>
              <w:keepNext w:val="0"/>
            </w:pPr>
            <w:r w:rsidRPr="00D85E09">
              <w:t>MBS items 23041, 23042, 23403; 46 mins to 1 hour</w:t>
            </w:r>
          </w:p>
        </w:tc>
      </w:tr>
      <w:tr w:rsidR="00A41E60" w:rsidRPr="00D85E09" w14:paraId="41A2C6EF"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63C99803" w14:textId="77777777" w:rsidR="00A41E60" w:rsidRPr="00D85E09" w:rsidRDefault="00A41E60" w:rsidP="004C614F">
            <w:pPr>
              <w:pStyle w:val="Tabletext"/>
              <w:keepNext w:val="0"/>
            </w:pPr>
            <w:r w:rsidRPr="00D85E09">
              <w:t xml:space="preserve">Blood pressure monitoring </w:t>
            </w:r>
          </w:p>
        </w:tc>
        <w:tc>
          <w:tcPr>
            <w:tcW w:w="646" w:type="pct"/>
            <w:tcBorders>
              <w:top w:val="single" w:sz="4" w:space="0" w:color="auto"/>
              <w:left w:val="single" w:sz="4" w:space="0" w:color="auto"/>
              <w:bottom w:val="single" w:sz="4" w:space="0" w:color="auto"/>
              <w:right w:val="single" w:sz="4" w:space="0" w:color="auto"/>
            </w:tcBorders>
            <w:vAlign w:val="center"/>
            <w:hideMark/>
          </w:tcPr>
          <w:p w14:paraId="47D991D1" w14:textId="77777777" w:rsidR="00A41E60" w:rsidRPr="00D85E09" w:rsidRDefault="00A41E60" w:rsidP="004C614F">
            <w:pPr>
              <w:pStyle w:val="Tabletext"/>
              <w:keepNext w:val="0"/>
            </w:pPr>
            <w:r w:rsidRPr="00D85E09">
              <w:t>$59.40</w:t>
            </w:r>
          </w:p>
        </w:tc>
        <w:tc>
          <w:tcPr>
            <w:tcW w:w="2096" w:type="pct"/>
            <w:tcBorders>
              <w:top w:val="single" w:sz="4" w:space="0" w:color="auto"/>
              <w:left w:val="single" w:sz="4" w:space="0" w:color="auto"/>
              <w:bottom w:val="single" w:sz="4" w:space="0" w:color="auto"/>
              <w:right w:val="single" w:sz="4" w:space="0" w:color="auto"/>
            </w:tcBorders>
            <w:hideMark/>
          </w:tcPr>
          <w:p w14:paraId="00BBD9E5" w14:textId="77777777" w:rsidR="00A41E60" w:rsidRPr="00D85E09" w:rsidRDefault="00A41E60" w:rsidP="004C614F">
            <w:pPr>
              <w:pStyle w:val="Tabletext"/>
              <w:keepNext w:val="0"/>
            </w:pPr>
            <w:r w:rsidRPr="00D85E09">
              <w:t>MBS item 22012, 22014</w:t>
            </w:r>
          </w:p>
        </w:tc>
      </w:tr>
      <w:tr w:rsidR="00A41E60" w:rsidRPr="00D85E09" w14:paraId="3DBEC754"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1CB6A721" w14:textId="77777777" w:rsidR="00A41E60" w:rsidRPr="00D85E09" w:rsidRDefault="00A41E60" w:rsidP="004C614F">
            <w:pPr>
              <w:pStyle w:val="Tabletext"/>
              <w:keepNext w:val="0"/>
            </w:pPr>
            <w:r w:rsidRPr="00D85E09">
              <w:t>Assistance</w:t>
            </w:r>
          </w:p>
        </w:tc>
        <w:tc>
          <w:tcPr>
            <w:tcW w:w="646" w:type="pct"/>
            <w:tcBorders>
              <w:top w:val="single" w:sz="4" w:space="0" w:color="auto"/>
              <w:left w:val="single" w:sz="4" w:space="0" w:color="auto"/>
              <w:bottom w:val="single" w:sz="4" w:space="0" w:color="auto"/>
              <w:right w:val="single" w:sz="4" w:space="0" w:color="auto"/>
            </w:tcBorders>
            <w:vAlign w:val="center"/>
            <w:hideMark/>
          </w:tcPr>
          <w:p w14:paraId="263655F0" w14:textId="77777777" w:rsidR="00A41E60" w:rsidRPr="00D85E09" w:rsidRDefault="00A41E60" w:rsidP="004C614F">
            <w:pPr>
              <w:pStyle w:val="Tabletext"/>
              <w:keepNext w:val="0"/>
            </w:pPr>
            <w:r w:rsidRPr="00D85E09">
              <w:t>$19.80</w:t>
            </w:r>
          </w:p>
        </w:tc>
        <w:tc>
          <w:tcPr>
            <w:tcW w:w="2096" w:type="pct"/>
            <w:tcBorders>
              <w:top w:val="single" w:sz="4" w:space="0" w:color="auto"/>
              <w:left w:val="single" w:sz="4" w:space="0" w:color="auto"/>
              <w:bottom w:val="single" w:sz="4" w:space="0" w:color="auto"/>
              <w:right w:val="single" w:sz="4" w:space="0" w:color="auto"/>
            </w:tcBorders>
            <w:hideMark/>
          </w:tcPr>
          <w:p w14:paraId="0D8B8D77" w14:textId="77777777" w:rsidR="00A41E60" w:rsidRPr="00D85E09" w:rsidRDefault="00A41E60" w:rsidP="004C614F">
            <w:pPr>
              <w:pStyle w:val="Tabletext"/>
              <w:keepNext w:val="0"/>
            </w:pPr>
            <w:r w:rsidRPr="00D85E09">
              <w:t>MBS item 25015</w:t>
            </w:r>
          </w:p>
        </w:tc>
      </w:tr>
      <w:tr w:rsidR="00A41E60" w:rsidRPr="00D85E09" w14:paraId="7131E68E"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5AF1A4BA" w14:textId="77777777" w:rsidR="00A41E60" w:rsidRPr="00D85E09" w:rsidRDefault="00A41E60" w:rsidP="004C614F">
            <w:pPr>
              <w:pStyle w:val="Tabletext"/>
              <w:keepNext w:val="0"/>
            </w:pPr>
            <w:r w:rsidRPr="00D85E09">
              <w:t xml:space="preserve">Subtotal, general anaesthesia </w:t>
            </w:r>
          </w:p>
        </w:tc>
        <w:tc>
          <w:tcPr>
            <w:tcW w:w="646" w:type="pct"/>
            <w:tcBorders>
              <w:top w:val="single" w:sz="4" w:space="0" w:color="auto"/>
              <w:left w:val="single" w:sz="4" w:space="0" w:color="auto"/>
              <w:bottom w:val="single" w:sz="4" w:space="0" w:color="auto"/>
              <w:right w:val="single" w:sz="4" w:space="0" w:color="auto"/>
            </w:tcBorders>
            <w:vAlign w:val="center"/>
            <w:hideMark/>
          </w:tcPr>
          <w:p w14:paraId="03494ACA" w14:textId="77777777" w:rsidR="00A41E60" w:rsidRPr="00D85E09" w:rsidRDefault="00A41E60" w:rsidP="004C614F">
            <w:pPr>
              <w:pStyle w:val="Tabletext"/>
              <w:keepNext w:val="0"/>
            </w:pPr>
            <w:r w:rsidRPr="00D85E09">
              <w:t xml:space="preserve">$514.80 or $185.33 on average per patient </w:t>
            </w:r>
          </w:p>
        </w:tc>
        <w:tc>
          <w:tcPr>
            <w:tcW w:w="2096" w:type="pct"/>
            <w:tcBorders>
              <w:top w:val="single" w:sz="4" w:space="0" w:color="auto"/>
              <w:left w:val="single" w:sz="4" w:space="0" w:color="auto"/>
              <w:bottom w:val="single" w:sz="4" w:space="0" w:color="auto"/>
              <w:right w:val="single" w:sz="4" w:space="0" w:color="auto"/>
            </w:tcBorders>
          </w:tcPr>
          <w:p w14:paraId="2DC6EB58" w14:textId="3A550C3D" w:rsidR="00A41E60" w:rsidRPr="00D85E09" w:rsidRDefault="00A41E60" w:rsidP="004C614F">
            <w:pPr>
              <w:pStyle w:val="Tabletext"/>
              <w:keepNext w:val="0"/>
            </w:pPr>
            <w:r w:rsidRPr="00D85E09">
              <w:t>Calculated.</w:t>
            </w:r>
          </w:p>
          <w:p w14:paraId="433F5F25" w14:textId="77777777" w:rsidR="00A41E60" w:rsidRPr="00D85E09" w:rsidRDefault="00A41E60" w:rsidP="004C614F">
            <w:pPr>
              <w:pStyle w:val="Tabletext"/>
              <w:keepNext w:val="0"/>
            </w:pPr>
          </w:p>
        </w:tc>
      </w:tr>
      <w:tr w:rsidR="00A41E60" w:rsidRPr="00D85E09" w14:paraId="615AF9E2"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2266C6CE" w14:textId="77777777" w:rsidR="00A41E60" w:rsidRPr="00D85E09" w:rsidRDefault="00A41E60" w:rsidP="004C614F">
            <w:pPr>
              <w:pStyle w:val="Tabletext"/>
              <w:keepNext w:val="0"/>
              <w:rPr>
                <w:lang w:eastAsia="ja-JP"/>
              </w:rPr>
            </w:pPr>
            <w:r w:rsidRPr="00D85E09">
              <w:t>Regional anaesthetics for the remaining 64%</w:t>
            </w:r>
          </w:p>
        </w:tc>
        <w:tc>
          <w:tcPr>
            <w:tcW w:w="646" w:type="pct"/>
            <w:tcBorders>
              <w:top w:val="single" w:sz="4" w:space="0" w:color="auto"/>
              <w:left w:val="single" w:sz="4" w:space="0" w:color="auto"/>
              <w:bottom w:val="single" w:sz="4" w:space="0" w:color="auto"/>
              <w:right w:val="single" w:sz="4" w:space="0" w:color="auto"/>
            </w:tcBorders>
            <w:vAlign w:val="center"/>
            <w:hideMark/>
          </w:tcPr>
          <w:p w14:paraId="5BE591FE" w14:textId="77777777" w:rsidR="00A41E60" w:rsidRPr="00D85E09" w:rsidRDefault="00A41E60" w:rsidP="004C614F">
            <w:pPr>
              <w:pStyle w:val="Tabletext"/>
              <w:keepNext w:val="0"/>
            </w:pPr>
            <w:r w:rsidRPr="00D85E09">
              <w:t>$50.05 or $32.03 on average per patient</w:t>
            </w:r>
          </w:p>
        </w:tc>
        <w:tc>
          <w:tcPr>
            <w:tcW w:w="2096" w:type="pct"/>
            <w:tcBorders>
              <w:top w:val="single" w:sz="4" w:space="0" w:color="auto"/>
              <w:left w:val="single" w:sz="4" w:space="0" w:color="auto"/>
              <w:bottom w:val="single" w:sz="4" w:space="0" w:color="auto"/>
              <w:right w:val="single" w:sz="4" w:space="0" w:color="auto"/>
            </w:tcBorders>
            <w:hideMark/>
          </w:tcPr>
          <w:p w14:paraId="111EB037" w14:textId="77777777" w:rsidR="00A41E60" w:rsidRPr="00D85E09" w:rsidRDefault="00A41E60" w:rsidP="004C614F">
            <w:pPr>
              <w:pStyle w:val="Tabletext"/>
              <w:keepNext w:val="0"/>
            </w:pPr>
            <w:r w:rsidRPr="00D85E09">
              <w:t>MBS item 18225</w:t>
            </w:r>
          </w:p>
        </w:tc>
      </w:tr>
      <w:tr w:rsidR="00A41E60" w:rsidRPr="00D85E09" w14:paraId="7E319461"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7A312D03" w14:textId="77777777" w:rsidR="00A41E60" w:rsidRPr="00D85E09" w:rsidRDefault="00A41E60" w:rsidP="004C614F">
            <w:pPr>
              <w:pStyle w:val="Tabletext"/>
              <w:keepNext w:val="0"/>
            </w:pPr>
            <w:r w:rsidRPr="00D85E09">
              <w:t>Average anaesthetics cost, per procedure</w:t>
            </w:r>
          </w:p>
        </w:tc>
        <w:tc>
          <w:tcPr>
            <w:tcW w:w="646" w:type="pct"/>
            <w:tcBorders>
              <w:top w:val="single" w:sz="4" w:space="0" w:color="auto"/>
              <w:left w:val="single" w:sz="4" w:space="0" w:color="auto"/>
              <w:bottom w:val="single" w:sz="4" w:space="0" w:color="auto"/>
              <w:right w:val="single" w:sz="4" w:space="0" w:color="auto"/>
            </w:tcBorders>
            <w:vAlign w:val="center"/>
            <w:hideMark/>
          </w:tcPr>
          <w:p w14:paraId="4B98CB18" w14:textId="77777777" w:rsidR="00A41E60" w:rsidRPr="00D85E09" w:rsidRDefault="00A41E60" w:rsidP="004C614F">
            <w:pPr>
              <w:pStyle w:val="Tabletext"/>
              <w:keepNext w:val="0"/>
            </w:pPr>
            <w:r w:rsidRPr="00D85E09">
              <w:t>$224.49</w:t>
            </w:r>
          </w:p>
        </w:tc>
        <w:tc>
          <w:tcPr>
            <w:tcW w:w="2096" w:type="pct"/>
            <w:tcBorders>
              <w:top w:val="single" w:sz="4" w:space="0" w:color="auto"/>
              <w:left w:val="single" w:sz="4" w:space="0" w:color="auto"/>
              <w:bottom w:val="single" w:sz="4" w:space="0" w:color="auto"/>
              <w:right w:val="single" w:sz="4" w:space="0" w:color="auto"/>
            </w:tcBorders>
            <w:hideMark/>
          </w:tcPr>
          <w:p w14:paraId="3FB42D10" w14:textId="77777777" w:rsidR="00A41E60" w:rsidRPr="00D85E09" w:rsidRDefault="00A41E60" w:rsidP="004C614F">
            <w:pPr>
              <w:pStyle w:val="Tabletext"/>
              <w:keepNext w:val="0"/>
            </w:pPr>
            <w:r w:rsidRPr="00D85E09">
              <w:t>Calculated</w:t>
            </w:r>
          </w:p>
        </w:tc>
      </w:tr>
      <w:tr w:rsidR="00A41E60" w:rsidRPr="00D85E09" w14:paraId="201395E6"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4F1637B6" w14:textId="77777777" w:rsidR="00A41E60" w:rsidRPr="00D85E09" w:rsidRDefault="00A41E60" w:rsidP="004C614F">
            <w:pPr>
              <w:pStyle w:val="Tabletext"/>
              <w:keepNext w:val="0"/>
              <w:rPr>
                <w:i/>
              </w:rPr>
            </w:pPr>
            <w:r w:rsidRPr="00D85E09">
              <w:rPr>
                <w:i/>
              </w:rPr>
              <w:t>Post-operative imaging (radiographer)</w:t>
            </w:r>
          </w:p>
        </w:tc>
        <w:tc>
          <w:tcPr>
            <w:tcW w:w="646" w:type="pct"/>
            <w:tcBorders>
              <w:top w:val="single" w:sz="4" w:space="0" w:color="auto"/>
              <w:left w:val="single" w:sz="4" w:space="0" w:color="auto"/>
              <w:bottom w:val="single" w:sz="4" w:space="0" w:color="auto"/>
              <w:right w:val="single" w:sz="4" w:space="0" w:color="auto"/>
            </w:tcBorders>
            <w:vAlign w:val="center"/>
          </w:tcPr>
          <w:p w14:paraId="22641F4E" w14:textId="77777777" w:rsidR="00A41E60" w:rsidRPr="00D85E09" w:rsidRDefault="00A41E60" w:rsidP="004C614F">
            <w:pPr>
              <w:pStyle w:val="Tabletext"/>
              <w:keepNext w:val="0"/>
            </w:pPr>
          </w:p>
        </w:tc>
        <w:tc>
          <w:tcPr>
            <w:tcW w:w="2096" w:type="pct"/>
            <w:tcBorders>
              <w:top w:val="single" w:sz="4" w:space="0" w:color="auto"/>
              <w:left w:val="single" w:sz="4" w:space="0" w:color="auto"/>
              <w:bottom w:val="single" w:sz="4" w:space="0" w:color="auto"/>
              <w:right w:val="single" w:sz="4" w:space="0" w:color="auto"/>
            </w:tcBorders>
          </w:tcPr>
          <w:p w14:paraId="7611B32C" w14:textId="77777777" w:rsidR="00A41E60" w:rsidRPr="00D85E09" w:rsidRDefault="00A41E60" w:rsidP="004C614F">
            <w:pPr>
              <w:pStyle w:val="Tabletext"/>
              <w:keepNext w:val="0"/>
            </w:pPr>
          </w:p>
        </w:tc>
      </w:tr>
      <w:tr w:rsidR="00A41E60" w:rsidRPr="00D85E09" w14:paraId="00C99356"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2A6A5639" w14:textId="77777777" w:rsidR="00A41E60" w:rsidRPr="00D85E09" w:rsidRDefault="00A41E60" w:rsidP="004C614F">
            <w:pPr>
              <w:pStyle w:val="Tabletext"/>
              <w:keepNext w:val="0"/>
              <w:rPr>
                <w:i/>
              </w:rPr>
            </w:pPr>
            <w:r w:rsidRPr="00D85E09">
              <w:t>Digital subtraction angiography</w:t>
            </w:r>
          </w:p>
        </w:tc>
        <w:tc>
          <w:tcPr>
            <w:tcW w:w="646" w:type="pct"/>
            <w:tcBorders>
              <w:top w:val="single" w:sz="4" w:space="0" w:color="auto"/>
              <w:left w:val="single" w:sz="4" w:space="0" w:color="auto"/>
              <w:bottom w:val="single" w:sz="4" w:space="0" w:color="auto"/>
              <w:right w:val="single" w:sz="4" w:space="0" w:color="auto"/>
            </w:tcBorders>
            <w:hideMark/>
          </w:tcPr>
          <w:p w14:paraId="4C7A8EFD" w14:textId="77777777" w:rsidR="00A41E60" w:rsidRPr="00D85E09" w:rsidRDefault="00A41E60" w:rsidP="004C614F">
            <w:pPr>
              <w:pStyle w:val="Tabletext"/>
              <w:keepNext w:val="0"/>
            </w:pPr>
            <w:r w:rsidRPr="00D85E09">
              <w:t>$1,376.30</w:t>
            </w:r>
          </w:p>
        </w:tc>
        <w:tc>
          <w:tcPr>
            <w:tcW w:w="2096" w:type="pct"/>
            <w:tcBorders>
              <w:top w:val="single" w:sz="4" w:space="0" w:color="auto"/>
              <w:left w:val="single" w:sz="4" w:space="0" w:color="auto"/>
              <w:bottom w:val="single" w:sz="4" w:space="0" w:color="auto"/>
              <w:right w:val="single" w:sz="4" w:space="0" w:color="auto"/>
            </w:tcBorders>
            <w:hideMark/>
          </w:tcPr>
          <w:p w14:paraId="14CC684A" w14:textId="77777777" w:rsidR="00A41E60" w:rsidRPr="00D85E09" w:rsidRDefault="00A41E60" w:rsidP="004C614F">
            <w:pPr>
              <w:pStyle w:val="Tabletext"/>
              <w:keepNext w:val="0"/>
            </w:pPr>
            <w:r w:rsidRPr="00D85E09">
              <w:t>MBS item 60009; Digital Subtraction Angiography, examination of head and neck with or without arch aortography - 10 or more data acquisition runs (K; employing an equipment less than 10 years old).</w:t>
            </w:r>
          </w:p>
        </w:tc>
      </w:tr>
      <w:tr w:rsidR="00A41E60" w:rsidRPr="00D85E09" w14:paraId="502A8BD1"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50260369" w14:textId="77777777" w:rsidR="00A41E60" w:rsidRPr="00D85E09" w:rsidRDefault="00A41E60" w:rsidP="004C614F">
            <w:pPr>
              <w:pStyle w:val="Tabletext"/>
              <w:keepNext w:val="0"/>
            </w:pPr>
            <w:r w:rsidRPr="00D85E09">
              <w:t>Leg angiography</w:t>
            </w:r>
          </w:p>
        </w:tc>
        <w:tc>
          <w:tcPr>
            <w:tcW w:w="646" w:type="pct"/>
            <w:tcBorders>
              <w:top w:val="single" w:sz="4" w:space="0" w:color="auto"/>
              <w:left w:val="single" w:sz="4" w:space="0" w:color="auto"/>
              <w:bottom w:val="single" w:sz="4" w:space="0" w:color="auto"/>
              <w:right w:val="single" w:sz="4" w:space="0" w:color="auto"/>
            </w:tcBorders>
            <w:hideMark/>
          </w:tcPr>
          <w:p w14:paraId="5D5DC3B0" w14:textId="77777777" w:rsidR="00A41E60" w:rsidRPr="00D85E09" w:rsidRDefault="00A41E60" w:rsidP="004C614F">
            <w:pPr>
              <w:pStyle w:val="Tabletext"/>
              <w:keepNext w:val="0"/>
            </w:pPr>
            <w:r w:rsidRPr="00D85E09">
              <w:t>$43.10</w:t>
            </w:r>
          </w:p>
        </w:tc>
        <w:tc>
          <w:tcPr>
            <w:tcW w:w="2096" w:type="pct"/>
            <w:tcBorders>
              <w:top w:val="single" w:sz="4" w:space="0" w:color="auto"/>
              <w:left w:val="single" w:sz="4" w:space="0" w:color="auto"/>
              <w:bottom w:val="single" w:sz="4" w:space="0" w:color="auto"/>
              <w:right w:val="single" w:sz="4" w:space="0" w:color="auto"/>
            </w:tcBorders>
            <w:hideMark/>
          </w:tcPr>
          <w:p w14:paraId="7129157F" w14:textId="77777777" w:rsidR="00A41E60" w:rsidRPr="00D85E09" w:rsidRDefault="00A41E60" w:rsidP="004C614F">
            <w:pPr>
              <w:pStyle w:val="Tabletext"/>
              <w:keepNext w:val="0"/>
            </w:pPr>
            <w:r w:rsidRPr="00D85E09">
              <w:t>MBS item 60072; Selective arteriography or selective venography by digital subtraction angiography technique - 1 vessel at $48.10; reduced by $5 according to multiple service rule (Rule A)</w:t>
            </w:r>
          </w:p>
        </w:tc>
      </w:tr>
      <w:tr w:rsidR="00A41E60" w:rsidRPr="00D85E09" w14:paraId="0B6B688C"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0B42B34F" w14:textId="77777777" w:rsidR="00A41E60" w:rsidRPr="00D85E09" w:rsidRDefault="00A41E60" w:rsidP="004C614F">
            <w:pPr>
              <w:pStyle w:val="Tabletext"/>
              <w:keepNext w:val="0"/>
            </w:pPr>
            <w:r w:rsidRPr="00D85E09">
              <w:t>Subtotal, post-operative imaging</w:t>
            </w:r>
          </w:p>
        </w:tc>
        <w:tc>
          <w:tcPr>
            <w:tcW w:w="646" w:type="pct"/>
            <w:tcBorders>
              <w:top w:val="single" w:sz="4" w:space="0" w:color="auto"/>
              <w:left w:val="single" w:sz="4" w:space="0" w:color="auto"/>
              <w:bottom w:val="single" w:sz="4" w:space="0" w:color="auto"/>
              <w:right w:val="single" w:sz="4" w:space="0" w:color="auto"/>
            </w:tcBorders>
            <w:hideMark/>
          </w:tcPr>
          <w:p w14:paraId="18E5A422" w14:textId="77777777" w:rsidR="00A41E60" w:rsidRPr="00D85E09" w:rsidRDefault="00A41E60" w:rsidP="004C614F">
            <w:pPr>
              <w:pStyle w:val="Tabletext"/>
              <w:keepNext w:val="0"/>
            </w:pPr>
            <w:r w:rsidRPr="00D85E09">
              <w:t>$1,419.40</w:t>
            </w:r>
          </w:p>
        </w:tc>
        <w:tc>
          <w:tcPr>
            <w:tcW w:w="2096" w:type="pct"/>
            <w:tcBorders>
              <w:top w:val="single" w:sz="4" w:space="0" w:color="auto"/>
              <w:left w:val="single" w:sz="4" w:space="0" w:color="auto"/>
              <w:bottom w:val="single" w:sz="4" w:space="0" w:color="auto"/>
              <w:right w:val="single" w:sz="4" w:space="0" w:color="auto"/>
            </w:tcBorders>
            <w:hideMark/>
          </w:tcPr>
          <w:p w14:paraId="3CD67C4D" w14:textId="77777777" w:rsidR="00A41E60" w:rsidRPr="00D85E09" w:rsidRDefault="00A41E60" w:rsidP="004C614F">
            <w:pPr>
              <w:pStyle w:val="Tabletext"/>
              <w:keepNext w:val="0"/>
            </w:pPr>
            <w:r w:rsidRPr="00D85E09">
              <w:t>Calculated.</w:t>
            </w:r>
          </w:p>
        </w:tc>
      </w:tr>
      <w:tr w:rsidR="00A41E60" w:rsidRPr="00D85E09" w14:paraId="485D2493"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32967CC8" w14:textId="77777777" w:rsidR="00A41E60" w:rsidRPr="00D85E09" w:rsidRDefault="00A41E60" w:rsidP="004C614F">
            <w:pPr>
              <w:pStyle w:val="Tabletext"/>
              <w:keepNext w:val="0"/>
              <w:rPr>
                <w:i/>
              </w:rPr>
            </w:pPr>
            <w:r w:rsidRPr="00D85E09">
              <w:rPr>
                <w:i/>
              </w:rPr>
              <w:t>Nursing staff</w:t>
            </w:r>
          </w:p>
        </w:tc>
        <w:tc>
          <w:tcPr>
            <w:tcW w:w="646" w:type="pct"/>
            <w:tcBorders>
              <w:top w:val="single" w:sz="4" w:space="0" w:color="auto"/>
              <w:left w:val="single" w:sz="4" w:space="0" w:color="auto"/>
              <w:bottom w:val="single" w:sz="4" w:space="0" w:color="auto"/>
              <w:right w:val="single" w:sz="4" w:space="0" w:color="auto"/>
            </w:tcBorders>
            <w:hideMark/>
          </w:tcPr>
          <w:p w14:paraId="523DC7CB" w14:textId="77777777" w:rsidR="00A41E60" w:rsidRPr="00D85E09" w:rsidRDefault="00A41E60" w:rsidP="004C614F">
            <w:pPr>
              <w:pStyle w:val="Tabletext"/>
              <w:keepNext w:val="0"/>
            </w:pPr>
            <w:r w:rsidRPr="00D85E09">
              <w:t>$240.60</w:t>
            </w:r>
          </w:p>
        </w:tc>
        <w:tc>
          <w:tcPr>
            <w:tcW w:w="2096" w:type="pct"/>
            <w:tcBorders>
              <w:top w:val="single" w:sz="4" w:space="0" w:color="auto"/>
              <w:left w:val="single" w:sz="4" w:space="0" w:color="auto"/>
              <w:bottom w:val="single" w:sz="4" w:space="0" w:color="auto"/>
              <w:right w:val="single" w:sz="4" w:space="0" w:color="auto"/>
            </w:tcBorders>
            <w:hideMark/>
          </w:tcPr>
          <w:p w14:paraId="272686FF" w14:textId="77777777" w:rsidR="00A41E60" w:rsidRPr="00D85E09" w:rsidRDefault="00A41E60" w:rsidP="004C614F">
            <w:pPr>
              <w:pStyle w:val="Tabletext"/>
              <w:keepNext w:val="0"/>
            </w:pPr>
            <w:r w:rsidRPr="00D85E09">
              <w:t>$48.12 per hour X 2.5 hours X 2 nurses.</w:t>
            </w:r>
          </w:p>
          <w:p w14:paraId="0C15ACB9" w14:textId="77777777" w:rsidR="00A41E60" w:rsidRPr="00D85E09" w:rsidRDefault="00A41E60" w:rsidP="004C614F">
            <w:pPr>
              <w:pStyle w:val="Tabletext"/>
              <w:keepNext w:val="0"/>
              <w:rPr>
                <w:vertAlign w:val="superscript"/>
              </w:rPr>
            </w:pPr>
            <w:r w:rsidRPr="00D85E09">
              <w:t>The hourly rate based on specialist clinical nurse Grade 2, 2nd year and thereafter</w:t>
            </w:r>
            <w:r w:rsidRPr="00D85E09">
              <w:rPr>
                <w:vertAlign w:val="superscript"/>
              </w:rPr>
              <w:t>1</w:t>
            </w:r>
          </w:p>
          <w:p w14:paraId="368FDEA5" w14:textId="1385252D" w:rsidR="00A41E60" w:rsidRPr="00D85E09" w:rsidRDefault="00A41E60" w:rsidP="004C614F">
            <w:pPr>
              <w:pStyle w:val="Tabletext"/>
              <w:keepNext w:val="0"/>
            </w:pPr>
            <w:r w:rsidRPr="00D85E09">
              <w:t xml:space="preserve">2.5 hours account for 2 hours for in-hours (50% of all cases) and 3 hours for our of hours (1 hour travel; 50% of all cases); based on Campbell et al </w:t>
            </w:r>
            <w:r w:rsidR="004F68A7" w:rsidRPr="00D85E09">
              <w:t>2015</w:t>
            </w:r>
          </w:p>
        </w:tc>
      </w:tr>
      <w:tr w:rsidR="00A41E60" w:rsidRPr="00D85E09" w14:paraId="3FE1DD8E"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385103EE" w14:textId="77777777" w:rsidR="00A41E60" w:rsidRPr="00D85E09" w:rsidRDefault="00A41E60" w:rsidP="004C614F">
            <w:pPr>
              <w:pStyle w:val="Tabletext"/>
              <w:keepNext w:val="0"/>
              <w:rPr>
                <w:i/>
              </w:rPr>
            </w:pPr>
            <w:r w:rsidRPr="00D85E09">
              <w:rPr>
                <w:i/>
              </w:rPr>
              <w:t>Operating theatre cost</w:t>
            </w:r>
          </w:p>
        </w:tc>
        <w:tc>
          <w:tcPr>
            <w:tcW w:w="646" w:type="pct"/>
            <w:tcBorders>
              <w:top w:val="single" w:sz="4" w:space="0" w:color="auto"/>
              <w:left w:val="single" w:sz="4" w:space="0" w:color="auto"/>
              <w:bottom w:val="single" w:sz="4" w:space="0" w:color="auto"/>
              <w:right w:val="single" w:sz="4" w:space="0" w:color="auto"/>
            </w:tcBorders>
            <w:hideMark/>
          </w:tcPr>
          <w:p w14:paraId="171083DA" w14:textId="77777777" w:rsidR="00A41E60" w:rsidRPr="00D85E09" w:rsidRDefault="00A41E60" w:rsidP="004C614F">
            <w:pPr>
              <w:pStyle w:val="Tabletext"/>
              <w:keepNext w:val="0"/>
            </w:pPr>
            <w:r w:rsidRPr="00D85E09">
              <w:t>$388.00</w:t>
            </w:r>
          </w:p>
        </w:tc>
        <w:tc>
          <w:tcPr>
            <w:tcW w:w="2096" w:type="pct"/>
            <w:tcBorders>
              <w:top w:val="single" w:sz="4" w:space="0" w:color="auto"/>
              <w:left w:val="single" w:sz="4" w:space="0" w:color="auto"/>
              <w:bottom w:val="single" w:sz="4" w:space="0" w:color="auto"/>
              <w:right w:val="single" w:sz="4" w:space="0" w:color="auto"/>
            </w:tcBorders>
            <w:hideMark/>
          </w:tcPr>
          <w:p w14:paraId="6F9EF31F" w14:textId="542F1A28" w:rsidR="00A41E60" w:rsidRPr="00D85E09" w:rsidRDefault="00A41E60" w:rsidP="004C614F">
            <w:pPr>
              <w:pStyle w:val="Tabletext"/>
              <w:keepNext w:val="0"/>
            </w:pPr>
            <w:r w:rsidRPr="00D85E09">
              <w:t xml:space="preserve">Intensive care cost at $194 per hour; based on Campbell et al. </w:t>
            </w:r>
            <w:r w:rsidR="004F68A7" w:rsidRPr="00D85E09">
              <w:t>2015</w:t>
            </w:r>
          </w:p>
        </w:tc>
      </w:tr>
      <w:tr w:rsidR="00A41E60" w:rsidRPr="00D85E09" w14:paraId="7942D26B"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56FD5CA3" w14:textId="77777777" w:rsidR="00A41E60" w:rsidRPr="00D85E09" w:rsidRDefault="00A41E60" w:rsidP="004C614F">
            <w:pPr>
              <w:pStyle w:val="Tabletext"/>
              <w:keepNext w:val="0"/>
              <w:rPr>
                <w:i/>
              </w:rPr>
            </w:pPr>
            <w:r w:rsidRPr="00D85E09">
              <w:rPr>
                <w:i/>
              </w:rPr>
              <w:lastRenderedPageBreak/>
              <w:t>Other consumables (drapes, gowns, gloves, sheath etc)</w:t>
            </w:r>
          </w:p>
        </w:tc>
        <w:tc>
          <w:tcPr>
            <w:tcW w:w="646" w:type="pct"/>
            <w:tcBorders>
              <w:top w:val="single" w:sz="4" w:space="0" w:color="auto"/>
              <w:left w:val="single" w:sz="4" w:space="0" w:color="auto"/>
              <w:bottom w:val="single" w:sz="4" w:space="0" w:color="auto"/>
              <w:right w:val="single" w:sz="4" w:space="0" w:color="auto"/>
            </w:tcBorders>
            <w:hideMark/>
          </w:tcPr>
          <w:p w14:paraId="50D7C111" w14:textId="77777777" w:rsidR="00A41E60" w:rsidRPr="00D85E09" w:rsidRDefault="00A41E60" w:rsidP="004C614F">
            <w:pPr>
              <w:pStyle w:val="Tabletext"/>
              <w:keepNext w:val="0"/>
            </w:pPr>
            <w:r w:rsidRPr="00D85E09">
              <w:t>$100.00</w:t>
            </w:r>
          </w:p>
        </w:tc>
        <w:tc>
          <w:tcPr>
            <w:tcW w:w="2096" w:type="pct"/>
            <w:tcBorders>
              <w:top w:val="single" w:sz="4" w:space="0" w:color="auto"/>
              <w:left w:val="single" w:sz="4" w:space="0" w:color="auto"/>
              <w:bottom w:val="single" w:sz="4" w:space="0" w:color="auto"/>
              <w:right w:val="single" w:sz="4" w:space="0" w:color="auto"/>
            </w:tcBorders>
            <w:hideMark/>
          </w:tcPr>
          <w:p w14:paraId="00167994" w14:textId="77777777" w:rsidR="00A41E60" w:rsidRPr="00D85E09" w:rsidRDefault="00A41E60" w:rsidP="004C614F">
            <w:pPr>
              <w:pStyle w:val="Tabletext"/>
              <w:keepNext w:val="0"/>
            </w:pPr>
            <w:r w:rsidRPr="00D85E09">
              <w:t>KOL inputs / assumptions</w:t>
            </w:r>
          </w:p>
        </w:tc>
      </w:tr>
      <w:tr w:rsidR="00A41E60" w:rsidRPr="00D85E09" w14:paraId="3D22F37D" w14:textId="77777777" w:rsidTr="00A41E60">
        <w:trPr>
          <w:tblHeader/>
        </w:trPr>
        <w:tc>
          <w:tcPr>
            <w:tcW w:w="2258" w:type="pct"/>
            <w:tcBorders>
              <w:top w:val="single" w:sz="4" w:space="0" w:color="auto"/>
              <w:left w:val="single" w:sz="4" w:space="0" w:color="auto"/>
              <w:bottom w:val="single" w:sz="4" w:space="0" w:color="auto"/>
              <w:right w:val="single" w:sz="4" w:space="0" w:color="auto"/>
            </w:tcBorders>
            <w:hideMark/>
          </w:tcPr>
          <w:p w14:paraId="138F40CC" w14:textId="77777777" w:rsidR="00A41E60" w:rsidRPr="00D85E09" w:rsidRDefault="00A41E60" w:rsidP="004C614F">
            <w:pPr>
              <w:pStyle w:val="Tabletext"/>
              <w:keepNext w:val="0"/>
              <w:rPr>
                <w:i/>
              </w:rPr>
            </w:pPr>
            <w:r w:rsidRPr="00D85E09">
              <w:rPr>
                <w:i/>
              </w:rPr>
              <w:t>Inter-hospital patient transfer</w:t>
            </w:r>
          </w:p>
        </w:tc>
        <w:tc>
          <w:tcPr>
            <w:tcW w:w="646" w:type="pct"/>
            <w:tcBorders>
              <w:top w:val="single" w:sz="4" w:space="0" w:color="auto"/>
              <w:left w:val="single" w:sz="4" w:space="0" w:color="auto"/>
              <w:bottom w:val="single" w:sz="4" w:space="0" w:color="auto"/>
              <w:right w:val="single" w:sz="4" w:space="0" w:color="auto"/>
            </w:tcBorders>
            <w:hideMark/>
          </w:tcPr>
          <w:p w14:paraId="79B57ED7" w14:textId="77777777" w:rsidR="00A41E60" w:rsidRPr="00D85E09" w:rsidRDefault="00A41E60" w:rsidP="004C614F">
            <w:pPr>
              <w:pStyle w:val="Tabletext"/>
              <w:keepNext w:val="0"/>
            </w:pPr>
            <w:r w:rsidRPr="00D85E09">
              <w:t>$836.00</w:t>
            </w:r>
          </w:p>
        </w:tc>
        <w:tc>
          <w:tcPr>
            <w:tcW w:w="2096" w:type="pct"/>
            <w:tcBorders>
              <w:top w:val="single" w:sz="4" w:space="0" w:color="auto"/>
              <w:left w:val="single" w:sz="4" w:space="0" w:color="auto"/>
              <w:bottom w:val="single" w:sz="4" w:space="0" w:color="auto"/>
              <w:right w:val="single" w:sz="4" w:space="0" w:color="auto"/>
            </w:tcBorders>
            <w:hideMark/>
          </w:tcPr>
          <w:p w14:paraId="42CFE8CE" w14:textId="72E19F49" w:rsidR="00A41E60" w:rsidRPr="00D85E09" w:rsidRDefault="00A41E60" w:rsidP="004C614F">
            <w:pPr>
              <w:pStyle w:val="Tabletext"/>
              <w:keepNext w:val="0"/>
            </w:pPr>
            <w:r w:rsidRPr="00D85E09">
              <w:t xml:space="preserve">Campbell et al. </w:t>
            </w:r>
            <w:r w:rsidR="004F68A7" w:rsidRPr="00D85E09">
              <w:t>2015</w:t>
            </w:r>
          </w:p>
        </w:tc>
      </w:tr>
      <w:tr w:rsidR="00A41E60" w:rsidRPr="00D85E09" w14:paraId="34B97175" w14:textId="77777777" w:rsidTr="00A41E60">
        <w:trPr>
          <w:tblHeader/>
        </w:trPr>
        <w:tc>
          <w:tcPr>
            <w:tcW w:w="2258" w:type="pct"/>
            <w:tcBorders>
              <w:top w:val="single" w:sz="4" w:space="0" w:color="auto"/>
              <w:left w:val="single" w:sz="4" w:space="0" w:color="auto"/>
              <w:bottom w:val="single" w:sz="4" w:space="0" w:color="auto"/>
              <w:right w:val="nil"/>
            </w:tcBorders>
            <w:vAlign w:val="center"/>
          </w:tcPr>
          <w:p w14:paraId="00E3D549" w14:textId="77777777" w:rsidR="00A41E60" w:rsidRPr="00D85E09" w:rsidRDefault="00A41E60" w:rsidP="004C614F">
            <w:pPr>
              <w:pStyle w:val="Tabletext"/>
              <w:keepNext w:val="0"/>
              <w:rPr>
                <w:i/>
              </w:rPr>
            </w:pPr>
          </w:p>
        </w:tc>
        <w:tc>
          <w:tcPr>
            <w:tcW w:w="646" w:type="pct"/>
            <w:tcBorders>
              <w:top w:val="single" w:sz="4" w:space="0" w:color="auto"/>
              <w:left w:val="nil"/>
              <w:bottom w:val="single" w:sz="4" w:space="0" w:color="auto"/>
              <w:right w:val="nil"/>
            </w:tcBorders>
            <w:vAlign w:val="center"/>
          </w:tcPr>
          <w:p w14:paraId="3F7A00F3" w14:textId="77777777" w:rsidR="00A41E60" w:rsidRPr="00D85E09" w:rsidRDefault="00A41E60" w:rsidP="004C614F">
            <w:pPr>
              <w:pStyle w:val="Tabletext"/>
              <w:keepNext w:val="0"/>
            </w:pPr>
          </w:p>
        </w:tc>
        <w:tc>
          <w:tcPr>
            <w:tcW w:w="2096" w:type="pct"/>
            <w:tcBorders>
              <w:top w:val="single" w:sz="4" w:space="0" w:color="auto"/>
              <w:left w:val="nil"/>
              <w:bottom w:val="single" w:sz="4" w:space="0" w:color="auto"/>
              <w:right w:val="single" w:sz="4" w:space="0" w:color="auto"/>
            </w:tcBorders>
          </w:tcPr>
          <w:p w14:paraId="4683434B" w14:textId="77777777" w:rsidR="00A41E60" w:rsidRPr="00D85E09" w:rsidRDefault="00A41E60" w:rsidP="004C614F">
            <w:pPr>
              <w:pStyle w:val="Tabletext"/>
              <w:keepNext w:val="0"/>
            </w:pPr>
          </w:p>
        </w:tc>
      </w:tr>
      <w:tr w:rsidR="00A41E60" w:rsidRPr="00D85E09" w14:paraId="4F07E443" w14:textId="77777777" w:rsidTr="00A41E60">
        <w:trPr>
          <w:tblHeader/>
        </w:trPr>
        <w:tc>
          <w:tcPr>
            <w:tcW w:w="22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426DD8" w14:textId="77777777" w:rsidR="00A41E60" w:rsidRPr="00D85E09" w:rsidRDefault="00A41E60" w:rsidP="004C614F">
            <w:pPr>
              <w:pStyle w:val="Tabletext"/>
              <w:keepNext w:val="0"/>
              <w:rPr>
                <w:i/>
              </w:rPr>
            </w:pPr>
            <w:r w:rsidRPr="00D85E09">
              <w:rPr>
                <w:i/>
              </w:rPr>
              <w:t>Total per procedure</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7CD73B" w14:textId="77777777" w:rsidR="00A41E60" w:rsidRPr="00D85E09" w:rsidRDefault="00A41E60" w:rsidP="004C614F">
            <w:pPr>
              <w:pStyle w:val="Tabletext"/>
              <w:keepNext w:val="0"/>
            </w:pPr>
            <w:r w:rsidRPr="00D85E09">
              <w:t>$18,308.49</w:t>
            </w:r>
          </w:p>
        </w:tc>
        <w:tc>
          <w:tcPr>
            <w:tcW w:w="209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59AB28" w14:textId="77777777" w:rsidR="00A41E60" w:rsidRPr="00D85E09" w:rsidRDefault="00A41E60" w:rsidP="004C614F">
            <w:pPr>
              <w:pStyle w:val="Tabletext"/>
              <w:keepNext w:val="0"/>
            </w:pPr>
            <w:r w:rsidRPr="00D85E09">
              <w:t>Calculated</w:t>
            </w:r>
          </w:p>
        </w:tc>
      </w:tr>
    </w:tbl>
    <w:p w14:paraId="7CCCCA29" w14:textId="77777777" w:rsidR="00A41E60" w:rsidRPr="00D85E09" w:rsidRDefault="00A41E60" w:rsidP="00181227">
      <w:pPr>
        <w:pStyle w:val="Tablefootnote"/>
        <w:widowControl w:val="0"/>
        <w:rPr>
          <w:lang w:val="en-AU"/>
        </w:rPr>
      </w:pPr>
      <w:r w:rsidRPr="00D85E09">
        <w:rPr>
          <w:vertAlign w:val="superscript"/>
          <w:lang w:val="en-AU"/>
        </w:rPr>
        <w:t>1</w:t>
      </w:r>
      <w:r w:rsidRPr="00D85E09">
        <w:rPr>
          <w:lang w:val="en-AU"/>
        </w:rPr>
        <w:t xml:space="preserve"> Based on “Healthscope and NSWNMA/ANMF – NSW Nurses &amp; Midwives' Enterprise Agreement 2015 – 2019” (http://www.nswnma.asn.au/wp-content/uploads/2013/07/Healthscope-and-NSWNMA-ANMF-NSW-Nurses-Midwives-Enterprise-Agreement-2015-2019.pdf).</w:t>
      </w:r>
    </w:p>
    <w:p w14:paraId="57746F58" w14:textId="77777777" w:rsidR="00A41E60" w:rsidRPr="00D85E09" w:rsidRDefault="00A41E60" w:rsidP="0043316B">
      <w:pPr>
        <w:widowControl w:val="0"/>
      </w:pPr>
    </w:p>
    <w:p w14:paraId="28E064E7" w14:textId="55C1563D" w:rsidR="00A41E60" w:rsidRPr="00D85E09" w:rsidRDefault="00A41E60" w:rsidP="0043316B">
      <w:pPr>
        <w:widowControl w:val="0"/>
      </w:pPr>
      <w:r w:rsidRPr="00D85E09">
        <w:t xml:space="preserve">The current </w:t>
      </w:r>
      <w:r w:rsidR="00A8075A" w:rsidRPr="00D85E09">
        <w:t>A</w:t>
      </w:r>
      <w:r w:rsidRPr="00D85E09">
        <w:t>pplication proposes a fee of $3,500 per procedure. The Protocol suggested the proposed MBS fee for mechanical thrombectomy to be referenced to the current MBS benefit amount given to endovascular coiling of intra</w:t>
      </w:r>
      <w:r w:rsidR="00300BB6" w:rsidRPr="00D85E09">
        <w:t>-cranial</w:t>
      </w:r>
      <w:r w:rsidRPr="00D85E09">
        <w:t xml:space="preserve"> aneurisms ($2857.55; MBS item 35412). Further communication with Australian KOLs suggested that when compared with other neuro</w:t>
      </w:r>
      <w:r w:rsidR="00300BB6" w:rsidRPr="00D85E09">
        <w:t>interventional</w:t>
      </w:r>
      <w:r w:rsidRPr="00D85E09">
        <w:t xml:space="preserve"> procedures such as endovascular coiling mechanical thrombectomy for acute ischaemic stroke is:</w:t>
      </w:r>
    </w:p>
    <w:p w14:paraId="438BB4E7" w14:textId="29B52AF0" w:rsidR="00A41E60" w:rsidRPr="00D85E09" w:rsidRDefault="00A41E60" w:rsidP="0043316B">
      <w:pPr>
        <w:pStyle w:val="ListParagraph"/>
        <w:widowControl w:val="0"/>
        <w:numPr>
          <w:ilvl w:val="0"/>
          <w:numId w:val="35"/>
        </w:numPr>
      </w:pPr>
      <w:r w:rsidRPr="00D85E09">
        <w:rPr>
          <w:u w:val="single"/>
        </w:rPr>
        <w:t>Technically more challenging</w:t>
      </w:r>
      <w:r w:rsidRPr="00D85E09">
        <w:t>. Traversing occluded vessels in acute ischaemic stroke is more technically challenging – wire/microcatheter navigation requires precision in circumstances where there is no definitive path through an occlusion. Furthermore, stroke patients considered for mechanical thrombectomy are typically elderly. In this patient group, vasculature becomes increasingly tortuous and difficult to navigate; in contrast, the patient demographic for aneurysm is generally younger and vascular access is more straightforward.</w:t>
      </w:r>
    </w:p>
    <w:p w14:paraId="61A7EA97" w14:textId="5B4A676C" w:rsidR="00A41E60" w:rsidRPr="00D85E09" w:rsidRDefault="00A41E60" w:rsidP="0043316B">
      <w:pPr>
        <w:pStyle w:val="ListParagraph"/>
        <w:widowControl w:val="0"/>
        <w:numPr>
          <w:ilvl w:val="0"/>
          <w:numId w:val="35"/>
        </w:numPr>
      </w:pPr>
      <w:r w:rsidRPr="00D85E09">
        <w:rPr>
          <w:u w:val="single"/>
        </w:rPr>
        <w:t>Associated with greater training requirements</w:t>
      </w:r>
      <w:r w:rsidRPr="00D85E09">
        <w:t>. Acute ischaemic stroke is a completely different pathophysiological entity to other conditions treated by INRs (e.g. aneurysms) – hence, additional training and expertise is required. In Australia, training relevant to mechanical thrombectomy is described by the Conjoint Committee for Recognition of Training in Interventional Neuroradiology (CCINR).</w:t>
      </w:r>
      <w:r w:rsidRPr="00D85E09">
        <w:rPr>
          <w:rStyle w:val="FootnoteReference"/>
        </w:rPr>
        <w:footnoteReference w:id="7"/>
      </w:r>
      <w:r w:rsidRPr="00D85E09">
        <w:t xml:space="preserve"> International consensus on training was published recently</w:t>
      </w:r>
      <w:r w:rsidRPr="00D85E09">
        <w:rPr>
          <w:rStyle w:val="FootnoteReference"/>
        </w:rPr>
        <w:footnoteReference w:id="8"/>
      </w:r>
      <w:r w:rsidRPr="00D85E09">
        <w:t xml:space="preserve"> with CCINR amongst several groups involved in developing this consensus. The comprehensive skills and training requirements necessary to perform mechanical thrombectomy and achieve high quality outcomes illustrate how technically demanding this procedure is.</w:t>
      </w:r>
    </w:p>
    <w:p w14:paraId="4054D6AA" w14:textId="412A795B" w:rsidR="000B75C0" w:rsidRPr="00D85E09" w:rsidRDefault="00A41E60" w:rsidP="0043316B">
      <w:pPr>
        <w:pStyle w:val="ListParagraph"/>
        <w:widowControl w:val="0"/>
        <w:numPr>
          <w:ilvl w:val="0"/>
          <w:numId w:val="35"/>
        </w:numPr>
      </w:pPr>
      <w:r w:rsidRPr="00D85E09">
        <w:rPr>
          <w:u w:val="single"/>
        </w:rPr>
        <w:t>More resource intensive</w:t>
      </w:r>
      <w:r w:rsidRPr="00D85E09">
        <w:t xml:space="preserve">. The procedure is usually performed by two operators, </w:t>
      </w:r>
      <w:r w:rsidRPr="00D85E09">
        <w:lastRenderedPageBreak/>
        <w:t>both highly experienced and trained (e.g. Consultants). The fee should be sufficient to ensure that both operators are suitably remunerated.</w:t>
      </w:r>
    </w:p>
    <w:p w14:paraId="41C48C58" w14:textId="5774CBB4" w:rsidR="003F4700" w:rsidRPr="00D85E09" w:rsidRDefault="00A41E60" w:rsidP="0043316B">
      <w:pPr>
        <w:pStyle w:val="ListParagraph"/>
        <w:widowControl w:val="0"/>
        <w:numPr>
          <w:ilvl w:val="0"/>
          <w:numId w:val="35"/>
        </w:numPr>
      </w:pPr>
      <w:r w:rsidRPr="00D85E09">
        <w:rPr>
          <w:u w:val="single"/>
        </w:rPr>
        <w:t>Critically urgent</w:t>
      </w:r>
      <w:r w:rsidRPr="00D85E09">
        <w:t>. Stroke is a medical emergency and mechanical thrombectomy needs to be provided during the first critical hours of stroke onset. Clinicians providing this service must be able to provide it ‘out of hours’. In addition, during normal hospital hours clinicians who can perform the procedure may be called away from scheduled, non-emergency procedures. The need to perform the procedure as soon as possible has significant impacts on clinicians’ capacity/availability to perform and be remunerated for other procedures.</w:t>
      </w:r>
    </w:p>
    <w:p w14:paraId="1E3809DB" w14:textId="0BEAB453" w:rsidR="003F4700" w:rsidRPr="00D85E09" w:rsidRDefault="003F4700" w:rsidP="0043316B">
      <w:pPr>
        <w:widowControl w:val="0"/>
      </w:pPr>
      <w:r w:rsidRPr="00D85E09">
        <w:t>In addition, the overall service provi</w:t>
      </w:r>
      <w:r w:rsidR="00745F0C" w:rsidRPr="00D85E09">
        <w:t>sion requirements are extensive.</w:t>
      </w:r>
      <w:r w:rsidRPr="00D85E09">
        <w:t xml:space="preserve"> In addition to performing mechanical thrombectomy itself, INR provision of the overall proposed</w:t>
      </w:r>
      <w:r w:rsidR="00745F0C" w:rsidRPr="00D85E09">
        <w:t xml:space="preserve"> service involves the following:</w:t>
      </w:r>
    </w:p>
    <w:p w14:paraId="66DEDB57" w14:textId="7276D536" w:rsidR="003F4700" w:rsidRPr="00D85E09" w:rsidRDefault="003F4700" w:rsidP="0043316B">
      <w:pPr>
        <w:pStyle w:val="ListParagraph"/>
        <w:widowControl w:val="0"/>
        <w:numPr>
          <w:ilvl w:val="0"/>
          <w:numId w:val="55"/>
        </w:numPr>
      </w:pPr>
      <w:r w:rsidRPr="00D85E09">
        <w:t>Pre-procedure:</w:t>
      </w:r>
    </w:p>
    <w:p w14:paraId="0E918F12" w14:textId="32AC864F" w:rsidR="003F4700" w:rsidRPr="00D85E09" w:rsidRDefault="003F4700" w:rsidP="0043316B">
      <w:pPr>
        <w:pStyle w:val="ListParagraph"/>
        <w:widowControl w:val="0"/>
        <w:numPr>
          <w:ilvl w:val="1"/>
          <w:numId w:val="55"/>
        </w:numPr>
      </w:pPr>
      <w:r w:rsidRPr="00D85E09">
        <w:t>Organise logistics of care when patient arrives at hospital.</w:t>
      </w:r>
    </w:p>
    <w:p w14:paraId="012A5FB0" w14:textId="0EF49A19" w:rsidR="003F4700" w:rsidRPr="00D85E09" w:rsidRDefault="003F4700" w:rsidP="0043316B">
      <w:pPr>
        <w:pStyle w:val="ListParagraph"/>
        <w:widowControl w:val="0"/>
        <w:numPr>
          <w:ilvl w:val="1"/>
          <w:numId w:val="55"/>
        </w:numPr>
      </w:pPr>
      <w:r w:rsidRPr="00D85E09">
        <w:t>Review of brain imaging: INR interpretation required.</w:t>
      </w:r>
    </w:p>
    <w:p w14:paraId="51A5949D" w14:textId="18CD90D0" w:rsidR="003F4700" w:rsidRPr="00D85E09" w:rsidRDefault="003F4700" w:rsidP="0043316B">
      <w:pPr>
        <w:pStyle w:val="ListParagraph"/>
        <w:widowControl w:val="0"/>
        <w:numPr>
          <w:ilvl w:val="1"/>
          <w:numId w:val="55"/>
        </w:numPr>
      </w:pPr>
      <w:r w:rsidRPr="00D85E09">
        <w:t>Clinical examination of patient.</w:t>
      </w:r>
    </w:p>
    <w:p w14:paraId="58433549" w14:textId="495518A0" w:rsidR="003F4700" w:rsidRPr="00D85E09" w:rsidRDefault="003F4700" w:rsidP="0043316B">
      <w:pPr>
        <w:pStyle w:val="ListParagraph"/>
        <w:widowControl w:val="0"/>
        <w:numPr>
          <w:ilvl w:val="1"/>
          <w:numId w:val="55"/>
        </w:numPr>
      </w:pPr>
      <w:r w:rsidRPr="00D85E09">
        <w:t>Check angiography suite or catheteri</w:t>
      </w:r>
      <w:r w:rsidR="00E56287" w:rsidRPr="00D85E09">
        <w:t>s</w:t>
      </w:r>
      <w:r w:rsidRPr="00D85E09">
        <w:t>ation laboratory for procedure readiness: prepare where facilities are not ready to receive the patient.</w:t>
      </w:r>
    </w:p>
    <w:p w14:paraId="25600631" w14:textId="605C2BBD" w:rsidR="003F4700" w:rsidRPr="00D85E09" w:rsidRDefault="003F4700" w:rsidP="0043316B">
      <w:pPr>
        <w:pStyle w:val="ListParagraph"/>
        <w:widowControl w:val="0"/>
        <w:numPr>
          <w:ilvl w:val="1"/>
          <w:numId w:val="55"/>
        </w:numPr>
      </w:pPr>
      <w:r w:rsidRPr="00D85E09">
        <w:t>INR briefs anaesthetic team on the clinical scenario and the plan for the patient.</w:t>
      </w:r>
    </w:p>
    <w:p w14:paraId="6FDA4304" w14:textId="06B35192" w:rsidR="003F4700" w:rsidRPr="00D85E09" w:rsidRDefault="003F4700" w:rsidP="0043316B">
      <w:pPr>
        <w:pStyle w:val="ListParagraph"/>
        <w:widowControl w:val="0"/>
        <w:numPr>
          <w:ilvl w:val="0"/>
          <w:numId w:val="55"/>
        </w:numPr>
      </w:pPr>
      <w:r w:rsidRPr="00D85E09">
        <w:t>Post</w:t>
      </w:r>
      <w:r w:rsidR="00300BB6" w:rsidRPr="00D85E09">
        <w:t xml:space="preserve"> </w:t>
      </w:r>
      <w:r w:rsidRPr="00D85E09">
        <w:t>procedure:</w:t>
      </w:r>
    </w:p>
    <w:p w14:paraId="632FB668" w14:textId="44D581E4" w:rsidR="003F4700" w:rsidRPr="00D85E09" w:rsidRDefault="003F4700" w:rsidP="0043316B">
      <w:pPr>
        <w:pStyle w:val="ListParagraph"/>
        <w:widowControl w:val="0"/>
        <w:numPr>
          <w:ilvl w:val="1"/>
          <w:numId w:val="55"/>
        </w:numPr>
      </w:pPr>
      <w:r w:rsidRPr="00D85E09">
        <w:t>Clinical assessment of the patient</w:t>
      </w:r>
    </w:p>
    <w:p w14:paraId="109600A3" w14:textId="6988B10E" w:rsidR="003F4700" w:rsidRPr="00D85E09" w:rsidRDefault="003F4700" w:rsidP="0043316B">
      <w:pPr>
        <w:pStyle w:val="ListParagraph"/>
        <w:widowControl w:val="0"/>
        <w:numPr>
          <w:ilvl w:val="1"/>
          <w:numId w:val="55"/>
        </w:numPr>
      </w:pPr>
      <w:r w:rsidRPr="00D85E09">
        <w:t>Clinical re-assessment of patient</w:t>
      </w:r>
    </w:p>
    <w:p w14:paraId="65A31992" w14:textId="02350AD1" w:rsidR="003F4700" w:rsidRPr="00D85E09" w:rsidRDefault="003F4700" w:rsidP="0043316B">
      <w:pPr>
        <w:pStyle w:val="ListParagraph"/>
        <w:widowControl w:val="0"/>
        <w:numPr>
          <w:ilvl w:val="1"/>
          <w:numId w:val="55"/>
        </w:numPr>
      </w:pPr>
      <w:r w:rsidRPr="00D85E09">
        <w:t>Patient transferred to bed and awaken from anaesthesia (if used)</w:t>
      </w:r>
    </w:p>
    <w:p w14:paraId="3D18E442" w14:textId="4AE3A235" w:rsidR="003F4700" w:rsidRPr="00D85E09" w:rsidRDefault="003F4700" w:rsidP="0043316B">
      <w:pPr>
        <w:pStyle w:val="ListParagraph"/>
        <w:widowControl w:val="0"/>
        <w:numPr>
          <w:ilvl w:val="1"/>
          <w:numId w:val="55"/>
        </w:numPr>
      </w:pPr>
      <w:r w:rsidRPr="00D85E09">
        <w:t xml:space="preserve">Document case in clinical notes and formalisation of results [Note: during </w:t>
      </w:r>
      <w:r w:rsidR="00F67AF7" w:rsidRPr="00D85E09">
        <w:t>P</w:t>
      </w:r>
      <w:r w:rsidRPr="00D85E09">
        <w:t xml:space="preserve">ublic </w:t>
      </w:r>
      <w:r w:rsidR="00F67AF7" w:rsidRPr="00D85E09">
        <w:t>C</w:t>
      </w:r>
      <w:r w:rsidRPr="00D85E09">
        <w:t>onsultation respondents advised that centres providing MT should participate in an audit or registry to ensure that minimum performance (outcomes) standards are met</w:t>
      </w:r>
      <w:r w:rsidR="00902135" w:rsidRPr="00D85E09">
        <w:t>]</w:t>
      </w:r>
    </w:p>
    <w:p w14:paraId="7EF9993B" w14:textId="58A49CCF" w:rsidR="003F4700" w:rsidRPr="00D85E09" w:rsidRDefault="003F4700" w:rsidP="0043316B">
      <w:pPr>
        <w:pStyle w:val="ListParagraph"/>
        <w:widowControl w:val="0"/>
        <w:numPr>
          <w:ilvl w:val="1"/>
          <w:numId w:val="55"/>
        </w:numPr>
      </w:pPr>
      <w:r w:rsidRPr="00D85E09">
        <w:t>Establish advanced haemodynamic plans for the next 24 hours, particularly anticoagulation regimes and blood pressure control</w:t>
      </w:r>
    </w:p>
    <w:p w14:paraId="487863CB" w14:textId="677D6AEC" w:rsidR="003F4700" w:rsidRPr="00D85E09" w:rsidRDefault="003F4700" w:rsidP="0043316B">
      <w:pPr>
        <w:pStyle w:val="ListParagraph"/>
        <w:widowControl w:val="0"/>
        <w:numPr>
          <w:ilvl w:val="1"/>
          <w:numId w:val="55"/>
        </w:numPr>
      </w:pPr>
      <w:r w:rsidRPr="00D85E09">
        <w:t>Transfer patient to intensive care unit (ICU) and hand over to ICU team</w:t>
      </w:r>
    </w:p>
    <w:p w14:paraId="796F4422" w14:textId="25BFC958" w:rsidR="003F4700" w:rsidRPr="00D85E09" w:rsidRDefault="003F4700" w:rsidP="0043316B">
      <w:pPr>
        <w:pStyle w:val="ListParagraph"/>
        <w:widowControl w:val="0"/>
        <w:numPr>
          <w:ilvl w:val="1"/>
          <w:numId w:val="55"/>
        </w:numPr>
      </w:pPr>
      <w:r w:rsidRPr="00D85E09">
        <w:t>Debrief family</w:t>
      </w:r>
    </w:p>
    <w:p w14:paraId="0D707039" w14:textId="1280C69B" w:rsidR="00A41E60" w:rsidRPr="00D85E09" w:rsidRDefault="00A41E60" w:rsidP="0043316B">
      <w:pPr>
        <w:widowControl w:val="0"/>
      </w:pPr>
      <w:r w:rsidRPr="00D85E09">
        <w:t>The proposed fee of $3500 is hence considered as well justified and necessary to sufficiently cover a mechanical thrombectomy procedure service.</w:t>
      </w:r>
    </w:p>
    <w:p w14:paraId="2D8DF740" w14:textId="181DB774" w:rsidR="00A41E60" w:rsidRPr="00D85E09" w:rsidRDefault="00A41E60" w:rsidP="0043316B">
      <w:pPr>
        <w:widowControl w:val="0"/>
      </w:pPr>
      <w:r w:rsidRPr="00D85E09">
        <w:lastRenderedPageBreak/>
        <w:t xml:space="preserve">The use of general anaesthesia appears to vary across centres. In the RCTs, this ranged from 6.7% in REVASCAT (Jovin et al 2015) to 37% in SWIFT PRIME (Saver et al 2015), as shown in </w:t>
      </w:r>
      <w:r w:rsidRPr="00D85E09">
        <w:fldChar w:fldCharType="begin"/>
      </w:r>
      <w:r w:rsidRPr="00D85E09">
        <w:instrText xml:space="preserve"> REF _Ref448912246 \h </w:instrText>
      </w:r>
      <w:r w:rsidRPr="00D85E09">
        <w:fldChar w:fldCharType="separate"/>
      </w:r>
      <w:r w:rsidR="00A456ED" w:rsidRPr="00D85E09">
        <w:t xml:space="preserve">Table </w:t>
      </w:r>
      <w:r w:rsidR="00A456ED">
        <w:rPr>
          <w:noProof/>
        </w:rPr>
        <w:t>58</w:t>
      </w:r>
      <w:r w:rsidRPr="00D85E09">
        <w:fldChar w:fldCharType="end"/>
      </w:r>
      <w:r w:rsidRPr="00D85E09">
        <w:t xml:space="preserve">. In EXTEND-IA, general anaesthesia was provided in 36% of patients. While uncertainty remains as to the generalisability of this estimate, the current costing applies 36% based on this trial because it was performed in Australia and New Zealand. Also, the duration of anaesthesia is assumed to be up to 1 hour, roughly informed by ‘time from groin puncture to perfusion / completion’ reported in the trials, as shown in </w:t>
      </w:r>
      <w:r w:rsidRPr="00D85E09">
        <w:fldChar w:fldCharType="begin"/>
      </w:r>
      <w:r w:rsidRPr="00D85E09">
        <w:instrText xml:space="preserve"> REF _Ref448912246 \h </w:instrText>
      </w:r>
      <w:r w:rsidR="00745F0C" w:rsidRPr="00D85E09">
        <w:instrText xml:space="preserve"> \* MERGEFORMAT </w:instrText>
      </w:r>
      <w:r w:rsidRPr="00D85E09">
        <w:fldChar w:fldCharType="separate"/>
      </w:r>
      <w:r w:rsidR="00A456ED" w:rsidRPr="00D85E09">
        <w:t xml:space="preserve">Table </w:t>
      </w:r>
      <w:r w:rsidR="00A456ED">
        <w:rPr>
          <w:noProof/>
        </w:rPr>
        <w:t>58</w:t>
      </w:r>
      <w:r w:rsidRPr="00D85E09">
        <w:fldChar w:fldCharType="end"/>
      </w:r>
      <w:r w:rsidRPr="00D85E09">
        <w:t>. As</w:t>
      </w:r>
      <w:r w:rsidR="00606BFF" w:rsidRPr="00D85E09">
        <w:t xml:space="preserve"> discussed above (overall service provision requirements)</w:t>
      </w:r>
      <w:r w:rsidRPr="00D85E09">
        <w:t xml:space="preserve">, the procedural time criteria assessed and reported in clinical trials do not reflect the overall time </w:t>
      </w:r>
      <w:r w:rsidR="00606BFF" w:rsidRPr="00D85E09">
        <w:t xml:space="preserve">commitment </w:t>
      </w:r>
      <w:r w:rsidRPr="00D85E09">
        <w:t xml:space="preserve">required for clinicians </w:t>
      </w:r>
      <w:r w:rsidR="00606BFF" w:rsidRPr="00D85E09">
        <w:t xml:space="preserve">to </w:t>
      </w:r>
      <w:r w:rsidRPr="00D85E09">
        <w:t>provide the proposed service.</w:t>
      </w:r>
    </w:p>
    <w:p w14:paraId="3A532319" w14:textId="46F6C6F3" w:rsidR="00A41E60" w:rsidRPr="00D85E09" w:rsidRDefault="00A41E60" w:rsidP="0043316B">
      <w:pPr>
        <w:widowControl w:val="0"/>
      </w:pPr>
      <w:r w:rsidRPr="00D85E09">
        <w:t>Campbell et al (</w:t>
      </w:r>
      <w:r w:rsidR="004F68A7" w:rsidRPr="00D85E09">
        <w:t>2015</w:t>
      </w:r>
      <w:r w:rsidRPr="00D85E09">
        <w:t>) assumed 2 hours of nursing time in total (per nurse attending the procedure).</w:t>
      </w:r>
    </w:p>
    <w:p w14:paraId="22764F8C" w14:textId="5DAF8717" w:rsidR="00A41E60" w:rsidRPr="00D85E09" w:rsidRDefault="00A41E60" w:rsidP="0043316B">
      <w:pPr>
        <w:widowControl w:val="0"/>
      </w:pPr>
      <w:r w:rsidRPr="00D85E09">
        <w:t>Also, the current costing conservatively assumes that 75% of patients receive an inter-hospital transfer to receive mechanical thrombectomy (as also</w:t>
      </w:r>
      <w:r w:rsidR="004F68A7" w:rsidRPr="00D85E09">
        <w:t xml:space="preserve"> assumed in Campbell et al. 2015</w:t>
      </w:r>
      <w:r w:rsidRPr="00D85E09">
        <w:t>). As the uptake of mechanical thrombectomy increases in Australia, it is anticipated that fewer patients will require to be transferred to another facility to receive the procedure in the future.</w:t>
      </w:r>
    </w:p>
    <w:p w14:paraId="2FD6830E" w14:textId="71B679BC" w:rsidR="00A41E60" w:rsidRPr="00D85E09" w:rsidRDefault="00A41E60" w:rsidP="0043316B">
      <w:pPr>
        <w:pStyle w:val="Caption"/>
        <w:keepNext w:val="0"/>
        <w:widowControl w:val="0"/>
        <w:rPr>
          <w:lang w:val="en-AU"/>
        </w:rPr>
      </w:pPr>
      <w:bookmarkStart w:id="425" w:name="_Ref448912246"/>
      <w:bookmarkStart w:id="426" w:name="_Toc45306539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58</w:t>
      </w:r>
      <w:r w:rsidRPr="00D85E09">
        <w:rPr>
          <w:lang w:val="en-AU"/>
        </w:rPr>
        <w:fldChar w:fldCharType="end"/>
      </w:r>
      <w:bookmarkEnd w:id="425"/>
      <w:r w:rsidRPr="00D85E09">
        <w:rPr>
          <w:lang w:val="en-AU"/>
        </w:rPr>
        <w:tab/>
        <w:t>Time from groin puncture to first perfusion / completion and the use of general anaesthesia in RCTs</w:t>
      </w:r>
      <w:bookmarkEnd w:id="426"/>
    </w:p>
    <w:tbl>
      <w:tblPr>
        <w:tblStyle w:val="TableGrid"/>
        <w:tblW w:w="5000" w:type="pct"/>
        <w:tblLook w:val="04A0" w:firstRow="1" w:lastRow="0" w:firstColumn="1" w:lastColumn="0" w:noHBand="0" w:noVBand="1"/>
        <w:tblDescription w:val="Table 58.Time from groin puncture to first perfusion / completion and the use of general anaesthesia in RCTs"/>
      </w:tblPr>
      <w:tblGrid>
        <w:gridCol w:w="1540"/>
        <w:gridCol w:w="3389"/>
        <w:gridCol w:w="2337"/>
        <w:gridCol w:w="1738"/>
      </w:tblGrid>
      <w:tr w:rsidR="00A41E60" w:rsidRPr="00D85E09" w14:paraId="5884D585" w14:textId="77777777" w:rsidTr="00BE6331">
        <w:trPr>
          <w:tblHeader/>
        </w:trPr>
        <w:tc>
          <w:tcPr>
            <w:tcW w:w="855" w:type="pct"/>
            <w:tcBorders>
              <w:top w:val="single" w:sz="4" w:space="0" w:color="000000"/>
              <w:left w:val="single" w:sz="4" w:space="0" w:color="000000"/>
              <w:bottom w:val="single" w:sz="4" w:space="0" w:color="000000"/>
              <w:right w:val="single" w:sz="4" w:space="0" w:color="000000"/>
            </w:tcBorders>
            <w:hideMark/>
          </w:tcPr>
          <w:p w14:paraId="536E77B7" w14:textId="77777777" w:rsidR="00A41E60" w:rsidRPr="00D85E09" w:rsidRDefault="00A41E60" w:rsidP="0043316B">
            <w:pPr>
              <w:pStyle w:val="Tabletext"/>
              <w:keepNext w:val="0"/>
              <w:widowControl w:val="0"/>
              <w:rPr>
                <w:b/>
              </w:rPr>
            </w:pPr>
            <w:r w:rsidRPr="00D85E09">
              <w:rPr>
                <w:b/>
              </w:rPr>
              <w:t>Study</w:t>
            </w:r>
          </w:p>
        </w:tc>
        <w:tc>
          <w:tcPr>
            <w:tcW w:w="1882" w:type="pct"/>
            <w:tcBorders>
              <w:top w:val="single" w:sz="4" w:space="0" w:color="000000"/>
              <w:left w:val="single" w:sz="4" w:space="0" w:color="000000"/>
              <w:bottom w:val="single" w:sz="4" w:space="0" w:color="000000"/>
              <w:right w:val="single" w:sz="4" w:space="0" w:color="000000"/>
            </w:tcBorders>
            <w:hideMark/>
          </w:tcPr>
          <w:p w14:paraId="4FF39A32" w14:textId="77777777" w:rsidR="00A41E60" w:rsidRPr="00D85E09" w:rsidRDefault="00A41E60" w:rsidP="0043316B">
            <w:pPr>
              <w:pStyle w:val="Tabletext"/>
              <w:keepNext w:val="0"/>
              <w:widowControl w:val="0"/>
              <w:rPr>
                <w:b/>
              </w:rPr>
            </w:pPr>
            <w:r w:rsidRPr="00D85E09">
              <w:rPr>
                <w:b/>
              </w:rPr>
              <w:t>Definition of procedural time and reported procedural duration (median)</w:t>
            </w:r>
          </w:p>
        </w:tc>
        <w:tc>
          <w:tcPr>
            <w:tcW w:w="1298" w:type="pct"/>
            <w:tcBorders>
              <w:top w:val="single" w:sz="4" w:space="0" w:color="000000"/>
              <w:left w:val="single" w:sz="4" w:space="0" w:color="000000"/>
              <w:bottom w:val="single" w:sz="4" w:space="0" w:color="000000"/>
              <w:right w:val="single" w:sz="4" w:space="0" w:color="000000"/>
            </w:tcBorders>
            <w:hideMark/>
          </w:tcPr>
          <w:p w14:paraId="4F6F4D86" w14:textId="77777777" w:rsidR="00A41E60" w:rsidRPr="00D85E09" w:rsidRDefault="00A41E60" w:rsidP="0043316B">
            <w:pPr>
              <w:pStyle w:val="Tabletext"/>
              <w:keepNext w:val="0"/>
              <w:widowControl w:val="0"/>
              <w:rPr>
                <w:b/>
              </w:rPr>
            </w:pPr>
            <w:r w:rsidRPr="00D85E09">
              <w:rPr>
                <w:b/>
              </w:rPr>
              <w:t>General anaesthetics use</w:t>
            </w:r>
          </w:p>
        </w:tc>
        <w:tc>
          <w:tcPr>
            <w:tcW w:w="965" w:type="pct"/>
            <w:tcBorders>
              <w:top w:val="single" w:sz="4" w:space="0" w:color="000000"/>
              <w:left w:val="single" w:sz="4" w:space="0" w:color="000000"/>
              <w:bottom w:val="single" w:sz="4" w:space="0" w:color="000000"/>
              <w:right w:val="single" w:sz="4" w:space="0" w:color="000000"/>
            </w:tcBorders>
            <w:hideMark/>
          </w:tcPr>
          <w:p w14:paraId="7BFDF3F4" w14:textId="77777777" w:rsidR="00A41E60" w:rsidRPr="00D85E09" w:rsidRDefault="00A41E60" w:rsidP="0043316B">
            <w:pPr>
              <w:pStyle w:val="Tabletext"/>
              <w:keepNext w:val="0"/>
              <w:widowControl w:val="0"/>
              <w:rPr>
                <w:b/>
              </w:rPr>
            </w:pPr>
            <w:r w:rsidRPr="00D85E09">
              <w:rPr>
                <w:b/>
              </w:rPr>
              <w:t>Note</w:t>
            </w:r>
          </w:p>
        </w:tc>
      </w:tr>
      <w:tr w:rsidR="00A41E60" w:rsidRPr="00D85E09" w14:paraId="725A1C06" w14:textId="77777777" w:rsidTr="00A41E60">
        <w:tc>
          <w:tcPr>
            <w:tcW w:w="855" w:type="pct"/>
            <w:tcBorders>
              <w:top w:val="single" w:sz="4" w:space="0" w:color="000000"/>
              <w:left w:val="single" w:sz="4" w:space="0" w:color="000000"/>
              <w:bottom w:val="single" w:sz="4" w:space="0" w:color="000000"/>
              <w:right w:val="single" w:sz="4" w:space="0" w:color="000000"/>
            </w:tcBorders>
            <w:hideMark/>
          </w:tcPr>
          <w:p w14:paraId="7B002F25" w14:textId="77777777" w:rsidR="00A41E60" w:rsidRPr="00D85E09" w:rsidRDefault="00A41E60" w:rsidP="0043316B">
            <w:pPr>
              <w:pStyle w:val="Tabletext"/>
              <w:keepNext w:val="0"/>
              <w:widowControl w:val="0"/>
            </w:pPr>
            <w:r w:rsidRPr="00D85E09">
              <w:t xml:space="preserve">ESCAPE (Goyal et al 2015) </w:t>
            </w:r>
          </w:p>
        </w:tc>
        <w:tc>
          <w:tcPr>
            <w:tcW w:w="1882" w:type="pct"/>
            <w:tcBorders>
              <w:top w:val="single" w:sz="4" w:space="0" w:color="000000"/>
              <w:left w:val="single" w:sz="4" w:space="0" w:color="000000"/>
              <w:bottom w:val="single" w:sz="4" w:space="0" w:color="000000"/>
              <w:right w:val="single" w:sz="4" w:space="0" w:color="000000"/>
            </w:tcBorders>
            <w:hideMark/>
          </w:tcPr>
          <w:p w14:paraId="511DAADB" w14:textId="77777777" w:rsidR="00A41E60" w:rsidRPr="00D85E09" w:rsidRDefault="00A41E60" w:rsidP="0043316B">
            <w:pPr>
              <w:pStyle w:val="Tabletext"/>
              <w:keepNext w:val="0"/>
              <w:widowControl w:val="0"/>
            </w:pPr>
            <w:r w:rsidRPr="00D85E09">
              <w:t>Study CT to first reperfusion (first visualisation of reflow in the middle cerebral artery) = 84 mins (IQR: 65–115)</w:t>
            </w:r>
          </w:p>
          <w:p w14:paraId="7A307CAE" w14:textId="77777777" w:rsidR="00A41E60" w:rsidRPr="00D85E09" w:rsidRDefault="00A41E60" w:rsidP="0043316B">
            <w:pPr>
              <w:pStyle w:val="Tabletext"/>
              <w:keepNext w:val="0"/>
              <w:widowControl w:val="0"/>
            </w:pPr>
            <w:r w:rsidRPr="00D85E09">
              <w:t>Groin puncture to first reperfusion = 30 mins (IQR: NR)</w:t>
            </w:r>
          </w:p>
        </w:tc>
        <w:tc>
          <w:tcPr>
            <w:tcW w:w="1298" w:type="pct"/>
            <w:tcBorders>
              <w:top w:val="single" w:sz="4" w:space="0" w:color="000000"/>
              <w:left w:val="single" w:sz="4" w:space="0" w:color="000000"/>
              <w:bottom w:val="single" w:sz="4" w:space="0" w:color="000000"/>
              <w:right w:val="single" w:sz="4" w:space="0" w:color="000000"/>
            </w:tcBorders>
            <w:hideMark/>
          </w:tcPr>
          <w:p w14:paraId="312C1958" w14:textId="77777777" w:rsidR="00A41E60" w:rsidRPr="00D85E09" w:rsidRDefault="00A41E60" w:rsidP="0043316B">
            <w:pPr>
              <w:pStyle w:val="Tabletext"/>
              <w:keepNext w:val="0"/>
              <w:widowControl w:val="0"/>
            </w:pPr>
            <w:r w:rsidRPr="00D85E09">
              <w:t>9.1%</w:t>
            </w:r>
          </w:p>
        </w:tc>
        <w:tc>
          <w:tcPr>
            <w:tcW w:w="965" w:type="pct"/>
            <w:tcBorders>
              <w:top w:val="single" w:sz="4" w:space="0" w:color="000000"/>
              <w:left w:val="single" w:sz="4" w:space="0" w:color="000000"/>
              <w:bottom w:val="single" w:sz="4" w:space="0" w:color="000000"/>
              <w:right w:val="single" w:sz="4" w:space="0" w:color="000000"/>
            </w:tcBorders>
          </w:tcPr>
          <w:p w14:paraId="03D521CF" w14:textId="77777777" w:rsidR="00A41E60" w:rsidRPr="00D85E09" w:rsidRDefault="00A41E60" w:rsidP="0043316B">
            <w:pPr>
              <w:pStyle w:val="Tabletext"/>
              <w:keepNext w:val="0"/>
              <w:widowControl w:val="0"/>
            </w:pPr>
            <w:r w:rsidRPr="00D85E09">
              <w:t>Time from groin puncture to first reperfusion (not to completion).</w:t>
            </w:r>
          </w:p>
          <w:p w14:paraId="227EB7B3" w14:textId="77777777" w:rsidR="00A41E60" w:rsidRPr="00D85E09" w:rsidRDefault="00A41E60" w:rsidP="0043316B">
            <w:pPr>
              <w:pStyle w:val="Tabletext"/>
              <w:keepNext w:val="0"/>
              <w:widowControl w:val="0"/>
            </w:pPr>
          </w:p>
        </w:tc>
      </w:tr>
      <w:tr w:rsidR="00A41E60" w:rsidRPr="00D85E09" w14:paraId="37E09A50" w14:textId="77777777" w:rsidTr="00A41E60">
        <w:tc>
          <w:tcPr>
            <w:tcW w:w="855" w:type="pct"/>
            <w:tcBorders>
              <w:top w:val="single" w:sz="4" w:space="0" w:color="000000"/>
              <w:left w:val="single" w:sz="4" w:space="0" w:color="000000"/>
              <w:bottom w:val="single" w:sz="4" w:space="0" w:color="000000"/>
              <w:right w:val="single" w:sz="4" w:space="0" w:color="000000"/>
            </w:tcBorders>
            <w:hideMark/>
          </w:tcPr>
          <w:p w14:paraId="05F215C2" w14:textId="77777777" w:rsidR="00A41E60" w:rsidRPr="00D85E09" w:rsidRDefault="00A41E60" w:rsidP="0043316B">
            <w:pPr>
              <w:pStyle w:val="Tabletext"/>
              <w:keepNext w:val="0"/>
              <w:widowControl w:val="0"/>
            </w:pPr>
            <w:r w:rsidRPr="00D85E09">
              <w:t xml:space="preserve">EXTEND-IA (Campbell et al 2015) </w:t>
            </w:r>
          </w:p>
        </w:tc>
        <w:tc>
          <w:tcPr>
            <w:tcW w:w="1882" w:type="pct"/>
            <w:tcBorders>
              <w:top w:val="single" w:sz="4" w:space="0" w:color="000000"/>
              <w:left w:val="single" w:sz="4" w:space="0" w:color="000000"/>
              <w:bottom w:val="single" w:sz="4" w:space="0" w:color="000000"/>
              <w:right w:val="single" w:sz="4" w:space="0" w:color="000000"/>
            </w:tcBorders>
            <w:hideMark/>
          </w:tcPr>
          <w:p w14:paraId="33396574" w14:textId="77777777" w:rsidR="00A41E60" w:rsidRPr="00D85E09" w:rsidRDefault="00A41E60" w:rsidP="0043316B">
            <w:pPr>
              <w:pStyle w:val="Tabletext"/>
              <w:keepNext w:val="0"/>
              <w:widowControl w:val="0"/>
            </w:pPr>
            <w:r w:rsidRPr="00D85E09">
              <w:t>Median time from groin puncture to mTICI 2b or 3 or completion of procedure = 43 mins (IQR: 24-53)</w:t>
            </w:r>
          </w:p>
        </w:tc>
        <w:tc>
          <w:tcPr>
            <w:tcW w:w="1298" w:type="pct"/>
            <w:tcBorders>
              <w:top w:val="single" w:sz="4" w:space="0" w:color="000000"/>
              <w:left w:val="single" w:sz="4" w:space="0" w:color="000000"/>
              <w:bottom w:val="single" w:sz="4" w:space="0" w:color="000000"/>
              <w:right w:val="single" w:sz="4" w:space="0" w:color="000000"/>
            </w:tcBorders>
            <w:hideMark/>
          </w:tcPr>
          <w:p w14:paraId="3BF5F2E6" w14:textId="77777777" w:rsidR="00A41E60" w:rsidRPr="00D85E09" w:rsidRDefault="00A41E60" w:rsidP="0043316B">
            <w:pPr>
              <w:pStyle w:val="Tabletext"/>
              <w:keepNext w:val="0"/>
              <w:widowControl w:val="0"/>
            </w:pPr>
            <w:r w:rsidRPr="00D85E09">
              <w:t>36%</w:t>
            </w:r>
          </w:p>
        </w:tc>
        <w:tc>
          <w:tcPr>
            <w:tcW w:w="965" w:type="pct"/>
            <w:tcBorders>
              <w:top w:val="single" w:sz="4" w:space="0" w:color="000000"/>
              <w:left w:val="single" w:sz="4" w:space="0" w:color="000000"/>
              <w:bottom w:val="single" w:sz="4" w:space="0" w:color="000000"/>
              <w:right w:val="single" w:sz="4" w:space="0" w:color="000000"/>
            </w:tcBorders>
            <w:hideMark/>
          </w:tcPr>
          <w:p w14:paraId="657440A3" w14:textId="77777777" w:rsidR="00A41E60" w:rsidRPr="00D85E09" w:rsidRDefault="00A41E60" w:rsidP="0043316B">
            <w:pPr>
              <w:pStyle w:val="Tabletext"/>
              <w:keepNext w:val="0"/>
              <w:widowControl w:val="0"/>
            </w:pPr>
            <w:r w:rsidRPr="00D85E09">
              <w:t xml:space="preserve">Reported time not fully reflective of time to completion. </w:t>
            </w:r>
          </w:p>
        </w:tc>
      </w:tr>
      <w:tr w:rsidR="00A41E60" w:rsidRPr="00D85E09" w14:paraId="03946FED" w14:textId="77777777" w:rsidTr="00A41E60">
        <w:tc>
          <w:tcPr>
            <w:tcW w:w="855" w:type="pct"/>
            <w:tcBorders>
              <w:top w:val="single" w:sz="4" w:space="0" w:color="000000"/>
              <w:left w:val="single" w:sz="4" w:space="0" w:color="000000"/>
              <w:bottom w:val="single" w:sz="4" w:space="0" w:color="000000"/>
              <w:right w:val="single" w:sz="4" w:space="0" w:color="000000"/>
            </w:tcBorders>
            <w:hideMark/>
          </w:tcPr>
          <w:p w14:paraId="3E8CB485" w14:textId="77777777" w:rsidR="00A41E60" w:rsidRPr="00D85E09" w:rsidRDefault="00A41E60" w:rsidP="0043316B">
            <w:pPr>
              <w:pStyle w:val="Tabletext"/>
              <w:keepNext w:val="0"/>
              <w:widowControl w:val="0"/>
            </w:pPr>
            <w:r w:rsidRPr="00D85E09">
              <w:t>MR CLEAN (Berkhemer et al 2015)</w:t>
            </w:r>
          </w:p>
        </w:tc>
        <w:tc>
          <w:tcPr>
            <w:tcW w:w="1882" w:type="pct"/>
            <w:tcBorders>
              <w:top w:val="single" w:sz="4" w:space="0" w:color="000000"/>
              <w:left w:val="single" w:sz="4" w:space="0" w:color="000000"/>
              <w:bottom w:val="single" w:sz="4" w:space="0" w:color="000000"/>
              <w:right w:val="single" w:sz="4" w:space="0" w:color="000000"/>
            </w:tcBorders>
            <w:hideMark/>
          </w:tcPr>
          <w:p w14:paraId="36F63AC4" w14:textId="77777777" w:rsidR="00A41E60" w:rsidRPr="00D85E09" w:rsidRDefault="00A41E60" w:rsidP="0043316B">
            <w:pPr>
              <w:pStyle w:val="Tabletext"/>
              <w:keepNext w:val="0"/>
              <w:widowControl w:val="0"/>
            </w:pPr>
            <w:r w:rsidRPr="00D85E09">
              <w:t>NR</w:t>
            </w:r>
          </w:p>
        </w:tc>
        <w:tc>
          <w:tcPr>
            <w:tcW w:w="1298" w:type="pct"/>
            <w:tcBorders>
              <w:top w:val="single" w:sz="4" w:space="0" w:color="000000"/>
              <w:left w:val="single" w:sz="4" w:space="0" w:color="000000"/>
              <w:bottom w:val="single" w:sz="4" w:space="0" w:color="000000"/>
              <w:right w:val="single" w:sz="4" w:space="0" w:color="000000"/>
            </w:tcBorders>
            <w:hideMark/>
          </w:tcPr>
          <w:p w14:paraId="1F3952FD" w14:textId="77777777" w:rsidR="00A41E60" w:rsidRPr="00D85E09" w:rsidRDefault="00A41E60" w:rsidP="0043316B">
            <w:pPr>
              <w:pStyle w:val="Tabletext"/>
              <w:keepNext w:val="0"/>
              <w:widowControl w:val="0"/>
            </w:pPr>
            <w:r w:rsidRPr="00D85E09">
              <w:t>38%.</w:t>
            </w:r>
          </w:p>
        </w:tc>
        <w:tc>
          <w:tcPr>
            <w:tcW w:w="965" w:type="pct"/>
            <w:tcBorders>
              <w:top w:val="single" w:sz="4" w:space="0" w:color="000000"/>
              <w:left w:val="single" w:sz="4" w:space="0" w:color="000000"/>
              <w:bottom w:val="single" w:sz="4" w:space="0" w:color="000000"/>
              <w:right w:val="single" w:sz="4" w:space="0" w:color="000000"/>
            </w:tcBorders>
            <w:hideMark/>
          </w:tcPr>
          <w:p w14:paraId="753168F5" w14:textId="77777777" w:rsidR="00A41E60" w:rsidRPr="00D85E09" w:rsidRDefault="00A41E60" w:rsidP="0043316B">
            <w:pPr>
              <w:pStyle w:val="Tabletext"/>
              <w:keepNext w:val="0"/>
              <w:widowControl w:val="0"/>
            </w:pPr>
            <w:r w:rsidRPr="00D85E09">
              <w:t xml:space="preserve">No information provided regarding procedural time. </w:t>
            </w:r>
          </w:p>
        </w:tc>
      </w:tr>
      <w:tr w:rsidR="00A41E60" w:rsidRPr="00D85E09" w14:paraId="39AD483A" w14:textId="77777777" w:rsidTr="00A41E60">
        <w:tc>
          <w:tcPr>
            <w:tcW w:w="855" w:type="pct"/>
            <w:tcBorders>
              <w:top w:val="single" w:sz="4" w:space="0" w:color="000000"/>
              <w:left w:val="single" w:sz="4" w:space="0" w:color="000000"/>
              <w:bottom w:val="single" w:sz="4" w:space="0" w:color="000000"/>
              <w:right w:val="single" w:sz="4" w:space="0" w:color="000000"/>
            </w:tcBorders>
            <w:hideMark/>
          </w:tcPr>
          <w:p w14:paraId="70968061" w14:textId="77777777" w:rsidR="00A41E60" w:rsidRPr="00D85E09" w:rsidRDefault="00A41E60" w:rsidP="0043316B">
            <w:pPr>
              <w:pStyle w:val="Tabletext"/>
              <w:keepNext w:val="0"/>
              <w:widowControl w:val="0"/>
            </w:pPr>
            <w:r w:rsidRPr="00D85E09">
              <w:t>REVASCAT (Jovin et al 2015)</w:t>
            </w:r>
          </w:p>
        </w:tc>
        <w:tc>
          <w:tcPr>
            <w:tcW w:w="1882" w:type="pct"/>
            <w:tcBorders>
              <w:top w:val="single" w:sz="4" w:space="0" w:color="000000"/>
              <w:left w:val="single" w:sz="4" w:space="0" w:color="000000"/>
              <w:bottom w:val="single" w:sz="4" w:space="0" w:color="000000"/>
              <w:right w:val="single" w:sz="4" w:space="0" w:color="000000"/>
            </w:tcBorders>
            <w:hideMark/>
          </w:tcPr>
          <w:p w14:paraId="58C80CA9" w14:textId="77777777" w:rsidR="00A41E60" w:rsidRPr="00D85E09" w:rsidRDefault="00A41E60" w:rsidP="0043316B">
            <w:pPr>
              <w:pStyle w:val="Tabletext"/>
              <w:keepNext w:val="0"/>
              <w:widowControl w:val="0"/>
            </w:pPr>
            <w:r w:rsidRPr="00D85E09">
              <w:t>Time from groin puncture to revascularisation = 59 mins (IQR: 36-95)</w:t>
            </w:r>
          </w:p>
          <w:p w14:paraId="0D9AA051" w14:textId="77777777" w:rsidR="00A41E60" w:rsidRPr="00D85E09" w:rsidRDefault="00A41E60" w:rsidP="0043316B">
            <w:pPr>
              <w:pStyle w:val="Tabletext"/>
              <w:keepNext w:val="0"/>
              <w:widowControl w:val="0"/>
            </w:pPr>
            <w:r w:rsidRPr="00D85E09">
              <w:t>Time from groin puncture to end of the procedure = 75 mins (IQR: 50-114)</w:t>
            </w:r>
          </w:p>
        </w:tc>
        <w:tc>
          <w:tcPr>
            <w:tcW w:w="1298" w:type="pct"/>
            <w:tcBorders>
              <w:top w:val="single" w:sz="4" w:space="0" w:color="000000"/>
              <w:left w:val="single" w:sz="4" w:space="0" w:color="000000"/>
              <w:bottom w:val="single" w:sz="4" w:space="0" w:color="000000"/>
              <w:right w:val="single" w:sz="4" w:space="0" w:color="000000"/>
            </w:tcBorders>
            <w:hideMark/>
          </w:tcPr>
          <w:p w14:paraId="0004ECA4" w14:textId="77777777" w:rsidR="00A41E60" w:rsidRPr="00D85E09" w:rsidRDefault="00A41E60" w:rsidP="0043316B">
            <w:pPr>
              <w:pStyle w:val="Tabletext"/>
              <w:keepNext w:val="0"/>
              <w:widowControl w:val="0"/>
            </w:pPr>
            <w:r w:rsidRPr="00D85E09">
              <w:t>6.7%</w:t>
            </w:r>
          </w:p>
        </w:tc>
        <w:tc>
          <w:tcPr>
            <w:tcW w:w="965" w:type="pct"/>
            <w:tcBorders>
              <w:top w:val="single" w:sz="4" w:space="0" w:color="000000"/>
              <w:left w:val="single" w:sz="4" w:space="0" w:color="000000"/>
              <w:bottom w:val="single" w:sz="4" w:space="0" w:color="000000"/>
              <w:right w:val="single" w:sz="4" w:space="0" w:color="000000"/>
            </w:tcBorders>
            <w:hideMark/>
          </w:tcPr>
          <w:p w14:paraId="57F6FF4E" w14:textId="77777777" w:rsidR="00A41E60" w:rsidRPr="00D85E09" w:rsidRDefault="00A41E60" w:rsidP="0043316B">
            <w:pPr>
              <w:pStyle w:val="Tabletext"/>
              <w:keepNext w:val="0"/>
              <w:widowControl w:val="0"/>
            </w:pPr>
            <w:r w:rsidRPr="00D85E09">
              <w:t xml:space="preserve">75 mins from groin puncture to completion. </w:t>
            </w:r>
          </w:p>
        </w:tc>
      </w:tr>
      <w:tr w:rsidR="00A41E60" w:rsidRPr="00D85E09" w14:paraId="73E1D03A" w14:textId="77777777" w:rsidTr="00A41E60">
        <w:tc>
          <w:tcPr>
            <w:tcW w:w="855" w:type="pct"/>
            <w:tcBorders>
              <w:top w:val="single" w:sz="4" w:space="0" w:color="000000"/>
              <w:left w:val="single" w:sz="4" w:space="0" w:color="000000"/>
              <w:bottom w:val="single" w:sz="4" w:space="0" w:color="000000"/>
              <w:right w:val="single" w:sz="4" w:space="0" w:color="000000"/>
            </w:tcBorders>
            <w:hideMark/>
          </w:tcPr>
          <w:p w14:paraId="47B8A832" w14:textId="77777777" w:rsidR="00A41E60" w:rsidRPr="00D85E09" w:rsidRDefault="00A41E60" w:rsidP="0043316B">
            <w:pPr>
              <w:pStyle w:val="Tabletext"/>
              <w:keepNext w:val="0"/>
              <w:widowControl w:val="0"/>
            </w:pPr>
            <w:r w:rsidRPr="00D85E09">
              <w:t>SWIFT PRIME (Saver et al 2015)</w:t>
            </w:r>
          </w:p>
        </w:tc>
        <w:tc>
          <w:tcPr>
            <w:tcW w:w="1882" w:type="pct"/>
            <w:tcBorders>
              <w:top w:val="single" w:sz="4" w:space="0" w:color="000000"/>
              <w:left w:val="single" w:sz="4" w:space="0" w:color="000000"/>
              <w:bottom w:val="single" w:sz="4" w:space="0" w:color="000000"/>
              <w:right w:val="single" w:sz="4" w:space="0" w:color="000000"/>
            </w:tcBorders>
            <w:hideMark/>
          </w:tcPr>
          <w:p w14:paraId="121958D0" w14:textId="2A52CE9C" w:rsidR="00A41E60" w:rsidRPr="00D85E09" w:rsidRDefault="00A41E60" w:rsidP="0043316B">
            <w:pPr>
              <w:pStyle w:val="Tabletext"/>
              <w:keepNext w:val="0"/>
              <w:widowControl w:val="0"/>
            </w:pPr>
            <w:r w:rsidRPr="00D85E09">
              <w:t>Groin puncture to first deployment of the stent retriever = 24 mins (IQR: 18-33</w:t>
            </w:r>
            <w:r w:rsidR="00AB4BBF" w:rsidRPr="00D85E09">
              <w:t>)</w:t>
            </w:r>
          </w:p>
        </w:tc>
        <w:tc>
          <w:tcPr>
            <w:tcW w:w="1298" w:type="pct"/>
            <w:tcBorders>
              <w:top w:val="single" w:sz="4" w:space="0" w:color="000000"/>
              <w:left w:val="single" w:sz="4" w:space="0" w:color="000000"/>
              <w:bottom w:val="single" w:sz="4" w:space="0" w:color="000000"/>
              <w:right w:val="single" w:sz="4" w:space="0" w:color="000000"/>
            </w:tcBorders>
            <w:hideMark/>
          </w:tcPr>
          <w:p w14:paraId="7170E473" w14:textId="77777777" w:rsidR="00A41E60" w:rsidRPr="00D85E09" w:rsidRDefault="00A41E60" w:rsidP="0043316B">
            <w:pPr>
              <w:pStyle w:val="Tabletext"/>
              <w:keepNext w:val="0"/>
              <w:widowControl w:val="0"/>
            </w:pPr>
            <w:r w:rsidRPr="00D85E09">
              <w:t>37%</w:t>
            </w:r>
          </w:p>
        </w:tc>
        <w:tc>
          <w:tcPr>
            <w:tcW w:w="965" w:type="pct"/>
            <w:tcBorders>
              <w:top w:val="single" w:sz="4" w:space="0" w:color="000000"/>
              <w:left w:val="single" w:sz="4" w:space="0" w:color="000000"/>
              <w:bottom w:val="single" w:sz="4" w:space="0" w:color="000000"/>
              <w:right w:val="single" w:sz="4" w:space="0" w:color="000000"/>
            </w:tcBorders>
            <w:hideMark/>
          </w:tcPr>
          <w:p w14:paraId="12F8F529" w14:textId="77777777" w:rsidR="00A41E60" w:rsidRPr="00D85E09" w:rsidRDefault="00A41E60" w:rsidP="0043316B">
            <w:pPr>
              <w:pStyle w:val="Tabletext"/>
              <w:keepNext w:val="0"/>
              <w:widowControl w:val="0"/>
            </w:pPr>
            <w:r w:rsidRPr="00D85E09">
              <w:t>Time from groin puncture to retriever deployment (not to revascularisation or completion).</w:t>
            </w:r>
          </w:p>
        </w:tc>
      </w:tr>
    </w:tbl>
    <w:p w14:paraId="38FE32F6" w14:textId="0CE19037" w:rsidR="00A41E60" w:rsidRPr="00D85E09" w:rsidRDefault="00A41E60" w:rsidP="0043316B">
      <w:pPr>
        <w:pStyle w:val="Tablefooter"/>
        <w:widowControl w:val="0"/>
      </w:pPr>
      <w:r w:rsidRPr="00D85E09">
        <w:t>Abbreviations: CT, computed tomography; IQR, Interquartile range; NR, not reported. mTICI, modified Treatment in Cerebral Isch</w:t>
      </w:r>
      <w:r w:rsidR="00E56287" w:rsidRPr="00D85E09">
        <w:t>aemia</w:t>
      </w:r>
      <w:r w:rsidRPr="00D85E09">
        <w:t xml:space="preserve"> classification</w:t>
      </w:r>
    </w:p>
    <w:p w14:paraId="165779B9" w14:textId="7F82BEE4" w:rsidR="00A41E60" w:rsidRPr="00D85E09" w:rsidRDefault="00A41E60" w:rsidP="0043316B">
      <w:pPr>
        <w:widowControl w:val="0"/>
      </w:pPr>
      <w:r w:rsidRPr="00D85E09">
        <w:rPr>
          <w:i/>
        </w:rPr>
        <w:lastRenderedPageBreak/>
        <w:t xml:space="preserve">In total, each procedure is estimated to cost $18,308.49 per procedure. This estimate is applied in the Section D model. </w:t>
      </w:r>
      <w:r w:rsidRPr="00D85E09">
        <w:t>the total “staff” cost (i.e., excluding device/consumable costs, theatre cost, patient transfer) is estimated to be $3,965.09 or $5,384.49 with / without the cost of post-operative imaging tests (performed by a radiographer), respectively. The Applicant acknowledges that some uncertainties remain with the employed cost inputs. For example, the time of nursing stuff is costed to reflect the current remuneration for public hospital nurses, which may not be applicable to private centres. A series of sensitivity analyses will be performed in Section D.</w:t>
      </w:r>
      <w:r w:rsidR="00166C2D" w:rsidRPr="00D85E09">
        <w:t>5.3</w:t>
      </w:r>
      <w:r w:rsidRPr="00D85E09">
        <w:t>.</w:t>
      </w:r>
    </w:p>
    <w:p w14:paraId="34E55B3D" w14:textId="77777777" w:rsidR="00A41E60" w:rsidRPr="00D85E09" w:rsidRDefault="00A41E60" w:rsidP="0043316B">
      <w:pPr>
        <w:pStyle w:val="Heading5"/>
        <w:widowControl w:val="0"/>
        <w:rPr>
          <w:lang w:val="en-AU"/>
        </w:rPr>
      </w:pPr>
      <w:r w:rsidRPr="00D85E09">
        <w:rPr>
          <w:lang w:val="en-AU"/>
        </w:rPr>
        <w:t>Costs of stroke care by mRS – acute and mid-term costs</w:t>
      </w:r>
    </w:p>
    <w:p w14:paraId="5DEA135E" w14:textId="67E224C7" w:rsidR="00A41E60" w:rsidRPr="00D85E09" w:rsidRDefault="00A41E60" w:rsidP="0043316B">
      <w:pPr>
        <w:widowControl w:val="0"/>
      </w:pPr>
      <w:r w:rsidRPr="00D85E09">
        <w:fldChar w:fldCharType="begin"/>
      </w:r>
      <w:r w:rsidRPr="00D85E09">
        <w:instrText xml:space="preserve"> REF _Ref447120163 \h  \* MERGEFORMAT </w:instrText>
      </w:r>
      <w:r w:rsidRPr="00D85E09">
        <w:fldChar w:fldCharType="separate"/>
      </w:r>
      <w:r w:rsidR="00A456ED" w:rsidRPr="00D85E09">
        <w:t xml:space="preserve">Table </w:t>
      </w:r>
      <w:r w:rsidR="00A456ED">
        <w:t>59</w:t>
      </w:r>
      <w:r w:rsidRPr="00D85E09">
        <w:fldChar w:fldCharType="end"/>
      </w:r>
      <w:r w:rsidRPr="00D85E09">
        <w:t xml:space="preserve"> below summarises inpatient and out</w:t>
      </w:r>
      <w:r w:rsidR="00582C35" w:rsidRPr="00D85E09">
        <w:t>-</w:t>
      </w:r>
      <w:r w:rsidRPr="00D85E09">
        <w:t>of</w:t>
      </w:r>
      <w:r w:rsidR="00582C35" w:rsidRPr="00D85E09">
        <w:t>-</w:t>
      </w:r>
      <w:r w:rsidRPr="00D85E09">
        <w:t>hospital cost estimates by mRS (at 90 days), as reported in Tanny et al (2013). The reported values are updated to 2016 values.</w:t>
      </w:r>
    </w:p>
    <w:p w14:paraId="77F5DFAD" w14:textId="07232E3D" w:rsidR="00A41E60" w:rsidRPr="00D85E09" w:rsidRDefault="00A41E60" w:rsidP="0043316B">
      <w:pPr>
        <w:widowControl w:val="0"/>
      </w:pPr>
      <w:r w:rsidRPr="00D85E09">
        <w:t>As set out above, the estimated acute costs are inclusive of IV</w:t>
      </w:r>
      <w:r w:rsidR="00D32933" w:rsidRPr="00D85E09">
        <w:t>-</w:t>
      </w:r>
      <w:r w:rsidRPr="00D85E09">
        <w:t>tPA costs. This was reported to be $3465 in Tanny et al (2013). Patients eligible for mechanical thrombectomy include those eligible and ineligible for IV</w:t>
      </w:r>
      <w:r w:rsidR="00D32933" w:rsidRPr="00D85E09">
        <w:t>-</w:t>
      </w:r>
      <w:r w:rsidRPr="00D85E09">
        <w:t>tPA (see Section A etc.) (see Section A). It is assumed that for those IV</w:t>
      </w:r>
      <w:r w:rsidR="00D32933" w:rsidRPr="00D85E09">
        <w:t>-</w:t>
      </w:r>
      <w:r w:rsidRPr="00D85E09">
        <w:t>tPA ineligible patients their treatment costs are represented by the reported total costs minus the IV</w:t>
      </w:r>
      <w:r w:rsidR="00D32933" w:rsidRPr="00D85E09">
        <w:t>-</w:t>
      </w:r>
      <w:r w:rsidRPr="00D85E09">
        <w:t xml:space="preserve">tPA cost, as shown in </w:t>
      </w:r>
      <w:r w:rsidRPr="00D85E09">
        <w:fldChar w:fldCharType="begin"/>
      </w:r>
      <w:r w:rsidRPr="00D85E09">
        <w:instrText xml:space="preserve"> REF _Ref447120163 \h  \* MERGEFORMAT </w:instrText>
      </w:r>
      <w:r w:rsidRPr="00D85E09">
        <w:fldChar w:fldCharType="separate"/>
      </w:r>
      <w:r w:rsidR="00A456ED" w:rsidRPr="00D85E09">
        <w:t xml:space="preserve">Table </w:t>
      </w:r>
      <w:r w:rsidR="00A456ED">
        <w:t>59</w:t>
      </w:r>
      <w:r w:rsidRPr="00D85E09">
        <w:fldChar w:fldCharType="end"/>
      </w:r>
      <w:r w:rsidRPr="00D85E09">
        <w:t xml:space="preserve"> below. </w:t>
      </w:r>
      <w:r w:rsidRPr="00D85E09">
        <w:rPr>
          <w:i/>
        </w:rPr>
        <w:t>This is a conservative approach given that they would in practice receive alternatives (but less effective) to IV</w:t>
      </w:r>
      <w:r w:rsidR="00D32933" w:rsidRPr="00D85E09">
        <w:rPr>
          <w:i/>
        </w:rPr>
        <w:t>-</w:t>
      </w:r>
      <w:r w:rsidRPr="00D85E09">
        <w:rPr>
          <w:i/>
        </w:rPr>
        <w:t>tPA. The current approach would omit costs of these treatments.</w:t>
      </w:r>
    </w:p>
    <w:p w14:paraId="2E92EA95" w14:textId="4FE50459" w:rsidR="00C13682" w:rsidRDefault="00A41E60" w:rsidP="0043316B">
      <w:pPr>
        <w:widowControl w:val="0"/>
      </w:pPr>
      <w:r w:rsidRPr="00D85E09">
        <w:t>It is shown that while inpatient costs are relatively stable across different mRSs, considerable cost differences can be observed after discharge, e.g., $9,795 for mRS 1 vs $22,549 for mRS 5. This is expected considering the extent and types of care required by patients experiencing severely compromised functional ability following stroke during the first 12 months (e.g., rehabilitation, assisted living, allied healthcare, nursing etc).</w:t>
      </w:r>
      <w:r w:rsidR="00C13682">
        <w:br w:type="page"/>
      </w:r>
    </w:p>
    <w:p w14:paraId="553E1DFC" w14:textId="5F5AFAA6" w:rsidR="00A41E60" w:rsidRPr="00D85E09" w:rsidRDefault="00A41E60" w:rsidP="0043316B">
      <w:pPr>
        <w:pStyle w:val="Caption"/>
        <w:keepNext w:val="0"/>
        <w:widowControl w:val="0"/>
        <w:rPr>
          <w:lang w:val="en-AU"/>
        </w:rPr>
      </w:pPr>
      <w:bookmarkStart w:id="427" w:name="_Ref447120163"/>
      <w:bookmarkStart w:id="428" w:name="_Toc453065395"/>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59</w:t>
      </w:r>
      <w:r w:rsidRPr="00D85E09">
        <w:rPr>
          <w:lang w:val="en-AU"/>
        </w:rPr>
        <w:fldChar w:fldCharType="end"/>
      </w:r>
      <w:bookmarkEnd w:id="427"/>
      <w:r w:rsidRPr="00D85E09">
        <w:rPr>
          <w:lang w:val="en-AU"/>
        </w:rPr>
        <w:tab/>
        <w:t>Inpatient and out</w:t>
      </w:r>
      <w:r w:rsidR="00582C35" w:rsidRPr="00D85E09">
        <w:rPr>
          <w:lang w:val="en-AU"/>
        </w:rPr>
        <w:t>-</w:t>
      </w:r>
      <w:r w:rsidRPr="00D85E09">
        <w:rPr>
          <w:lang w:val="en-AU"/>
        </w:rPr>
        <w:t>of</w:t>
      </w:r>
      <w:r w:rsidR="00582C35" w:rsidRPr="00D85E09">
        <w:rPr>
          <w:lang w:val="en-AU"/>
        </w:rPr>
        <w:t>-</w:t>
      </w:r>
      <w:r w:rsidRPr="00D85E09">
        <w:rPr>
          <w:lang w:val="en-AU"/>
        </w:rPr>
        <w:t>hospital cost of ischaemic stroke by mRS (to 12 months)</w:t>
      </w:r>
      <w:bookmarkEnd w:id="428"/>
    </w:p>
    <w:tbl>
      <w:tblPr>
        <w:tblStyle w:val="TableGrid"/>
        <w:tblW w:w="5000" w:type="pct"/>
        <w:tblLook w:val="04A0" w:firstRow="1" w:lastRow="0" w:firstColumn="1" w:lastColumn="0" w:noHBand="0" w:noVBand="1"/>
        <w:tblDescription w:val="Table 59. Inpatient and out-of-hospital cost of ischaemic stroke by mRS (to 12 months)"/>
      </w:tblPr>
      <w:tblGrid>
        <w:gridCol w:w="1966"/>
        <w:gridCol w:w="1408"/>
        <w:gridCol w:w="1408"/>
        <w:gridCol w:w="1406"/>
        <w:gridCol w:w="1408"/>
        <w:gridCol w:w="1408"/>
      </w:tblGrid>
      <w:tr w:rsidR="00A41E60" w:rsidRPr="00D85E09" w14:paraId="419C579C" w14:textId="77777777" w:rsidTr="00BE6331">
        <w:trPr>
          <w:tblHeader/>
        </w:trPr>
        <w:tc>
          <w:tcPr>
            <w:tcW w:w="1091" w:type="pct"/>
            <w:vMerge w:val="restart"/>
            <w:tcBorders>
              <w:top w:val="single" w:sz="4" w:space="0" w:color="000000"/>
              <w:left w:val="single" w:sz="4" w:space="0" w:color="000000"/>
              <w:bottom w:val="single" w:sz="4" w:space="0" w:color="000000"/>
              <w:right w:val="single" w:sz="4" w:space="0" w:color="000000"/>
            </w:tcBorders>
            <w:hideMark/>
          </w:tcPr>
          <w:p w14:paraId="4B112DCE" w14:textId="77777777" w:rsidR="00A41E60" w:rsidRPr="00D85E09" w:rsidRDefault="00A41E60" w:rsidP="0043316B">
            <w:pPr>
              <w:pStyle w:val="Tabletext"/>
              <w:keepNext w:val="0"/>
              <w:widowControl w:val="0"/>
              <w:rPr>
                <w:b/>
              </w:rPr>
            </w:pPr>
            <w:r w:rsidRPr="00D85E09">
              <w:rPr>
                <w:b/>
              </w:rPr>
              <w:t>Modified Rankin Scale (taken as at 90 days in the Tanny model)</w:t>
            </w:r>
          </w:p>
        </w:tc>
        <w:tc>
          <w:tcPr>
            <w:tcW w:w="1564" w:type="pct"/>
            <w:gridSpan w:val="2"/>
            <w:tcBorders>
              <w:top w:val="single" w:sz="4" w:space="0" w:color="000000"/>
              <w:left w:val="single" w:sz="4" w:space="0" w:color="000000"/>
              <w:bottom w:val="single" w:sz="4" w:space="0" w:color="000000"/>
              <w:right w:val="single" w:sz="4" w:space="0" w:color="000000"/>
            </w:tcBorders>
            <w:hideMark/>
          </w:tcPr>
          <w:p w14:paraId="6D1708D5" w14:textId="77777777" w:rsidR="00A41E60" w:rsidRPr="00D85E09" w:rsidRDefault="00A41E60" w:rsidP="0043316B">
            <w:pPr>
              <w:pStyle w:val="Tabletext"/>
              <w:keepNext w:val="0"/>
              <w:widowControl w:val="0"/>
              <w:jc w:val="center"/>
              <w:rPr>
                <w:b/>
              </w:rPr>
            </w:pPr>
            <w:r w:rsidRPr="00D85E09">
              <w:rPr>
                <w:b/>
              </w:rPr>
              <w:t>Applied in Tanny et al 2013</w:t>
            </w:r>
          </w:p>
        </w:tc>
        <w:tc>
          <w:tcPr>
            <w:tcW w:w="2346" w:type="pct"/>
            <w:gridSpan w:val="3"/>
            <w:tcBorders>
              <w:top w:val="single" w:sz="4" w:space="0" w:color="000000"/>
              <w:left w:val="single" w:sz="4" w:space="0" w:color="000000"/>
              <w:bottom w:val="single" w:sz="4" w:space="0" w:color="000000"/>
              <w:right w:val="single" w:sz="4" w:space="0" w:color="000000"/>
            </w:tcBorders>
            <w:hideMark/>
          </w:tcPr>
          <w:p w14:paraId="27BABAC8" w14:textId="77777777" w:rsidR="00A41E60" w:rsidRPr="00D85E09" w:rsidRDefault="00A41E60" w:rsidP="0043316B">
            <w:pPr>
              <w:pStyle w:val="Tabletext"/>
              <w:keepNext w:val="0"/>
              <w:widowControl w:val="0"/>
              <w:jc w:val="center"/>
              <w:rPr>
                <w:b/>
              </w:rPr>
            </w:pPr>
            <w:r w:rsidRPr="00D85E09">
              <w:rPr>
                <w:b/>
              </w:rPr>
              <w:t>Updated to 2016 values</w:t>
            </w:r>
            <w:r w:rsidRPr="00D85E09">
              <w:rPr>
                <w:b/>
                <w:vertAlign w:val="superscript"/>
              </w:rPr>
              <w:t>1</w:t>
            </w:r>
          </w:p>
        </w:tc>
      </w:tr>
      <w:tr w:rsidR="00A41E60" w:rsidRPr="00D85E09" w14:paraId="26BF6E0D" w14:textId="77777777" w:rsidTr="00BE6331">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9C40E"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782" w:type="pct"/>
            <w:tcBorders>
              <w:top w:val="single" w:sz="4" w:space="0" w:color="000000"/>
              <w:left w:val="single" w:sz="4" w:space="0" w:color="000000"/>
              <w:bottom w:val="single" w:sz="4" w:space="0" w:color="000000"/>
              <w:right w:val="single" w:sz="4" w:space="0" w:color="000000"/>
            </w:tcBorders>
            <w:hideMark/>
          </w:tcPr>
          <w:p w14:paraId="2E431265" w14:textId="65BC2EBE" w:rsidR="00A41E60" w:rsidRPr="00D85E09" w:rsidRDefault="00A41E60" w:rsidP="0043316B">
            <w:pPr>
              <w:pStyle w:val="Tabletext"/>
              <w:keepNext w:val="0"/>
              <w:widowControl w:val="0"/>
              <w:jc w:val="center"/>
            </w:pPr>
            <w:r w:rsidRPr="00D85E09">
              <w:t>Inpatient cost (median; including $3465 for IV</w:t>
            </w:r>
            <w:r w:rsidR="00D32933" w:rsidRPr="00D85E09">
              <w:t>-</w:t>
            </w:r>
            <w:r w:rsidRPr="00D85E09">
              <w:t>tPA)</w:t>
            </w:r>
          </w:p>
        </w:tc>
        <w:tc>
          <w:tcPr>
            <w:tcW w:w="782" w:type="pct"/>
            <w:tcBorders>
              <w:top w:val="single" w:sz="4" w:space="0" w:color="000000"/>
              <w:left w:val="single" w:sz="4" w:space="0" w:color="000000"/>
              <w:bottom w:val="single" w:sz="4" w:space="0" w:color="000000"/>
              <w:right w:val="single" w:sz="4" w:space="0" w:color="000000"/>
            </w:tcBorders>
            <w:hideMark/>
          </w:tcPr>
          <w:p w14:paraId="5E258734" w14:textId="74E935C7" w:rsidR="00A41E60" w:rsidRPr="00D85E09" w:rsidRDefault="00A41E60" w:rsidP="0043316B">
            <w:pPr>
              <w:pStyle w:val="Tabletext"/>
              <w:keepNext w:val="0"/>
              <w:widowControl w:val="0"/>
              <w:jc w:val="center"/>
            </w:pPr>
            <w:r w:rsidRPr="00D85E09">
              <w:t>Out</w:t>
            </w:r>
            <w:r w:rsidR="00582C35" w:rsidRPr="00D85E09">
              <w:t>-</w:t>
            </w:r>
            <w:r w:rsidRPr="00D85E09">
              <w:t>of</w:t>
            </w:r>
            <w:r w:rsidR="00582C35" w:rsidRPr="00D85E09">
              <w:t>-</w:t>
            </w:r>
            <w:r w:rsidRPr="00D85E09">
              <w:t>hospital cost (to 12 months; median)</w:t>
            </w:r>
          </w:p>
        </w:tc>
        <w:tc>
          <w:tcPr>
            <w:tcW w:w="781" w:type="pct"/>
            <w:tcBorders>
              <w:top w:val="single" w:sz="4" w:space="0" w:color="000000"/>
              <w:left w:val="single" w:sz="4" w:space="0" w:color="000000"/>
              <w:bottom w:val="single" w:sz="4" w:space="0" w:color="000000"/>
              <w:right w:val="single" w:sz="4" w:space="0" w:color="000000"/>
            </w:tcBorders>
            <w:hideMark/>
          </w:tcPr>
          <w:p w14:paraId="60C0BFEA" w14:textId="07DA02A1" w:rsidR="00A41E60" w:rsidRPr="00D85E09" w:rsidRDefault="00A41E60" w:rsidP="0043316B">
            <w:pPr>
              <w:pStyle w:val="Tabletext"/>
              <w:keepNext w:val="0"/>
              <w:widowControl w:val="0"/>
              <w:jc w:val="center"/>
            </w:pPr>
            <w:r w:rsidRPr="00D85E09">
              <w:t>Inpatient cost (without IV</w:t>
            </w:r>
            <w:r w:rsidR="00D32933" w:rsidRPr="00D85E09">
              <w:t>-</w:t>
            </w:r>
            <w:r w:rsidRPr="00D85E09">
              <w:t>tPA cost)</w:t>
            </w:r>
          </w:p>
        </w:tc>
        <w:tc>
          <w:tcPr>
            <w:tcW w:w="782" w:type="pct"/>
            <w:tcBorders>
              <w:top w:val="single" w:sz="4" w:space="0" w:color="000000"/>
              <w:left w:val="single" w:sz="4" w:space="0" w:color="000000"/>
              <w:bottom w:val="single" w:sz="4" w:space="0" w:color="000000"/>
              <w:right w:val="single" w:sz="4" w:space="0" w:color="000000"/>
            </w:tcBorders>
            <w:hideMark/>
          </w:tcPr>
          <w:p w14:paraId="5D8F4EAB" w14:textId="0A7A4D4E" w:rsidR="00A41E60" w:rsidRPr="00D85E09" w:rsidRDefault="00A41E60" w:rsidP="0043316B">
            <w:pPr>
              <w:pStyle w:val="Tabletext"/>
              <w:keepNext w:val="0"/>
              <w:widowControl w:val="0"/>
              <w:jc w:val="center"/>
              <w:rPr>
                <w:vertAlign w:val="superscript"/>
              </w:rPr>
            </w:pPr>
            <w:r w:rsidRPr="00D85E09">
              <w:t>Inpatient cost (with IV</w:t>
            </w:r>
            <w:r w:rsidR="00D32933" w:rsidRPr="00D85E09">
              <w:t>-</w:t>
            </w:r>
            <w:r w:rsidRPr="00D85E09">
              <w:t>tPA cost)</w:t>
            </w:r>
          </w:p>
        </w:tc>
        <w:tc>
          <w:tcPr>
            <w:tcW w:w="783" w:type="pct"/>
            <w:tcBorders>
              <w:top w:val="single" w:sz="4" w:space="0" w:color="000000"/>
              <w:left w:val="single" w:sz="4" w:space="0" w:color="000000"/>
              <w:bottom w:val="single" w:sz="4" w:space="0" w:color="000000"/>
              <w:right w:val="single" w:sz="4" w:space="0" w:color="000000"/>
            </w:tcBorders>
            <w:hideMark/>
          </w:tcPr>
          <w:p w14:paraId="5DC9EE14" w14:textId="63E209AA" w:rsidR="00A41E60" w:rsidRPr="00D85E09" w:rsidRDefault="00A41E60" w:rsidP="0043316B">
            <w:pPr>
              <w:pStyle w:val="Tabletext"/>
              <w:keepNext w:val="0"/>
              <w:widowControl w:val="0"/>
              <w:jc w:val="center"/>
            </w:pPr>
            <w:r w:rsidRPr="00D85E09">
              <w:t>Out</w:t>
            </w:r>
            <w:r w:rsidR="00582C35" w:rsidRPr="00D85E09">
              <w:t>-</w:t>
            </w:r>
            <w:r w:rsidRPr="00D85E09">
              <w:t>of</w:t>
            </w:r>
            <w:r w:rsidR="00582C35" w:rsidRPr="00D85E09">
              <w:t>-</w:t>
            </w:r>
            <w:r w:rsidRPr="00D85E09">
              <w:t>hospital cost (to 12 months; median)</w:t>
            </w:r>
          </w:p>
        </w:tc>
      </w:tr>
      <w:tr w:rsidR="00A41E60" w:rsidRPr="00D85E09" w14:paraId="0D214912"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18EDBB12" w14:textId="77777777" w:rsidR="00A41E60" w:rsidRPr="00D85E09" w:rsidRDefault="00A41E60" w:rsidP="0043316B">
            <w:pPr>
              <w:pStyle w:val="Tabletext"/>
              <w:keepNext w:val="0"/>
              <w:widowControl w:val="0"/>
            </w:pPr>
            <w:r w:rsidRPr="00D85E09">
              <w:t>0: No symptoms at all</w:t>
            </w:r>
          </w:p>
        </w:tc>
        <w:tc>
          <w:tcPr>
            <w:tcW w:w="782" w:type="pct"/>
            <w:tcBorders>
              <w:top w:val="single" w:sz="4" w:space="0" w:color="000000"/>
              <w:left w:val="single" w:sz="4" w:space="0" w:color="000000"/>
              <w:bottom w:val="single" w:sz="4" w:space="0" w:color="000000"/>
              <w:right w:val="single" w:sz="4" w:space="0" w:color="000000"/>
            </w:tcBorders>
            <w:hideMark/>
          </w:tcPr>
          <w:p w14:paraId="732E6CEA" w14:textId="77777777" w:rsidR="00A41E60" w:rsidRPr="00D85E09" w:rsidRDefault="00A41E60" w:rsidP="0043316B">
            <w:pPr>
              <w:pStyle w:val="Tabletext"/>
              <w:keepNext w:val="0"/>
              <w:widowControl w:val="0"/>
              <w:jc w:val="center"/>
            </w:pPr>
            <w:r w:rsidRPr="00D85E09">
              <w:t>$20,650</w:t>
            </w:r>
          </w:p>
        </w:tc>
        <w:tc>
          <w:tcPr>
            <w:tcW w:w="782" w:type="pct"/>
            <w:tcBorders>
              <w:top w:val="single" w:sz="4" w:space="0" w:color="000000"/>
              <w:left w:val="single" w:sz="4" w:space="0" w:color="000000"/>
              <w:bottom w:val="single" w:sz="4" w:space="0" w:color="000000"/>
              <w:right w:val="single" w:sz="4" w:space="0" w:color="000000"/>
            </w:tcBorders>
            <w:hideMark/>
          </w:tcPr>
          <w:p w14:paraId="571542DE" w14:textId="77777777" w:rsidR="00A41E60" w:rsidRPr="00D85E09" w:rsidRDefault="00A41E60" w:rsidP="0043316B">
            <w:pPr>
              <w:pStyle w:val="Tabletext"/>
              <w:keepNext w:val="0"/>
              <w:widowControl w:val="0"/>
              <w:jc w:val="center"/>
            </w:pPr>
            <w:r w:rsidRPr="00D85E09">
              <w:t>$9,203</w:t>
            </w:r>
          </w:p>
        </w:tc>
        <w:tc>
          <w:tcPr>
            <w:tcW w:w="781" w:type="pct"/>
            <w:tcBorders>
              <w:top w:val="single" w:sz="4" w:space="0" w:color="000000"/>
              <w:left w:val="single" w:sz="4" w:space="0" w:color="000000"/>
              <w:bottom w:val="single" w:sz="4" w:space="0" w:color="000000"/>
              <w:right w:val="single" w:sz="4" w:space="0" w:color="000000"/>
            </w:tcBorders>
            <w:hideMark/>
          </w:tcPr>
          <w:p w14:paraId="65B33435" w14:textId="77777777" w:rsidR="00A41E60" w:rsidRPr="00D85E09" w:rsidRDefault="00A41E60" w:rsidP="0043316B">
            <w:pPr>
              <w:pStyle w:val="Tabletext"/>
              <w:keepNext w:val="0"/>
              <w:widowControl w:val="0"/>
              <w:jc w:val="center"/>
            </w:pPr>
            <w:r w:rsidRPr="00D85E09">
              <w:t>$19,605</w:t>
            </w:r>
          </w:p>
        </w:tc>
        <w:tc>
          <w:tcPr>
            <w:tcW w:w="782" w:type="pct"/>
            <w:tcBorders>
              <w:top w:val="single" w:sz="4" w:space="0" w:color="000000"/>
              <w:left w:val="single" w:sz="4" w:space="0" w:color="000000"/>
              <w:bottom w:val="single" w:sz="4" w:space="0" w:color="000000"/>
              <w:right w:val="single" w:sz="4" w:space="0" w:color="000000"/>
            </w:tcBorders>
            <w:hideMark/>
          </w:tcPr>
          <w:p w14:paraId="26E6D53C" w14:textId="77777777" w:rsidR="00A41E60" w:rsidRPr="00D85E09" w:rsidRDefault="00A41E60" w:rsidP="0043316B">
            <w:pPr>
              <w:pStyle w:val="Tabletext"/>
              <w:keepNext w:val="0"/>
              <w:widowControl w:val="0"/>
              <w:jc w:val="center"/>
            </w:pPr>
            <w:r w:rsidRPr="00D85E09">
              <w:t>$23,558</w:t>
            </w:r>
          </w:p>
        </w:tc>
        <w:tc>
          <w:tcPr>
            <w:tcW w:w="783" w:type="pct"/>
            <w:tcBorders>
              <w:top w:val="single" w:sz="4" w:space="0" w:color="000000"/>
              <w:left w:val="single" w:sz="4" w:space="0" w:color="000000"/>
              <w:bottom w:val="single" w:sz="4" w:space="0" w:color="000000"/>
              <w:right w:val="single" w:sz="4" w:space="0" w:color="000000"/>
            </w:tcBorders>
            <w:hideMark/>
          </w:tcPr>
          <w:p w14:paraId="008F1B91" w14:textId="77777777" w:rsidR="00A41E60" w:rsidRPr="00D85E09" w:rsidRDefault="00A41E60" w:rsidP="0043316B">
            <w:pPr>
              <w:pStyle w:val="Tabletext"/>
              <w:keepNext w:val="0"/>
              <w:widowControl w:val="0"/>
              <w:jc w:val="center"/>
            </w:pPr>
            <w:r w:rsidRPr="00D85E09">
              <w:t>$10,499</w:t>
            </w:r>
          </w:p>
        </w:tc>
      </w:tr>
      <w:tr w:rsidR="00A41E60" w:rsidRPr="00D85E09" w14:paraId="06C653D6"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50FCDE47" w14:textId="77777777" w:rsidR="00A41E60" w:rsidRPr="00D85E09" w:rsidRDefault="00A41E60" w:rsidP="0043316B">
            <w:pPr>
              <w:pStyle w:val="Tabletext"/>
              <w:keepNext w:val="0"/>
              <w:widowControl w:val="0"/>
            </w:pPr>
            <w:r w:rsidRPr="00D85E09">
              <w:t>1: No significant disability, despite symptoms</w:t>
            </w:r>
          </w:p>
        </w:tc>
        <w:tc>
          <w:tcPr>
            <w:tcW w:w="782" w:type="pct"/>
            <w:tcBorders>
              <w:top w:val="single" w:sz="4" w:space="0" w:color="000000"/>
              <w:left w:val="single" w:sz="4" w:space="0" w:color="000000"/>
              <w:bottom w:val="single" w:sz="4" w:space="0" w:color="000000"/>
              <w:right w:val="single" w:sz="4" w:space="0" w:color="000000"/>
            </w:tcBorders>
            <w:hideMark/>
          </w:tcPr>
          <w:p w14:paraId="0FE82B9D" w14:textId="77777777" w:rsidR="00A41E60" w:rsidRPr="00D85E09" w:rsidRDefault="00A41E60" w:rsidP="0043316B">
            <w:pPr>
              <w:pStyle w:val="Tabletext"/>
              <w:keepNext w:val="0"/>
              <w:widowControl w:val="0"/>
              <w:jc w:val="center"/>
            </w:pPr>
            <w:r w:rsidRPr="00D85E09">
              <w:t>$20,895</w:t>
            </w:r>
          </w:p>
        </w:tc>
        <w:tc>
          <w:tcPr>
            <w:tcW w:w="782" w:type="pct"/>
            <w:tcBorders>
              <w:top w:val="single" w:sz="4" w:space="0" w:color="000000"/>
              <w:left w:val="single" w:sz="4" w:space="0" w:color="000000"/>
              <w:bottom w:val="single" w:sz="4" w:space="0" w:color="000000"/>
              <w:right w:val="single" w:sz="4" w:space="0" w:color="000000"/>
            </w:tcBorders>
            <w:hideMark/>
          </w:tcPr>
          <w:p w14:paraId="58DDF1B6" w14:textId="77777777" w:rsidR="00A41E60" w:rsidRPr="00D85E09" w:rsidRDefault="00A41E60" w:rsidP="0043316B">
            <w:pPr>
              <w:pStyle w:val="Tabletext"/>
              <w:keepNext w:val="0"/>
              <w:widowControl w:val="0"/>
              <w:jc w:val="center"/>
            </w:pPr>
            <w:r w:rsidRPr="00D85E09">
              <w:t>$11,597</w:t>
            </w:r>
          </w:p>
        </w:tc>
        <w:tc>
          <w:tcPr>
            <w:tcW w:w="781" w:type="pct"/>
            <w:tcBorders>
              <w:top w:val="single" w:sz="4" w:space="0" w:color="000000"/>
              <w:left w:val="single" w:sz="4" w:space="0" w:color="000000"/>
              <w:bottom w:val="single" w:sz="4" w:space="0" w:color="000000"/>
              <w:right w:val="single" w:sz="4" w:space="0" w:color="000000"/>
            </w:tcBorders>
            <w:hideMark/>
          </w:tcPr>
          <w:p w14:paraId="558EBE7D" w14:textId="77777777" w:rsidR="00A41E60" w:rsidRPr="00D85E09" w:rsidRDefault="00A41E60" w:rsidP="0043316B">
            <w:pPr>
              <w:pStyle w:val="Tabletext"/>
              <w:keepNext w:val="0"/>
              <w:widowControl w:val="0"/>
              <w:jc w:val="center"/>
            </w:pPr>
            <w:r w:rsidRPr="00D85E09">
              <w:t>$19,884</w:t>
            </w:r>
          </w:p>
        </w:tc>
        <w:tc>
          <w:tcPr>
            <w:tcW w:w="782" w:type="pct"/>
            <w:tcBorders>
              <w:top w:val="single" w:sz="4" w:space="0" w:color="000000"/>
              <w:left w:val="single" w:sz="4" w:space="0" w:color="000000"/>
              <w:bottom w:val="single" w:sz="4" w:space="0" w:color="000000"/>
              <w:right w:val="single" w:sz="4" w:space="0" w:color="000000"/>
            </w:tcBorders>
            <w:hideMark/>
          </w:tcPr>
          <w:p w14:paraId="602EA669" w14:textId="77777777" w:rsidR="00A41E60" w:rsidRPr="00D85E09" w:rsidRDefault="00A41E60" w:rsidP="0043316B">
            <w:pPr>
              <w:pStyle w:val="Tabletext"/>
              <w:keepNext w:val="0"/>
              <w:widowControl w:val="0"/>
              <w:jc w:val="center"/>
            </w:pPr>
            <w:r w:rsidRPr="00D85E09">
              <w:t>$23,837</w:t>
            </w:r>
          </w:p>
        </w:tc>
        <w:tc>
          <w:tcPr>
            <w:tcW w:w="783" w:type="pct"/>
            <w:tcBorders>
              <w:top w:val="single" w:sz="4" w:space="0" w:color="000000"/>
              <w:left w:val="single" w:sz="4" w:space="0" w:color="000000"/>
              <w:bottom w:val="single" w:sz="4" w:space="0" w:color="000000"/>
              <w:right w:val="single" w:sz="4" w:space="0" w:color="000000"/>
            </w:tcBorders>
            <w:hideMark/>
          </w:tcPr>
          <w:p w14:paraId="78B304A6" w14:textId="77777777" w:rsidR="00A41E60" w:rsidRPr="00D85E09" w:rsidRDefault="00A41E60" w:rsidP="0043316B">
            <w:pPr>
              <w:pStyle w:val="Tabletext"/>
              <w:keepNext w:val="0"/>
              <w:widowControl w:val="0"/>
              <w:jc w:val="center"/>
            </w:pPr>
            <w:r w:rsidRPr="00D85E09">
              <w:t>$13,230</w:t>
            </w:r>
          </w:p>
        </w:tc>
      </w:tr>
      <w:tr w:rsidR="00A41E60" w:rsidRPr="00D85E09" w14:paraId="7A819517"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018AF237" w14:textId="77777777" w:rsidR="00A41E60" w:rsidRPr="00D85E09" w:rsidRDefault="00A41E60" w:rsidP="0043316B">
            <w:pPr>
              <w:pStyle w:val="Tabletext"/>
              <w:keepNext w:val="0"/>
              <w:widowControl w:val="0"/>
            </w:pPr>
            <w:r w:rsidRPr="00D85E09">
              <w:t>2: Slight disability</w:t>
            </w:r>
          </w:p>
        </w:tc>
        <w:tc>
          <w:tcPr>
            <w:tcW w:w="782" w:type="pct"/>
            <w:tcBorders>
              <w:top w:val="single" w:sz="4" w:space="0" w:color="000000"/>
              <w:left w:val="single" w:sz="4" w:space="0" w:color="000000"/>
              <w:bottom w:val="single" w:sz="4" w:space="0" w:color="000000"/>
              <w:right w:val="single" w:sz="4" w:space="0" w:color="000000"/>
            </w:tcBorders>
            <w:hideMark/>
          </w:tcPr>
          <w:p w14:paraId="4A7AE7AB" w14:textId="77777777" w:rsidR="00A41E60" w:rsidRPr="00D85E09" w:rsidRDefault="00A41E60" w:rsidP="0043316B">
            <w:pPr>
              <w:pStyle w:val="Tabletext"/>
              <w:keepNext w:val="0"/>
              <w:widowControl w:val="0"/>
              <w:jc w:val="center"/>
            </w:pPr>
            <w:r w:rsidRPr="00D85E09">
              <w:t>$22,503</w:t>
            </w:r>
          </w:p>
        </w:tc>
        <w:tc>
          <w:tcPr>
            <w:tcW w:w="782" w:type="pct"/>
            <w:tcBorders>
              <w:top w:val="single" w:sz="4" w:space="0" w:color="000000"/>
              <w:left w:val="single" w:sz="4" w:space="0" w:color="000000"/>
              <w:bottom w:val="single" w:sz="4" w:space="0" w:color="000000"/>
              <w:right w:val="single" w:sz="4" w:space="0" w:color="000000"/>
            </w:tcBorders>
            <w:hideMark/>
          </w:tcPr>
          <w:p w14:paraId="68167418" w14:textId="77777777" w:rsidR="00A41E60" w:rsidRPr="00D85E09" w:rsidRDefault="00A41E60" w:rsidP="0043316B">
            <w:pPr>
              <w:pStyle w:val="Tabletext"/>
              <w:keepNext w:val="0"/>
              <w:widowControl w:val="0"/>
              <w:jc w:val="center"/>
            </w:pPr>
            <w:r w:rsidRPr="00D85E09">
              <w:t>$13,975</w:t>
            </w:r>
          </w:p>
        </w:tc>
        <w:tc>
          <w:tcPr>
            <w:tcW w:w="781" w:type="pct"/>
            <w:tcBorders>
              <w:top w:val="single" w:sz="4" w:space="0" w:color="000000"/>
              <w:left w:val="single" w:sz="4" w:space="0" w:color="000000"/>
              <w:bottom w:val="single" w:sz="4" w:space="0" w:color="000000"/>
              <w:right w:val="single" w:sz="4" w:space="0" w:color="000000"/>
            </w:tcBorders>
            <w:hideMark/>
          </w:tcPr>
          <w:p w14:paraId="4070B461" w14:textId="77777777" w:rsidR="00A41E60" w:rsidRPr="00D85E09" w:rsidRDefault="00A41E60" w:rsidP="0043316B">
            <w:pPr>
              <w:pStyle w:val="Tabletext"/>
              <w:keepNext w:val="0"/>
              <w:widowControl w:val="0"/>
              <w:jc w:val="center"/>
            </w:pPr>
            <w:r w:rsidRPr="00D85E09">
              <w:t>$21,719</w:t>
            </w:r>
          </w:p>
        </w:tc>
        <w:tc>
          <w:tcPr>
            <w:tcW w:w="782" w:type="pct"/>
            <w:tcBorders>
              <w:top w:val="single" w:sz="4" w:space="0" w:color="000000"/>
              <w:left w:val="single" w:sz="4" w:space="0" w:color="000000"/>
              <w:bottom w:val="single" w:sz="4" w:space="0" w:color="000000"/>
              <w:right w:val="single" w:sz="4" w:space="0" w:color="000000"/>
            </w:tcBorders>
            <w:hideMark/>
          </w:tcPr>
          <w:p w14:paraId="3EC4CA26" w14:textId="77777777" w:rsidR="00A41E60" w:rsidRPr="00D85E09" w:rsidRDefault="00A41E60" w:rsidP="0043316B">
            <w:pPr>
              <w:pStyle w:val="Tabletext"/>
              <w:keepNext w:val="0"/>
              <w:widowControl w:val="0"/>
              <w:jc w:val="center"/>
            </w:pPr>
            <w:r w:rsidRPr="00D85E09">
              <w:t>$25,671</w:t>
            </w:r>
          </w:p>
        </w:tc>
        <w:tc>
          <w:tcPr>
            <w:tcW w:w="783" w:type="pct"/>
            <w:tcBorders>
              <w:top w:val="single" w:sz="4" w:space="0" w:color="000000"/>
              <w:left w:val="single" w:sz="4" w:space="0" w:color="000000"/>
              <w:bottom w:val="single" w:sz="4" w:space="0" w:color="000000"/>
              <w:right w:val="single" w:sz="4" w:space="0" w:color="000000"/>
            </w:tcBorders>
            <w:hideMark/>
          </w:tcPr>
          <w:p w14:paraId="1E8BF6A3" w14:textId="77777777" w:rsidR="00A41E60" w:rsidRPr="00D85E09" w:rsidRDefault="00A41E60" w:rsidP="0043316B">
            <w:pPr>
              <w:pStyle w:val="Tabletext"/>
              <w:keepNext w:val="0"/>
              <w:widowControl w:val="0"/>
              <w:jc w:val="center"/>
            </w:pPr>
            <w:r w:rsidRPr="00D85E09">
              <w:t>$15,943</w:t>
            </w:r>
          </w:p>
        </w:tc>
      </w:tr>
      <w:tr w:rsidR="00A41E60" w:rsidRPr="00D85E09" w14:paraId="7023D5BB"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5841974E" w14:textId="77777777" w:rsidR="00A41E60" w:rsidRPr="00D85E09" w:rsidRDefault="00A41E60" w:rsidP="0043316B">
            <w:pPr>
              <w:pStyle w:val="Tabletext"/>
              <w:keepNext w:val="0"/>
              <w:widowControl w:val="0"/>
            </w:pPr>
            <w:r w:rsidRPr="00D85E09">
              <w:t>3: Moderate disability</w:t>
            </w:r>
          </w:p>
        </w:tc>
        <w:tc>
          <w:tcPr>
            <w:tcW w:w="782" w:type="pct"/>
            <w:tcBorders>
              <w:top w:val="single" w:sz="4" w:space="0" w:color="000000"/>
              <w:left w:val="single" w:sz="4" w:space="0" w:color="000000"/>
              <w:bottom w:val="single" w:sz="4" w:space="0" w:color="000000"/>
              <w:right w:val="single" w:sz="4" w:space="0" w:color="000000"/>
            </w:tcBorders>
            <w:hideMark/>
          </w:tcPr>
          <w:p w14:paraId="6756603A" w14:textId="77777777" w:rsidR="00A41E60" w:rsidRPr="00D85E09" w:rsidRDefault="00A41E60" w:rsidP="0043316B">
            <w:pPr>
              <w:pStyle w:val="Tabletext"/>
              <w:keepNext w:val="0"/>
              <w:widowControl w:val="0"/>
              <w:jc w:val="center"/>
            </w:pPr>
            <w:r w:rsidRPr="00D85E09">
              <w:t>$22,503</w:t>
            </w:r>
          </w:p>
        </w:tc>
        <w:tc>
          <w:tcPr>
            <w:tcW w:w="782" w:type="pct"/>
            <w:tcBorders>
              <w:top w:val="single" w:sz="4" w:space="0" w:color="000000"/>
              <w:left w:val="single" w:sz="4" w:space="0" w:color="000000"/>
              <w:bottom w:val="single" w:sz="4" w:space="0" w:color="000000"/>
              <w:right w:val="single" w:sz="4" w:space="0" w:color="000000"/>
            </w:tcBorders>
            <w:hideMark/>
          </w:tcPr>
          <w:p w14:paraId="77B6898D" w14:textId="77777777" w:rsidR="00A41E60" w:rsidRPr="00D85E09" w:rsidRDefault="00A41E60" w:rsidP="0043316B">
            <w:pPr>
              <w:pStyle w:val="Tabletext"/>
              <w:keepNext w:val="0"/>
              <w:widowControl w:val="0"/>
              <w:jc w:val="center"/>
            </w:pPr>
            <w:r w:rsidRPr="00D85E09">
              <w:t>$15,375</w:t>
            </w:r>
          </w:p>
        </w:tc>
        <w:tc>
          <w:tcPr>
            <w:tcW w:w="781" w:type="pct"/>
            <w:tcBorders>
              <w:top w:val="single" w:sz="4" w:space="0" w:color="000000"/>
              <w:left w:val="single" w:sz="4" w:space="0" w:color="000000"/>
              <w:bottom w:val="single" w:sz="4" w:space="0" w:color="000000"/>
              <w:right w:val="single" w:sz="4" w:space="0" w:color="000000"/>
            </w:tcBorders>
            <w:hideMark/>
          </w:tcPr>
          <w:p w14:paraId="30C7E96C" w14:textId="77777777" w:rsidR="00A41E60" w:rsidRPr="00D85E09" w:rsidRDefault="00A41E60" w:rsidP="0043316B">
            <w:pPr>
              <w:pStyle w:val="Tabletext"/>
              <w:keepNext w:val="0"/>
              <w:widowControl w:val="0"/>
              <w:jc w:val="center"/>
            </w:pPr>
            <w:r w:rsidRPr="00D85E09">
              <w:t>$21,719</w:t>
            </w:r>
          </w:p>
        </w:tc>
        <w:tc>
          <w:tcPr>
            <w:tcW w:w="782" w:type="pct"/>
            <w:tcBorders>
              <w:top w:val="single" w:sz="4" w:space="0" w:color="000000"/>
              <w:left w:val="single" w:sz="4" w:space="0" w:color="000000"/>
              <w:bottom w:val="single" w:sz="4" w:space="0" w:color="000000"/>
              <w:right w:val="single" w:sz="4" w:space="0" w:color="000000"/>
            </w:tcBorders>
            <w:hideMark/>
          </w:tcPr>
          <w:p w14:paraId="0052B02D" w14:textId="77777777" w:rsidR="00A41E60" w:rsidRPr="00D85E09" w:rsidRDefault="00A41E60" w:rsidP="0043316B">
            <w:pPr>
              <w:pStyle w:val="Tabletext"/>
              <w:keepNext w:val="0"/>
              <w:widowControl w:val="0"/>
              <w:jc w:val="center"/>
            </w:pPr>
            <w:r w:rsidRPr="00D85E09">
              <w:t>$25,671</w:t>
            </w:r>
          </w:p>
        </w:tc>
        <w:tc>
          <w:tcPr>
            <w:tcW w:w="783" w:type="pct"/>
            <w:tcBorders>
              <w:top w:val="single" w:sz="4" w:space="0" w:color="000000"/>
              <w:left w:val="single" w:sz="4" w:space="0" w:color="000000"/>
              <w:bottom w:val="single" w:sz="4" w:space="0" w:color="000000"/>
              <w:right w:val="single" w:sz="4" w:space="0" w:color="000000"/>
            </w:tcBorders>
            <w:hideMark/>
          </w:tcPr>
          <w:p w14:paraId="7F3D5CF3" w14:textId="77777777" w:rsidR="00A41E60" w:rsidRPr="00D85E09" w:rsidRDefault="00A41E60" w:rsidP="0043316B">
            <w:pPr>
              <w:pStyle w:val="Tabletext"/>
              <w:keepNext w:val="0"/>
              <w:widowControl w:val="0"/>
              <w:jc w:val="center"/>
            </w:pPr>
            <w:r w:rsidRPr="00D85E09">
              <w:t>$17,540</w:t>
            </w:r>
          </w:p>
        </w:tc>
      </w:tr>
      <w:tr w:rsidR="00A41E60" w:rsidRPr="00D85E09" w14:paraId="4594941D"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29CB4E1D" w14:textId="77777777" w:rsidR="00A41E60" w:rsidRPr="00D85E09" w:rsidRDefault="00A41E60" w:rsidP="0043316B">
            <w:pPr>
              <w:pStyle w:val="Tabletext"/>
              <w:keepNext w:val="0"/>
              <w:widowControl w:val="0"/>
            </w:pPr>
            <w:r w:rsidRPr="00D85E09">
              <w:t>4: Moderately severe</w:t>
            </w:r>
          </w:p>
          <w:p w14:paraId="778066A7" w14:textId="77777777" w:rsidR="00A41E60" w:rsidRPr="00D85E09" w:rsidRDefault="00A41E60" w:rsidP="0043316B">
            <w:pPr>
              <w:pStyle w:val="Tabletext"/>
              <w:keepNext w:val="0"/>
              <w:widowControl w:val="0"/>
            </w:pPr>
            <w:r w:rsidRPr="00D85E09">
              <w:t>disability</w:t>
            </w:r>
          </w:p>
        </w:tc>
        <w:tc>
          <w:tcPr>
            <w:tcW w:w="782" w:type="pct"/>
            <w:tcBorders>
              <w:top w:val="single" w:sz="4" w:space="0" w:color="000000"/>
              <w:left w:val="single" w:sz="4" w:space="0" w:color="000000"/>
              <w:bottom w:val="single" w:sz="4" w:space="0" w:color="000000"/>
              <w:right w:val="single" w:sz="4" w:space="0" w:color="000000"/>
            </w:tcBorders>
            <w:hideMark/>
          </w:tcPr>
          <w:p w14:paraId="13EF16BF" w14:textId="77777777" w:rsidR="00A41E60" w:rsidRPr="00D85E09" w:rsidRDefault="00A41E60" w:rsidP="0043316B">
            <w:pPr>
              <w:pStyle w:val="Tabletext"/>
              <w:keepNext w:val="0"/>
              <w:widowControl w:val="0"/>
              <w:jc w:val="center"/>
            </w:pPr>
            <w:r w:rsidRPr="00D85E09">
              <w:t>$20,107</w:t>
            </w:r>
          </w:p>
        </w:tc>
        <w:tc>
          <w:tcPr>
            <w:tcW w:w="782" w:type="pct"/>
            <w:tcBorders>
              <w:top w:val="single" w:sz="4" w:space="0" w:color="000000"/>
              <w:left w:val="single" w:sz="4" w:space="0" w:color="000000"/>
              <w:bottom w:val="single" w:sz="4" w:space="0" w:color="000000"/>
              <w:right w:val="single" w:sz="4" w:space="0" w:color="000000"/>
            </w:tcBorders>
            <w:hideMark/>
          </w:tcPr>
          <w:p w14:paraId="56485D73" w14:textId="77777777" w:rsidR="00A41E60" w:rsidRPr="00D85E09" w:rsidRDefault="00A41E60" w:rsidP="0043316B">
            <w:pPr>
              <w:pStyle w:val="Tabletext"/>
              <w:keepNext w:val="0"/>
              <w:widowControl w:val="0"/>
              <w:jc w:val="center"/>
            </w:pPr>
            <w:r w:rsidRPr="00D85E09">
              <w:t>$18,208</w:t>
            </w:r>
          </w:p>
        </w:tc>
        <w:tc>
          <w:tcPr>
            <w:tcW w:w="781" w:type="pct"/>
            <w:tcBorders>
              <w:top w:val="single" w:sz="4" w:space="0" w:color="000000"/>
              <w:left w:val="single" w:sz="4" w:space="0" w:color="000000"/>
              <w:bottom w:val="single" w:sz="4" w:space="0" w:color="000000"/>
              <w:right w:val="single" w:sz="4" w:space="0" w:color="000000"/>
            </w:tcBorders>
            <w:hideMark/>
          </w:tcPr>
          <w:p w14:paraId="3135EA3B" w14:textId="77777777" w:rsidR="00A41E60" w:rsidRPr="00D85E09" w:rsidRDefault="00A41E60" w:rsidP="0043316B">
            <w:pPr>
              <w:pStyle w:val="Tabletext"/>
              <w:keepNext w:val="0"/>
              <w:widowControl w:val="0"/>
              <w:jc w:val="center"/>
            </w:pPr>
            <w:r w:rsidRPr="00D85E09">
              <w:t>$18,985</w:t>
            </w:r>
          </w:p>
        </w:tc>
        <w:tc>
          <w:tcPr>
            <w:tcW w:w="782" w:type="pct"/>
            <w:tcBorders>
              <w:top w:val="single" w:sz="4" w:space="0" w:color="000000"/>
              <w:left w:val="single" w:sz="4" w:space="0" w:color="000000"/>
              <w:bottom w:val="single" w:sz="4" w:space="0" w:color="000000"/>
              <w:right w:val="single" w:sz="4" w:space="0" w:color="000000"/>
            </w:tcBorders>
            <w:hideMark/>
          </w:tcPr>
          <w:p w14:paraId="7C67B105" w14:textId="77777777" w:rsidR="00A41E60" w:rsidRPr="00D85E09" w:rsidRDefault="00A41E60" w:rsidP="0043316B">
            <w:pPr>
              <w:pStyle w:val="Tabletext"/>
              <w:keepNext w:val="0"/>
              <w:widowControl w:val="0"/>
              <w:jc w:val="center"/>
            </w:pPr>
            <w:r w:rsidRPr="00D85E09">
              <w:t>$22,938</w:t>
            </w:r>
          </w:p>
        </w:tc>
        <w:tc>
          <w:tcPr>
            <w:tcW w:w="783" w:type="pct"/>
            <w:tcBorders>
              <w:top w:val="single" w:sz="4" w:space="0" w:color="000000"/>
              <w:left w:val="single" w:sz="4" w:space="0" w:color="000000"/>
              <w:bottom w:val="single" w:sz="4" w:space="0" w:color="000000"/>
              <w:right w:val="single" w:sz="4" w:space="0" w:color="000000"/>
            </w:tcBorders>
            <w:hideMark/>
          </w:tcPr>
          <w:p w14:paraId="30FF19FC" w14:textId="77777777" w:rsidR="00A41E60" w:rsidRPr="00D85E09" w:rsidRDefault="00A41E60" w:rsidP="0043316B">
            <w:pPr>
              <w:pStyle w:val="Tabletext"/>
              <w:keepNext w:val="0"/>
              <w:widowControl w:val="0"/>
              <w:jc w:val="center"/>
            </w:pPr>
            <w:r w:rsidRPr="00D85E09">
              <w:t>$20,772</w:t>
            </w:r>
          </w:p>
        </w:tc>
      </w:tr>
      <w:tr w:rsidR="00A41E60" w:rsidRPr="00D85E09" w14:paraId="10934EF7"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700305E2" w14:textId="77777777" w:rsidR="00A41E60" w:rsidRPr="00D85E09" w:rsidRDefault="00A41E60" w:rsidP="0043316B">
            <w:pPr>
              <w:pStyle w:val="Tabletext"/>
              <w:keepNext w:val="0"/>
              <w:widowControl w:val="0"/>
            </w:pPr>
            <w:r w:rsidRPr="00D85E09">
              <w:t>5: Severe disability</w:t>
            </w:r>
          </w:p>
        </w:tc>
        <w:tc>
          <w:tcPr>
            <w:tcW w:w="782" w:type="pct"/>
            <w:tcBorders>
              <w:top w:val="single" w:sz="4" w:space="0" w:color="000000"/>
              <w:left w:val="single" w:sz="4" w:space="0" w:color="000000"/>
              <w:bottom w:val="single" w:sz="4" w:space="0" w:color="000000"/>
              <w:right w:val="single" w:sz="4" w:space="0" w:color="000000"/>
            </w:tcBorders>
            <w:hideMark/>
          </w:tcPr>
          <w:p w14:paraId="3F0597C7" w14:textId="77777777" w:rsidR="00A41E60" w:rsidRPr="00D85E09" w:rsidRDefault="00A41E60" w:rsidP="0043316B">
            <w:pPr>
              <w:pStyle w:val="Tabletext"/>
              <w:keepNext w:val="0"/>
              <w:widowControl w:val="0"/>
              <w:jc w:val="center"/>
            </w:pPr>
            <w:r w:rsidRPr="00D85E09">
              <w:t>$20,107</w:t>
            </w:r>
          </w:p>
        </w:tc>
        <w:tc>
          <w:tcPr>
            <w:tcW w:w="782" w:type="pct"/>
            <w:tcBorders>
              <w:top w:val="single" w:sz="4" w:space="0" w:color="000000"/>
              <w:left w:val="single" w:sz="4" w:space="0" w:color="000000"/>
              <w:bottom w:val="single" w:sz="4" w:space="0" w:color="000000"/>
              <w:right w:val="single" w:sz="4" w:space="0" w:color="000000"/>
            </w:tcBorders>
            <w:hideMark/>
          </w:tcPr>
          <w:p w14:paraId="549C7DB1" w14:textId="77777777" w:rsidR="00A41E60" w:rsidRPr="00D85E09" w:rsidRDefault="00A41E60" w:rsidP="0043316B">
            <w:pPr>
              <w:pStyle w:val="Tabletext"/>
              <w:keepNext w:val="0"/>
              <w:widowControl w:val="0"/>
              <w:jc w:val="center"/>
            </w:pPr>
            <w:r w:rsidRPr="00D85E09">
              <w:t>$21,186</w:t>
            </w:r>
          </w:p>
        </w:tc>
        <w:tc>
          <w:tcPr>
            <w:tcW w:w="781" w:type="pct"/>
            <w:tcBorders>
              <w:top w:val="single" w:sz="4" w:space="0" w:color="000000"/>
              <w:left w:val="single" w:sz="4" w:space="0" w:color="000000"/>
              <w:bottom w:val="single" w:sz="4" w:space="0" w:color="000000"/>
              <w:right w:val="single" w:sz="4" w:space="0" w:color="000000"/>
            </w:tcBorders>
            <w:hideMark/>
          </w:tcPr>
          <w:p w14:paraId="128EC552" w14:textId="77777777" w:rsidR="00A41E60" w:rsidRPr="00D85E09" w:rsidRDefault="00A41E60" w:rsidP="0043316B">
            <w:pPr>
              <w:pStyle w:val="Tabletext"/>
              <w:keepNext w:val="0"/>
              <w:widowControl w:val="0"/>
              <w:jc w:val="center"/>
            </w:pPr>
            <w:r w:rsidRPr="00D85E09">
              <w:t>$18,985</w:t>
            </w:r>
          </w:p>
        </w:tc>
        <w:tc>
          <w:tcPr>
            <w:tcW w:w="782" w:type="pct"/>
            <w:tcBorders>
              <w:top w:val="single" w:sz="4" w:space="0" w:color="000000"/>
              <w:left w:val="single" w:sz="4" w:space="0" w:color="000000"/>
              <w:bottom w:val="single" w:sz="4" w:space="0" w:color="000000"/>
              <w:right w:val="single" w:sz="4" w:space="0" w:color="000000"/>
            </w:tcBorders>
            <w:hideMark/>
          </w:tcPr>
          <w:p w14:paraId="0A34A259" w14:textId="77777777" w:rsidR="00A41E60" w:rsidRPr="00D85E09" w:rsidRDefault="00A41E60" w:rsidP="0043316B">
            <w:pPr>
              <w:pStyle w:val="Tabletext"/>
              <w:keepNext w:val="0"/>
              <w:widowControl w:val="0"/>
              <w:jc w:val="center"/>
            </w:pPr>
            <w:r w:rsidRPr="00D85E09">
              <w:t>$22,938</w:t>
            </w:r>
          </w:p>
        </w:tc>
        <w:tc>
          <w:tcPr>
            <w:tcW w:w="783" w:type="pct"/>
            <w:tcBorders>
              <w:top w:val="single" w:sz="4" w:space="0" w:color="000000"/>
              <w:left w:val="single" w:sz="4" w:space="0" w:color="000000"/>
              <w:bottom w:val="single" w:sz="4" w:space="0" w:color="000000"/>
              <w:right w:val="single" w:sz="4" w:space="0" w:color="000000"/>
            </w:tcBorders>
            <w:hideMark/>
          </w:tcPr>
          <w:p w14:paraId="2044F5B8" w14:textId="77777777" w:rsidR="00A41E60" w:rsidRPr="00D85E09" w:rsidRDefault="00A41E60" w:rsidP="0043316B">
            <w:pPr>
              <w:pStyle w:val="Tabletext"/>
              <w:keepNext w:val="0"/>
              <w:widowControl w:val="0"/>
              <w:jc w:val="center"/>
            </w:pPr>
            <w:r w:rsidRPr="00D85E09">
              <w:t>$24,169</w:t>
            </w:r>
          </w:p>
        </w:tc>
      </w:tr>
      <w:tr w:rsidR="00A41E60" w:rsidRPr="00D85E09" w14:paraId="67527F35" w14:textId="77777777" w:rsidTr="00A41E60">
        <w:tc>
          <w:tcPr>
            <w:tcW w:w="1091" w:type="pct"/>
            <w:tcBorders>
              <w:top w:val="single" w:sz="4" w:space="0" w:color="000000"/>
              <w:left w:val="single" w:sz="4" w:space="0" w:color="000000"/>
              <w:bottom w:val="single" w:sz="4" w:space="0" w:color="000000"/>
              <w:right w:val="single" w:sz="4" w:space="0" w:color="000000"/>
            </w:tcBorders>
            <w:hideMark/>
          </w:tcPr>
          <w:p w14:paraId="7E491944" w14:textId="77777777" w:rsidR="00A41E60" w:rsidRPr="00D85E09" w:rsidRDefault="00A41E60" w:rsidP="0043316B">
            <w:pPr>
              <w:pStyle w:val="Tabletext"/>
              <w:keepNext w:val="0"/>
              <w:widowControl w:val="0"/>
            </w:pPr>
            <w:r w:rsidRPr="00D85E09">
              <w:t>6: Death</w:t>
            </w:r>
          </w:p>
        </w:tc>
        <w:tc>
          <w:tcPr>
            <w:tcW w:w="1564" w:type="pct"/>
            <w:gridSpan w:val="2"/>
            <w:tcBorders>
              <w:top w:val="single" w:sz="4" w:space="0" w:color="000000"/>
              <w:left w:val="single" w:sz="4" w:space="0" w:color="000000"/>
              <w:bottom w:val="single" w:sz="4" w:space="0" w:color="000000"/>
              <w:right w:val="single" w:sz="4" w:space="0" w:color="000000"/>
            </w:tcBorders>
            <w:hideMark/>
          </w:tcPr>
          <w:p w14:paraId="555B471A" w14:textId="77777777" w:rsidR="00A41E60" w:rsidRPr="00D85E09" w:rsidRDefault="00A41E60" w:rsidP="0043316B">
            <w:pPr>
              <w:pStyle w:val="Tabletext"/>
              <w:keepNext w:val="0"/>
              <w:widowControl w:val="0"/>
              <w:jc w:val="center"/>
            </w:pPr>
            <w:r w:rsidRPr="00D85E09">
              <w:t>$14,572</w:t>
            </w:r>
          </w:p>
        </w:tc>
        <w:tc>
          <w:tcPr>
            <w:tcW w:w="781" w:type="pct"/>
            <w:tcBorders>
              <w:top w:val="single" w:sz="4" w:space="0" w:color="000000"/>
              <w:left w:val="single" w:sz="4" w:space="0" w:color="000000"/>
              <w:bottom w:val="single" w:sz="4" w:space="0" w:color="000000"/>
              <w:right w:val="single" w:sz="4" w:space="0" w:color="000000"/>
            </w:tcBorders>
            <w:hideMark/>
          </w:tcPr>
          <w:p w14:paraId="29C3A4F6" w14:textId="77777777" w:rsidR="00A41E60" w:rsidRPr="00D85E09" w:rsidRDefault="00A41E60" w:rsidP="0043316B">
            <w:pPr>
              <w:pStyle w:val="Tabletext"/>
              <w:keepNext w:val="0"/>
              <w:widowControl w:val="0"/>
              <w:jc w:val="center"/>
            </w:pPr>
            <w:r w:rsidRPr="00D85E09">
              <w:t>$12,671</w:t>
            </w:r>
          </w:p>
        </w:tc>
        <w:tc>
          <w:tcPr>
            <w:tcW w:w="782" w:type="pct"/>
            <w:tcBorders>
              <w:top w:val="single" w:sz="4" w:space="0" w:color="000000"/>
              <w:left w:val="single" w:sz="4" w:space="0" w:color="000000"/>
              <w:bottom w:val="single" w:sz="4" w:space="0" w:color="000000"/>
              <w:right w:val="single" w:sz="4" w:space="0" w:color="000000"/>
            </w:tcBorders>
            <w:hideMark/>
          </w:tcPr>
          <w:p w14:paraId="519C3627" w14:textId="77777777" w:rsidR="00A41E60" w:rsidRPr="00D85E09" w:rsidRDefault="00A41E60" w:rsidP="0043316B">
            <w:pPr>
              <w:pStyle w:val="Tabletext"/>
              <w:keepNext w:val="0"/>
              <w:widowControl w:val="0"/>
              <w:jc w:val="center"/>
            </w:pPr>
            <w:r w:rsidRPr="00D85E09">
              <w:t>$16,624</w:t>
            </w:r>
          </w:p>
        </w:tc>
        <w:tc>
          <w:tcPr>
            <w:tcW w:w="783" w:type="pct"/>
            <w:tcBorders>
              <w:top w:val="single" w:sz="4" w:space="0" w:color="000000"/>
              <w:left w:val="single" w:sz="4" w:space="0" w:color="000000"/>
              <w:bottom w:val="single" w:sz="4" w:space="0" w:color="000000"/>
              <w:right w:val="single" w:sz="4" w:space="0" w:color="000000"/>
            </w:tcBorders>
            <w:hideMark/>
          </w:tcPr>
          <w:p w14:paraId="70D64643" w14:textId="77777777" w:rsidR="00A41E60" w:rsidRPr="00D85E09" w:rsidRDefault="00A41E60" w:rsidP="0043316B">
            <w:pPr>
              <w:pStyle w:val="Tabletext"/>
              <w:keepNext w:val="0"/>
              <w:widowControl w:val="0"/>
              <w:jc w:val="center"/>
            </w:pPr>
            <w:r w:rsidRPr="00D85E09">
              <w:t>–</w:t>
            </w:r>
          </w:p>
        </w:tc>
      </w:tr>
    </w:tbl>
    <w:p w14:paraId="62E712A8" w14:textId="77777777" w:rsidR="00A41E60" w:rsidRPr="00D85E09" w:rsidRDefault="00A41E60" w:rsidP="0043316B">
      <w:pPr>
        <w:pStyle w:val="Tablefootnote"/>
        <w:widowControl w:val="0"/>
        <w:rPr>
          <w:lang w:val="en-AU"/>
        </w:rPr>
      </w:pPr>
      <w:r w:rsidRPr="00D85E09">
        <w:rPr>
          <w:lang w:val="en-AU"/>
        </w:rPr>
        <w:t>Source: Tanny et al (2013)</w:t>
      </w:r>
    </w:p>
    <w:p w14:paraId="55C3A147" w14:textId="01E38CB4" w:rsidR="00A41E60" w:rsidRPr="00D85E09" w:rsidRDefault="00A41E60" w:rsidP="0043316B">
      <w:pPr>
        <w:pStyle w:val="Tablefootnote"/>
        <w:widowControl w:val="0"/>
        <w:rPr>
          <w:lang w:val="en-AU"/>
        </w:rPr>
      </w:pPr>
      <w:r w:rsidRPr="00D85E09">
        <w:rPr>
          <w:lang w:val="en-AU"/>
        </w:rPr>
        <w:t>Note: Table 1 of Tanny et al (2013) notes these cost inputs to be in US$; Aus$ in the 2012-2013 period was roughly at parity with US$. The presented values are hence treated as Aus$ for the purpose of this analysis. A review of other NEMESIS publications below also supports the reasonableness of these cost estimates.</w:t>
      </w:r>
    </w:p>
    <w:p w14:paraId="4D0F105C" w14:textId="37E4C79B" w:rsidR="00A41E60" w:rsidRPr="00D85E09" w:rsidRDefault="00A41E60" w:rsidP="0043316B">
      <w:pPr>
        <w:pStyle w:val="Tablefootnote"/>
        <w:widowControl w:val="0"/>
        <w:rPr>
          <w:lang w:val="en-AU"/>
        </w:rPr>
      </w:pPr>
      <w:r w:rsidRPr="00D85E09">
        <w:rPr>
          <w:vertAlign w:val="superscript"/>
          <w:lang w:val="en-AU"/>
        </w:rPr>
        <w:t>1</w:t>
      </w:r>
      <w:r w:rsidRPr="00D85E09">
        <w:rPr>
          <w:lang w:val="en-AU"/>
        </w:rPr>
        <w:t xml:space="preserve"> The reported estimates are assumed to be in 2013 values. Price inflator (2013-2016) = 1.1408 (based on Australian Bureau of Statistics, Consumer Price Index - Health, 6401.0).</w:t>
      </w:r>
    </w:p>
    <w:p w14:paraId="55F38505" w14:textId="77777777" w:rsidR="00A41E60" w:rsidRPr="00D85E09" w:rsidRDefault="00A41E60" w:rsidP="0043316B">
      <w:pPr>
        <w:widowControl w:val="0"/>
      </w:pPr>
    </w:p>
    <w:p w14:paraId="7A42E45C" w14:textId="45ED858A" w:rsidR="00A41E60" w:rsidRPr="00D85E09" w:rsidRDefault="00A41E60" w:rsidP="0043316B">
      <w:pPr>
        <w:widowControl w:val="0"/>
      </w:pPr>
      <w:r w:rsidRPr="00D85E09">
        <w:t>As noted above, the out</w:t>
      </w:r>
      <w:r w:rsidR="00582C35" w:rsidRPr="00D85E09">
        <w:t>-</w:t>
      </w:r>
      <w:r w:rsidRPr="00D85E09">
        <w:t>of</w:t>
      </w:r>
      <w:r w:rsidR="00582C35" w:rsidRPr="00D85E09">
        <w:t>-</w:t>
      </w:r>
      <w:r w:rsidRPr="00D85E09">
        <w:t>hospital cost estimates in Tanny et al (2013) were based on NEMESIS. The literature search identified six publications that reported data from NEMESIS (Gloede et al. 2014, Cadilhac et al. 2009, Dewey et al. 2004, Dewey et al. 2003, Dewey et al. 2002, Dewey et al. 2001). As noted above, no stratification by mRS has been reported in these publications. The NEMESIS data are however presented here as supplementary evidence.</w:t>
      </w:r>
    </w:p>
    <w:p w14:paraId="733F8B90" w14:textId="1A3947B3" w:rsidR="00A41E60" w:rsidRPr="00D85E09" w:rsidRDefault="00A41E60" w:rsidP="0043316B">
      <w:pPr>
        <w:widowControl w:val="0"/>
      </w:pPr>
      <w:r w:rsidRPr="00D85E09">
        <w:t>Amongst all the papers identified, Cadilhac et al. (2009) is the paper which was deemed to provide most detailed cost information for acute and on</w:t>
      </w:r>
      <w:r w:rsidR="00300BB6" w:rsidRPr="00D85E09">
        <w:t>-going</w:t>
      </w:r>
      <w:r w:rsidRPr="00D85E09">
        <w:t xml:space="preserve"> treatment for stroke to 12 months. Providing a similar extent of cost information, Gloede et al. (2014) reported longer</w:t>
      </w:r>
      <w:r w:rsidR="00D32933" w:rsidRPr="00D85E09">
        <w:t>-</w:t>
      </w:r>
      <w:r w:rsidRPr="00D85E09">
        <w:t>term cost data up to 10 years (to be considered in the following section). Apart from the fact these NEMESIS cost studies are basically the only source of “real</w:t>
      </w:r>
      <w:r w:rsidR="00300BB6" w:rsidRPr="00D85E09">
        <w:t xml:space="preserve"> </w:t>
      </w:r>
      <w:r w:rsidRPr="00D85E09">
        <w:t xml:space="preserve">world” Australian out-of-hospital stroke costs, both studies possess good methodology and are based on unit cost sources consistent with those recommended in the PBAC’s </w:t>
      </w:r>
      <w:r w:rsidRPr="00D85E09">
        <w:rPr>
          <w:i/>
        </w:rPr>
        <w:t>Manual of Resource Items and their Associated Costs</w:t>
      </w:r>
      <w:r w:rsidRPr="00D85E09">
        <w:t>.</w:t>
      </w:r>
      <w:r w:rsidRPr="00D85E09">
        <w:rPr>
          <w:rStyle w:val="FootnoteReference"/>
        </w:rPr>
        <w:footnoteReference w:id="9"/>
      </w:r>
    </w:p>
    <w:p w14:paraId="34427FAB" w14:textId="6FB39477" w:rsidR="00A41E60" w:rsidRPr="00D85E09" w:rsidRDefault="00A41E60" w:rsidP="0043316B">
      <w:pPr>
        <w:widowControl w:val="0"/>
      </w:pPr>
      <w:r w:rsidRPr="00D85E09">
        <w:lastRenderedPageBreak/>
        <w:fldChar w:fldCharType="begin"/>
      </w:r>
      <w:r w:rsidRPr="00D85E09">
        <w:instrText xml:space="preserve"> REF _Ref447273774 \h </w:instrText>
      </w:r>
      <w:r w:rsidRPr="00D85E09">
        <w:fldChar w:fldCharType="separate"/>
      </w:r>
      <w:r w:rsidR="00A456ED" w:rsidRPr="00D85E09">
        <w:t xml:space="preserve">Table </w:t>
      </w:r>
      <w:r w:rsidR="00A456ED">
        <w:rPr>
          <w:noProof/>
        </w:rPr>
        <w:t>60</w:t>
      </w:r>
      <w:r w:rsidRPr="00D85E09">
        <w:fldChar w:fldCharType="end"/>
      </w:r>
      <w:r w:rsidRPr="00D85E09">
        <w:t xml:space="preserve"> presents the costs of ischaemic stroke to 12 months by resource category as report by Cadilhac et al. (2009). The acute treatment cost for stroke is assumed to consist of pre-admission costs, acute hospital costs and inpatient rehabilitaiton only, while out</w:t>
      </w:r>
      <w:r w:rsidR="00582C35" w:rsidRPr="00D85E09">
        <w:t>-</w:t>
      </w:r>
      <w:r w:rsidRPr="00D85E09">
        <w:t>of</w:t>
      </w:r>
      <w:r w:rsidR="00582C35" w:rsidRPr="00D85E09">
        <w:t>-</w:t>
      </w:r>
      <w:r w:rsidRPr="00D85E09">
        <w:t>hospital cost in the first year represent the total first year cost minus acute inpatient cost. After accounting for inflation, the NEMESIS cost estimates are clearly in line with the Tanny estimates.</w:t>
      </w:r>
      <w:r w:rsidR="00C13682">
        <w:t xml:space="preserve"> </w:t>
      </w:r>
      <w:r w:rsidRPr="00D85E09">
        <w:t>Again, while the NEMESIS data reflect the “general” ischaemic stroke patient population in Australia as a whole, the Tanny estimates would have a superior applicability to the modelled patient population.</w:t>
      </w:r>
    </w:p>
    <w:p w14:paraId="76288282" w14:textId="38B54238" w:rsidR="00A41E60" w:rsidRPr="00D85E09" w:rsidRDefault="00A41E60" w:rsidP="0043316B">
      <w:pPr>
        <w:pStyle w:val="Caption"/>
        <w:keepNext w:val="0"/>
        <w:widowControl w:val="0"/>
        <w:rPr>
          <w:lang w:val="en-AU"/>
        </w:rPr>
      </w:pPr>
      <w:bookmarkStart w:id="429" w:name="_Ref447273774"/>
      <w:bookmarkStart w:id="430" w:name="_Toc368658900"/>
      <w:bookmarkStart w:id="431" w:name="_Toc45306539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60</w:t>
      </w:r>
      <w:r w:rsidRPr="00D85E09">
        <w:rPr>
          <w:lang w:val="en-AU"/>
        </w:rPr>
        <w:fldChar w:fldCharType="end"/>
      </w:r>
      <w:bookmarkEnd w:id="429"/>
      <w:r w:rsidRPr="00D85E09">
        <w:rPr>
          <w:lang w:val="en-AU"/>
        </w:rPr>
        <w:tab/>
        <w:t>Treatment costs of ischaemic stroke by resource category – acute and out</w:t>
      </w:r>
      <w:r w:rsidR="00582C35" w:rsidRPr="00D85E09">
        <w:rPr>
          <w:lang w:val="en-AU"/>
        </w:rPr>
        <w:t>-</w:t>
      </w:r>
      <w:r w:rsidRPr="00D85E09">
        <w:rPr>
          <w:lang w:val="en-AU"/>
        </w:rPr>
        <w:t>of</w:t>
      </w:r>
      <w:r w:rsidR="00582C35" w:rsidRPr="00D85E09">
        <w:rPr>
          <w:lang w:val="en-AU"/>
        </w:rPr>
        <w:t>-</w:t>
      </w:r>
      <w:r w:rsidRPr="00D85E09">
        <w:rPr>
          <w:lang w:val="en-AU"/>
        </w:rPr>
        <w:t xml:space="preserve">hospital phase to 12 months, </w:t>
      </w:r>
      <w:bookmarkEnd w:id="430"/>
      <w:r w:rsidRPr="00D85E09">
        <w:rPr>
          <w:lang w:val="en-AU"/>
        </w:rPr>
        <w:t>per patient average</w:t>
      </w:r>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0 Treatment costs of ischaemic stroke by resource category – acute and out-of-hospital phase to 12 months, per patient average"/>
      </w:tblPr>
      <w:tblGrid>
        <w:gridCol w:w="5085"/>
        <w:gridCol w:w="3919"/>
      </w:tblGrid>
      <w:tr w:rsidR="00A41E60" w:rsidRPr="00D85E09" w14:paraId="3A22C4B3" w14:textId="77777777" w:rsidTr="00A41E60">
        <w:tc>
          <w:tcPr>
            <w:tcW w:w="2824" w:type="pct"/>
            <w:tcBorders>
              <w:top w:val="single" w:sz="4" w:space="0" w:color="auto"/>
              <w:left w:val="single" w:sz="4" w:space="0" w:color="auto"/>
              <w:bottom w:val="single" w:sz="4" w:space="0" w:color="auto"/>
              <w:right w:val="single" w:sz="4" w:space="0" w:color="auto"/>
            </w:tcBorders>
            <w:hideMark/>
          </w:tcPr>
          <w:p w14:paraId="0B23A8B2" w14:textId="77777777" w:rsidR="00A41E60" w:rsidRPr="00D85E09" w:rsidRDefault="00A41E60" w:rsidP="0043316B">
            <w:pPr>
              <w:pStyle w:val="Tabletext"/>
              <w:keepNext w:val="0"/>
              <w:widowControl w:val="0"/>
              <w:rPr>
                <w:b/>
              </w:rPr>
            </w:pPr>
            <w:r w:rsidRPr="00D85E09">
              <w:rPr>
                <w:b/>
              </w:rPr>
              <w:t>Resource category</w:t>
            </w:r>
          </w:p>
        </w:tc>
        <w:tc>
          <w:tcPr>
            <w:tcW w:w="2176" w:type="pct"/>
            <w:tcBorders>
              <w:top w:val="single" w:sz="4" w:space="0" w:color="auto"/>
              <w:left w:val="single" w:sz="4" w:space="0" w:color="auto"/>
              <w:bottom w:val="single" w:sz="4" w:space="0" w:color="auto"/>
              <w:right w:val="single" w:sz="4" w:space="0" w:color="auto"/>
            </w:tcBorders>
            <w:hideMark/>
          </w:tcPr>
          <w:p w14:paraId="720B64B1" w14:textId="77777777" w:rsidR="00A41E60" w:rsidRPr="00D85E09" w:rsidRDefault="00A41E60" w:rsidP="0043316B">
            <w:pPr>
              <w:pStyle w:val="Tabletext"/>
              <w:keepNext w:val="0"/>
              <w:widowControl w:val="0"/>
              <w:jc w:val="center"/>
              <w:rPr>
                <w:b/>
              </w:rPr>
            </w:pPr>
            <w:r w:rsidRPr="00D85E09">
              <w:rPr>
                <w:b/>
              </w:rPr>
              <w:t>Ischaemic stroke (n=27,660)</w:t>
            </w:r>
          </w:p>
        </w:tc>
      </w:tr>
      <w:tr w:rsidR="00A41E60" w:rsidRPr="00D85E09" w14:paraId="18241D1E"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62E0DE2B" w14:textId="77777777" w:rsidR="00A41E60" w:rsidRPr="00D85E09" w:rsidRDefault="00A41E60" w:rsidP="0043316B">
            <w:pPr>
              <w:pStyle w:val="Tabletext"/>
              <w:keepNext w:val="0"/>
              <w:widowControl w:val="0"/>
              <w:ind w:left="167"/>
            </w:pPr>
            <w:r w:rsidRPr="00D85E09">
              <w:t xml:space="preserve"> Pre-admission (GP or ambulance)**</w:t>
            </w:r>
          </w:p>
        </w:tc>
        <w:tc>
          <w:tcPr>
            <w:tcW w:w="2176" w:type="pct"/>
            <w:tcBorders>
              <w:top w:val="single" w:sz="4" w:space="0" w:color="auto"/>
              <w:left w:val="single" w:sz="4" w:space="0" w:color="auto"/>
              <w:bottom w:val="single" w:sz="4" w:space="0" w:color="auto"/>
              <w:right w:val="single" w:sz="4" w:space="0" w:color="auto"/>
            </w:tcBorders>
            <w:hideMark/>
          </w:tcPr>
          <w:p w14:paraId="67B7FAF9" w14:textId="77777777" w:rsidR="00A41E60" w:rsidRPr="00D85E09" w:rsidRDefault="00A41E60" w:rsidP="0043316B">
            <w:pPr>
              <w:pStyle w:val="Tabletext"/>
              <w:keepNext w:val="0"/>
              <w:widowControl w:val="0"/>
              <w:jc w:val="center"/>
            </w:pPr>
            <w:r w:rsidRPr="00D85E09">
              <w:t>$440</w:t>
            </w:r>
          </w:p>
        </w:tc>
      </w:tr>
      <w:tr w:rsidR="00A41E60" w:rsidRPr="00D85E09" w14:paraId="1331C1E6"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3C7DC8A3" w14:textId="77777777" w:rsidR="00A41E60" w:rsidRPr="00D85E09" w:rsidRDefault="00A41E60" w:rsidP="0043316B">
            <w:pPr>
              <w:pStyle w:val="Tabletext"/>
              <w:keepNext w:val="0"/>
              <w:widowControl w:val="0"/>
              <w:ind w:left="167"/>
            </w:pPr>
            <w:r w:rsidRPr="00D85E09">
              <w:t xml:space="preserve"> Acute hospitalisation**</w:t>
            </w:r>
          </w:p>
        </w:tc>
        <w:tc>
          <w:tcPr>
            <w:tcW w:w="2176" w:type="pct"/>
            <w:tcBorders>
              <w:top w:val="single" w:sz="4" w:space="0" w:color="auto"/>
              <w:left w:val="single" w:sz="4" w:space="0" w:color="auto"/>
              <w:bottom w:val="single" w:sz="4" w:space="0" w:color="auto"/>
              <w:right w:val="single" w:sz="4" w:space="0" w:color="auto"/>
            </w:tcBorders>
            <w:hideMark/>
          </w:tcPr>
          <w:p w14:paraId="4086ECA8" w14:textId="77777777" w:rsidR="00A41E60" w:rsidRPr="00D85E09" w:rsidRDefault="00A41E60" w:rsidP="0043316B">
            <w:pPr>
              <w:pStyle w:val="Tabletext"/>
              <w:keepNext w:val="0"/>
              <w:widowControl w:val="0"/>
              <w:jc w:val="center"/>
            </w:pPr>
            <w:r w:rsidRPr="00D85E09">
              <w:t>$8,644</w:t>
            </w:r>
          </w:p>
        </w:tc>
      </w:tr>
      <w:tr w:rsidR="00A41E60" w:rsidRPr="00D85E09" w14:paraId="7D512F51"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76E8585D" w14:textId="77777777" w:rsidR="00A41E60" w:rsidRPr="00D85E09" w:rsidRDefault="00A41E60" w:rsidP="0043316B">
            <w:pPr>
              <w:pStyle w:val="Tabletext"/>
              <w:keepNext w:val="0"/>
              <w:widowControl w:val="0"/>
              <w:ind w:left="167"/>
            </w:pPr>
            <w:r w:rsidRPr="00D85E09">
              <w:t xml:space="preserve"> Inpatient rehabilitation**</w:t>
            </w:r>
          </w:p>
        </w:tc>
        <w:tc>
          <w:tcPr>
            <w:tcW w:w="2176" w:type="pct"/>
            <w:tcBorders>
              <w:top w:val="single" w:sz="4" w:space="0" w:color="auto"/>
              <w:left w:val="single" w:sz="4" w:space="0" w:color="auto"/>
              <w:bottom w:val="single" w:sz="4" w:space="0" w:color="auto"/>
              <w:right w:val="single" w:sz="4" w:space="0" w:color="auto"/>
            </w:tcBorders>
            <w:hideMark/>
          </w:tcPr>
          <w:p w14:paraId="4A92D062" w14:textId="77777777" w:rsidR="00A41E60" w:rsidRPr="00D85E09" w:rsidRDefault="00A41E60" w:rsidP="0043316B">
            <w:pPr>
              <w:pStyle w:val="Tabletext"/>
              <w:keepNext w:val="0"/>
              <w:widowControl w:val="0"/>
              <w:jc w:val="center"/>
            </w:pPr>
            <w:r w:rsidRPr="00D85E09">
              <w:t>$7,087</w:t>
            </w:r>
          </w:p>
        </w:tc>
      </w:tr>
      <w:tr w:rsidR="00A41E60" w:rsidRPr="00D85E09" w14:paraId="2BD73DC2"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2E912FF6" w14:textId="77777777" w:rsidR="00A41E60" w:rsidRPr="00D85E09" w:rsidRDefault="00A41E60" w:rsidP="0043316B">
            <w:pPr>
              <w:pStyle w:val="Tabletext"/>
              <w:keepNext w:val="0"/>
              <w:widowControl w:val="0"/>
              <w:ind w:left="167"/>
            </w:pPr>
            <w:r w:rsidRPr="00D85E09">
              <w:t xml:space="preserve"> Aged care facilities</w:t>
            </w:r>
          </w:p>
        </w:tc>
        <w:tc>
          <w:tcPr>
            <w:tcW w:w="2176" w:type="pct"/>
            <w:tcBorders>
              <w:top w:val="single" w:sz="4" w:space="0" w:color="auto"/>
              <w:left w:val="single" w:sz="4" w:space="0" w:color="auto"/>
              <w:bottom w:val="single" w:sz="4" w:space="0" w:color="auto"/>
              <w:right w:val="single" w:sz="4" w:space="0" w:color="auto"/>
            </w:tcBorders>
            <w:hideMark/>
          </w:tcPr>
          <w:p w14:paraId="12E9BBD3" w14:textId="77777777" w:rsidR="00A41E60" w:rsidRPr="00D85E09" w:rsidRDefault="00A41E60" w:rsidP="0043316B">
            <w:pPr>
              <w:pStyle w:val="Tabletext"/>
              <w:keepNext w:val="0"/>
              <w:widowControl w:val="0"/>
              <w:jc w:val="center"/>
            </w:pPr>
            <w:r w:rsidRPr="00D85E09">
              <w:t>$2,310</w:t>
            </w:r>
          </w:p>
        </w:tc>
      </w:tr>
      <w:tr w:rsidR="00A41E60" w:rsidRPr="00D85E09" w14:paraId="020C3020"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7B69067A" w14:textId="77777777" w:rsidR="00A41E60" w:rsidRPr="00D85E09" w:rsidRDefault="00A41E60" w:rsidP="0043316B">
            <w:pPr>
              <w:pStyle w:val="Tabletext"/>
              <w:keepNext w:val="0"/>
              <w:widowControl w:val="0"/>
              <w:ind w:left="167"/>
            </w:pPr>
            <w:r w:rsidRPr="00D85E09">
              <w:t xml:space="preserve"> Medication costs</w:t>
            </w:r>
          </w:p>
        </w:tc>
        <w:tc>
          <w:tcPr>
            <w:tcW w:w="2176" w:type="pct"/>
            <w:tcBorders>
              <w:top w:val="single" w:sz="4" w:space="0" w:color="auto"/>
              <w:left w:val="single" w:sz="4" w:space="0" w:color="auto"/>
              <w:bottom w:val="single" w:sz="4" w:space="0" w:color="auto"/>
              <w:right w:val="single" w:sz="4" w:space="0" w:color="auto"/>
            </w:tcBorders>
            <w:hideMark/>
          </w:tcPr>
          <w:p w14:paraId="072A6FB5" w14:textId="77777777" w:rsidR="00A41E60" w:rsidRPr="00D85E09" w:rsidRDefault="00A41E60" w:rsidP="0043316B">
            <w:pPr>
              <w:pStyle w:val="Tabletext"/>
              <w:keepNext w:val="0"/>
              <w:widowControl w:val="0"/>
              <w:jc w:val="center"/>
            </w:pPr>
            <w:r w:rsidRPr="00D85E09">
              <w:t>$441</w:t>
            </w:r>
          </w:p>
        </w:tc>
      </w:tr>
      <w:tr w:rsidR="00A41E60" w:rsidRPr="00D85E09" w14:paraId="58428485"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289EE609" w14:textId="35CE75D9" w:rsidR="00A41E60" w:rsidRPr="00D85E09" w:rsidRDefault="00A41E60" w:rsidP="00582C35">
            <w:pPr>
              <w:pStyle w:val="Tabletext"/>
              <w:keepNext w:val="0"/>
              <w:widowControl w:val="0"/>
              <w:ind w:left="167"/>
            </w:pPr>
            <w:r w:rsidRPr="00D85E09">
              <w:t xml:space="preserve"> </w:t>
            </w:r>
            <w:r w:rsidR="00582C35" w:rsidRPr="00D85E09">
              <w:t>GP</w:t>
            </w:r>
            <w:r w:rsidRPr="00D85E09">
              <w:t xml:space="preserve"> care</w:t>
            </w:r>
          </w:p>
        </w:tc>
        <w:tc>
          <w:tcPr>
            <w:tcW w:w="2176" w:type="pct"/>
            <w:tcBorders>
              <w:top w:val="single" w:sz="4" w:space="0" w:color="auto"/>
              <w:left w:val="single" w:sz="4" w:space="0" w:color="auto"/>
              <w:bottom w:val="single" w:sz="4" w:space="0" w:color="auto"/>
              <w:right w:val="single" w:sz="4" w:space="0" w:color="auto"/>
            </w:tcBorders>
            <w:hideMark/>
          </w:tcPr>
          <w:p w14:paraId="72EBB9C4" w14:textId="77777777" w:rsidR="00A41E60" w:rsidRPr="00D85E09" w:rsidRDefault="00A41E60" w:rsidP="0043316B">
            <w:pPr>
              <w:pStyle w:val="Tabletext"/>
              <w:keepNext w:val="0"/>
              <w:widowControl w:val="0"/>
              <w:jc w:val="center"/>
            </w:pPr>
            <w:r w:rsidRPr="00D85E09">
              <w:t>$168</w:t>
            </w:r>
          </w:p>
        </w:tc>
      </w:tr>
      <w:tr w:rsidR="00A41E60" w:rsidRPr="00D85E09" w14:paraId="78376088"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0AE2C6F3" w14:textId="77777777" w:rsidR="00A41E60" w:rsidRPr="00D85E09" w:rsidRDefault="00A41E60" w:rsidP="0043316B">
            <w:pPr>
              <w:pStyle w:val="Tabletext"/>
              <w:keepNext w:val="0"/>
              <w:widowControl w:val="0"/>
              <w:ind w:left="167"/>
            </w:pPr>
            <w:r w:rsidRPr="00D85E09">
              <w:t xml:space="preserve"> Private allied health</w:t>
            </w:r>
          </w:p>
        </w:tc>
        <w:tc>
          <w:tcPr>
            <w:tcW w:w="2176" w:type="pct"/>
            <w:tcBorders>
              <w:top w:val="single" w:sz="4" w:space="0" w:color="auto"/>
              <w:left w:val="single" w:sz="4" w:space="0" w:color="auto"/>
              <w:bottom w:val="single" w:sz="4" w:space="0" w:color="auto"/>
              <w:right w:val="single" w:sz="4" w:space="0" w:color="auto"/>
            </w:tcBorders>
            <w:hideMark/>
          </w:tcPr>
          <w:p w14:paraId="38F70995" w14:textId="77777777" w:rsidR="00A41E60" w:rsidRPr="00D85E09" w:rsidRDefault="00A41E60" w:rsidP="0043316B">
            <w:pPr>
              <w:pStyle w:val="Tabletext"/>
              <w:keepNext w:val="0"/>
              <w:widowControl w:val="0"/>
              <w:jc w:val="center"/>
            </w:pPr>
            <w:r w:rsidRPr="00D85E09">
              <w:t>$107</w:t>
            </w:r>
          </w:p>
        </w:tc>
      </w:tr>
      <w:tr w:rsidR="00A41E60" w:rsidRPr="00D85E09" w14:paraId="382728A4"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7F7F4594" w14:textId="77777777" w:rsidR="00A41E60" w:rsidRPr="00D85E09" w:rsidRDefault="00A41E60" w:rsidP="0043316B">
            <w:pPr>
              <w:pStyle w:val="Tabletext"/>
              <w:keepNext w:val="0"/>
              <w:widowControl w:val="0"/>
              <w:ind w:left="167"/>
            </w:pPr>
            <w:r w:rsidRPr="00D85E09">
              <w:t xml:space="preserve"> Investigations</w:t>
            </w:r>
          </w:p>
        </w:tc>
        <w:tc>
          <w:tcPr>
            <w:tcW w:w="2176" w:type="pct"/>
            <w:tcBorders>
              <w:top w:val="single" w:sz="4" w:space="0" w:color="auto"/>
              <w:left w:val="single" w:sz="4" w:space="0" w:color="auto"/>
              <w:bottom w:val="single" w:sz="4" w:space="0" w:color="auto"/>
              <w:right w:val="single" w:sz="4" w:space="0" w:color="auto"/>
            </w:tcBorders>
            <w:hideMark/>
          </w:tcPr>
          <w:p w14:paraId="509D287D" w14:textId="77777777" w:rsidR="00A41E60" w:rsidRPr="00D85E09" w:rsidRDefault="00A41E60" w:rsidP="0043316B">
            <w:pPr>
              <w:pStyle w:val="Tabletext"/>
              <w:keepNext w:val="0"/>
              <w:widowControl w:val="0"/>
              <w:jc w:val="center"/>
            </w:pPr>
            <w:r w:rsidRPr="00D85E09">
              <w:t>$221</w:t>
            </w:r>
          </w:p>
        </w:tc>
      </w:tr>
      <w:tr w:rsidR="00A41E60" w:rsidRPr="00D85E09" w14:paraId="0EDA6CAD"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514EDE43" w14:textId="77777777" w:rsidR="00A41E60" w:rsidRPr="00D85E09" w:rsidRDefault="00A41E60" w:rsidP="0043316B">
            <w:pPr>
              <w:pStyle w:val="Tabletext"/>
              <w:keepNext w:val="0"/>
              <w:widowControl w:val="0"/>
              <w:ind w:left="167"/>
            </w:pPr>
            <w:r w:rsidRPr="00D85E09">
              <w:t xml:space="preserve"> Specialist medical care</w:t>
            </w:r>
          </w:p>
        </w:tc>
        <w:tc>
          <w:tcPr>
            <w:tcW w:w="2176" w:type="pct"/>
            <w:tcBorders>
              <w:top w:val="single" w:sz="4" w:space="0" w:color="auto"/>
              <w:left w:val="single" w:sz="4" w:space="0" w:color="auto"/>
              <w:bottom w:val="single" w:sz="4" w:space="0" w:color="auto"/>
              <w:right w:val="single" w:sz="4" w:space="0" w:color="auto"/>
            </w:tcBorders>
            <w:hideMark/>
          </w:tcPr>
          <w:p w14:paraId="59B1A381" w14:textId="77777777" w:rsidR="00A41E60" w:rsidRPr="00D85E09" w:rsidRDefault="00A41E60" w:rsidP="0043316B">
            <w:pPr>
              <w:pStyle w:val="Tabletext"/>
              <w:keepNext w:val="0"/>
              <w:widowControl w:val="0"/>
              <w:jc w:val="center"/>
            </w:pPr>
            <w:r w:rsidRPr="00D85E09">
              <w:t>$175</w:t>
            </w:r>
          </w:p>
        </w:tc>
      </w:tr>
      <w:tr w:rsidR="00A41E60" w:rsidRPr="00D85E09" w14:paraId="35FAFB20"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6C87D008" w14:textId="77777777" w:rsidR="00A41E60" w:rsidRPr="00D85E09" w:rsidRDefault="00A41E60" w:rsidP="0043316B">
            <w:pPr>
              <w:pStyle w:val="Tabletext"/>
              <w:keepNext w:val="0"/>
              <w:widowControl w:val="0"/>
              <w:ind w:left="167"/>
            </w:pPr>
            <w:r w:rsidRPr="00D85E09">
              <w:t xml:space="preserve"> Outpatient rehabilitation</w:t>
            </w:r>
          </w:p>
        </w:tc>
        <w:tc>
          <w:tcPr>
            <w:tcW w:w="2176" w:type="pct"/>
            <w:tcBorders>
              <w:top w:val="single" w:sz="4" w:space="0" w:color="auto"/>
              <w:left w:val="single" w:sz="4" w:space="0" w:color="auto"/>
              <w:bottom w:val="single" w:sz="4" w:space="0" w:color="auto"/>
              <w:right w:val="single" w:sz="4" w:space="0" w:color="auto"/>
            </w:tcBorders>
            <w:hideMark/>
          </w:tcPr>
          <w:p w14:paraId="3144C309" w14:textId="77777777" w:rsidR="00A41E60" w:rsidRPr="00D85E09" w:rsidRDefault="00A41E60" w:rsidP="0043316B">
            <w:pPr>
              <w:pStyle w:val="Tabletext"/>
              <w:keepNext w:val="0"/>
              <w:widowControl w:val="0"/>
              <w:jc w:val="center"/>
            </w:pPr>
            <w:r w:rsidRPr="00D85E09">
              <w:t>$672</w:t>
            </w:r>
          </w:p>
        </w:tc>
      </w:tr>
      <w:tr w:rsidR="00A41E60" w:rsidRPr="00D85E09" w14:paraId="156FA5AC"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7880BFB5" w14:textId="77777777" w:rsidR="00A41E60" w:rsidRPr="00D85E09" w:rsidRDefault="00A41E60" w:rsidP="0043316B">
            <w:pPr>
              <w:pStyle w:val="Tabletext"/>
              <w:keepNext w:val="0"/>
              <w:widowControl w:val="0"/>
              <w:ind w:left="167"/>
            </w:pPr>
            <w:r w:rsidRPr="00D85E09">
              <w:t xml:space="preserve"> Community services</w:t>
            </w:r>
          </w:p>
        </w:tc>
        <w:tc>
          <w:tcPr>
            <w:tcW w:w="2176" w:type="pct"/>
            <w:tcBorders>
              <w:top w:val="single" w:sz="4" w:space="0" w:color="auto"/>
              <w:left w:val="single" w:sz="4" w:space="0" w:color="auto"/>
              <w:bottom w:val="single" w:sz="4" w:space="0" w:color="auto"/>
              <w:right w:val="single" w:sz="4" w:space="0" w:color="auto"/>
            </w:tcBorders>
            <w:hideMark/>
          </w:tcPr>
          <w:p w14:paraId="7E476EB9" w14:textId="77777777" w:rsidR="00A41E60" w:rsidRPr="00D85E09" w:rsidRDefault="00A41E60" w:rsidP="0043316B">
            <w:pPr>
              <w:pStyle w:val="Tabletext"/>
              <w:keepNext w:val="0"/>
              <w:widowControl w:val="0"/>
              <w:jc w:val="center"/>
            </w:pPr>
            <w:r w:rsidRPr="00D85E09">
              <w:t>$20</w:t>
            </w:r>
          </w:p>
        </w:tc>
      </w:tr>
      <w:tr w:rsidR="00A41E60" w:rsidRPr="00D85E09" w14:paraId="4376602F"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773371B3" w14:textId="77777777" w:rsidR="00A41E60" w:rsidRPr="00D85E09" w:rsidRDefault="00A41E60" w:rsidP="0043316B">
            <w:pPr>
              <w:pStyle w:val="Tabletext"/>
              <w:keepNext w:val="0"/>
              <w:widowControl w:val="0"/>
              <w:ind w:left="167"/>
            </w:pPr>
            <w:r w:rsidRPr="00D85E09">
              <w:t xml:space="preserve"> Respite care</w:t>
            </w:r>
          </w:p>
        </w:tc>
        <w:tc>
          <w:tcPr>
            <w:tcW w:w="2176" w:type="pct"/>
            <w:tcBorders>
              <w:top w:val="single" w:sz="4" w:space="0" w:color="auto"/>
              <w:left w:val="single" w:sz="4" w:space="0" w:color="auto"/>
              <w:bottom w:val="single" w:sz="4" w:space="0" w:color="auto"/>
              <w:right w:val="single" w:sz="4" w:space="0" w:color="auto"/>
            </w:tcBorders>
            <w:hideMark/>
          </w:tcPr>
          <w:p w14:paraId="0B9DE567" w14:textId="77777777" w:rsidR="00A41E60" w:rsidRPr="00D85E09" w:rsidRDefault="00A41E60" w:rsidP="0043316B">
            <w:pPr>
              <w:pStyle w:val="Tabletext"/>
              <w:keepNext w:val="0"/>
              <w:widowControl w:val="0"/>
              <w:jc w:val="center"/>
            </w:pPr>
            <w:r w:rsidRPr="00D85E09">
              <w:t>$307</w:t>
            </w:r>
          </w:p>
        </w:tc>
      </w:tr>
      <w:tr w:rsidR="00A41E60" w:rsidRPr="00D85E09" w14:paraId="17AA2854"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2F54B4A8" w14:textId="77777777" w:rsidR="00A41E60" w:rsidRPr="00D85E09" w:rsidRDefault="00A41E60" w:rsidP="0043316B">
            <w:pPr>
              <w:pStyle w:val="Tabletext"/>
              <w:keepNext w:val="0"/>
              <w:widowControl w:val="0"/>
              <w:ind w:left="167"/>
            </w:pPr>
            <w:r w:rsidRPr="00D85E09">
              <w:t xml:space="preserve"> Hospitalisation for recurrent strokes</w:t>
            </w:r>
          </w:p>
        </w:tc>
        <w:tc>
          <w:tcPr>
            <w:tcW w:w="2176" w:type="pct"/>
            <w:tcBorders>
              <w:top w:val="single" w:sz="4" w:space="0" w:color="auto"/>
              <w:left w:val="single" w:sz="4" w:space="0" w:color="auto"/>
              <w:bottom w:val="single" w:sz="4" w:space="0" w:color="auto"/>
              <w:right w:val="single" w:sz="4" w:space="0" w:color="auto"/>
            </w:tcBorders>
            <w:hideMark/>
          </w:tcPr>
          <w:p w14:paraId="5FA352BE" w14:textId="77777777" w:rsidR="00A41E60" w:rsidRPr="00D85E09" w:rsidRDefault="00A41E60" w:rsidP="0043316B">
            <w:pPr>
              <w:pStyle w:val="Tabletext"/>
              <w:keepNext w:val="0"/>
              <w:widowControl w:val="0"/>
              <w:jc w:val="center"/>
            </w:pPr>
            <w:r w:rsidRPr="00D85E09">
              <w:t>$801</w:t>
            </w:r>
          </w:p>
        </w:tc>
      </w:tr>
      <w:tr w:rsidR="00A41E60" w:rsidRPr="00D85E09" w14:paraId="51CF6317"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75D9E82B" w14:textId="77777777" w:rsidR="00A41E60" w:rsidRPr="00D85E09" w:rsidRDefault="00A41E60" w:rsidP="0043316B">
            <w:pPr>
              <w:pStyle w:val="Tabletext"/>
              <w:keepNext w:val="0"/>
              <w:widowControl w:val="0"/>
              <w:ind w:left="167"/>
            </w:pPr>
            <w:r w:rsidRPr="00D85E09">
              <w:t xml:space="preserve"> Hospitalisation for complications of stroke</w:t>
            </w:r>
          </w:p>
        </w:tc>
        <w:tc>
          <w:tcPr>
            <w:tcW w:w="2176" w:type="pct"/>
            <w:tcBorders>
              <w:top w:val="single" w:sz="4" w:space="0" w:color="auto"/>
              <w:left w:val="single" w:sz="4" w:space="0" w:color="auto"/>
              <w:bottom w:val="single" w:sz="4" w:space="0" w:color="auto"/>
              <w:right w:val="single" w:sz="4" w:space="0" w:color="auto"/>
            </w:tcBorders>
            <w:hideMark/>
          </w:tcPr>
          <w:p w14:paraId="43ACA8AA" w14:textId="77777777" w:rsidR="00A41E60" w:rsidRPr="00D85E09" w:rsidRDefault="00A41E60" w:rsidP="0043316B">
            <w:pPr>
              <w:pStyle w:val="Tabletext"/>
              <w:keepNext w:val="0"/>
              <w:widowControl w:val="0"/>
              <w:jc w:val="center"/>
            </w:pPr>
            <w:r w:rsidRPr="00D85E09">
              <w:t>$1,442</w:t>
            </w:r>
          </w:p>
        </w:tc>
      </w:tr>
      <w:tr w:rsidR="00A41E60" w:rsidRPr="00D85E09" w14:paraId="63B3E1DD"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1C194153" w14:textId="77777777" w:rsidR="00A41E60" w:rsidRPr="00D85E09" w:rsidRDefault="00A41E60" w:rsidP="0043316B">
            <w:pPr>
              <w:pStyle w:val="Tabletext"/>
              <w:keepNext w:val="0"/>
              <w:widowControl w:val="0"/>
              <w:ind w:left="167"/>
            </w:pPr>
            <w:r w:rsidRPr="00D85E09">
              <w:t xml:space="preserve"> Ambulance transfers</w:t>
            </w:r>
          </w:p>
        </w:tc>
        <w:tc>
          <w:tcPr>
            <w:tcW w:w="2176" w:type="pct"/>
            <w:tcBorders>
              <w:top w:val="single" w:sz="4" w:space="0" w:color="auto"/>
              <w:left w:val="single" w:sz="4" w:space="0" w:color="auto"/>
              <w:bottom w:val="single" w:sz="4" w:space="0" w:color="auto"/>
              <w:right w:val="single" w:sz="4" w:space="0" w:color="auto"/>
            </w:tcBorders>
            <w:hideMark/>
          </w:tcPr>
          <w:p w14:paraId="0FEBCA13" w14:textId="77777777" w:rsidR="00A41E60" w:rsidRPr="00D85E09" w:rsidRDefault="00A41E60" w:rsidP="0043316B">
            <w:pPr>
              <w:pStyle w:val="Tabletext"/>
              <w:keepNext w:val="0"/>
              <w:widowControl w:val="0"/>
              <w:jc w:val="center"/>
            </w:pPr>
            <w:r w:rsidRPr="00D85E09">
              <w:t>$116</w:t>
            </w:r>
          </w:p>
        </w:tc>
      </w:tr>
      <w:tr w:rsidR="00A41E60" w:rsidRPr="00D85E09" w14:paraId="3A1759A2"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06ECC683" w14:textId="77777777" w:rsidR="00A41E60" w:rsidRPr="00D85E09" w:rsidRDefault="00A41E60" w:rsidP="0043316B">
            <w:pPr>
              <w:pStyle w:val="Tabletext"/>
              <w:keepNext w:val="0"/>
              <w:widowControl w:val="0"/>
              <w:ind w:left="167"/>
            </w:pPr>
            <w:r w:rsidRPr="00D85E09">
              <w:t xml:space="preserve"> Emergency department presentations</w:t>
            </w:r>
          </w:p>
        </w:tc>
        <w:tc>
          <w:tcPr>
            <w:tcW w:w="2176" w:type="pct"/>
            <w:tcBorders>
              <w:top w:val="single" w:sz="4" w:space="0" w:color="auto"/>
              <w:left w:val="single" w:sz="4" w:space="0" w:color="auto"/>
              <w:bottom w:val="single" w:sz="4" w:space="0" w:color="auto"/>
              <w:right w:val="single" w:sz="4" w:space="0" w:color="auto"/>
            </w:tcBorders>
            <w:hideMark/>
          </w:tcPr>
          <w:p w14:paraId="4488404B" w14:textId="77777777" w:rsidR="00A41E60" w:rsidRPr="00D85E09" w:rsidRDefault="00A41E60" w:rsidP="0043316B">
            <w:pPr>
              <w:pStyle w:val="Tabletext"/>
              <w:keepNext w:val="0"/>
              <w:widowControl w:val="0"/>
              <w:jc w:val="center"/>
            </w:pPr>
            <w:r w:rsidRPr="00D85E09">
              <w:t>$33</w:t>
            </w:r>
          </w:p>
        </w:tc>
      </w:tr>
      <w:tr w:rsidR="00A41E60" w:rsidRPr="00D85E09" w14:paraId="73EFC5EC"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2CD67445" w14:textId="77777777" w:rsidR="00A41E60" w:rsidRPr="00D85E09" w:rsidRDefault="00A41E60" w:rsidP="0043316B">
            <w:pPr>
              <w:pStyle w:val="Tabletext"/>
              <w:keepNext w:val="0"/>
              <w:widowControl w:val="0"/>
              <w:ind w:left="167"/>
            </w:pPr>
            <w:r w:rsidRPr="00D85E09">
              <w:t xml:space="preserve"> Aged care assessment teams</w:t>
            </w:r>
          </w:p>
        </w:tc>
        <w:tc>
          <w:tcPr>
            <w:tcW w:w="2176" w:type="pct"/>
            <w:tcBorders>
              <w:top w:val="single" w:sz="4" w:space="0" w:color="auto"/>
              <w:left w:val="single" w:sz="4" w:space="0" w:color="auto"/>
              <w:bottom w:val="single" w:sz="4" w:space="0" w:color="auto"/>
              <w:right w:val="single" w:sz="4" w:space="0" w:color="auto"/>
            </w:tcBorders>
            <w:hideMark/>
          </w:tcPr>
          <w:p w14:paraId="3A373B6E" w14:textId="77777777" w:rsidR="00A41E60" w:rsidRPr="00D85E09" w:rsidRDefault="00A41E60" w:rsidP="0043316B">
            <w:pPr>
              <w:pStyle w:val="Tabletext"/>
              <w:keepNext w:val="0"/>
              <w:widowControl w:val="0"/>
              <w:jc w:val="center"/>
            </w:pPr>
            <w:r w:rsidRPr="00D85E09">
              <w:t>$63</w:t>
            </w:r>
          </w:p>
        </w:tc>
      </w:tr>
      <w:tr w:rsidR="00A41E60" w:rsidRPr="00D85E09" w14:paraId="6E0ECE84"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5088DC34" w14:textId="77777777" w:rsidR="00A41E60" w:rsidRPr="00D85E09" w:rsidRDefault="00A41E60" w:rsidP="0043316B">
            <w:pPr>
              <w:pStyle w:val="Tabletext"/>
              <w:keepNext w:val="0"/>
              <w:widowControl w:val="0"/>
              <w:ind w:left="167"/>
            </w:pPr>
            <w:r w:rsidRPr="00D85E09">
              <w:t xml:space="preserve"> Out-of-pocket costs</w:t>
            </w:r>
          </w:p>
        </w:tc>
        <w:tc>
          <w:tcPr>
            <w:tcW w:w="2176" w:type="pct"/>
            <w:tcBorders>
              <w:top w:val="single" w:sz="4" w:space="0" w:color="auto"/>
              <w:left w:val="single" w:sz="4" w:space="0" w:color="auto"/>
              <w:bottom w:val="single" w:sz="4" w:space="0" w:color="auto"/>
              <w:right w:val="single" w:sz="4" w:space="0" w:color="auto"/>
            </w:tcBorders>
            <w:hideMark/>
          </w:tcPr>
          <w:p w14:paraId="2D749F44" w14:textId="77777777" w:rsidR="00A41E60" w:rsidRPr="00D85E09" w:rsidRDefault="00A41E60" w:rsidP="0043316B">
            <w:pPr>
              <w:pStyle w:val="Tabletext"/>
              <w:keepNext w:val="0"/>
              <w:widowControl w:val="0"/>
              <w:jc w:val="center"/>
            </w:pPr>
            <w:r w:rsidRPr="00D85E09">
              <w:t>$545</w:t>
            </w:r>
          </w:p>
        </w:tc>
      </w:tr>
      <w:tr w:rsidR="00A41E60" w:rsidRPr="00D85E09" w14:paraId="257FC9D3"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49157D7D" w14:textId="77777777" w:rsidR="00A41E60" w:rsidRPr="00D85E09" w:rsidRDefault="00A41E60" w:rsidP="0043316B">
            <w:pPr>
              <w:pStyle w:val="Tabletext"/>
              <w:keepNext w:val="0"/>
              <w:widowControl w:val="0"/>
              <w:ind w:left="167"/>
            </w:pPr>
            <w:r w:rsidRPr="00D85E09">
              <w:t xml:space="preserve"> Caregiver costs </w:t>
            </w:r>
          </w:p>
        </w:tc>
        <w:tc>
          <w:tcPr>
            <w:tcW w:w="2176" w:type="pct"/>
            <w:tcBorders>
              <w:top w:val="single" w:sz="4" w:space="0" w:color="auto"/>
              <w:left w:val="single" w:sz="4" w:space="0" w:color="auto"/>
              <w:bottom w:val="single" w:sz="4" w:space="0" w:color="auto"/>
              <w:right w:val="single" w:sz="4" w:space="0" w:color="auto"/>
            </w:tcBorders>
            <w:hideMark/>
          </w:tcPr>
          <w:p w14:paraId="587BEEAA" w14:textId="77777777" w:rsidR="00A41E60" w:rsidRPr="00D85E09" w:rsidRDefault="00A41E60" w:rsidP="0043316B">
            <w:pPr>
              <w:pStyle w:val="Tabletext"/>
              <w:keepNext w:val="0"/>
              <w:widowControl w:val="0"/>
              <w:jc w:val="center"/>
            </w:pPr>
            <w:r w:rsidRPr="00D85E09">
              <w:t>$1,126</w:t>
            </w:r>
          </w:p>
        </w:tc>
      </w:tr>
      <w:tr w:rsidR="00A41E60" w:rsidRPr="00D85E09" w14:paraId="462BA432"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326E63DE" w14:textId="77777777" w:rsidR="00A41E60" w:rsidRPr="00D85E09" w:rsidRDefault="00A41E60" w:rsidP="0043316B">
            <w:pPr>
              <w:pStyle w:val="Tabletext"/>
              <w:keepNext w:val="0"/>
              <w:widowControl w:val="0"/>
              <w:rPr>
                <w:b/>
              </w:rPr>
            </w:pPr>
            <w:r w:rsidRPr="00D85E09">
              <w:rPr>
                <w:b/>
              </w:rPr>
              <w:t>Total first year costs (all items), 2004 values</w:t>
            </w:r>
          </w:p>
        </w:tc>
        <w:tc>
          <w:tcPr>
            <w:tcW w:w="2176" w:type="pct"/>
            <w:tcBorders>
              <w:top w:val="single" w:sz="4" w:space="0" w:color="auto"/>
              <w:left w:val="single" w:sz="4" w:space="0" w:color="auto"/>
              <w:bottom w:val="single" w:sz="4" w:space="0" w:color="auto"/>
              <w:right w:val="single" w:sz="4" w:space="0" w:color="auto"/>
            </w:tcBorders>
            <w:hideMark/>
          </w:tcPr>
          <w:p w14:paraId="4FFA08AD" w14:textId="77777777" w:rsidR="00A41E60" w:rsidRPr="00D85E09" w:rsidRDefault="00A41E60" w:rsidP="0043316B">
            <w:pPr>
              <w:pStyle w:val="Tabletext"/>
              <w:keepNext w:val="0"/>
              <w:widowControl w:val="0"/>
              <w:jc w:val="center"/>
              <w:rPr>
                <w:b/>
              </w:rPr>
            </w:pPr>
            <w:r w:rsidRPr="00D85E09">
              <w:rPr>
                <w:b/>
              </w:rPr>
              <w:t>$24,718</w:t>
            </w:r>
          </w:p>
        </w:tc>
      </w:tr>
      <w:tr w:rsidR="00A41E60" w:rsidRPr="00D85E09" w14:paraId="42D548A7"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1346F9B8" w14:textId="5BF0E22A" w:rsidR="00A41E60" w:rsidRPr="00D85E09" w:rsidRDefault="00A41E60" w:rsidP="0043316B">
            <w:pPr>
              <w:pStyle w:val="Tabletext"/>
              <w:keepNext w:val="0"/>
              <w:widowControl w:val="0"/>
              <w:rPr>
                <w:b/>
                <w:vertAlign w:val="superscript"/>
              </w:rPr>
            </w:pPr>
            <w:r w:rsidRPr="00D85E09">
              <w:rPr>
                <w:b/>
              </w:rPr>
              <w:t xml:space="preserve"> – Acute costs only</w:t>
            </w:r>
          </w:p>
        </w:tc>
        <w:tc>
          <w:tcPr>
            <w:tcW w:w="2176" w:type="pct"/>
            <w:tcBorders>
              <w:top w:val="single" w:sz="4" w:space="0" w:color="auto"/>
              <w:left w:val="single" w:sz="4" w:space="0" w:color="auto"/>
              <w:bottom w:val="single" w:sz="4" w:space="0" w:color="auto"/>
              <w:right w:val="single" w:sz="4" w:space="0" w:color="auto"/>
            </w:tcBorders>
            <w:hideMark/>
          </w:tcPr>
          <w:p w14:paraId="24E6BC5F" w14:textId="77777777" w:rsidR="00A41E60" w:rsidRPr="00D85E09" w:rsidRDefault="00A41E60" w:rsidP="0043316B">
            <w:pPr>
              <w:pStyle w:val="Tabletext"/>
              <w:keepNext w:val="0"/>
              <w:widowControl w:val="0"/>
              <w:jc w:val="center"/>
              <w:rPr>
                <w:b/>
              </w:rPr>
            </w:pPr>
            <w:r w:rsidRPr="00D85E09">
              <w:rPr>
                <w:b/>
              </w:rPr>
              <w:t>$16,171</w:t>
            </w:r>
          </w:p>
        </w:tc>
      </w:tr>
      <w:tr w:rsidR="00A41E60" w:rsidRPr="00D85E09" w14:paraId="361D01CF" w14:textId="77777777" w:rsidTr="00A41E60">
        <w:tc>
          <w:tcPr>
            <w:tcW w:w="2824" w:type="pct"/>
            <w:tcBorders>
              <w:top w:val="single" w:sz="4" w:space="0" w:color="auto"/>
              <w:left w:val="single" w:sz="4" w:space="0" w:color="auto"/>
              <w:bottom w:val="single" w:sz="4" w:space="0" w:color="auto"/>
              <w:right w:val="single" w:sz="4" w:space="0" w:color="auto"/>
            </w:tcBorders>
            <w:vAlign w:val="bottom"/>
            <w:hideMark/>
          </w:tcPr>
          <w:p w14:paraId="0B50F4BB" w14:textId="3CE7A6F0" w:rsidR="00A41E60" w:rsidRPr="00D85E09" w:rsidRDefault="00A41E60" w:rsidP="0043316B">
            <w:pPr>
              <w:pStyle w:val="Tabletext"/>
              <w:keepNext w:val="0"/>
              <w:widowControl w:val="0"/>
              <w:rPr>
                <w:b/>
              </w:rPr>
            </w:pPr>
            <w:r w:rsidRPr="00D85E09">
              <w:rPr>
                <w:b/>
              </w:rPr>
              <w:t xml:space="preserve"> – Out</w:t>
            </w:r>
            <w:r w:rsidR="00582C35" w:rsidRPr="00D85E09">
              <w:rPr>
                <w:b/>
              </w:rPr>
              <w:t>-</w:t>
            </w:r>
            <w:r w:rsidRPr="00D85E09">
              <w:rPr>
                <w:b/>
              </w:rPr>
              <w:t>of</w:t>
            </w:r>
            <w:r w:rsidR="00582C35" w:rsidRPr="00D85E09">
              <w:rPr>
                <w:b/>
              </w:rPr>
              <w:t>-</w:t>
            </w:r>
            <w:r w:rsidRPr="00D85E09">
              <w:rPr>
                <w:b/>
              </w:rPr>
              <w:t xml:space="preserve">hospital costs </w:t>
            </w:r>
          </w:p>
        </w:tc>
        <w:tc>
          <w:tcPr>
            <w:tcW w:w="2176" w:type="pct"/>
            <w:tcBorders>
              <w:top w:val="single" w:sz="4" w:space="0" w:color="auto"/>
              <w:left w:val="single" w:sz="4" w:space="0" w:color="auto"/>
              <w:bottom w:val="single" w:sz="4" w:space="0" w:color="auto"/>
              <w:right w:val="single" w:sz="4" w:space="0" w:color="auto"/>
            </w:tcBorders>
            <w:hideMark/>
          </w:tcPr>
          <w:p w14:paraId="3BC9570A" w14:textId="77777777" w:rsidR="00A41E60" w:rsidRPr="00D85E09" w:rsidRDefault="00A41E60" w:rsidP="0043316B">
            <w:pPr>
              <w:pStyle w:val="Tabletext"/>
              <w:keepNext w:val="0"/>
              <w:widowControl w:val="0"/>
              <w:jc w:val="center"/>
              <w:rPr>
                <w:b/>
              </w:rPr>
            </w:pPr>
            <w:r w:rsidRPr="00D85E09">
              <w:rPr>
                <w:b/>
              </w:rPr>
              <w:t>$8,547</w:t>
            </w:r>
          </w:p>
        </w:tc>
      </w:tr>
      <w:tr w:rsidR="00A41E60" w:rsidRPr="00D85E09" w14:paraId="7A874E0D" w14:textId="77777777" w:rsidTr="00A41E60">
        <w:tc>
          <w:tcPr>
            <w:tcW w:w="2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1DB409D" w14:textId="77777777" w:rsidR="00A41E60" w:rsidRPr="00D85E09" w:rsidRDefault="00A41E60" w:rsidP="0043316B">
            <w:pPr>
              <w:pStyle w:val="Tabletext"/>
              <w:keepNext w:val="0"/>
              <w:widowControl w:val="0"/>
              <w:rPr>
                <w:b/>
                <w:vertAlign w:val="superscript"/>
              </w:rPr>
            </w:pPr>
            <w:r w:rsidRPr="00D85E09">
              <w:rPr>
                <w:b/>
              </w:rPr>
              <w:t>Inflated to 2016 prices</w:t>
            </w:r>
            <w:r w:rsidRPr="00D85E09">
              <w:rPr>
                <w:b/>
                <w:vertAlign w:val="superscript"/>
              </w:rPr>
              <w:t>a</w:t>
            </w:r>
          </w:p>
        </w:tc>
        <w:tc>
          <w:tcPr>
            <w:tcW w:w="21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A756B" w14:textId="77777777" w:rsidR="00A41E60" w:rsidRPr="00D85E09" w:rsidRDefault="00A41E60" w:rsidP="0043316B">
            <w:pPr>
              <w:pStyle w:val="Tabletext"/>
              <w:keepNext w:val="0"/>
              <w:widowControl w:val="0"/>
              <w:jc w:val="center"/>
              <w:rPr>
                <w:b/>
              </w:rPr>
            </w:pPr>
          </w:p>
        </w:tc>
      </w:tr>
      <w:tr w:rsidR="00A41E60" w:rsidRPr="00D85E09" w14:paraId="7E96B36C" w14:textId="77777777" w:rsidTr="00A41E60">
        <w:tc>
          <w:tcPr>
            <w:tcW w:w="2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3CA542A" w14:textId="3A3C4F46" w:rsidR="00A41E60" w:rsidRPr="00D85E09" w:rsidRDefault="00A41E60" w:rsidP="0043316B">
            <w:pPr>
              <w:pStyle w:val="Tabletext"/>
              <w:keepNext w:val="0"/>
              <w:widowControl w:val="0"/>
              <w:rPr>
                <w:b/>
              </w:rPr>
            </w:pPr>
            <w:r w:rsidRPr="00D85E09">
              <w:rPr>
                <w:b/>
              </w:rPr>
              <w:t xml:space="preserve"> – Acute costs only</w:t>
            </w:r>
          </w:p>
        </w:tc>
        <w:tc>
          <w:tcPr>
            <w:tcW w:w="21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0BAA71" w14:textId="77777777" w:rsidR="00A41E60" w:rsidRPr="00D85E09" w:rsidRDefault="00A41E60" w:rsidP="0043316B">
            <w:pPr>
              <w:pStyle w:val="Tabletext"/>
              <w:keepNext w:val="0"/>
              <w:widowControl w:val="0"/>
              <w:jc w:val="center"/>
              <w:rPr>
                <w:b/>
              </w:rPr>
            </w:pPr>
            <w:r w:rsidRPr="00D85E09">
              <w:rPr>
                <w:b/>
              </w:rPr>
              <w:t>$28,056</w:t>
            </w:r>
          </w:p>
        </w:tc>
      </w:tr>
      <w:tr w:rsidR="00A41E60" w:rsidRPr="00D85E09" w14:paraId="0DD46FB3" w14:textId="77777777" w:rsidTr="00A41E60">
        <w:trPr>
          <w:trHeight w:val="85"/>
        </w:trPr>
        <w:tc>
          <w:tcPr>
            <w:tcW w:w="2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66E3888" w14:textId="2C6FF5EA" w:rsidR="00A41E60" w:rsidRPr="00D85E09" w:rsidRDefault="00A41E60" w:rsidP="0043316B">
            <w:pPr>
              <w:pStyle w:val="Tabletext"/>
              <w:keepNext w:val="0"/>
              <w:widowControl w:val="0"/>
              <w:rPr>
                <w:b/>
              </w:rPr>
            </w:pPr>
            <w:r w:rsidRPr="00D85E09">
              <w:rPr>
                <w:b/>
              </w:rPr>
              <w:t xml:space="preserve"> – Out</w:t>
            </w:r>
            <w:r w:rsidR="00582C35" w:rsidRPr="00D85E09">
              <w:rPr>
                <w:b/>
              </w:rPr>
              <w:t>-</w:t>
            </w:r>
            <w:r w:rsidRPr="00D85E09">
              <w:rPr>
                <w:b/>
              </w:rPr>
              <w:t>of</w:t>
            </w:r>
            <w:r w:rsidR="00582C35" w:rsidRPr="00D85E09">
              <w:rPr>
                <w:b/>
              </w:rPr>
              <w:t>-</w:t>
            </w:r>
            <w:r w:rsidRPr="00D85E09">
              <w:rPr>
                <w:b/>
              </w:rPr>
              <w:t xml:space="preserve">hospital costs </w:t>
            </w:r>
          </w:p>
        </w:tc>
        <w:tc>
          <w:tcPr>
            <w:tcW w:w="217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7BB4CF" w14:textId="77777777" w:rsidR="00A41E60" w:rsidRPr="00D85E09" w:rsidRDefault="00A41E60" w:rsidP="0043316B">
            <w:pPr>
              <w:pStyle w:val="Tabletext"/>
              <w:keepNext w:val="0"/>
              <w:widowControl w:val="0"/>
              <w:jc w:val="center"/>
              <w:rPr>
                <w:b/>
              </w:rPr>
            </w:pPr>
            <w:r w:rsidRPr="00D85E09">
              <w:rPr>
                <w:b/>
              </w:rPr>
              <w:t>$14,829</w:t>
            </w:r>
          </w:p>
        </w:tc>
      </w:tr>
    </w:tbl>
    <w:p w14:paraId="29CDDB4E" w14:textId="25DC7F44" w:rsidR="00A41E60" w:rsidRPr="00D85E09" w:rsidRDefault="00A41E60" w:rsidP="0043316B">
      <w:pPr>
        <w:pStyle w:val="Tablefootnote"/>
        <w:widowControl w:val="0"/>
        <w:rPr>
          <w:lang w:val="en-AU"/>
        </w:rPr>
      </w:pPr>
      <w:r w:rsidRPr="00D85E09">
        <w:rPr>
          <w:lang w:val="en-AU"/>
        </w:rPr>
        <w:t>Source: Cadilhac et al. (2009), Table 3</w:t>
      </w:r>
      <w:r w:rsidRPr="00D85E09">
        <w:rPr>
          <w:lang w:val="en-AU"/>
        </w:rPr>
        <w:br/>
        <w:t>**Cost items considered as acute and thus excluded from out</w:t>
      </w:r>
      <w:r w:rsidR="00582C35" w:rsidRPr="00D85E09">
        <w:rPr>
          <w:lang w:val="en-AU"/>
        </w:rPr>
        <w:t>-</w:t>
      </w:r>
      <w:r w:rsidRPr="00D85E09">
        <w:rPr>
          <w:lang w:val="en-AU"/>
        </w:rPr>
        <w:t>of</w:t>
      </w:r>
      <w:r w:rsidR="00582C35" w:rsidRPr="00D85E09">
        <w:rPr>
          <w:lang w:val="en-AU"/>
        </w:rPr>
        <w:t>-</w:t>
      </w:r>
      <w:r w:rsidRPr="00D85E09">
        <w:rPr>
          <w:lang w:val="en-AU"/>
        </w:rPr>
        <w:t>hospital costs</w:t>
      </w:r>
      <w:r w:rsidRPr="00D85E09">
        <w:rPr>
          <w:lang w:val="en-AU"/>
        </w:rPr>
        <w:br/>
      </w:r>
      <w:r w:rsidRPr="00D85E09">
        <w:rPr>
          <w:vertAlign w:val="superscript"/>
          <w:lang w:val="en-AU"/>
        </w:rPr>
        <w:t>a</w:t>
      </w:r>
      <w:r w:rsidRPr="00D85E09">
        <w:rPr>
          <w:lang w:val="en-AU"/>
        </w:rPr>
        <w:t xml:space="preserve"> Price inflator (2004-2016) = 1.7350 (based on Australian Bureau of Statistics, Consumer Price Index - Health, 6401.0).</w:t>
      </w:r>
    </w:p>
    <w:p w14:paraId="5962F86E" w14:textId="77777777" w:rsidR="00A41E60" w:rsidRPr="00D85E09" w:rsidRDefault="00A41E60" w:rsidP="0043316B">
      <w:pPr>
        <w:widowControl w:val="0"/>
      </w:pPr>
    </w:p>
    <w:p w14:paraId="44E17D89" w14:textId="06BAEB91" w:rsidR="00A41E60" w:rsidRPr="00D85E09" w:rsidRDefault="00A41E60" w:rsidP="0043316B">
      <w:pPr>
        <w:widowControl w:val="0"/>
      </w:pPr>
      <w:r w:rsidRPr="00D85E09">
        <w:lastRenderedPageBreak/>
        <w:t>While not reporting specific cost inputs relevant to the modelled health states (i.e., defined by mRS; see Section D.</w:t>
      </w:r>
      <w:r w:rsidR="00166C2D" w:rsidRPr="00D85E09">
        <w:t>3</w:t>
      </w:r>
      <w:r w:rsidRPr="00D85E09">
        <w:t>), a within-trial cost-effectiveness evaluation of mechanical thrombectomy performed by Campbell et al. (</w:t>
      </w:r>
      <w:r w:rsidR="004F68A7" w:rsidRPr="00D85E09">
        <w:t>2015</w:t>
      </w:r>
      <w:r w:rsidRPr="00D85E09">
        <w:t>; vs IV</w:t>
      </w:r>
      <w:r w:rsidR="00D32933" w:rsidRPr="00D85E09">
        <w:t>-</w:t>
      </w:r>
      <w:r w:rsidRPr="00D85E09">
        <w:t>tPA, based on EXTEND-IA) reported locally</w:t>
      </w:r>
      <w:r w:rsidR="00D32933" w:rsidRPr="00D85E09">
        <w:t>-</w:t>
      </w:r>
      <w:r w:rsidRPr="00D85E09">
        <w:t>relevant cost information collected from real</w:t>
      </w:r>
      <w:r w:rsidR="00300BB6" w:rsidRPr="00D85E09">
        <w:t xml:space="preserve"> </w:t>
      </w:r>
      <w:r w:rsidRPr="00D85E09">
        <w:t xml:space="preserve">world settings, as summarised in </w:t>
      </w:r>
      <w:r w:rsidRPr="00D85E09">
        <w:fldChar w:fldCharType="begin"/>
      </w:r>
      <w:r w:rsidRPr="00D85E09">
        <w:instrText xml:space="preserve"> REF _Ref447272084 \h </w:instrText>
      </w:r>
      <w:r w:rsidRPr="00D85E09">
        <w:fldChar w:fldCharType="separate"/>
      </w:r>
      <w:r w:rsidR="00A456ED" w:rsidRPr="00D85E09">
        <w:t xml:space="preserve">Table </w:t>
      </w:r>
      <w:r w:rsidR="00A456ED">
        <w:rPr>
          <w:noProof/>
        </w:rPr>
        <w:t>61</w:t>
      </w:r>
      <w:r w:rsidRPr="00D85E09">
        <w:fldChar w:fldCharType="end"/>
      </w:r>
      <w:r w:rsidRPr="00D85E09">
        <w:t xml:space="preserve">. Inpatient care costs were determined based on the IPD data for length of stay in the acute stroke unit, inpatient fast and slow stream rehabilitation, nursing home and palliative care (Campbell et al. </w:t>
      </w:r>
      <w:r w:rsidR="004F68A7" w:rsidRPr="00D85E09">
        <w:t>2015</w:t>
      </w:r>
      <w:r w:rsidRPr="00D85E09">
        <w:t>). It should be noted however that these data reflect public hospital costs, which may underestimate the cost benefits offered by mechanical thrombectomy vs usual care in a private hospital setting.</w:t>
      </w:r>
    </w:p>
    <w:p w14:paraId="1999C7FD" w14:textId="6F3B6E8A" w:rsidR="00A41E60" w:rsidRPr="00D85E09" w:rsidRDefault="00A41E60" w:rsidP="0043316B">
      <w:pPr>
        <w:widowControl w:val="0"/>
        <w:rPr>
          <w:rFonts w:cs="Times New Roman"/>
          <w:b/>
          <w:szCs w:val="20"/>
        </w:rPr>
      </w:pPr>
      <w:r w:rsidRPr="00D85E09">
        <w:t xml:space="preserve">While the 3-month inpatient care costs reported in this study already account for functional outcome differences between the two arms, the reported cost estimates are in agreement with other inpatient cost estimates presented above; however, these values suggest that the acute cost estimates reported by Tanny et al (2013) may underrepresent healthcare resource use for patients treated under usual care. </w:t>
      </w:r>
      <w:r w:rsidRPr="00D85E09">
        <w:rPr>
          <w:i/>
        </w:rPr>
        <w:t>Of note, importantly, this cost-effectiveness study clearly supports a very favourable health economics profile of mechanical thrombectomy (</w:t>
      </w:r>
      <w:r w:rsidRPr="00D85E09">
        <w:rPr>
          <w:i/>
          <w:u w:val="single"/>
        </w:rPr>
        <w:t>dominant</w:t>
      </w:r>
      <w:r w:rsidRPr="00D85E09">
        <w:rPr>
          <w:i/>
        </w:rPr>
        <w:t>; cheaper and more effective); to be further discussed in Section D below.</w:t>
      </w:r>
    </w:p>
    <w:p w14:paraId="3B99F8DF" w14:textId="5D269BCF" w:rsidR="00A41E60" w:rsidRPr="00D85E09" w:rsidRDefault="00A41E60" w:rsidP="0043316B">
      <w:pPr>
        <w:pStyle w:val="Caption"/>
        <w:keepNext w:val="0"/>
        <w:widowControl w:val="0"/>
        <w:rPr>
          <w:lang w:val="en-AU"/>
        </w:rPr>
      </w:pPr>
      <w:bookmarkStart w:id="432" w:name="_Ref447272084"/>
      <w:bookmarkStart w:id="433" w:name="_Toc45306539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61</w:t>
      </w:r>
      <w:r w:rsidRPr="00D85E09">
        <w:rPr>
          <w:lang w:val="en-AU"/>
        </w:rPr>
        <w:fldChar w:fldCharType="end"/>
      </w:r>
      <w:bookmarkEnd w:id="432"/>
      <w:r w:rsidRPr="00D85E09">
        <w:rPr>
          <w:lang w:val="en-AU"/>
        </w:rPr>
        <w:tab/>
        <w:t>Cost comparison of mechanical thrombectomy vs usual care, based on EXTEND-IA</w:t>
      </w:r>
      <w:bookmarkEnd w:id="433"/>
    </w:p>
    <w:tbl>
      <w:tblPr>
        <w:tblStyle w:val="TableGrid"/>
        <w:tblW w:w="5000" w:type="pct"/>
        <w:tblLook w:val="04A0" w:firstRow="1" w:lastRow="0" w:firstColumn="1" w:lastColumn="0" w:noHBand="0" w:noVBand="1"/>
        <w:tblDescription w:val="Table 61 Cost comparison of mechanical thrombectomy vs usual care, based on EXTEND-IA"/>
      </w:tblPr>
      <w:tblGrid>
        <w:gridCol w:w="3922"/>
        <w:gridCol w:w="2541"/>
        <w:gridCol w:w="2541"/>
      </w:tblGrid>
      <w:tr w:rsidR="00A41E60" w:rsidRPr="00D85E09" w14:paraId="6D93F1B3" w14:textId="77777777" w:rsidTr="00BE6331">
        <w:trPr>
          <w:tblHeader/>
        </w:trPr>
        <w:tc>
          <w:tcPr>
            <w:tcW w:w="2178" w:type="pct"/>
            <w:tcBorders>
              <w:top w:val="single" w:sz="4" w:space="0" w:color="000000"/>
              <w:left w:val="single" w:sz="4" w:space="0" w:color="000000"/>
              <w:bottom w:val="single" w:sz="4" w:space="0" w:color="000000"/>
              <w:right w:val="single" w:sz="4" w:space="0" w:color="000000"/>
            </w:tcBorders>
            <w:hideMark/>
          </w:tcPr>
          <w:p w14:paraId="1CED5330" w14:textId="77777777" w:rsidR="00A41E60" w:rsidRPr="00D85E09" w:rsidRDefault="00A41E60" w:rsidP="0043316B">
            <w:pPr>
              <w:pStyle w:val="Tabletext"/>
              <w:keepNext w:val="0"/>
              <w:widowControl w:val="0"/>
              <w:rPr>
                <w:b/>
              </w:rPr>
            </w:pPr>
            <w:r w:rsidRPr="00D85E09">
              <w:rPr>
                <w:b/>
              </w:rPr>
              <w:t>Costs (first 3 months)</w:t>
            </w:r>
          </w:p>
        </w:tc>
        <w:tc>
          <w:tcPr>
            <w:tcW w:w="1411" w:type="pct"/>
            <w:tcBorders>
              <w:top w:val="single" w:sz="4" w:space="0" w:color="000000"/>
              <w:left w:val="single" w:sz="4" w:space="0" w:color="000000"/>
              <w:bottom w:val="single" w:sz="4" w:space="0" w:color="000000"/>
              <w:right w:val="single" w:sz="4" w:space="0" w:color="000000"/>
            </w:tcBorders>
            <w:hideMark/>
          </w:tcPr>
          <w:p w14:paraId="579D198D" w14:textId="77777777" w:rsidR="00A41E60" w:rsidRPr="00D85E09" w:rsidRDefault="00A41E60" w:rsidP="0043316B">
            <w:pPr>
              <w:pStyle w:val="Tabletext"/>
              <w:keepNext w:val="0"/>
              <w:widowControl w:val="0"/>
              <w:jc w:val="center"/>
              <w:rPr>
                <w:b/>
                <w:vertAlign w:val="superscript"/>
              </w:rPr>
            </w:pPr>
            <w:r w:rsidRPr="00D85E09">
              <w:rPr>
                <w:b/>
              </w:rPr>
              <w:t>Usual care + MT</w:t>
            </w:r>
          </w:p>
        </w:tc>
        <w:tc>
          <w:tcPr>
            <w:tcW w:w="1411" w:type="pct"/>
            <w:tcBorders>
              <w:top w:val="single" w:sz="4" w:space="0" w:color="000000"/>
              <w:left w:val="single" w:sz="4" w:space="0" w:color="000000"/>
              <w:bottom w:val="single" w:sz="4" w:space="0" w:color="000000"/>
              <w:right w:val="single" w:sz="4" w:space="0" w:color="000000"/>
            </w:tcBorders>
            <w:hideMark/>
          </w:tcPr>
          <w:p w14:paraId="40EA0A25" w14:textId="77777777" w:rsidR="00A41E60" w:rsidRPr="00D85E09" w:rsidRDefault="00A41E60" w:rsidP="0043316B">
            <w:pPr>
              <w:pStyle w:val="Tabletext"/>
              <w:keepNext w:val="0"/>
              <w:widowControl w:val="0"/>
              <w:jc w:val="center"/>
              <w:rPr>
                <w:b/>
              </w:rPr>
            </w:pPr>
            <w:r w:rsidRPr="00D85E09">
              <w:rPr>
                <w:b/>
              </w:rPr>
              <w:t>Usual care</w:t>
            </w:r>
            <w:r w:rsidRPr="00D85E09">
              <w:rPr>
                <w:b/>
                <w:vertAlign w:val="superscript"/>
              </w:rPr>
              <w:t>1</w:t>
            </w:r>
          </w:p>
        </w:tc>
      </w:tr>
      <w:tr w:rsidR="00A41E60" w:rsidRPr="00D85E09" w14:paraId="59B6C223"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5FAC4C13" w14:textId="77777777" w:rsidR="00A41E60" w:rsidRPr="00D85E09" w:rsidRDefault="00A41E60" w:rsidP="0043316B">
            <w:pPr>
              <w:pStyle w:val="Tabletext"/>
              <w:keepNext w:val="0"/>
              <w:widowControl w:val="0"/>
            </w:pPr>
            <w:r w:rsidRPr="00D85E09">
              <w:t xml:space="preserve">Alteplase </w:t>
            </w:r>
          </w:p>
        </w:tc>
        <w:tc>
          <w:tcPr>
            <w:tcW w:w="1411" w:type="pct"/>
            <w:tcBorders>
              <w:top w:val="single" w:sz="4" w:space="0" w:color="000000"/>
              <w:left w:val="single" w:sz="4" w:space="0" w:color="000000"/>
              <w:bottom w:val="single" w:sz="4" w:space="0" w:color="000000"/>
              <w:right w:val="single" w:sz="4" w:space="0" w:color="000000"/>
            </w:tcBorders>
            <w:hideMark/>
          </w:tcPr>
          <w:p w14:paraId="6FEF4C0B" w14:textId="77777777" w:rsidR="00A41E60" w:rsidRPr="00D85E09" w:rsidRDefault="00A41E60" w:rsidP="0043316B">
            <w:pPr>
              <w:pStyle w:val="Tabletext"/>
              <w:keepNext w:val="0"/>
              <w:widowControl w:val="0"/>
              <w:jc w:val="center"/>
            </w:pPr>
            <w:r w:rsidRPr="00D85E09">
              <w:t>$3,465</w:t>
            </w:r>
          </w:p>
        </w:tc>
        <w:tc>
          <w:tcPr>
            <w:tcW w:w="1411" w:type="pct"/>
            <w:tcBorders>
              <w:top w:val="single" w:sz="4" w:space="0" w:color="000000"/>
              <w:left w:val="single" w:sz="4" w:space="0" w:color="000000"/>
              <w:bottom w:val="single" w:sz="4" w:space="0" w:color="000000"/>
              <w:right w:val="single" w:sz="4" w:space="0" w:color="000000"/>
            </w:tcBorders>
            <w:hideMark/>
          </w:tcPr>
          <w:p w14:paraId="4A45255A" w14:textId="77777777" w:rsidR="00A41E60" w:rsidRPr="00D85E09" w:rsidRDefault="00A41E60" w:rsidP="0043316B">
            <w:pPr>
              <w:pStyle w:val="Tabletext"/>
              <w:keepNext w:val="0"/>
              <w:widowControl w:val="0"/>
              <w:jc w:val="center"/>
            </w:pPr>
            <w:r w:rsidRPr="00D85E09">
              <w:t>$3,465</w:t>
            </w:r>
          </w:p>
        </w:tc>
      </w:tr>
      <w:tr w:rsidR="00A41E60" w:rsidRPr="00D85E09" w14:paraId="1938C1FB"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5342ADC1" w14:textId="77777777" w:rsidR="00A41E60" w:rsidRPr="00D85E09" w:rsidRDefault="00A41E60" w:rsidP="0043316B">
            <w:pPr>
              <w:pStyle w:val="Tabletext"/>
              <w:keepNext w:val="0"/>
              <w:widowControl w:val="0"/>
            </w:pPr>
            <w:r w:rsidRPr="00D85E09">
              <w:t>Inter-hospital transfer (allow for 75% transferred)</w:t>
            </w:r>
          </w:p>
        </w:tc>
        <w:tc>
          <w:tcPr>
            <w:tcW w:w="1411" w:type="pct"/>
            <w:tcBorders>
              <w:top w:val="single" w:sz="4" w:space="0" w:color="000000"/>
              <w:left w:val="single" w:sz="4" w:space="0" w:color="000000"/>
              <w:bottom w:val="single" w:sz="4" w:space="0" w:color="000000"/>
              <w:right w:val="single" w:sz="4" w:space="0" w:color="000000"/>
            </w:tcBorders>
            <w:hideMark/>
          </w:tcPr>
          <w:p w14:paraId="40109450" w14:textId="77777777" w:rsidR="00A41E60" w:rsidRPr="00D85E09" w:rsidRDefault="00A41E60" w:rsidP="0043316B">
            <w:pPr>
              <w:pStyle w:val="Tabletext"/>
              <w:keepNext w:val="0"/>
              <w:widowControl w:val="0"/>
              <w:jc w:val="center"/>
            </w:pPr>
            <w:r w:rsidRPr="00D85E09">
              <w:t>$836</w:t>
            </w:r>
          </w:p>
        </w:tc>
        <w:tc>
          <w:tcPr>
            <w:tcW w:w="1411" w:type="pct"/>
            <w:tcBorders>
              <w:top w:val="single" w:sz="4" w:space="0" w:color="000000"/>
              <w:left w:val="single" w:sz="4" w:space="0" w:color="000000"/>
              <w:bottom w:val="single" w:sz="4" w:space="0" w:color="000000"/>
              <w:right w:val="single" w:sz="4" w:space="0" w:color="000000"/>
            </w:tcBorders>
            <w:hideMark/>
          </w:tcPr>
          <w:p w14:paraId="57169AAD" w14:textId="77777777" w:rsidR="00A41E60" w:rsidRPr="00D85E09" w:rsidRDefault="00A41E60" w:rsidP="0043316B">
            <w:pPr>
              <w:pStyle w:val="Tabletext"/>
              <w:keepNext w:val="0"/>
              <w:widowControl w:val="0"/>
              <w:jc w:val="center"/>
            </w:pPr>
            <w:r w:rsidRPr="00D85E09">
              <w:t>n/a</w:t>
            </w:r>
          </w:p>
        </w:tc>
      </w:tr>
      <w:tr w:rsidR="00A41E60" w:rsidRPr="00D85E09" w14:paraId="2DDA3824"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31767993" w14:textId="77777777" w:rsidR="00A41E60" w:rsidRPr="00D85E09" w:rsidRDefault="00A41E60" w:rsidP="0043316B">
            <w:pPr>
              <w:pStyle w:val="Tabletext"/>
              <w:keepNext w:val="0"/>
              <w:widowControl w:val="0"/>
            </w:pPr>
            <w:r w:rsidRPr="00D85E09">
              <w:t>Endovascular consumables</w:t>
            </w:r>
          </w:p>
        </w:tc>
        <w:tc>
          <w:tcPr>
            <w:tcW w:w="1411" w:type="pct"/>
            <w:tcBorders>
              <w:top w:val="single" w:sz="4" w:space="0" w:color="000000"/>
              <w:left w:val="single" w:sz="4" w:space="0" w:color="000000"/>
              <w:bottom w:val="single" w:sz="4" w:space="0" w:color="000000"/>
              <w:right w:val="single" w:sz="4" w:space="0" w:color="000000"/>
            </w:tcBorders>
            <w:hideMark/>
          </w:tcPr>
          <w:p w14:paraId="2922C981" w14:textId="77777777" w:rsidR="00A41E60" w:rsidRPr="00D85E09" w:rsidRDefault="00A41E60" w:rsidP="0043316B">
            <w:pPr>
              <w:pStyle w:val="Tabletext"/>
              <w:keepNext w:val="0"/>
              <w:widowControl w:val="0"/>
              <w:jc w:val="center"/>
            </w:pPr>
            <w:r w:rsidRPr="00D85E09">
              <w:t>$10,690</w:t>
            </w:r>
          </w:p>
        </w:tc>
        <w:tc>
          <w:tcPr>
            <w:tcW w:w="1411" w:type="pct"/>
            <w:tcBorders>
              <w:top w:val="single" w:sz="4" w:space="0" w:color="000000"/>
              <w:left w:val="single" w:sz="4" w:space="0" w:color="000000"/>
              <w:bottom w:val="single" w:sz="4" w:space="0" w:color="000000"/>
              <w:right w:val="single" w:sz="4" w:space="0" w:color="000000"/>
            </w:tcBorders>
            <w:hideMark/>
          </w:tcPr>
          <w:p w14:paraId="3699302E" w14:textId="77777777" w:rsidR="00A41E60" w:rsidRPr="00D85E09" w:rsidRDefault="00A41E60" w:rsidP="0043316B">
            <w:pPr>
              <w:pStyle w:val="Tabletext"/>
              <w:keepNext w:val="0"/>
              <w:widowControl w:val="0"/>
              <w:jc w:val="center"/>
            </w:pPr>
            <w:r w:rsidRPr="00D85E09">
              <w:t>n/a</w:t>
            </w:r>
          </w:p>
        </w:tc>
      </w:tr>
      <w:tr w:rsidR="00A41E60" w:rsidRPr="00D85E09" w14:paraId="78BABA0A"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27A89858" w14:textId="77777777" w:rsidR="00A41E60" w:rsidRPr="00D85E09" w:rsidRDefault="00A41E60" w:rsidP="0043316B">
            <w:pPr>
              <w:pStyle w:val="Tabletext"/>
              <w:keepNext w:val="0"/>
              <w:widowControl w:val="0"/>
            </w:pPr>
            <w:r w:rsidRPr="00D85E09">
              <w:t xml:space="preserve">Endovascular staffing </w:t>
            </w:r>
          </w:p>
        </w:tc>
        <w:tc>
          <w:tcPr>
            <w:tcW w:w="1411" w:type="pct"/>
            <w:tcBorders>
              <w:top w:val="single" w:sz="4" w:space="0" w:color="000000"/>
              <w:left w:val="single" w:sz="4" w:space="0" w:color="000000"/>
              <w:bottom w:val="single" w:sz="4" w:space="0" w:color="000000"/>
              <w:right w:val="single" w:sz="4" w:space="0" w:color="000000"/>
            </w:tcBorders>
            <w:hideMark/>
          </w:tcPr>
          <w:p w14:paraId="09E92497" w14:textId="77777777" w:rsidR="00A41E60" w:rsidRPr="00D85E09" w:rsidRDefault="00A41E60" w:rsidP="0043316B">
            <w:pPr>
              <w:pStyle w:val="Tabletext"/>
              <w:keepNext w:val="0"/>
              <w:widowControl w:val="0"/>
              <w:jc w:val="center"/>
            </w:pPr>
            <w:r w:rsidRPr="00D85E09">
              <w:t>$3,560</w:t>
            </w:r>
          </w:p>
        </w:tc>
        <w:tc>
          <w:tcPr>
            <w:tcW w:w="1411" w:type="pct"/>
            <w:tcBorders>
              <w:top w:val="single" w:sz="4" w:space="0" w:color="000000"/>
              <w:left w:val="single" w:sz="4" w:space="0" w:color="000000"/>
              <w:bottom w:val="single" w:sz="4" w:space="0" w:color="000000"/>
              <w:right w:val="single" w:sz="4" w:space="0" w:color="000000"/>
            </w:tcBorders>
            <w:hideMark/>
          </w:tcPr>
          <w:p w14:paraId="502D664F" w14:textId="77777777" w:rsidR="00A41E60" w:rsidRPr="00D85E09" w:rsidRDefault="00A41E60" w:rsidP="0043316B">
            <w:pPr>
              <w:pStyle w:val="Tabletext"/>
              <w:keepNext w:val="0"/>
              <w:widowControl w:val="0"/>
              <w:jc w:val="center"/>
            </w:pPr>
            <w:r w:rsidRPr="00D85E09">
              <w:t>n/a</w:t>
            </w:r>
          </w:p>
        </w:tc>
      </w:tr>
      <w:tr w:rsidR="00A41E60" w:rsidRPr="00D85E09" w14:paraId="5CAE3568"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2E800D91" w14:textId="77777777" w:rsidR="00A41E60" w:rsidRPr="00D85E09" w:rsidRDefault="00A41E60" w:rsidP="0043316B">
            <w:pPr>
              <w:pStyle w:val="Tabletext"/>
              <w:keepNext w:val="0"/>
              <w:widowControl w:val="0"/>
            </w:pPr>
            <w:r w:rsidRPr="00D85E09">
              <w:t xml:space="preserve">Inpatient care costs </w:t>
            </w:r>
          </w:p>
        </w:tc>
        <w:tc>
          <w:tcPr>
            <w:tcW w:w="1411" w:type="pct"/>
            <w:tcBorders>
              <w:top w:val="single" w:sz="4" w:space="0" w:color="000000"/>
              <w:left w:val="single" w:sz="4" w:space="0" w:color="000000"/>
              <w:bottom w:val="single" w:sz="4" w:space="0" w:color="000000"/>
              <w:right w:val="single" w:sz="4" w:space="0" w:color="000000"/>
            </w:tcBorders>
            <w:hideMark/>
          </w:tcPr>
          <w:p w14:paraId="019537F1" w14:textId="77777777" w:rsidR="00A41E60" w:rsidRPr="00D85E09" w:rsidRDefault="00A41E60" w:rsidP="0043316B">
            <w:pPr>
              <w:pStyle w:val="Tabletext"/>
              <w:keepNext w:val="0"/>
              <w:widowControl w:val="0"/>
              <w:jc w:val="center"/>
            </w:pPr>
            <w:r w:rsidRPr="00D85E09">
              <w:t>$23,000</w:t>
            </w:r>
          </w:p>
          <w:p w14:paraId="548FB7DF" w14:textId="77777777" w:rsidR="00A41E60" w:rsidRPr="00D85E09" w:rsidRDefault="00A41E60" w:rsidP="0043316B">
            <w:pPr>
              <w:pStyle w:val="Tabletext"/>
              <w:keepNext w:val="0"/>
              <w:widowControl w:val="0"/>
              <w:jc w:val="center"/>
            </w:pPr>
            <w:r w:rsidRPr="00D85E09">
              <w:t>CI95 $15,709-$30,029</w:t>
            </w:r>
          </w:p>
        </w:tc>
        <w:tc>
          <w:tcPr>
            <w:tcW w:w="1411" w:type="pct"/>
            <w:tcBorders>
              <w:top w:val="single" w:sz="4" w:space="0" w:color="000000"/>
              <w:left w:val="single" w:sz="4" w:space="0" w:color="000000"/>
              <w:bottom w:val="single" w:sz="4" w:space="0" w:color="000000"/>
              <w:right w:val="single" w:sz="4" w:space="0" w:color="000000"/>
            </w:tcBorders>
            <w:hideMark/>
          </w:tcPr>
          <w:p w14:paraId="288DBD02" w14:textId="77777777" w:rsidR="00A41E60" w:rsidRPr="00D85E09" w:rsidRDefault="00A41E60" w:rsidP="0043316B">
            <w:pPr>
              <w:pStyle w:val="Tabletext"/>
              <w:keepNext w:val="0"/>
              <w:widowControl w:val="0"/>
              <w:jc w:val="center"/>
            </w:pPr>
            <w:r w:rsidRPr="00D85E09">
              <w:t>$43,000</w:t>
            </w:r>
          </w:p>
          <w:p w14:paraId="6098B03E" w14:textId="77777777" w:rsidR="00A41E60" w:rsidRPr="00D85E09" w:rsidRDefault="00A41E60" w:rsidP="0043316B">
            <w:pPr>
              <w:pStyle w:val="Tabletext"/>
              <w:keepNext w:val="0"/>
              <w:widowControl w:val="0"/>
              <w:jc w:val="center"/>
            </w:pPr>
            <w:r w:rsidRPr="00D85E09">
              <w:t>CI95 $31,290-$54,688</w:t>
            </w:r>
          </w:p>
        </w:tc>
      </w:tr>
      <w:tr w:rsidR="00A41E60" w:rsidRPr="00D85E09" w14:paraId="31D75B5A"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2243AC6D" w14:textId="77777777" w:rsidR="00A41E60" w:rsidRPr="00D85E09" w:rsidRDefault="00A41E60" w:rsidP="0043316B">
            <w:pPr>
              <w:pStyle w:val="Tabletext"/>
              <w:keepNext w:val="0"/>
              <w:widowControl w:val="0"/>
              <w:rPr>
                <w:b/>
              </w:rPr>
            </w:pPr>
            <w:r w:rsidRPr="00D85E09">
              <w:rPr>
                <w:b/>
              </w:rPr>
              <w:t xml:space="preserve">TOTAL </w:t>
            </w:r>
          </w:p>
        </w:tc>
        <w:tc>
          <w:tcPr>
            <w:tcW w:w="1411" w:type="pct"/>
            <w:tcBorders>
              <w:top w:val="single" w:sz="4" w:space="0" w:color="000000"/>
              <w:left w:val="single" w:sz="4" w:space="0" w:color="000000"/>
              <w:bottom w:val="single" w:sz="4" w:space="0" w:color="000000"/>
              <w:right w:val="single" w:sz="4" w:space="0" w:color="000000"/>
            </w:tcBorders>
            <w:hideMark/>
          </w:tcPr>
          <w:p w14:paraId="193A9CAE" w14:textId="77777777" w:rsidR="00A41E60" w:rsidRPr="00D85E09" w:rsidRDefault="00A41E60" w:rsidP="0043316B">
            <w:pPr>
              <w:pStyle w:val="Tabletext"/>
              <w:keepNext w:val="0"/>
              <w:widowControl w:val="0"/>
              <w:jc w:val="center"/>
              <w:rPr>
                <w:b/>
              </w:rPr>
            </w:pPr>
            <w:r w:rsidRPr="00D85E09">
              <w:rPr>
                <w:b/>
              </w:rPr>
              <w:t>$41,551</w:t>
            </w:r>
          </w:p>
        </w:tc>
        <w:tc>
          <w:tcPr>
            <w:tcW w:w="1411" w:type="pct"/>
            <w:tcBorders>
              <w:top w:val="single" w:sz="4" w:space="0" w:color="000000"/>
              <w:left w:val="single" w:sz="4" w:space="0" w:color="000000"/>
              <w:bottom w:val="single" w:sz="4" w:space="0" w:color="000000"/>
              <w:right w:val="single" w:sz="4" w:space="0" w:color="000000"/>
            </w:tcBorders>
            <w:hideMark/>
          </w:tcPr>
          <w:p w14:paraId="789972D5" w14:textId="77777777" w:rsidR="00A41E60" w:rsidRPr="00D85E09" w:rsidRDefault="00A41E60" w:rsidP="0043316B">
            <w:pPr>
              <w:pStyle w:val="Tabletext"/>
              <w:keepNext w:val="0"/>
              <w:widowControl w:val="0"/>
              <w:jc w:val="center"/>
              <w:rPr>
                <w:b/>
              </w:rPr>
            </w:pPr>
            <w:r w:rsidRPr="00D85E09">
              <w:rPr>
                <w:b/>
              </w:rPr>
              <w:t>$45,465</w:t>
            </w:r>
          </w:p>
        </w:tc>
      </w:tr>
    </w:tbl>
    <w:p w14:paraId="2DD85CD8" w14:textId="286EA611" w:rsidR="00A41E60" w:rsidRPr="00D85E09" w:rsidRDefault="00A41E60" w:rsidP="0043316B">
      <w:pPr>
        <w:pStyle w:val="Tablefootnote"/>
        <w:widowControl w:val="0"/>
        <w:rPr>
          <w:lang w:val="en-AU"/>
        </w:rPr>
      </w:pPr>
      <w:r w:rsidRPr="00D85E09">
        <w:rPr>
          <w:lang w:val="en-AU"/>
        </w:rPr>
        <w:t xml:space="preserve">Source: Campbell et al </w:t>
      </w:r>
      <w:r w:rsidR="004F68A7" w:rsidRPr="00D85E09">
        <w:rPr>
          <w:lang w:val="en-AU"/>
        </w:rPr>
        <w:t>2015</w:t>
      </w:r>
      <w:r w:rsidRPr="00D85E09">
        <w:rPr>
          <w:lang w:val="en-AU"/>
        </w:rPr>
        <w:t>, Table 2</w:t>
      </w:r>
    </w:p>
    <w:p w14:paraId="606E9971" w14:textId="7BFA8D0C" w:rsidR="00A41E60" w:rsidRPr="00D85E09" w:rsidRDefault="00A41E60" w:rsidP="0043316B">
      <w:pPr>
        <w:pStyle w:val="Tablefootnote"/>
        <w:widowControl w:val="0"/>
        <w:rPr>
          <w:lang w:val="en-AU"/>
        </w:rPr>
      </w:pPr>
      <w:r w:rsidRPr="00D85E09">
        <w:rPr>
          <w:vertAlign w:val="superscript"/>
          <w:lang w:val="en-AU"/>
        </w:rPr>
        <w:t>1</w:t>
      </w:r>
      <w:r w:rsidRPr="00D85E09">
        <w:rPr>
          <w:lang w:val="en-AU"/>
        </w:rPr>
        <w:t xml:space="preserve"> IV</w:t>
      </w:r>
      <w:r w:rsidR="00D32933" w:rsidRPr="00D85E09">
        <w:rPr>
          <w:lang w:val="en-AU"/>
        </w:rPr>
        <w:t>-</w:t>
      </w:r>
      <w:r w:rsidRPr="00D85E09">
        <w:rPr>
          <w:lang w:val="en-AU"/>
        </w:rPr>
        <w:t>tPA eligible patients only.</w:t>
      </w:r>
    </w:p>
    <w:p w14:paraId="0E016F20" w14:textId="77777777" w:rsidR="00A41E60" w:rsidRPr="00D85E09" w:rsidRDefault="00A41E60" w:rsidP="0043316B">
      <w:pPr>
        <w:widowControl w:val="0"/>
        <w:rPr>
          <w:i/>
        </w:rPr>
      </w:pPr>
    </w:p>
    <w:p w14:paraId="6810E7C1" w14:textId="5BDD0473" w:rsidR="00C13682" w:rsidRDefault="00A41E60" w:rsidP="0043316B">
      <w:pPr>
        <w:widowControl w:val="0"/>
        <w:rPr>
          <w:i/>
        </w:rPr>
      </w:pPr>
      <w:r w:rsidRPr="00D85E09">
        <w:rPr>
          <w:i/>
        </w:rPr>
        <w:t>The base case analysis in Section D will employ estimates for inpatient and outpatient costs reported by Tanny et al (2013), given that this is the only source of locally</w:t>
      </w:r>
      <w:r w:rsidR="00D32933" w:rsidRPr="00D85E09">
        <w:rPr>
          <w:i/>
        </w:rPr>
        <w:t>-</w:t>
      </w:r>
      <w:r w:rsidRPr="00D85E09">
        <w:rPr>
          <w:i/>
        </w:rPr>
        <w:t>relevant stroke costs stratified by functional outcomes. The balance of evidence provided in the current pre-modelling study clearly supports the reasonableness of these estimates. Sensitivity analysis will explore alternative cost assumptions.</w:t>
      </w:r>
      <w:r w:rsidR="00C13682">
        <w:rPr>
          <w:i/>
        </w:rPr>
        <w:br w:type="page"/>
      </w:r>
    </w:p>
    <w:p w14:paraId="6B97BBBD" w14:textId="77777777" w:rsidR="00A41E60" w:rsidRPr="00D85E09" w:rsidRDefault="00A41E60" w:rsidP="0043316B">
      <w:pPr>
        <w:pStyle w:val="Heading5"/>
        <w:widowControl w:val="0"/>
        <w:rPr>
          <w:lang w:val="en-AU"/>
        </w:rPr>
      </w:pPr>
      <w:r w:rsidRPr="00D85E09">
        <w:rPr>
          <w:lang w:val="en-AU"/>
        </w:rPr>
        <w:lastRenderedPageBreak/>
        <w:t>Costs of stroke care by mRS – long-term costs (post 12 months)</w:t>
      </w:r>
    </w:p>
    <w:p w14:paraId="370A3FB1" w14:textId="783EDA26" w:rsidR="00A41E60" w:rsidRPr="00D85E09" w:rsidRDefault="00A41E60" w:rsidP="0043316B">
      <w:pPr>
        <w:widowControl w:val="0"/>
      </w:pPr>
      <w:r w:rsidRPr="00D85E09">
        <w:t>Gloede et al. (2014) reported longer</w:t>
      </w:r>
      <w:r w:rsidR="00D32933" w:rsidRPr="00D85E09">
        <w:t>-</w:t>
      </w:r>
      <w:r w:rsidRPr="00D85E09">
        <w:t xml:space="preserve">term cost data up to 10 years from the NEMESIS dataset, as summarised in </w:t>
      </w:r>
      <w:r w:rsidRPr="00D85E09">
        <w:fldChar w:fldCharType="begin"/>
      </w:r>
      <w:r w:rsidRPr="00D85E09">
        <w:instrText xml:space="preserve"> REF _Ref447273460 \h </w:instrText>
      </w:r>
      <w:r w:rsidRPr="00D85E09">
        <w:fldChar w:fldCharType="separate"/>
      </w:r>
      <w:r w:rsidR="00A456ED" w:rsidRPr="00D85E09">
        <w:t xml:space="preserve">Table </w:t>
      </w:r>
      <w:r w:rsidR="00A456ED">
        <w:rPr>
          <w:noProof/>
        </w:rPr>
        <w:t>62</w:t>
      </w:r>
      <w:r w:rsidRPr="00D85E09">
        <w:fldChar w:fldCharType="end"/>
      </w:r>
      <w:r w:rsidRPr="00D85E09">
        <w:t>. The reported estimates highlight that ischaemic strokes incur significant on-going costs in the long run ($10,275 each year over a 10 year period).</w:t>
      </w:r>
    </w:p>
    <w:p w14:paraId="1F3A30DC" w14:textId="675F5F9E" w:rsidR="00A41E60" w:rsidRPr="00D85E09" w:rsidRDefault="00A41E60" w:rsidP="0043316B">
      <w:pPr>
        <w:widowControl w:val="0"/>
      </w:pPr>
      <w:r w:rsidRPr="00D85E09">
        <w:t>For the Section D cost-effectiveness evaluation to accurately represent the benefits of the proposed service, it is necessary to capture potential long-term (post 12 months) cost implications because these long-term costs are most likely to be dependent on post-stroke functional outcomes. No relevant information on costs of stroke care by mRS has been reported from the NEMESIS dataset.</w:t>
      </w:r>
    </w:p>
    <w:p w14:paraId="16712D4F" w14:textId="72879D10" w:rsidR="00A41E60" w:rsidRPr="00D85E09" w:rsidRDefault="00A41E60" w:rsidP="0043316B">
      <w:pPr>
        <w:pStyle w:val="Caption"/>
        <w:keepNext w:val="0"/>
        <w:widowControl w:val="0"/>
        <w:rPr>
          <w:lang w:val="en-AU"/>
        </w:rPr>
      </w:pPr>
      <w:bookmarkStart w:id="434" w:name="_Ref447273460"/>
      <w:bookmarkStart w:id="435" w:name="_Toc368658901"/>
      <w:bookmarkStart w:id="436" w:name="_Toc45306539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62</w:t>
      </w:r>
      <w:r w:rsidRPr="00D85E09">
        <w:rPr>
          <w:lang w:val="en-AU"/>
        </w:rPr>
        <w:fldChar w:fldCharType="end"/>
      </w:r>
      <w:bookmarkEnd w:id="434"/>
      <w:r w:rsidRPr="00D85E09">
        <w:rPr>
          <w:lang w:val="en-AU"/>
        </w:rPr>
        <w:tab/>
        <w:t>Long-term stroke costs by resource category</w:t>
      </w:r>
      <w:bookmarkEnd w:id="435"/>
      <w:r w:rsidRPr="00D85E09">
        <w:rPr>
          <w:lang w:val="en-AU"/>
        </w:rPr>
        <w:t>, ischaemic stroke (per patient costs)</w:t>
      </w:r>
      <w:bookmarkEnd w:id="4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2 Long-term stroke costs by resource category, ischaemic stroke (per patient costs)"/>
      </w:tblPr>
      <w:tblGrid>
        <w:gridCol w:w="4940"/>
        <w:gridCol w:w="2031"/>
        <w:gridCol w:w="2033"/>
      </w:tblGrid>
      <w:tr w:rsidR="00A41E60" w:rsidRPr="00D85E09" w14:paraId="549AC829"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0EE3EAD2" w14:textId="77777777" w:rsidR="00A41E60" w:rsidRPr="00D85E09" w:rsidRDefault="00A41E60" w:rsidP="0043316B">
            <w:pPr>
              <w:pStyle w:val="Tabletext"/>
              <w:keepNext w:val="0"/>
              <w:widowControl w:val="0"/>
              <w:rPr>
                <w:b/>
              </w:rPr>
            </w:pPr>
            <w:r w:rsidRPr="00D85E09">
              <w:rPr>
                <w:b/>
              </w:rPr>
              <w:t>Resource category</w:t>
            </w:r>
          </w:p>
        </w:tc>
        <w:tc>
          <w:tcPr>
            <w:tcW w:w="1128" w:type="pct"/>
            <w:tcBorders>
              <w:top w:val="single" w:sz="4" w:space="0" w:color="auto"/>
              <w:left w:val="single" w:sz="4" w:space="0" w:color="auto"/>
              <w:bottom w:val="single" w:sz="4" w:space="0" w:color="auto"/>
              <w:right w:val="single" w:sz="4" w:space="0" w:color="auto"/>
            </w:tcBorders>
            <w:hideMark/>
          </w:tcPr>
          <w:p w14:paraId="58B439D4" w14:textId="77777777" w:rsidR="00A41E60" w:rsidRPr="00D85E09" w:rsidRDefault="00A41E60" w:rsidP="0043316B">
            <w:pPr>
              <w:pStyle w:val="Tabletext"/>
              <w:keepNext w:val="0"/>
              <w:widowControl w:val="0"/>
              <w:jc w:val="center"/>
              <w:rPr>
                <w:b/>
              </w:rPr>
            </w:pPr>
            <w:r w:rsidRPr="00D85E09">
              <w:rPr>
                <w:b/>
              </w:rPr>
              <w:t>Annual average between 3-5 years</w:t>
            </w:r>
          </w:p>
        </w:tc>
        <w:tc>
          <w:tcPr>
            <w:tcW w:w="1129" w:type="pct"/>
            <w:tcBorders>
              <w:top w:val="single" w:sz="4" w:space="0" w:color="auto"/>
              <w:left w:val="single" w:sz="4" w:space="0" w:color="auto"/>
              <w:bottom w:val="single" w:sz="4" w:space="0" w:color="auto"/>
              <w:right w:val="single" w:sz="4" w:space="0" w:color="auto"/>
            </w:tcBorders>
            <w:hideMark/>
          </w:tcPr>
          <w:p w14:paraId="151B550E" w14:textId="77777777" w:rsidR="00A41E60" w:rsidRPr="00D85E09" w:rsidRDefault="00A41E60" w:rsidP="0043316B">
            <w:pPr>
              <w:pStyle w:val="Tabletext"/>
              <w:keepNext w:val="0"/>
              <w:widowControl w:val="0"/>
              <w:jc w:val="center"/>
              <w:rPr>
                <w:b/>
              </w:rPr>
            </w:pPr>
            <w:r w:rsidRPr="00D85E09">
              <w:rPr>
                <w:b/>
              </w:rPr>
              <w:t>Annual average at 10 years</w:t>
            </w:r>
          </w:p>
        </w:tc>
      </w:tr>
      <w:tr w:rsidR="00A41E60" w:rsidRPr="00D85E09" w14:paraId="197B9942" w14:textId="77777777" w:rsidTr="00A41E60">
        <w:trPr>
          <w:trHeight w:val="77"/>
        </w:trPr>
        <w:tc>
          <w:tcPr>
            <w:tcW w:w="2743" w:type="pct"/>
            <w:tcBorders>
              <w:top w:val="single" w:sz="4" w:space="0" w:color="auto"/>
              <w:left w:val="single" w:sz="4" w:space="0" w:color="auto"/>
              <w:bottom w:val="single" w:sz="4" w:space="0" w:color="auto"/>
              <w:right w:val="single" w:sz="4" w:space="0" w:color="auto"/>
            </w:tcBorders>
            <w:hideMark/>
          </w:tcPr>
          <w:p w14:paraId="50FDB113" w14:textId="77777777" w:rsidR="00A41E60" w:rsidRPr="00D85E09" w:rsidRDefault="00A41E60" w:rsidP="0043316B">
            <w:pPr>
              <w:pStyle w:val="Tabletext"/>
              <w:keepNext w:val="0"/>
              <w:widowControl w:val="0"/>
              <w:ind w:left="167"/>
            </w:pPr>
            <w:r w:rsidRPr="00D85E09">
              <w:t xml:space="preserve">Aged care facilities </w:t>
            </w:r>
          </w:p>
        </w:tc>
        <w:tc>
          <w:tcPr>
            <w:tcW w:w="1128" w:type="pct"/>
            <w:tcBorders>
              <w:top w:val="single" w:sz="4" w:space="0" w:color="auto"/>
              <w:left w:val="single" w:sz="4" w:space="0" w:color="auto"/>
              <w:bottom w:val="single" w:sz="4" w:space="0" w:color="auto"/>
              <w:right w:val="single" w:sz="4" w:space="0" w:color="auto"/>
            </w:tcBorders>
            <w:hideMark/>
          </w:tcPr>
          <w:p w14:paraId="2F7EFA20" w14:textId="77777777" w:rsidR="00A41E60" w:rsidRPr="00D85E09" w:rsidRDefault="00A41E60" w:rsidP="0043316B">
            <w:pPr>
              <w:pStyle w:val="Tabletext"/>
              <w:keepNext w:val="0"/>
              <w:widowControl w:val="0"/>
              <w:jc w:val="center"/>
            </w:pPr>
            <w:r w:rsidRPr="00D85E09">
              <w:t>$2,148</w:t>
            </w:r>
          </w:p>
        </w:tc>
        <w:tc>
          <w:tcPr>
            <w:tcW w:w="1129" w:type="pct"/>
            <w:tcBorders>
              <w:top w:val="single" w:sz="4" w:space="0" w:color="auto"/>
              <w:left w:val="single" w:sz="4" w:space="0" w:color="auto"/>
              <w:bottom w:val="single" w:sz="4" w:space="0" w:color="auto"/>
              <w:right w:val="single" w:sz="4" w:space="0" w:color="auto"/>
            </w:tcBorders>
            <w:hideMark/>
          </w:tcPr>
          <w:p w14:paraId="354E5765" w14:textId="77777777" w:rsidR="00A41E60" w:rsidRPr="00D85E09" w:rsidRDefault="00A41E60" w:rsidP="0043316B">
            <w:pPr>
              <w:pStyle w:val="Tabletext"/>
              <w:keepNext w:val="0"/>
              <w:widowControl w:val="0"/>
              <w:jc w:val="center"/>
            </w:pPr>
            <w:r w:rsidRPr="00D85E09">
              <w:t>$2,337</w:t>
            </w:r>
          </w:p>
        </w:tc>
      </w:tr>
      <w:tr w:rsidR="00A41E60" w:rsidRPr="00D85E09" w14:paraId="35A61638"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35B32B1B" w14:textId="77777777" w:rsidR="00A41E60" w:rsidRPr="00D85E09" w:rsidRDefault="00A41E60" w:rsidP="0043316B">
            <w:pPr>
              <w:pStyle w:val="Tabletext"/>
              <w:keepNext w:val="0"/>
              <w:widowControl w:val="0"/>
              <w:ind w:left="167"/>
            </w:pPr>
            <w:r w:rsidRPr="00D85E09">
              <w:t xml:space="preserve">Medication costs </w:t>
            </w:r>
          </w:p>
        </w:tc>
        <w:tc>
          <w:tcPr>
            <w:tcW w:w="1128" w:type="pct"/>
            <w:tcBorders>
              <w:top w:val="single" w:sz="4" w:space="0" w:color="auto"/>
              <w:left w:val="single" w:sz="4" w:space="0" w:color="auto"/>
              <w:bottom w:val="single" w:sz="4" w:space="0" w:color="auto"/>
              <w:right w:val="single" w:sz="4" w:space="0" w:color="auto"/>
            </w:tcBorders>
            <w:hideMark/>
          </w:tcPr>
          <w:p w14:paraId="35897224" w14:textId="77777777" w:rsidR="00A41E60" w:rsidRPr="00D85E09" w:rsidRDefault="00A41E60" w:rsidP="0043316B">
            <w:pPr>
              <w:pStyle w:val="Tabletext"/>
              <w:keepNext w:val="0"/>
              <w:widowControl w:val="0"/>
              <w:jc w:val="center"/>
            </w:pPr>
            <w:r w:rsidRPr="00D85E09">
              <w:t>$690</w:t>
            </w:r>
          </w:p>
        </w:tc>
        <w:tc>
          <w:tcPr>
            <w:tcW w:w="1129" w:type="pct"/>
            <w:tcBorders>
              <w:top w:val="single" w:sz="4" w:space="0" w:color="auto"/>
              <w:left w:val="single" w:sz="4" w:space="0" w:color="auto"/>
              <w:bottom w:val="single" w:sz="4" w:space="0" w:color="auto"/>
              <w:right w:val="single" w:sz="4" w:space="0" w:color="auto"/>
            </w:tcBorders>
            <w:hideMark/>
          </w:tcPr>
          <w:p w14:paraId="74ECA5EB" w14:textId="77777777" w:rsidR="00A41E60" w:rsidRPr="00D85E09" w:rsidRDefault="00A41E60" w:rsidP="0043316B">
            <w:pPr>
              <w:pStyle w:val="Tabletext"/>
              <w:keepNext w:val="0"/>
              <w:widowControl w:val="0"/>
              <w:jc w:val="center"/>
            </w:pPr>
            <w:r w:rsidRPr="00D85E09">
              <w:t>$928</w:t>
            </w:r>
          </w:p>
        </w:tc>
      </w:tr>
      <w:tr w:rsidR="00A41E60" w:rsidRPr="00D85E09" w14:paraId="19D916B7"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3FAF20E9" w14:textId="77777777" w:rsidR="00A41E60" w:rsidRPr="00D85E09" w:rsidRDefault="00A41E60" w:rsidP="0043316B">
            <w:pPr>
              <w:pStyle w:val="Tabletext"/>
              <w:keepNext w:val="0"/>
              <w:widowControl w:val="0"/>
              <w:ind w:left="167"/>
            </w:pPr>
            <w:r w:rsidRPr="00D85E09">
              <w:t xml:space="preserve">Community services </w:t>
            </w:r>
          </w:p>
        </w:tc>
        <w:tc>
          <w:tcPr>
            <w:tcW w:w="1128" w:type="pct"/>
            <w:tcBorders>
              <w:top w:val="single" w:sz="4" w:space="0" w:color="auto"/>
              <w:left w:val="single" w:sz="4" w:space="0" w:color="auto"/>
              <w:bottom w:val="single" w:sz="4" w:space="0" w:color="auto"/>
              <w:right w:val="single" w:sz="4" w:space="0" w:color="auto"/>
            </w:tcBorders>
            <w:hideMark/>
          </w:tcPr>
          <w:p w14:paraId="3C8E57D2" w14:textId="77777777" w:rsidR="00A41E60" w:rsidRPr="00D85E09" w:rsidRDefault="00A41E60" w:rsidP="0043316B">
            <w:pPr>
              <w:pStyle w:val="Tabletext"/>
              <w:keepNext w:val="0"/>
              <w:widowControl w:val="0"/>
              <w:jc w:val="center"/>
            </w:pPr>
            <w:r w:rsidRPr="00D85E09">
              <w:t>$889</w:t>
            </w:r>
          </w:p>
        </w:tc>
        <w:tc>
          <w:tcPr>
            <w:tcW w:w="1129" w:type="pct"/>
            <w:tcBorders>
              <w:top w:val="single" w:sz="4" w:space="0" w:color="auto"/>
              <w:left w:val="single" w:sz="4" w:space="0" w:color="auto"/>
              <w:bottom w:val="single" w:sz="4" w:space="0" w:color="auto"/>
              <w:right w:val="single" w:sz="4" w:space="0" w:color="auto"/>
            </w:tcBorders>
            <w:hideMark/>
          </w:tcPr>
          <w:p w14:paraId="3BCBF093" w14:textId="77777777" w:rsidR="00A41E60" w:rsidRPr="00D85E09" w:rsidRDefault="00A41E60" w:rsidP="0043316B">
            <w:pPr>
              <w:pStyle w:val="Tabletext"/>
              <w:keepNext w:val="0"/>
              <w:widowControl w:val="0"/>
              <w:jc w:val="center"/>
            </w:pPr>
            <w:r w:rsidRPr="00D85E09">
              <w:t>$758</w:t>
            </w:r>
          </w:p>
        </w:tc>
      </w:tr>
      <w:tr w:rsidR="00A41E60" w:rsidRPr="00D85E09" w14:paraId="0B18BE41"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38491FC1" w14:textId="77777777" w:rsidR="00A41E60" w:rsidRPr="00D85E09" w:rsidRDefault="00A41E60" w:rsidP="0043316B">
            <w:pPr>
              <w:pStyle w:val="Tabletext"/>
              <w:keepNext w:val="0"/>
              <w:widowControl w:val="0"/>
              <w:ind w:left="167"/>
            </w:pPr>
            <w:r w:rsidRPr="00D85E09">
              <w:t xml:space="preserve">Inpatient rehabilitation </w:t>
            </w:r>
          </w:p>
        </w:tc>
        <w:tc>
          <w:tcPr>
            <w:tcW w:w="1128" w:type="pct"/>
            <w:tcBorders>
              <w:top w:val="single" w:sz="4" w:space="0" w:color="auto"/>
              <w:left w:val="single" w:sz="4" w:space="0" w:color="auto"/>
              <w:bottom w:val="single" w:sz="4" w:space="0" w:color="auto"/>
              <w:right w:val="single" w:sz="4" w:space="0" w:color="auto"/>
            </w:tcBorders>
            <w:hideMark/>
          </w:tcPr>
          <w:p w14:paraId="68540E92" w14:textId="77777777" w:rsidR="00A41E60" w:rsidRPr="00D85E09" w:rsidRDefault="00A41E60" w:rsidP="0043316B">
            <w:pPr>
              <w:pStyle w:val="Tabletext"/>
              <w:keepNext w:val="0"/>
              <w:widowControl w:val="0"/>
              <w:jc w:val="center"/>
            </w:pPr>
            <w:r w:rsidRPr="00D85E09">
              <w:t>$779</w:t>
            </w:r>
          </w:p>
        </w:tc>
        <w:tc>
          <w:tcPr>
            <w:tcW w:w="1129" w:type="pct"/>
            <w:tcBorders>
              <w:top w:val="single" w:sz="4" w:space="0" w:color="auto"/>
              <w:left w:val="single" w:sz="4" w:space="0" w:color="auto"/>
              <w:bottom w:val="single" w:sz="4" w:space="0" w:color="auto"/>
              <w:right w:val="single" w:sz="4" w:space="0" w:color="auto"/>
            </w:tcBorders>
            <w:hideMark/>
          </w:tcPr>
          <w:p w14:paraId="7BBFE09C" w14:textId="77777777" w:rsidR="00A41E60" w:rsidRPr="00D85E09" w:rsidRDefault="00A41E60" w:rsidP="0043316B">
            <w:pPr>
              <w:pStyle w:val="Tabletext"/>
              <w:keepNext w:val="0"/>
              <w:widowControl w:val="0"/>
              <w:jc w:val="center"/>
            </w:pPr>
            <w:r w:rsidRPr="00D85E09">
              <w:t>$233</w:t>
            </w:r>
          </w:p>
        </w:tc>
      </w:tr>
      <w:tr w:rsidR="00A41E60" w:rsidRPr="00D85E09" w14:paraId="492673A8"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4F478793" w14:textId="77777777" w:rsidR="00A41E60" w:rsidRPr="00D85E09" w:rsidRDefault="00A41E60" w:rsidP="0043316B">
            <w:pPr>
              <w:pStyle w:val="Tabletext"/>
              <w:keepNext w:val="0"/>
              <w:widowControl w:val="0"/>
              <w:ind w:left="167"/>
            </w:pPr>
            <w:r w:rsidRPr="00D85E09">
              <w:t xml:space="preserve">General practitioner care </w:t>
            </w:r>
          </w:p>
        </w:tc>
        <w:tc>
          <w:tcPr>
            <w:tcW w:w="1128" w:type="pct"/>
            <w:tcBorders>
              <w:top w:val="single" w:sz="4" w:space="0" w:color="auto"/>
              <w:left w:val="single" w:sz="4" w:space="0" w:color="auto"/>
              <w:bottom w:val="single" w:sz="4" w:space="0" w:color="auto"/>
              <w:right w:val="single" w:sz="4" w:space="0" w:color="auto"/>
            </w:tcBorders>
            <w:hideMark/>
          </w:tcPr>
          <w:p w14:paraId="0628E294" w14:textId="77777777" w:rsidR="00A41E60" w:rsidRPr="00D85E09" w:rsidRDefault="00A41E60" w:rsidP="0043316B">
            <w:pPr>
              <w:pStyle w:val="Tabletext"/>
              <w:keepNext w:val="0"/>
              <w:widowControl w:val="0"/>
              <w:jc w:val="center"/>
            </w:pPr>
            <w:r w:rsidRPr="00D85E09">
              <w:t>$196</w:t>
            </w:r>
          </w:p>
        </w:tc>
        <w:tc>
          <w:tcPr>
            <w:tcW w:w="1129" w:type="pct"/>
            <w:tcBorders>
              <w:top w:val="single" w:sz="4" w:space="0" w:color="auto"/>
              <w:left w:val="single" w:sz="4" w:space="0" w:color="auto"/>
              <w:bottom w:val="single" w:sz="4" w:space="0" w:color="auto"/>
              <w:right w:val="single" w:sz="4" w:space="0" w:color="auto"/>
            </w:tcBorders>
            <w:hideMark/>
          </w:tcPr>
          <w:p w14:paraId="698908E0" w14:textId="77777777" w:rsidR="00A41E60" w:rsidRPr="00D85E09" w:rsidRDefault="00A41E60" w:rsidP="0043316B">
            <w:pPr>
              <w:pStyle w:val="Tabletext"/>
              <w:keepNext w:val="0"/>
              <w:widowControl w:val="0"/>
              <w:jc w:val="center"/>
            </w:pPr>
            <w:r w:rsidRPr="00D85E09">
              <w:t>$214</w:t>
            </w:r>
          </w:p>
        </w:tc>
      </w:tr>
      <w:tr w:rsidR="00A41E60" w:rsidRPr="00D85E09" w14:paraId="2485A661"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632FDEA7" w14:textId="11AC3078" w:rsidR="00A41E60" w:rsidRPr="00D85E09" w:rsidRDefault="00A41E60" w:rsidP="0043316B">
            <w:pPr>
              <w:pStyle w:val="Tabletext"/>
              <w:keepNext w:val="0"/>
              <w:widowControl w:val="0"/>
              <w:ind w:left="167"/>
            </w:pPr>
            <w:r w:rsidRPr="00D85E09">
              <w:t>Hospitali</w:t>
            </w:r>
            <w:r w:rsidR="00E56287" w:rsidRPr="00D85E09">
              <w:t>s</w:t>
            </w:r>
            <w:r w:rsidRPr="00D85E09">
              <w:t xml:space="preserve">ations for complications </w:t>
            </w:r>
          </w:p>
        </w:tc>
        <w:tc>
          <w:tcPr>
            <w:tcW w:w="1128" w:type="pct"/>
            <w:tcBorders>
              <w:top w:val="single" w:sz="4" w:space="0" w:color="auto"/>
              <w:left w:val="single" w:sz="4" w:space="0" w:color="auto"/>
              <w:bottom w:val="single" w:sz="4" w:space="0" w:color="auto"/>
              <w:right w:val="single" w:sz="4" w:space="0" w:color="auto"/>
            </w:tcBorders>
            <w:hideMark/>
          </w:tcPr>
          <w:p w14:paraId="3E7D98B7" w14:textId="77777777" w:rsidR="00A41E60" w:rsidRPr="00D85E09" w:rsidRDefault="00A41E60" w:rsidP="0043316B">
            <w:pPr>
              <w:pStyle w:val="Tabletext"/>
              <w:keepNext w:val="0"/>
              <w:widowControl w:val="0"/>
              <w:jc w:val="center"/>
            </w:pPr>
            <w:r w:rsidRPr="00D85E09">
              <w:t>$176</w:t>
            </w:r>
          </w:p>
        </w:tc>
        <w:tc>
          <w:tcPr>
            <w:tcW w:w="1129" w:type="pct"/>
            <w:tcBorders>
              <w:top w:val="single" w:sz="4" w:space="0" w:color="auto"/>
              <w:left w:val="single" w:sz="4" w:space="0" w:color="auto"/>
              <w:bottom w:val="single" w:sz="4" w:space="0" w:color="auto"/>
              <w:right w:val="single" w:sz="4" w:space="0" w:color="auto"/>
            </w:tcBorders>
            <w:hideMark/>
          </w:tcPr>
          <w:p w14:paraId="73587B78" w14:textId="77777777" w:rsidR="00A41E60" w:rsidRPr="00D85E09" w:rsidRDefault="00A41E60" w:rsidP="0043316B">
            <w:pPr>
              <w:pStyle w:val="Tabletext"/>
              <w:keepNext w:val="0"/>
              <w:widowControl w:val="0"/>
              <w:jc w:val="center"/>
            </w:pPr>
            <w:r w:rsidRPr="00D85E09">
              <w:t>$163</w:t>
            </w:r>
          </w:p>
        </w:tc>
      </w:tr>
      <w:tr w:rsidR="00A41E60" w:rsidRPr="00D85E09" w14:paraId="119B307A"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364C8D6A" w14:textId="77777777" w:rsidR="00A41E60" w:rsidRPr="00D85E09" w:rsidRDefault="00A41E60" w:rsidP="0043316B">
            <w:pPr>
              <w:pStyle w:val="Tabletext"/>
              <w:keepNext w:val="0"/>
              <w:widowControl w:val="0"/>
              <w:ind w:left="167"/>
            </w:pPr>
            <w:r w:rsidRPr="00D85E09">
              <w:t>Other direct medical costs</w:t>
            </w:r>
            <w:r w:rsidRPr="00D85E09">
              <w:rPr>
                <w:vertAlign w:val="superscript"/>
              </w:rPr>
              <w:t>1</w:t>
            </w:r>
            <w:r w:rsidRPr="00D85E09">
              <w:t xml:space="preserve"> </w:t>
            </w:r>
          </w:p>
        </w:tc>
        <w:tc>
          <w:tcPr>
            <w:tcW w:w="1128" w:type="pct"/>
            <w:tcBorders>
              <w:top w:val="single" w:sz="4" w:space="0" w:color="auto"/>
              <w:left w:val="single" w:sz="4" w:space="0" w:color="auto"/>
              <w:bottom w:val="single" w:sz="4" w:space="0" w:color="auto"/>
              <w:right w:val="single" w:sz="4" w:space="0" w:color="auto"/>
            </w:tcBorders>
            <w:hideMark/>
          </w:tcPr>
          <w:p w14:paraId="31D9DB7F" w14:textId="77777777" w:rsidR="00A41E60" w:rsidRPr="00D85E09" w:rsidRDefault="00A41E60" w:rsidP="0043316B">
            <w:pPr>
              <w:pStyle w:val="Tabletext"/>
              <w:keepNext w:val="0"/>
              <w:widowControl w:val="0"/>
              <w:jc w:val="center"/>
            </w:pPr>
            <w:r w:rsidRPr="00D85E09">
              <w:t>$669</w:t>
            </w:r>
          </w:p>
        </w:tc>
        <w:tc>
          <w:tcPr>
            <w:tcW w:w="1129" w:type="pct"/>
            <w:tcBorders>
              <w:top w:val="single" w:sz="4" w:space="0" w:color="auto"/>
              <w:left w:val="single" w:sz="4" w:space="0" w:color="auto"/>
              <w:bottom w:val="single" w:sz="4" w:space="0" w:color="auto"/>
              <w:right w:val="single" w:sz="4" w:space="0" w:color="auto"/>
            </w:tcBorders>
            <w:hideMark/>
          </w:tcPr>
          <w:p w14:paraId="0DC675A0" w14:textId="77777777" w:rsidR="00A41E60" w:rsidRPr="00D85E09" w:rsidRDefault="00A41E60" w:rsidP="0043316B">
            <w:pPr>
              <w:pStyle w:val="Tabletext"/>
              <w:keepNext w:val="0"/>
              <w:widowControl w:val="0"/>
              <w:jc w:val="center"/>
            </w:pPr>
            <w:r w:rsidRPr="00D85E09">
              <w:t>$788</w:t>
            </w:r>
          </w:p>
        </w:tc>
      </w:tr>
      <w:tr w:rsidR="00A41E60" w:rsidRPr="00D85E09" w14:paraId="25BA58A7"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099F7863" w14:textId="77777777" w:rsidR="00A41E60" w:rsidRPr="00D85E09" w:rsidRDefault="00A41E60" w:rsidP="0043316B">
            <w:pPr>
              <w:pStyle w:val="Tabletext"/>
              <w:keepNext w:val="0"/>
              <w:widowControl w:val="0"/>
              <w:rPr>
                <w:b/>
              </w:rPr>
            </w:pPr>
            <w:r w:rsidRPr="00D85E09">
              <w:rPr>
                <w:b/>
              </w:rPr>
              <w:t>Total annual direct medical costs, 2010 values</w:t>
            </w:r>
          </w:p>
        </w:tc>
        <w:tc>
          <w:tcPr>
            <w:tcW w:w="1128" w:type="pct"/>
            <w:tcBorders>
              <w:top w:val="single" w:sz="4" w:space="0" w:color="auto"/>
              <w:left w:val="single" w:sz="4" w:space="0" w:color="auto"/>
              <w:bottom w:val="single" w:sz="4" w:space="0" w:color="auto"/>
              <w:right w:val="single" w:sz="4" w:space="0" w:color="auto"/>
            </w:tcBorders>
            <w:hideMark/>
          </w:tcPr>
          <w:p w14:paraId="45DA2D0E" w14:textId="77777777" w:rsidR="00A41E60" w:rsidRPr="00D85E09" w:rsidRDefault="00A41E60" w:rsidP="0043316B">
            <w:pPr>
              <w:pStyle w:val="Tabletext"/>
              <w:keepNext w:val="0"/>
              <w:widowControl w:val="0"/>
              <w:jc w:val="center"/>
              <w:rPr>
                <w:b/>
              </w:rPr>
            </w:pPr>
            <w:r w:rsidRPr="00D85E09">
              <w:rPr>
                <w:b/>
              </w:rPr>
              <w:t>$5,545</w:t>
            </w:r>
          </w:p>
        </w:tc>
        <w:tc>
          <w:tcPr>
            <w:tcW w:w="1129" w:type="pct"/>
            <w:tcBorders>
              <w:top w:val="single" w:sz="4" w:space="0" w:color="auto"/>
              <w:left w:val="single" w:sz="4" w:space="0" w:color="auto"/>
              <w:bottom w:val="single" w:sz="4" w:space="0" w:color="auto"/>
              <w:right w:val="single" w:sz="4" w:space="0" w:color="auto"/>
            </w:tcBorders>
            <w:hideMark/>
          </w:tcPr>
          <w:p w14:paraId="5DFF49AD" w14:textId="77777777" w:rsidR="00A41E60" w:rsidRPr="00D85E09" w:rsidRDefault="00A41E60" w:rsidP="0043316B">
            <w:pPr>
              <w:pStyle w:val="Tabletext"/>
              <w:keepNext w:val="0"/>
              <w:widowControl w:val="0"/>
              <w:jc w:val="center"/>
              <w:rPr>
                <w:b/>
              </w:rPr>
            </w:pPr>
            <w:r w:rsidRPr="00D85E09">
              <w:rPr>
                <w:b/>
              </w:rPr>
              <w:t>$5,419</w:t>
            </w:r>
          </w:p>
        </w:tc>
      </w:tr>
      <w:tr w:rsidR="00A41E60" w:rsidRPr="00D85E09" w14:paraId="2A97340A"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78E7BA3C" w14:textId="77777777" w:rsidR="00A41E60" w:rsidRPr="00D85E09" w:rsidRDefault="00A41E60" w:rsidP="0043316B">
            <w:pPr>
              <w:pStyle w:val="Tabletext"/>
              <w:keepNext w:val="0"/>
              <w:widowControl w:val="0"/>
              <w:rPr>
                <w:b/>
                <w:vertAlign w:val="superscript"/>
              </w:rPr>
            </w:pPr>
            <w:r w:rsidRPr="00D85E09">
              <w:rPr>
                <w:b/>
              </w:rPr>
              <w:t>Total annual direct nonmedical costs, 2010 values</w:t>
            </w:r>
            <w:r w:rsidRPr="00D85E09">
              <w:rPr>
                <w:b/>
                <w:vertAlign w:val="superscript"/>
              </w:rPr>
              <w:t>2</w:t>
            </w:r>
          </w:p>
        </w:tc>
        <w:tc>
          <w:tcPr>
            <w:tcW w:w="1128" w:type="pct"/>
            <w:tcBorders>
              <w:top w:val="single" w:sz="4" w:space="0" w:color="auto"/>
              <w:left w:val="single" w:sz="4" w:space="0" w:color="auto"/>
              <w:bottom w:val="single" w:sz="4" w:space="0" w:color="auto"/>
              <w:right w:val="single" w:sz="4" w:space="0" w:color="auto"/>
            </w:tcBorders>
            <w:hideMark/>
          </w:tcPr>
          <w:p w14:paraId="6CE07925" w14:textId="77777777" w:rsidR="00A41E60" w:rsidRPr="00D85E09" w:rsidRDefault="00A41E60" w:rsidP="0043316B">
            <w:pPr>
              <w:pStyle w:val="Tabletext"/>
              <w:keepNext w:val="0"/>
              <w:widowControl w:val="0"/>
              <w:jc w:val="center"/>
              <w:rPr>
                <w:b/>
              </w:rPr>
            </w:pPr>
            <w:r w:rsidRPr="00D85E09">
              <w:rPr>
                <w:b/>
              </w:rPr>
              <w:t>$2,645</w:t>
            </w:r>
          </w:p>
        </w:tc>
        <w:tc>
          <w:tcPr>
            <w:tcW w:w="1129" w:type="pct"/>
            <w:tcBorders>
              <w:top w:val="single" w:sz="4" w:space="0" w:color="auto"/>
              <w:left w:val="single" w:sz="4" w:space="0" w:color="auto"/>
              <w:bottom w:val="single" w:sz="4" w:space="0" w:color="auto"/>
              <w:right w:val="single" w:sz="4" w:space="0" w:color="auto"/>
            </w:tcBorders>
            <w:hideMark/>
          </w:tcPr>
          <w:p w14:paraId="7A946943" w14:textId="77777777" w:rsidR="00A41E60" w:rsidRPr="00D85E09" w:rsidRDefault="00A41E60" w:rsidP="0043316B">
            <w:pPr>
              <w:pStyle w:val="Tabletext"/>
              <w:keepNext w:val="0"/>
              <w:widowControl w:val="0"/>
              <w:jc w:val="center"/>
              <w:rPr>
                <w:b/>
              </w:rPr>
            </w:pPr>
            <w:r w:rsidRPr="00D85E09">
              <w:rPr>
                <w:b/>
              </w:rPr>
              <w:t>$2,425</w:t>
            </w:r>
          </w:p>
        </w:tc>
      </w:tr>
      <w:tr w:rsidR="00A41E60" w:rsidRPr="00D85E09" w14:paraId="09C1D699" w14:textId="77777777" w:rsidTr="00A41E60">
        <w:tc>
          <w:tcPr>
            <w:tcW w:w="2743" w:type="pct"/>
            <w:tcBorders>
              <w:top w:val="single" w:sz="4" w:space="0" w:color="auto"/>
              <w:left w:val="single" w:sz="4" w:space="0" w:color="auto"/>
              <w:bottom w:val="single" w:sz="4" w:space="0" w:color="auto"/>
              <w:right w:val="single" w:sz="4" w:space="0" w:color="auto"/>
            </w:tcBorders>
            <w:hideMark/>
          </w:tcPr>
          <w:p w14:paraId="05B4317D" w14:textId="77777777" w:rsidR="00A41E60" w:rsidRPr="00D85E09" w:rsidRDefault="00A41E60" w:rsidP="0043316B">
            <w:pPr>
              <w:pStyle w:val="Tabletext"/>
              <w:keepNext w:val="0"/>
              <w:widowControl w:val="0"/>
              <w:rPr>
                <w:b/>
              </w:rPr>
            </w:pPr>
            <w:r w:rsidRPr="00D85E09">
              <w:rPr>
                <w:b/>
              </w:rPr>
              <w:t xml:space="preserve">Total annual direct costs, 2010 values </w:t>
            </w:r>
          </w:p>
        </w:tc>
        <w:tc>
          <w:tcPr>
            <w:tcW w:w="1128" w:type="pct"/>
            <w:tcBorders>
              <w:top w:val="single" w:sz="4" w:space="0" w:color="auto"/>
              <w:left w:val="single" w:sz="4" w:space="0" w:color="auto"/>
              <w:bottom w:val="single" w:sz="4" w:space="0" w:color="auto"/>
              <w:right w:val="single" w:sz="4" w:space="0" w:color="auto"/>
            </w:tcBorders>
            <w:hideMark/>
          </w:tcPr>
          <w:p w14:paraId="6CDB3152" w14:textId="77777777" w:rsidR="00A41E60" w:rsidRPr="00D85E09" w:rsidRDefault="00A41E60" w:rsidP="0043316B">
            <w:pPr>
              <w:pStyle w:val="Tabletext"/>
              <w:keepNext w:val="0"/>
              <w:widowControl w:val="0"/>
              <w:jc w:val="center"/>
              <w:rPr>
                <w:b/>
              </w:rPr>
            </w:pPr>
            <w:r w:rsidRPr="00D85E09">
              <w:rPr>
                <w:b/>
              </w:rPr>
              <w:t>$8,190</w:t>
            </w:r>
          </w:p>
        </w:tc>
        <w:tc>
          <w:tcPr>
            <w:tcW w:w="1129" w:type="pct"/>
            <w:tcBorders>
              <w:top w:val="single" w:sz="4" w:space="0" w:color="auto"/>
              <w:left w:val="single" w:sz="4" w:space="0" w:color="auto"/>
              <w:bottom w:val="single" w:sz="4" w:space="0" w:color="auto"/>
              <w:right w:val="single" w:sz="4" w:space="0" w:color="auto"/>
            </w:tcBorders>
            <w:hideMark/>
          </w:tcPr>
          <w:p w14:paraId="2FFFF75F" w14:textId="77777777" w:rsidR="00A41E60" w:rsidRPr="00D85E09" w:rsidRDefault="00A41E60" w:rsidP="0043316B">
            <w:pPr>
              <w:pStyle w:val="Tabletext"/>
              <w:keepNext w:val="0"/>
              <w:widowControl w:val="0"/>
              <w:jc w:val="center"/>
              <w:rPr>
                <w:b/>
              </w:rPr>
            </w:pPr>
            <w:r w:rsidRPr="00D85E09">
              <w:rPr>
                <w:b/>
              </w:rPr>
              <w:t>$7,842</w:t>
            </w:r>
          </w:p>
        </w:tc>
      </w:tr>
      <w:tr w:rsidR="00A41E60" w:rsidRPr="00D85E09" w14:paraId="1E9090A1" w14:textId="77777777" w:rsidTr="00A41E60">
        <w:trPr>
          <w:trHeight w:val="58"/>
        </w:trPr>
        <w:tc>
          <w:tcPr>
            <w:tcW w:w="2743" w:type="pct"/>
            <w:tcBorders>
              <w:top w:val="single" w:sz="4" w:space="0" w:color="auto"/>
              <w:left w:val="single" w:sz="4" w:space="0" w:color="auto"/>
              <w:bottom w:val="single" w:sz="4" w:space="0" w:color="auto"/>
              <w:right w:val="nil"/>
            </w:tcBorders>
            <w:shd w:val="clear" w:color="auto" w:fill="D9D9D9" w:themeFill="background1" w:themeFillShade="D9"/>
            <w:vAlign w:val="bottom"/>
            <w:hideMark/>
          </w:tcPr>
          <w:p w14:paraId="6C527250" w14:textId="77777777" w:rsidR="00A41E60" w:rsidRPr="00D85E09" w:rsidRDefault="00A41E60" w:rsidP="0043316B">
            <w:pPr>
              <w:pStyle w:val="Tabletext"/>
              <w:keepNext w:val="0"/>
              <w:widowControl w:val="0"/>
              <w:rPr>
                <w:b/>
                <w:vertAlign w:val="superscript"/>
              </w:rPr>
            </w:pPr>
            <w:r w:rsidRPr="00D85E09">
              <w:rPr>
                <w:b/>
              </w:rPr>
              <w:t>Inflated to 2016 prices</w:t>
            </w:r>
            <w:r w:rsidRPr="00D85E09">
              <w:rPr>
                <w:b/>
                <w:vertAlign w:val="superscript"/>
              </w:rPr>
              <w:t>3</w:t>
            </w:r>
          </w:p>
        </w:tc>
        <w:tc>
          <w:tcPr>
            <w:tcW w:w="2257" w:type="pct"/>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14:paraId="31F852E3" w14:textId="77777777" w:rsidR="00A41E60" w:rsidRPr="00D85E09" w:rsidRDefault="00A41E60" w:rsidP="0043316B">
            <w:pPr>
              <w:pStyle w:val="Tabletext"/>
              <w:keepNext w:val="0"/>
              <w:widowControl w:val="0"/>
              <w:jc w:val="center"/>
              <w:rPr>
                <w:b/>
              </w:rPr>
            </w:pPr>
          </w:p>
        </w:tc>
      </w:tr>
      <w:tr w:rsidR="00A41E60" w:rsidRPr="00D85E09" w14:paraId="1A5B3FC7" w14:textId="77777777" w:rsidTr="00A41E60">
        <w:trPr>
          <w:trHeight w:val="58"/>
        </w:trPr>
        <w:tc>
          <w:tcPr>
            <w:tcW w:w="2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932E0" w14:textId="77777777" w:rsidR="00A41E60" w:rsidRPr="00D85E09" w:rsidRDefault="00A41E60" w:rsidP="0043316B">
            <w:pPr>
              <w:pStyle w:val="Tabletext"/>
              <w:keepNext w:val="0"/>
              <w:widowControl w:val="0"/>
              <w:rPr>
                <w:b/>
              </w:rPr>
            </w:pPr>
            <w:r w:rsidRPr="00D85E09">
              <w:rPr>
                <w:b/>
              </w:rPr>
              <w:t xml:space="preserve">Total annual direct medical costs </w:t>
            </w:r>
          </w:p>
        </w:tc>
        <w:tc>
          <w:tcPr>
            <w:tcW w:w="11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192AB" w14:textId="77777777" w:rsidR="00A41E60" w:rsidRPr="00D85E09" w:rsidRDefault="00A41E60" w:rsidP="0043316B">
            <w:pPr>
              <w:pStyle w:val="Tabletext"/>
              <w:keepNext w:val="0"/>
              <w:widowControl w:val="0"/>
              <w:jc w:val="center"/>
              <w:rPr>
                <w:b/>
              </w:rPr>
            </w:pPr>
            <w:r w:rsidRPr="00D85E09">
              <w:rPr>
                <w:b/>
              </w:rPr>
              <w:t>$7,266</w:t>
            </w:r>
          </w:p>
        </w:tc>
        <w:tc>
          <w:tcPr>
            <w:tcW w:w="11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94750D" w14:textId="77777777" w:rsidR="00A41E60" w:rsidRPr="00D85E09" w:rsidRDefault="00A41E60" w:rsidP="0043316B">
            <w:pPr>
              <w:pStyle w:val="Tabletext"/>
              <w:keepNext w:val="0"/>
              <w:widowControl w:val="0"/>
              <w:jc w:val="center"/>
              <w:rPr>
                <w:b/>
              </w:rPr>
            </w:pPr>
            <w:r w:rsidRPr="00D85E09">
              <w:rPr>
                <w:b/>
              </w:rPr>
              <w:t>$7,100</w:t>
            </w:r>
          </w:p>
        </w:tc>
      </w:tr>
      <w:tr w:rsidR="00A41E60" w:rsidRPr="00D85E09" w14:paraId="1778C55E" w14:textId="77777777" w:rsidTr="00A41E60">
        <w:trPr>
          <w:trHeight w:val="58"/>
        </w:trPr>
        <w:tc>
          <w:tcPr>
            <w:tcW w:w="2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A76C8" w14:textId="77777777" w:rsidR="00A41E60" w:rsidRPr="00D85E09" w:rsidRDefault="00A41E60" w:rsidP="0043316B">
            <w:pPr>
              <w:pStyle w:val="Tabletext"/>
              <w:keepNext w:val="0"/>
              <w:widowControl w:val="0"/>
              <w:rPr>
                <w:b/>
              </w:rPr>
            </w:pPr>
            <w:r w:rsidRPr="00D85E09">
              <w:rPr>
                <w:b/>
              </w:rPr>
              <w:t>Total annual direct nonmedical costs</w:t>
            </w:r>
          </w:p>
        </w:tc>
        <w:tc>
          <w:tcPr>
            <w:tcW w:w="11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9BA70E" w14:textId="77777777" w:rsidR="00A41E60" w:rsidRPr="00D85E09" w:rsidRDefault="00A41E60" w:rsidP="0043316B">
            <w:pPr>
              <w:pStyle w:val="Tabletext"/>
              <w:keepNext w:val="0"/>
              <w:widowControl w:val="0"/>
              <w:jc w:val="center"/>
              <w:rPr>
                <w:b/>
              </w:rPr>
            </w:pPr>
            <w:r w:rsidRPr="00D85E09">
              <w:rPr>
                <w:b/>
              </w:rPr>
              <w:t>$3,465</w:t>
            </w:r>
          </w:p>
        </w:tc>
        <w:tc>
          <w:tcPr>
            <w:tcW w:w="11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649A1A" w14:textId="77777777" w:rsidR="00A41E60" w:rsidRPr="00D85E09" w:rsidRDefault="00A41E60" w:rsidP="0043316B">
            <w:pPr>
              <w:pStyle w:val="Tabletext"/>
              <w:keepNext w:val="0"/>
              <w:widowControl w:val="0"/>
              <w:jc w:val="center"/>
              <w:rPr>
                <w:b/>
              </w:rPr>
            </w:pPr>
            <w:r w:rsidRPr="00D85E09">
              <w:rPr>
                <w:b/>
              </w:rPr>
              <w:t>$3,177</w:t>
            </w:r>
          </w:p>
        </w:tc>
      </w:tr>
      <w:tr w:rsidR="00A41E60" w:rsidRPr="00D85E09" w14:paraId="727F3163" w14:textId="77777777" w:rsidTr="00A41E60">
        <w:trPr>
          <w:trHeight w:val="58"/>
        </w:trPr>
        <w:tc>
          <w:tcPr>
            <w:tcW w:w="2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86C9C" w14:textId="77777777" w:rsidR="00A41E60" w:rsidRPr="00D85E09" w:rsidRDefault="00A41E60" w:rsidP="0043316B">
            <w:pPr>
              <w:pStyle w:val="Tabletext"/>
              <w:keepNext w:val="0"/>
              <w:widowControl w:val="0"/>
              <w:rPr>
                <w:b/>
              </w:rPr>
            </w:pPr>
            <w:r w:rsidRPr="00D85E09">
              <w:rPr>
                <w:b/>
              </w:rPr>
              <w:t xml:space="preserve">Total annual direct costs </w:t>
            </w:r>
          </w:p>
        </w:tc>
        <w:tc>
          <w:tcPr>
            <w:tcW w:w="11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AB5EC3" w14:textId="77777777" w:rsidR="00A41E60" w:rsidRPr="00D85E09" w:rsidRDefault="00A41E60" w:rsidP="0043316B">
            <w:pPr>
              <w:pStyle w:val="Tabletext"/>
              <w:keepNext w:val="0"/>
              <w:widowControl w:val="0"/>
              <w:jc w:val="center"/>
              <w:rPr>
                <w:b/>
              </w:rPr>
            </w:pPr>
            <w:r w:rsidRPr="00D85E09">
              <w:rPr>
                <w:b/>
              </w:rPr>
              <w:t>$10,731</w:t>
            </w:r>
          </w:p>
        </w:tc>
        <w:tc>
          <w:tcPr>
            <w:tcW w:w="11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F1A43" w14:textId="77777777" w:rsidR="00A41E60" w:rsidRPr="00D85E09" w:rsidRDefault="00A41E60" w:rsidP="0043316B">
            <w:pPr>
              <w:pStyle w:val="Tabletext"/>
              <w:keepNext w:val="0"/>
              <w:widowControl w:val="0"/>
              <w:jc w:val="center"/>
              <w:rPr>
                <w:b/>
              </w:rPr>
            </w:pPr>
            <w:r w:rsidRPr="00D85E09">
              <w:rPr>
                <w:b/>
              </w:rPr>
              <w:t>$10,275</w:t>
            </w:r>
          </w:p>
        </w:tc>
      </w:tr>
    </w:tbl>
    <w:p w14:paraId="1496AAE1" w14:textId="77777777" w:rsidR="00A41E60" w:rsidRPr="00D85E09" w:rsidRDefault="00A41E60" w:rsidP="0043316B">
      <w:pPr>
        <w:pStyle w:val="Tablefootnote"/>
        <w:widowControl w:val="0"/>
        <w:rPr>
          <w:lang w:val="en-AU"/>
        </w:rPr>
      </w:pPr>
      <w:r w:rsidRPr="00D85E09">
        <w:rPr>
          <w:lang w:val="en-AU"/>
        </w:rPr>
        <w:t xml:space="preserve">Source: Gloede et al. (2014), Table 2 (US values converted to Aus values by using an exchange rate factor of 1.506, as directed by the authors). </w:t>
      </w:r>
      <w:r w:rsidRPr="00D85E09">
        <w:rPr>
          <w:lang w:val="en-AU"/>
        </w:rPr>
        <w:br/>
      </w:r>
      <w:r w:rsidRPr="00D85E09">
        <w:rPr>
          <w:vertAlign w:val="superscript"/>
          <w:lang w:val="en-AU"/>
        </w:rPr>
        <w:t xml:space="preserve">1 </w:t>
      </w:r>
      <w:r w:rsidRPr="00D85E09">
        <w:rPr>
          <w:lang w:val="en-AU"/>
        </w:rPr>
        <w:t>Includes specialist care, outpatient rehabilitation, emergency department care, private allied health, respite care, investigations, aids and modifications, ambulance transfers, and aged care assessment teams.</w:t>
      </w:r>
    </w:p>
    <w:p w14:paraId="7326311C" w14:textId="0AD42447" w:rsidR="00A41E60" w:rsidRPr="00D85E09" w:rsidRDefault="00A41E60" w:rsidP="0043316B">
      <w:pPr>
        <w:pStyle w:val="Tablefootnote"/>
        <w:widowControl w:val="0"/>
        <w:rPr>
          <w:lang w:val="en-AU"/>
        </w:rPr>
      </w:pPr>
      <w:r w:rsidRPr="00D85E09">
        <w:rPr>
          <w:vertAlign w:val="superscript"/>
          <w:lang w:val="en-AU"/>
        </w:rPr>
        <w:t>2</w:t>
      </w:r>
      <w:r w:rsidRPr="00D85E09">
        <w:rPr>
          <w:lang w:val="en-AU"/>
        </w:rPr>
        <w:t xml:space="preserve"> Includes informal care and caregiver out-of-pocket costs.</w:t>
      </w:r>
    </w:p>
    <w:p w14:paraId="1B36E1EE" w14:textId="0AE4D101" w:rsidR="00A41E60" w:rsidRPr="00D85E09" w:rsidRDefault="00A41E60" w:rsidP="0043316B">
      <w:pPr>
        <w:pStyle w:val="Tablefootnote"/>
        <w:widowControl w:val="0"/>
        <w:rPr>
          <w:lang w:val="en-AU"/>
        </w:rPr>
      </w:pPr>
      <w:r w:rsidRPr="00D85E09">
        <w:rPr>
          <w:vertAlign w:val="superscript"/>
          <w:lang w:val="en-AU"/>
        </w:rPr>
        <w:t>3</w:t>
      </w:r>
      <w:r w:rsidRPr="00D85E09">
        <w:rPr>
          <w:lang w:val="en-AU"/>
        </w:rPr>
        <w:t xml:space="preserve"> Price inflator (2010-2016) = 1.3103 (based on Australian Bureau of Statistics, Consumer Price Index - Health, 6401.0).</w:t>
      </w:r>
    </w:p>
    <w:p w14:paraId="23862A86" w14:textId="77777777" w:rsidR="00A41E60" w:rsidRPr="00D85E09" w:rsidRDefault="00A41E60" w:rsidP="0043316B">
      <w:pPr>
        <w:widowControl w:val="0"/>
      </w:pPr>
    </w:p>
    <w:p w14:paraId="6D1A1FF5" w14:textId="256D14E2" w:rsidR="00A41E60" w:rsidRPr="00D85E09" w:rsidRDefault="00A41E60" w:rsidP="0043316B">
      <w:pPr>
        <w:widowControl w:val="0"/>
      </w:pPr>
      <w:r w:rsidRPr="00D85E09">
        <w:t xml:space="preserve">An additional ad-hoc search identified a Dutch cost-effectiveness analysis of alternative stroke care settings (special stroke care unit vs usual stoke care) (Baeten et al 2010). While cost estimates to 6 months were determined based on the individual patient resource use data from a clinical trial (the EDISSE study – Evaluation of Dutch Integrated Stroke Service Experiments), healthcare costs thereafter were estimated by using a more </w:t>
      </w:r>
      <w:r w:rsidRPr="00D85E09">
        <w:lastRenderedPageBreak/>
        <w:t xml:space="preserve">aggregated approach on the basis of place of residence data (see Baeten et al 2010 for further information). Cost estimates reported in this study are summarised in </w:t>
      </w:r>
      <w:r w:rsidRPr="00D85E09">
        <w:fldChar w:fldCharType="begin"/>
      </w:r>
      <w:r w:rsidRPr="00D85E09">
        <w:instrText xml:space="preserve"> REF _Ref447270362 \h </w:instrText>
      </w:r>
      <w:r w:rsidRPr="00D85E09">
        <w:fldChar w:fldCharType="separate"/>
      </w:r>
      <w:r w:rsidR="00A456ED" w:rsidRPr="00D85E09">
        <w:t xml:space="preserve">Table </w:t>
      </w:r>
      <w:r w:rsidR="00A456ED">
        <w:rPr>
          <w:noProof/>
        </w:rPr>
        <w:t>63</w:t>
      </w:r>
      <w:r w:rsidRPr="00D85E09">
        <w:fldChar w:fldCharType="end"/>
      </w:r>
      <w:r w:rsidRPr="00D85E09">
        <w:t>. Although this study represents healthcare costs for stroke in the Netherlands, it illustrates the impact on long</w:t>
      </w:r>
      <w:r w:rsidR="00D32933" w:rsidRPr="00D85E09">
        <w:t>-</w:t>
      </w:r>
      <w:r w:rsidRPr="00D85E09">
        <w:t>term costs of differences in functional outcomes achieved during the acute treatment phase.</w:t>
      </w:r>
    </w:p>
    <w:p w14:paraId="1E48EC92" w14:textId="19D1751A" w:rsidR="00A41E60" w:rsidRPr="00D85E09" w:rsidRDefault="00A41E60" w:rsidP="0043316B">
      <w:pPr>
        <w:widowControl w:val="0"/>
      </w:pPr>
      <w:r w:rsidRPr="00D85E09">
        <w:t xml:space="preserve">The reported +1 year cost estimates suggest that the costs of care for mRS 4 and 5 are considerably greater than the average cost by a factor of 1.98 and 2.53, respectively (see </w:t>
      </w:r>
      <w:r w:rsidRPr="00D85E09">
        <w:fldChar w:fldCharType="begin"/>
      </w:r>
      <w:r w:rsidRPr="00D85E09">
        <w:instrText xml:space="preserve"> REF _Ref447270362 \h </w:instrText>
      </w:r>
      <w:r w:rsidRPr="00D85E09">
        <w:fldChar w:fldCharType="separate"/>
      </w:r>
      <w:r w:rsidR="00A456ED" w:rsidRPr="00D85E09">
        <w:t xml:space="preserve">Table </w:t>
      </w:r>
      <w:r w:rsidR="00A456ED">
        <w:rPr>
          <w:noProof/>
        </w:rPr>
        <w:t>63</w:t>
      </w:r>
      <w:r w:rsidRPr="00D85E09">
        <w:fldChar w:fldCharType="end"/>
      </w:r>
      <w:r w:rsidRPr="00D85E09">
        <w:t xml:space="preserve">). In contrast, patients with mRS 0-1 incur costs that are one fifth of the average. These trends clearly highlight the likely presence of significant long-term cost benefits offered by mechanical thrombectomy vs usual care. </w:t>
      </w:r>
      <w:r w:rsidRPr="00D85E09">
        <w:fldChar w:fldCharType="begin"/>
      </w:r>
      <w:r w:rsidRPr="00D85E09">
        <w:instrText xml:space="preserve"> REF _Ref447270362 \h </w:instrText>
      </w:r>
      <w:r w:rsidRPr="00D85E09">
        <w:fldChar w:fldCharType="separate"/>
      </w:r>
      <w:r w:rsidR="00A456ED" w:rsidRPr="00D85E09">
        <w:t xml:space="preserve">Table </w:t>
      </w:r>
      <w:r w:rsidR="00A456ED">
        <w:rPr>
          <w:noProof/>
        </w:rPr>
        <w:t>63</w:t>
      </w:r>
      <w:r w:rsidRPr="00D85E09">
        <w:fldChar w:fldCharType="end"/>
      </w:r>
      <w:r w:rsidRPr="00D85E09">
        <w:t xml:space="preserve"> also shows cost estimates by mRS when these cost multipliers are applied to the mean direct medical cost reported in Gloede et al. (2014; see </w:t>
      </w:r>
      <w:r w:rsidRPr="00D85E09">
        <w:fldChar w:fldCharType="begin"/>
      </w:r>
      <w:r w:rsidRPr="00D85E09">
        <w:instrText xml:space="preserve"> REF _Ref447273460 \h </w:instrText>
      </w:r>
      <w:r w:rsidRPr="00D85E09">
        <w:fldChar w:fldCharType="separate"/>
      </w:r>
      <w:r w:rsidR="00A456ED" w:rsidRPr="00D85E09">
        <w:t xml:space="preserve">Table </w:t>
      </w:r>
      <w:r w:rsidR="00A456ED">
        <w:rPr>
          <w:noProof/>
        </w:rPr>
        <w:t>62</w:t>
      </w:r>
      <w:r w:rsidRPr="00D85E09">
        <w:fldChar w:fldCharType="end"/>
      </w:r>
      <w:r w:rsidRPr="00D85E09">
        <w:t>).</w:t>
      </w:r>
    </w:p>
    <w:p w14:paraId="6EA86C89" w14:textId="33EDEA9C" w:rsidR="00A41E60" w:rsidRPr="00D85E09" w:rsidRDefault="00A41E60" w:rsidP="0043316B">
      <w:pPr>
        <w:pStyle w:val="Caption"/>
        <w:keepNext w:val="0"/>
        <w:widowControl w:val="0"/>
        <w:rPr>
          <w:lang w:val="en-AU"/>
        </w:rPr>
      </w:pPr>
      <w:bookmarkStart w:id="437" w:name="_Ref447270362"/>
      <w:bookmarkStart w:id="438" w:name="_Toc45306539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63</w:t>
      </w:r>
      <w:r w:rsidRPr="00D85E09">
        <w:rPr>
          <w:lang w:val="en-AU"/>
        </w:rPr>
        <w:fldChar w:fldCharType="end"/>
      </w:r>
      <w:bookmarkEnd w:id="437"/>
      <w:r w:rsidRPr="00D85E09">
        <w:rPr>
          <w:lang w:val="en-AU"/>
        </w:rPr>
        <w:tab/>
        <w:t>Acute to mid-/long-term stroke care costs in Baeten et al 2010 (€ in 2003 prices)</w:t>
      </w:r>
      <w:bookmarkEnd w:id="438"/>
    </w:p>
    <w:tbl>
      <w:tblPr>
        <w:tblStyle w:val="TableGrid"/>
        <w:tblW w:w="0" w:type="auto"/>
        <w:tblLook w:val="04A0" w:firstRow="1" w:lastRow="0" w:firstColumn="1" w:lastColumn="0" w:noHBand="0" w:noVBand="1"/>
        <w:tblDescription w:val="Table 63 Acute to mid-/long-term stroke care costs in Baeten et al 2010 (€ in 2003 prices)"/>
      </w:tblPr>
      <w:tblGrid>
        <w:gridCol w:w="2122"/>
        <w:gridCol w:w="1204"/>
        <w:gridCol w:w="1205"/>
        <w:gridCol w:w="1205"/>
        <w:gridCol w:w="1205"/>
        <w:gridCol w:w="1837"/>
      </w:tblGrid>
      <w:tr w:rsidR="00A41E60" w:rsidRPr="00D85E09" w14:paraId="6D7E258C" w14:textId="77777777" w:rsidTr="00BE6331">
        <w:trPr>
          <w:tblHeader/>
        </w:trPr>
        <w:tc>
          <w:tcPr>
            <w:tcW w:w="2122" w:type="dxa"/>
            <w:tcBorders>
              <w:top w:val="single" w:sz="4" w:space="0" w:color="000000"/>
              <w:left w:val="single" w:sz="4" w:space="0" w:color="000000"/>
              <w:bottom w:val="single" w:sz="4" w:space="0" w:color="000000"/>
              <w:right w:val="single" w:sz="4" w:space="0" w:color="000000"/>
            </w:tcBorders>
            <w:hideMark/>
          </w:tcPr>
          <w:p w14:paraId="4E58B942" w14:textId="77777777" w:rsidR="00A41E60" w:rsidRPr="00D85E09" w:rsidRDefault="00A41E60" w:rsidP="0043316B">
            <w:pPr>
              <w:pStyle w:val="Tabletext"/>
              <w:keepNext w:val="0"/>
              <w:widowControl w:val="0"/>
              <w:rPr>
                <w:b/>
              </w:rPr>
            </w:pPr>
            <w:r w:rsidRPr="00D85E09">
              <w:rPr>
                <w:b/>
              </w:rPr>
              <w:t>Modified Rankin Score</w:t>
            </w:r>
          </w:p>
        </w:tc>
        <w:tc>
          <w:tcPr>
            <w:tcW w:w="1204" w:type="dxa"/>
            <w:tcBorders>
              <w:top w:val="single" w:sz="4" w:space="0" w:color="000000"/>
              <w:left w:val="single" w:sz="4" w:space="0" w:color="000000"/>
              <w:bottom w:val="single" w:sz="4" w:space="0" w:color="000000"/>
              <w:right w:val="single" w:sz="4" w:space="0" w:color="000000"/>
            </w:tcBorders>
            <w:hideMark/>
          </w:tcPr>
          <w:p w14:paraId="3CC7EB9F" w14:textId="77777777" w:rsidR="00A41E60" w:rsidRPr="00D85E09" w:rsidRDefault="00A41E60" w:rsidP="0043316B">
            <w:pPr>
              <w:pStyle w:val="Tabletext"/>
              <w:keepNext w:val="0"/>
              <w:widowControl w:val="0"/>
              <w:jc w:val="center"/>
              <w:rPr>
                <w:b/>
              </w:rPr>
            </w:pPr>
            <w:r w:rsidRPr="00D85E09">
              <w:rPr>
                <w:b/>
              </w:rPr>
              <w:t>0-1</w:t>
            </w:r>
          </w:p>
        </w:tc>
        <w:tc>
          <w:tcPr>
            <w:tcW w:w="1205" w:type="dxa"/>
            <w:tcBorders>
              <w:top w:val="single" w:sz="4" w:space="0" w:color="000000"/>
              <w:left w:val="single" w:sz="4" w:space="0" w:color="000000"/>
              <w:bottom w:val="single" w:sz="4" w:space="0" w:color="000000"/>
              <w:right w:val="single" w:sz="4" w:space="0" w:color="000000"/>
            </w:tcBorders>
            <w:hideMark/>
          </w:tcPr>
          <w:p w14:paraId="5CA71A03" w14:textId="77777777" w:rsidR="00A41E60" w:rsidRPr="00D85E09" w:rsidRDefault="00A41E60" w:rsidP="0043316B">
            <w:pPr>
              <w:pStyle w:val="Tabletext"/>
              <w:keepNext w:val="0"/>
              <w:widowControl w:val="0"/>
              <w:jc w:val="center"/>
              <w:rPr>
                <w:b/>
              </w:rPr>
            </w:pPr>
            <w:r w:rsidRPr="00D85E09">
              <w:rPr>
                <w:b/>
              </w:rPr>
              <w:t>2-3</w:t>
            </w:r>
          </w:p>
        </w:tc>
        <w:tc>
          <w:tcPr>
            <w:tcW w:w="1205" w:type="dxa"/>
            <w:tcBorders>
              <w:top w:val="single" w:sz="4" w:space="0" w:color="000000"/>
              <w:left w:val="single" w:sz="4" w:space="0" w:color="000000"/>
              <w:bottom w:val="single" w:sz="4" w:space="0" w:color="000000"/>
              <w:right w:val="single" w:sz="4" w:space="0" w:color="000000"/>
            </w:tcBorders>
            <w:hideMark/>
          </w:tcPr>
          <w:p w14:paraId="119DCA79" w14:textId="77777777" w:rsidR="00A41E60" w:rsidRPr="00D85E09" w:rsidRDefault="00A41E60" w:rsidP="0043316B">
            <w:pPr>
              <w:pStyle w:val="Tabletext"/>
              <w:keepNext w:val="0"/>
              <w:widowControl w:val="0"/>
              <w:jc w:val="center"/>
              <w:rPr>
                <w:b/>
              </w:rPr>
            </w:pPr>
            <w:r w:rsidRPr="00D85E09">
              <w:rPr>
                <w:b/>
              </w:rPr>
              <w:t>4</w:t>
            </w:r>
          </w:p>
        </w:tc>
        <w:tc>
          <w:tcPr>
            <w:tcW w:w="1205" w:type="dxa"/>
            <w:tcBorders>
              <w:top w:val="single" w:sz="4" w:space="0" w:color="000000"/>
              <w:left w:val="single" w:sz="4" w:space="0" w:color="000000"/>
              <w:bottom w:val="single" w:sz="4" w:space="0" w:color="000000"/>
              <w:right w:val="single" w:sz="4" w:space="0" w:color="000000"/>
            </w:tcBorders>
            <w:hideMark/>
          </w:tcPr>
          <w:p w14:paraId="6D6D2E37" w14:textId="77777777" w:rsidR="00A41E60" w:rsidRPr="00D85E09" w:rsidRDefault="00A41E60" w:rsidP="0043316B">
            <w:pPr>
              <w:pStyle w:val="Tabletext"/>
              <w:keepNext w:val="0"/>
              <w:widowControl w:val="0"/>
              <w:jc w:val="center"/>
              <w:rPr>
                <w:b/>
              </w:rPr>
            </w:pPr>
            <w:r w:rsidRPr="00D85E09">
              <w:rPr>
                <w:b/>
              </w:rPr>
              <w:t>5</w:t>
            </w:r>
          </w:p>
        </w:tc>
        <w:tc>
          <w:tcPr>
            <w:tcW w:w="1837" w:type="dxa"/>
            <w:tcBorders>
              <w:top w:val="single" w:sz="4" w:space="0" w:color="000000"/>
              <w:left w:val="single" w:sz="4" w:space="0" w:color="000000"/>
              <w:bottom w:val="single" w:sz="4" w:space="0" w:color="000000"/>
              <w:right w:val="single" w:sz="4" w:space="0" w:color="000000"/>
            </w:tcBorders>
            <w:hideMark/>
          </w:tcPr>
          <w:p w14:paraId="1092DEE8" w14:textId="77777777" w:rsidR="00A41E60" w:rsidRPr="00D85E09" w:rsidRDefault="00A41E60" w:rsidP="0043316B">
            <w:pPr>
              <w:pStyle w:val="Tabletext"/>
              <w:keepNext w:val="0"/>
              <w:widowControl w:val="0"/>
              <w:jc w:val="center"/>
              <w:rPr>
                <w:b/>
              </w:rPr>
            </w:pPr>
            <w:r w:rsidRPr="00D85E09">
              <w:rPr>
                <w:b/>
              </w:rPr>
              <w:t>Average</w:t>
            </w:r>
          </w:p>
        </w:tc>
      </w:tr>
      <w:tr w:rsidR="00A41E60" w:rsidRPr="00D85E09" w14:paraId="30E8AC07"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1B735FB3" w14:textId="212ED080" w:rsidR="00A41E60" w:rsidRPr="00D85E09" w:rsidRDefault="00A41E60" w:rsidP="0043316B">
            <w:pPr>
              <w:pStyle w:val="Tabletext"/>
              <w:keepNext w:val="0"/>
              <w:widowControl w:val="0"/>
            </w:pPr>
            <w:r w:rsidRPr="00D85E09">
              <w:t>0-6 months (in-hospital + out</w:t>
            </w:r>
            <w:r w:rsidR="00582C35" w:rsidRPr="00D85E09">
              <w:t>-</w:t>
            </w:r>
            <w:r w:rsidRPr="00D85E09">
              <w:t>of</w:t>
            </w:r>
            <w:r w:rsidR="00582C35" w:rsidRPr="00D85E09">
              <w:t>-</w:t>
            </w:r>
            <w:r w:rsidRPr="00D85E09">
              <w:t>hospital)</w:t>
            </w:r>
            <w:r w:rsidR="00745F0C" w:rsidRPr="00D85E09">
              <w:t>, 6 months total</w:t>
            </w:r>
          </w:p>
        </w:tc>
        <w:tc>
          <w:tcPr>
            <w:tcW w:w="1204" w:type="dxa"/>
            <w:tcBorders>
              <w:top w:val="single" w:sz="4" w:space="0" w:color="000000"/>
              <w:left w:val="single" w:sz="4" w:space="0" w:color="000000"/>
              <w:bottom w:val="single" w:sz="4" w:space="0" w:color="000000"/>
              <w:right w:val="single" w:sz="4" w:space="0" w:color="000000"/>
            </w:tcBorders>
          </w:tcPr>
          <w:p w14:paraId="342B28F9" w14:textId="77777777" w:rsidR="00A41E60" w:rsidRPr="00D85E09" w:rsidRDefault="00A41E60" w:rsidP="0043316B">
            <w:pPr>
              <w:pStyle w:val="Tabletext"/>
              <w:keepNext w:val="0"/>
              <w:widowControl w:val="0"/>
              <w:jc w:val="center"/>
            </w:pPr>
          </w:p>
        </w:tc>
        <w:tc>
          <w:tcPr>
            <w:tcW w:w="1205" w:type="dxa"/>
            <w:tcBorders>
              <w:top w:val="single" w:sz="4" w:space="0" w:color="000000"/>
              <w:left w:val="single" w:sz="4" w:space="0" w:color="000000"/>
              <w:bottom w:val="single" w:sz="4" w:space="0" w:color="000000"/>
              <w:right w:val="single" w:sz="4" w:space="0" w:color="000000"/>
            </w:tcBorders>
          </w:tcPr>
          <w:p w14:paraId="76CFB537" w14:textId="77777777" w:rsidR="00A41E60" w:rsidRPr="00D85E09" w:rsidRDefault="00A41E60" w:rsidP="0043316B">
            <w:pPr>
              <w:pStyle w:val="Tabletext"/>
              <w:keepNext w:val="0"/>
              <w:widowControl w:val="0"/>
              <w:jc w:val="center"/>
            </w:pPr>
          </w:p>
        </w:tc>
        <w:tc>
          <w:tcPr>
            <w:tcW w:w="1205" w:type="dxa"/>
            <w:tcBorders>
              <w:top w:val="single" w:sz="4" w:space="0" w:color="000000"/>
              <w:left w:val="single" w:sz="4" w:space="0" w:color="000000"/>
              <w:bottom w:val="single" w:sz="4" w:space="0" w:color="000000"/>
              <w:right w:val="single" w:sz="4" w:space="0" w:color="000000"/>
            </w:tcBorders>
          </w:tcPr>
          <w:p w14:paraId="1967FA3D" w14:textId="77777777" w:rsidR="00A41E60" w:rsidRPr="00D85E09" w:rsidRDefault="00A41E60" w:rsidP="0043316B">
            <w:pPr>
              <w:pStyle w:val="Tabletext"/>
              <w:keepNext w:val="0"/>
              <w:widowControl w:val="0"/>
              <w:jc w:val="center"/>
            </w:pPr>
          </w:p>
        </w:tc>
        <w:tc>
          <w:tcPr>
            <w:tcW w:w="1205" w:type="dxa"/>
            <w:tcBorders>
              <w:top w:val="single" w:sz="4" w:space="0" w:color="000000"/>
              <w:left w:val="single" w:sz="4" w:space="0" w:color="000000"/>
              <w:bottom w:val="single" w:sz="4" w:space="0" w:color="000000"/>
              <w:right w:val="single" w:sz="4" w:space="0" w:color="000000"/>
            </w:tcBorders>
          </w:tcPr>
          <w:p w14:paraId="44F7C85B" w14:textId="77777777" w:rsidR="00A41E60" w:rsidRPr="00D85E09" w:rsidRDefault="00A41E60" w:rsidP="0043316B">
            <w:pPr>
              <w:pStyle w:val="Tabletext"/>
              <w:keepNext w:val="0"/>
              <w:widowControl w:val="0"/>
              <w:jc w:val="center"/>
            </w:pPr>
          </w:p>
        </w:tc>
        <w:tc>
          <w:tcPr>
            <w:tcW w:w="1837" w:type="dxa"/>
            <w:tcBorders>
              <w:top w:val="single" w:sz="4" w:space="0" w:color="000000"/>
              <w:left w:val="single" w:sz="4" w:space="0" w:color="000000"/>
              <w:bottom w:val="single" w:sz="4" w:space="0" w:color="000000"/>
              <w:right w:val="single" w:sz="4" w:space="0" w:color="000000"/>
            </w:tcBorders>
          </w:tcPr>
          <w:p w14:paraId="70CE2EDC" w14:textId="77777777" w:rsidR="00A41E60" w:rsidRPr="00D85E09" w:rsidRDefault="00A41E60" w:rsidP="0043316B">
            <w:pPr>
              <w:pStyle w:val="Tabletext"/>
              <w:keepNext w:val="0"/>
              <w:widowControl w:val="0"/>
              <w:jc w:val="center"/>
            </w:pPr>
          </w:p>
        </w:tc>
      </w:tr>
      <w:tr w:rsidR="00A41E60" w:rsidRPr="00D85E09" w14:paraId="236C7C8B"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691C56FE" w14:textId="49616A2C" w:rsidR="00A41E60" w:rsidRPr="00D85E09" w:rsidRDefault="00A41E60" w:rsidP="0043316B">
            <w:pPr>
              <w:pStyle w:val="Tabletext"/>
              <w:keepNext w:val="0"/>
              <w:widowControl w:val="0"/>
            </w:pPr>
            <w:r w:rsidRPr="00D85E09">
              <w:t xml:space="preserve"> Stroke care unit</w:t>
            </w:r>
          </w:p>
        </w:tc>
        <w:tc>
          <w:tcPr>
            <w:tcW w:w="1204" w:type="dxa"/>
            <w:tcBorders>
              <w:top w:val="single" w:sz="4" w:space="0" w:color="000000"/>
              <w:left w:val="single" w:sz="4" w:space="0" w:color="000000"/>
              <w:bottom w:val="single" w:sz="4" w:space="0" w:color="000000"/>
              <w:right w:val="single" w:sz="4" w:space="0" w:color="000000"/>
            </w:tcBorders>
            <w:hideMark/>
          </w:tcPr>
          <w:p w14:paraId="7F422EED" w14:textId="77777777" w:rsidR="00A41E60" w:rsidRPr="00D85E09" w:rsidRDefault="00A41E60" w:rsidP="0043316B">
            <w:pPr>
              <w:pStyle w:val="Tabletext"/>
              <w:keepNext w:val="0"/>
              <w:widowControl w:val="0"/>
              <w:jc w:val="center"/>
            </w:pPr>
            <w:r w:rsidRPr="00D85E09">
              <w:t>11,834</w:t>
            </w:r>
          </w:p>
        </w:tc>
        <w:tc>
          <w:tcPr>
            <w:tcW w:w="1205" w:type="dxa"/>
            <w:tcBorders>
              <w:top w:val="single" w:sz="4" w:space="0" w:color="000000"/>
              <w:left w:val="single" w:sz="4" w:space="0" w:color="000000"/>
              <w:bottom w:val="single" w:sz="4" w:space="0" w:color="000000"/>
              <w:right w:val="single" w:sz="4" w:space="0" w:color="000000"/>
            </w:tcBorders>
            <w:hideMark/>
          </w:tcPr>
          <w:p w14:paraId="290F4671" w14:textId="77777777" w:rsidR="00A41E60" w:rsidRPr="00D85E09" w:rsidRDefault="00A41E60" w:rsidP="0043316B">
            <w:pPr>
              <w:pStyle w:val="Tabletext"/>
              <w:keepNext w:val="0"/>
              <w:widowControl w:val="0"/>
              <w:jc w:val="center"/>
            </w:pPr>
            <w:r w:rsidRPr="00D85E09">
              <w:t>16,885</w:t>
            </w:r>
          </w:p>
        </w:tc>
        <w:tc>
          <w:tcPr>
            <w:tcW w:w="1205" w:type="dxa"/>
            <w:tcBorders>
              <w:top w:val="single" w:sz="4" w:space="0" w:color="000000"/>
              <w:left w:val="single" w:sz="4" w:space="0" w:color="000000"/>
              <w:bottom w:val="single" w:sz="4" w:space="0" w:color="000000"/>
              <w:right w:val="single" w:sz="4" w:space="0" w:color="000000"/>
            </w:tcBorders>
            <w:hideMark/>
          </w:tcPr>
          <w:p w14:paraId="4A0E18C5" w14:textId="77777777" w:rsidR="00A41E60" w:rsidRPr="00D85E09" w:rsidRDefault="00A41E60" w:rsidP="0043316B">
            <w:pPr>
              <w:pStyle w:val="Tabletext"/>
              <w:keepNext w:val="0"/>
              <w:widowControl w:val="0"/>
              <w:jc w:val="center"/>
            </w:pPr>
            <w:r w:rsidRPr="00D85E09">
              <w:t>52,671</w:t>
            </w:r>
          </w:p>
        </w:tc>
        <w:tc>
          <w:tcPr>
            <w:tcW w:w="1205" w:type="dxa"/>
            <w:tcBorders>
              <w:top w:val="single" w:sz="4" w:space="0" w:color="000000"/>
              <w:left w:val="single" w:sz="4" w:space="0" w:color="000000"/>
              <w:bottom w:val="single" w:sz="4" w:space="0" w:color="000000"/>
              <w:right w:val="single" w:sz="4" w:space="0" w:color="000000"/>
            </w:tcBorders>
            <w:hideMark/>
          </w:tcPr>
          <w:p w14:paraId="19D90E7E" w14:textId="77777777" w:rsidR="00A41E60" w:rsidRPr="00D85E09" w:rsidRDefault="00A41E60" w:rsidP="0043316B">
            <w:pPr>
              <w:pStyle w:val="Tabletext"/>
              <w:keepNext w:val="0"/>
              <w:widowControl w:val="0"/>
              <w:jc w:val="center"/>
            </w:pPr>
            <w:r w:rsidRPr="00D85E09">
              <w:t>47,799</w:t>
            </w:r>
          </w:p>
        </w:tc>
        <w:tc>
          <w:tcPr>
            <w:tcW w:w="1837" w:type="dxa"/>
            <w:tcBorders>
              <w:top w:val="single" w:sz="4" w:space="0" w:color="000000"/>
              <w:left w:val="single" w:sz="4" w:space="0" w:color="000000"/>
              <w:bottom w:val="single" w:sz="4" w:space="0" w:color="000000"/>
              <w:right w:val="single" w:sz="4" w:space="0" w:color="000000"/>
            </w:tcBorders>
            <w:hideMark/>
          </w:tcPr>
          <w:p w14:paraId="370DB1D8" w14:textId="77777777" w:rsidR="00A41E60" w:rsidRPr="00D85E09" w:rsidRDefault="00A41E60" w:rsidP="0043316B">
            <w:pPr>
              <w:pStyle w:val="Tabletext"/>
              <w:keepNext w:val="0"/>
              <w:widowControl w:val="0"/>
              <w:jc w:val="center"/>
            </w:pPr>
            <w:r w:rsidRPr="00D85E09">
              <w:t>37,553</w:t>
            </w:r>
          </w:p>
        </w:tc>
      </w:tr>
      <w:tr w:rsidR="00A41E60" w:rsidRPr="00D85E09" w14:paraId="3F5075E2"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13F2A881" w14:textId="7CAFECAA" w:rsidR="00A41E60" w:rsidRPr="00D85E09" w:rsidRDefault="00A41E60" w:rsidP="0043316B">
            <w:pPr>
              <w:pStyle w:val="Tabletext"/>
              <w:keepNext w:val="0"/>
              <w:widowControl w:val="0"/>
            </w:pPr>
            <w:r w:rsidRPr="00D85E09">
              <w:t xml:space="preserve"> Usual stroke care</w:t>
            </w:r>
          </w:p>
        </w:tc>
        <w:tc>
          <w:tcPr>
            <w:tcW w:w="1204" w:type="dxa"/>
            <w:tcBorders>
              <w:top w:val="single" w:sz="4" w:space="0" w:color="000000"/>
              <w:left w:val="single" w:sz="4" w:space="0" w:color="000000"/>
              <w:bottom w:val="single" w:sz="4" w:space="0" w:color="000000"/>
              <w:right w:val="single" w:sz="4" w:space="0" w:color="000000"/>
            </w:tcBorders>
            <w:hideMark/>
          </w:tcPr>
          <w:p w14:paraId="5F3725B1" w14:textId="77777777" w:rsidR="00A41E60" w:rsidRPr="00D85E09" w:rsidRDefault="00A41E60" w:rsidP="0043316B">
            <w:pPr>
              <w:pStyle w:val="Tabletext"/>
              <w:keepNext w:val="0"/>
              <w:widowControl w:val="0"/>
              <w:jc w:val="center"/>
            </w:pPr>
            <w:r w:rsidRPr="00D85E09">
              <w:t>13,037</w:t>
            </w:r>
          </w:p>
        </w:tc>
        <w:tc>
          <w:tcPr>
            <w:tcW w:w="1205" w:type="dxa"/>
            <w:tcBorders>
              <w:top w:val="single" w:sz="4" w:space="0" w:color="000000"/>
              <w:left w:val="single" w:sz="4" w:space="0" w:color="000000"/>
              <w:bottom w:val="single" w:sz="4" w:space="0" w:color="000000"/>
              <w:right w:val="single" w:sz="4" w:space="0" w:color="000000"/>
            </w:tcBorders>
            <w:hideMark/>
          </w:tcPr>
          <w:p w14:paraId="61ADE66B" w14:textId="77777777" w:rsidR="00A41E60" w:rsidRPr="00D85E09" w:rsidRDefault="00A41E60" w:rsidP="0043316B">
            <w:pPr>
              <w:pStyle w:val="Tabletext"/>
              <w:keepNext w:val="0"/>
              <w:widowControl w:val="0"/>
              <w:jc w:val="center"/>
            </w:pPr>
            <w:r w:rsidRPr="00D85E09">
              <w:t>21,471</w:t>
            </w:r>
          </w:p>
        </w:tc>
        <w:tc>
          <w:tcPr>
            <w:tcW w:w="1205" w:type="dxa"/>
            <w:tcBorders>
              <w:top w:val="single" w:sz="4" w:space="0" w:color="000000"/>
              <w:left w:val="single" w:sz="4" w:space="0" w:color="000000"/>
              <w:bottom w:val="single" w:sz="4" w:space="0" w:color="000000"/>
              <w:right w:val="single" w:sz="4" w:space="0" w:color="000000"/>
            </w:tcBorders>
            <w:hideMark/>
          </w:tcPr>
          <w:p w14:paraId="676D7F05" w14:textId="77777777" w:rsidR="00A41E60" w:rsidRPr="00D85E09" w:rsidRDefault="00A41E60" w:rsidP="0043316B">
            <w:pPr>
              <w:pStyle w:val="Tabletext"/>
              <w:keepNext w:val="0"/>
              <w:widowControl w:val="0"/>
              <w:jc w:val="center"/>
            </w:pPr>
            <w:r w:rsidRPr="00D85E09">
              <w:t>60,058</w:t>
            </w:r>
          </w:p>
        </w:tc>
        <w:tc>
          <w:tcPr>
            <w:tcW w:w="1205" w:type="dxa"/>
            <w:tcBorders>
              <w:top w:val="single" w:sz="4" w:space="0" w:color="000000"/>
              <w:left w:val="single" w:sz="4" w:space="0" w:color="000000"/>
              <w:bottom w:val="single" w:sz="4" w:space="0" w:color="000000"/>
              <w:right w:val="single" w:sz="4" w:space="0" w:color="000000"/>
            </w:tcBorders>
            <w:hideMark/>
          </w:tcPr>
          <w:p w14:paraId="6EAECF16" w14:textId="77777777" w:rsidR="00A41E60" w:rsidRPr="00D85E09" w:rsidRDefault="00A41E60" w:rsidP="0043316B">
            <w:pPr>
              <w:pStyle w:val="Tabletext"/>
              <w:keepNext w:val="0"/>
              <w:widowControl w:val="0"/>
              <w:jc w:val="center"/>
            </w:pPr>
            <w:r w:rsidRPr="00D85E09">
              <w:t>68,019</w:t>
            </w:r>
          </w:p>
        </w:tc>
        <w:tc>
          <w:tcPr>
            <w:tcW w:w="1837" w:type="dxa"/>
            <w:tcBorders>
              <w:top w:val="single" w:sz="4" w:space="0" w:color="000000"/>
              <w:left w:val="single" w:sz="4" w:space="0" w:color="000000"/>
              <w:bottom w:val="single" w:sz="4" w:space="0" w:color="000000"/>
              <w:right w:val="single" w:sz="4" w:space="0" w:color="000000"/>
            </w:tcBorders>
            <w:hideMark/>
          </w:tcPr>
          <w:p w14:paraId="434B6AE4" w14:textId="77777777" w:rsidR="00A41E60" w:rsidRPr="00D85E09" w:rsidRDefault="00A41E60" w:rsidP="0043316B">
            <w:pPr>
              <w:pStyle w:val="Tabletext"/>
              <w:keepNext w:val="0"/>
              <w:widowControl w:val="0"/>
              <w:jc w:val="center"/>
            </w:pPr>
            <w:r w:rsidRPr="00D85E09">
              <w:t>39,656</w:t>
            </w:r>
          </w:p>
        </w:tc>
      </w:tr>
      <w:tr w:rsidR="00A41E60" w:rsidRPr="00D85E09" w14:paraId="6FE2AFA8"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0CC73CC4" w14:textId="451B4D70" w:rsidR="00A41E60" w:rsidRPr="00D85E09" w:rsidRDefault="00A41E60" w:rsidP="0043316B">
            <w:pPr>
              <w:pStyle w:val="Tabletext"/>
              <w:keepNext w:val="0"/>
              <w:widowControl w:val="0"/>
            </w:pPr>
            <w:r w:rsidRPr="00D85E09">
              <w:t>7-12 months</w:t>
            </w:r>
            <w:r w:rsidR="00745F0C" w:rsidRPr="00D85E09">
              <w:t>, 6 months total</w:t>
            </w:r>
          </w:p>
        </w:tc>
        <w:tc>
          <w:tcPr>
            <w:tcW w:w="1204" w:type="dxa"/>
            <w:tcBorders>
              <w:top w:val="single" w:sz="4" w:space="0" w:color="000000"/>
              <w:left w:val="single" w:sz="4" w:space="0" w:color="000000"/>
              <w:bottom w:val="single" w:sz="4" w:space="0" w:color="000000"/>
              <w:right w:val="single" w:sz="4" w:space="0" w:color="000000"/>
            </w:tcBorders>
            <w:hideMark/>
          </w:tcPr>
          <w:p w14:paraId="5272E0A0" w14:textId="77777777" w:rsidR="00A41E60" w:rsidRPr="00D85E09" w:rsidRDefault="00A41E60" w:rsidP="0043316B">
            <w:pPr>
              <w:pStyle w:val="Tabletext"/>
              <w:keepNext w:val="0"/>
              <w:widowControl w:val="0"/>
              <w:jc w:val="center"/>
            </w:pPr>
            <w:r w:rsidRPr="00D85E09">
              <w:t>1,761</w:t>
            </w:r>
          </w:p>
        </w:tc>
        <w:tc>
          <w:tcPr>
            <w:tcW w:w="1205" w:type="dxa"/>
            <w:tcBorders>
              <w:top w:val="single" w:sz="4" w:space="0" w:color="000000"/>
              <w:left w:val="single" w:sz="4" w:space="0" w:color="000000"/>
              <w:bottom w:val="single" w:sz="4" w:space="0" w:color="000000"/>
              <w:right w:val="single" w:sz="4" w:space="0" w:color="000000"/>
            </w:tcBorders>
            <w:hideMark/>
          </w:tcPr>
          <w:p w14:paraId="1C204786" w14:textId="77777777" w:rsidR="00A41E60" w:rsidRPr="00D85E09" w:rsidRDefault="00A41E60" w:rsidP="0043316B">
            <w:pPr>
              <w:pStyle w:val="Tabletext"/>
              <w:keepNext w:val="0"/>
              <w:widowControl w:val="0"/>
              <w:jc w:val="center"/>
            </w:pPr>
            <w:r w:rsidRPr="00D85E09">
              <w:t>4,196</w:t>
            </w:r>
          </w:p>
        </w:tc>
        <w:tc>
          <w:tcPr>
            <w:tcW w:w="1205" w:type="dxa"/>
            <w:tcBorders>
              <w:top w:val="single" w:sz="4" w:space="0" w:color="000000"/>
              <w:left w:val="single" w:sz="4" w:space="0" w:color="000000"/>
              <w:bottom w:val="single" w:sz="4" w:space="0" w:color="000000"/>
              <w:right w:val="single" w:sz="4" w:space="0" w:color="000000"/>
            </w:tcBorders>
            <w:hideMark/>
          </w:tcPr>
          <w:p w14:paraId="1D649AA7" w14:textId="77777777" w:rsidR="00A41E60" w:rsidRPr="00D85E09" w:rsidRDefault="00A41E60" w:rsidP="0043316B">
            <w:pPr>
              <w:pStyle w:val="Tabletext"/>
              <w:keepNext w:val="0"/>
              <w:widowControl w:val="0"/>
              <w:jc w:val="center"/>
            </w:pPr>
            <w:r w:rsidRPr="00D85E09">
              <w:t>17,824</w:t>
            </w:r>
          </w:p>
        </w:tc>
        <w:tc>
          <w:tcPr>
            <w:tcW w:w="1205" w:type="dxa"/>
            <w:tcBorders>
              <w:top w:val="single" w:sz="4" w:space="0" w:color="000000"/>
              <w:left w:val="single" w:sz="4" w:space="0" w:color="000000"/>
              <w:bottom w:val="single" w:sz="4" w:space="0" w:color="000000"/>
              <w:right w:val="single" w:sz="4" w:space="0" w:color="000000"/>
            </w:tcBorders>
            <w:hideMark/>
          </w:tcPr>
          <w:p w14:paraId="378DAA45" w14:textId="77777777" w:rsidR="00A41E60" w:rsidRPr="00D85E09" w:rsidRDefault="00A41E60" w:rsidP="0043316B">
            <w:pPr>
              <w:pStyle w:val="Tabletext"/>
              <w:keepNext w:val="0"/>
              <w:widowControl w:val="0"/>
              <w:jc w:val="center"/>
            </w:pPr>
            <w:r w:rsidRPr="00D85E09">
              <w:t>22,515</w:t>
            </w:r>
          </w:p>
        </w:tc>
        <w:tc>
          <w:tcPr>
            <w:tcW w:w="1837" w:type="dxa"/>
            <w:tcBorders>
              <w:top w:val="single" w:sz="4" w:space="0" w:color="000000"/>
              <w:left w:val="single" w:sz="4" w:space="0" w:color="000000"/>
              <w:bottom w:val="single" w:sz="4" w:space="0" w:color="000000"/>
              <w:right w:val="single" w:sz="4" w:space="0" w:color="000000"/>
            </w:tcBorders>
            <w:hideMark/>
          </w:tcPr>
          <w:p w14:paraId="50C9FC58" w14:textId="77777777" w:rsidR="00A41E60" w:rsidRPr="00D85E09" w:rsidRDefault="00A41E60" w:rsidP="0043316B">
            <w:pPr>
              <w:pStyle w:val="Tabletext"/>
              <w:keepNext w:val="0"/>
              <w:widowControl w:val="0"/>
              <w:jc w:val="center"/>
              <w:rPr>
                <w:vertAlign w:val="superscript"/>
              </w:rPr>
            </w:pPr>
            <w:r w:rsidRPr="00D85E09">
              <w:t>9730</w:t>
            </w:r>
            <w:r w:rsidRPr="00D85E09">
              <w:rPr>
                <w:vertAlign w:val="superscript"/>
              </w:rPr>
              <w:t>a</w:t>
            </w:r>
          </w:p>
        </w:tc>
      </w:tr>
      <w:tr w:rsidR="00A41E60" w:rsidRPr="00D85E09" w14:paraId="72C7A5C3"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6679AB40" w14:textId="77777777" w:rsidR="00A41E60" w:rsidRPr="00D85E09" w:rsidRDefault="00A41E60" w:rsidP="0043316B">
            <w:pPr>
              <w:pStyle w:val="Tabletext"/>
              <w:keepNext w:val="0"/>
              <w:widowControl w:val="0"/>
            </w:pPr>
            <w:r w:rsidRPr="00D85E09">
              <w:t>+1 year (men, annual)</w:t>
            </w:r>
          </w:p>
        </w:tc>
        <w:tc>
          <w:tcPr>
            <w:tcW w:w="1204" w:type="dxa"/>
            <w:tcBorders>
              <w:top w:val="single" w:sz="4" w:space="0" w:color="000000"/>
              <w:left w:val="single" w:sz="4" w:space="0" w:color="000000"/>
              <w:bottom w:val="single" w:sz="4" w:space="0" w:color="000000"/>
              <w:right w:val="single" w:sz="4" w:space="0" w:color="000000"/>
            </w:tcBorders>
            <w:hideMark/>
          </w:tcPr>
          <w:p w14:paraId="64ABB3C1" w14:textId="77777777" w:rsidR="00A41E60" w:rsidRPr="00D85E09" w:rsidRDefault="00A41E60" w:rsidP="0043316B">
            <w:pPr>
              <w:pStyle w:val="Tabletext"/>
              <w:keepNext w:val="0"/>
              <w:widowControl w:val="0"/>
              <w:jc w:val="center"/>
            </w:pPr>
            <w:r w:rsidRPr="00D85E09">
              <w:t>1,622</w:t>
            </w:r>
          </w:p>
        </w:tc>
        <w:tc>
          <w:tcPr>
            <w:tcW w:w="1205" w:type="dxa"/>
            <w:tcBorders>
              <w:top w:val="single" w:sz="4" w:space="0" w:color="000000"/>
              <w:left w:val="single" w:sz="4" w:space="0" w:color="000000"/>
              <w:bottom w:val="single" w:sz="4" w:space="0" w:color="000000"/>
              <w:right w:val="single" w:sz="4" w:space="0" w:color="000000"/>
            </w:tcBorders>
            <w:hideMark/>
          </w:tcPr>
          <w:p w14:paraId="2A1BD678" w14:textId="77777777" w:rsidR="00A41E60" w:rsidRPr="00D85E09" w:rsidRDefault="00A41E60" w:rsidP="0043316B">
            <w:pPr>
              <w:pStyle w:val="Tabletext"/>
              <w:keepNext w:val="0"/>
              <w:widowControl w:val="0"/>
              <w:jc w:val="center"/>
            </w:pPr>
            <w:r w:rsidRPr="00D85E09">
              <w:t>2,056</w:t>
            </w:r>
          </w:p>
        </w:tc>
        <w:tc>
          <w:tcPr>
            <w:tcW w:w="1205" w:type="dxa"/>
            <w:tcBorders>
              <w:top w:val="single" w:sz="4" w:space="0" w:color="000000"/>
              <w:left w:val="single" w:sz="4" w:space="0" w:color="000000"/>
              <w:bottom w:val="single" w:sz="4" w:space="0" w:color="000000"/>
              <w:right w:val="single" w:sz="4" w:space="0" w:color="000000"/>
            </w:tcBorders>
            <w:hideMark/>
          </w:tcPr>
          <w:p w14:paraId="08FF8DE4" w14:textId="77777777" w:rsidR="00A41E60" w:rsidRPr="00D85E09" w:rsidRDefault="00A41E60" w:rsidP="0043316B">
            <w:pPr>
              <w:pStyle w:val="Tabletext"/>
              <w:keepNext w:val="0"/>
              <w:widowControl w:val="0"/>
              <w:jc w:val="center"/>
            </w:pPr>
            <w:r w:rsidRPr="00D85E09">
              <w:t>11,994</w:t>
            </w:r>
          </w:p>
        </w:tc>
        <w:tc>
          <w:tcPr>
            <w:tcW w:w="1205" w:type="dxa"/>
            <w:tcBorders>
              <w:top w:val="single" w:sz="4" w:space="0" w:color="000000"/>
              <w:left w:val="single" w:sz="4" w:space="0" w:color="000000"/>
              <w:bottom w:val="single" w:sz="4" w:space="0" w:color="000000"/>
              <w:right w:val="single" w:sz="4" w:space="0" w:color="000000"/>
            </w:tcBorders>
            <w:hideMark/>
          </w:tcPr>
          <w:p w14:paraId="4EF32491" w14:textId="77777777" w:rsidR="00A41E60" w:rsidRPr="00D85E09" w:rsidRDefault="00A41E60" w:rsidP="0043316B">
            <w:pPr>
              <w:pStyle w:val="Tabletext"/>
              <w:keepNext w:val="0"/>
              <w:widowControl w:val="0"/>
              <w:jc w:val="center"/>
            </w:pPr>
            <w:r w:rsidRPr="00D85E09">
              <w:t>15,266</w:t>
            </w:r>
          </w:p>
        </w:tc>
        <w:tc>
          <w:tcPr>
            <w:tcW w:w="1837" w:type="dxa"/>
            <w:tcBorders>
              <w:top w:val="single" w:sz="4" w:space="0" w:color="000000"/>
              <w:left w:val="single" w:sz="4" w:space="0" w:color="000000"/>
              <w:bottom w:val="single" w:sz="4" w:space="0" w:color="000000"/>
              <w:right w:val="single" w:sz="4" w:space="0" w:color="000000"/>
            </w:tcBorders>
            <w:hideMark/>
          </w:tcPr>
          <w:p w14:paraId="60CEA61E" w14:textId="77777777" w:rsidR="00A41E60" w:rsidRPr="00D85E09" w:rsidRDefault="00A41E60" w:rsidP="0043316B">
            <w:pPr>
              <w:pStyle w:val="Tabletext"/>
              <w:keepNext w:val="0"/>
              <w:widowControl w:val="0"/>
              <w:jc w:val="center"/>
            </w:pPr>
            <w:r w:rsidRPr="00D85E09">
              <w:t>6,342</w:t>
            </w:r>
            <w:r w:rsidRPr="00D85E09">
              <w:rPr>
                <w:vertAlign w:val="superscript"/>
              </w:rPr>
              <w:t>a</w:t>
            </w:r>
          </w:p>
        </w:tc>
      </w:tr>
      <w:tr w:rsidR="00A41E60" w:rsidRPr="00D85E09" w14:paraId="03808030"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702F1403" w14:textId="77777777" w:rsidR="00A41E60" w:rsidRPr="00D85E09" w:rsidRDefault="00A41E60" w:rsidP="0043316B">
            <w:pPr>
              <w:pStyle w:val="Tabletext"/>
              <w:keepNext w:val="0"/>
              <w:widowControl w:val="0"/>
            </w:pPr>
            <w:r w:rsidRPr="00D85E09">
              <w:t>+1 year (female, annual)</w:t>
            </w:r>
          </w:p>
        </w:tc>
        <w:tc>
          <w:tcPr>
            <w:tcW w:w="1204" w:type="dxa"/>
            <w:tcBorders>
              <w:top w:val="single" w:sz="4" w:space="0" w:color="000000"/>
              <w:left w:val="single" w:sz="4" w:space="0" w:color="000000"/>
              <w:bottom w:val="single" w:sz="4" w:space="0" w:color="000000"/>
              <w:right w:val="single" w:sz="4" w:space="0" w:color="000000"/>
            </w:tcBorders>
            <w:hideMark/>
          </w:tcPr>
          <w:p w14:paraId="591F9FC3" w14:textId="77777777" w:rsidR="00A41E60" w:rsidRPr="00D85E09" w:rsidRDefault="00A41E60" w:rsidP="0043316B">
            <w:pPr>
              <w:pStyle w:val="Tabletext"/>
              <w:keepNext w:val="0"/>
              <w:widowControl w:val="0"/>
              <w:jc w:val="center"/>
            </w:pPr>
            <w:r w:rsidRPr="00D85E09">
              <w:t>1,622</w:t>
            </w:r>
          </w:p>
        </w:tc>
        <w:tc>
          <w:tcPr>
            <w:tcW w:w="1205" w:type="dxa"/>
            <w:tcBorders>
              <w:top w:val="single" w:sz="4" w:space="0" w:color="000000"/>
              <w:left w:val="single" w:sz="4" w:space="0" w:color="000000"/>
              <w:bottom w:val="single" w:sz="4" w:space="0" w:color="000000"/>
              <w:right w:val="single" w:sz="4" w:space="0" w:color="000000"/>
            </w:tcBorders>
            <w:hideMark/>
          </w:tcPr>
          <w:p w14:paraId="2D40F29A" w14:textId="77777777" w:rsidR="00A41E60" w:rsidRPr="00D85E09" w:rsidRDefault="00A41E60" w:rsidP="0043316B">
            <w:pPr>
              <w:pStyle w:val="Tabletext"/>
              <w:keepNext w:val="0"/>
              <w:widowControl w:val="0"/>
              <w:jc w:val="center"/>
            </w:pPr>
            <w:r w:rsidRPr="00D85E09">
              <w:t>2,056</w:t>
            </w:r>
          </w:p>
        </w:tc>
        <w:tc>
          <w:tcPr>
            <w:tcW w:w="1205" w:type="dxa"/>
            <w:tcBorders>
              <w:top w:val="single" w:sz="4" w:space="0" w:color="000000"/>
              <w:left w:val="single" w:sz="4" w:space="0" w:color="000000"/>
              <w:bottom w:val="single" w:sz="4" w:space="0" w:color="000000"/>
              <w:right w:val="single" w:sz="4" w:space="0" w:color="000000"/>
            </w:tcBorders>
            <w:hideMark/>
          </w:tcPr>
          <w:p w14:paraId="2FA7D3F7" w14:textId="77777777" w:rsidR="00A41E60" w:rsidRPr="00D85E09" w:rsidRDefault="00A41E60" w:rsidP="0043316B">
            <w:pPr>
              <w:pStyle w:val="Tabletext"/>
              <w:keepNext w:val="0"/>
              <w:widowControl w:val="0"/>
              <w:jc w:val="center"/>
            </w:pPr>
            <w:r w:rsidRPr="00D85E09">
              <w:t>19,800</w:t>
            </w:r>
          </w:p>
        </w:tc>
        <w:tc>
          <w:tcPr>
            <w:tcW w:w="1205" w:type="dxa"/>
            <w:tcBorders>
              <w:top w:val="single" w:sz="4" w:space="0" w:color="000000"/>
              <w:left w:val="single" w:sz="4" w:space="0" w:color="000000"/>
              <w:bottom w:val="single" w:sz="4" w:space="0" w:color="000000"/>
              <w:right w:val="single" w:sz="4" w:space="0" w:color="000000"/>
            </w:tcBorders>
            <w:hideMark/>
          </w:tcPr>
          <w:p w14:paraId="547B7249" w14:textId="77777777" w:rsidR="00A41E60" w:rsidRPr="00D85E09" w:rsidRDefault="00A41E60" w:rsidP="0043316B">
            <w:pPr>
              <w:pStyle w:val="Tabletext"/>
              <w:keepNext w:val="0"/>
              <w:widowControl w:val="0"/>
              <w:jc w:val="center"/>
            </w:pPr>
            <w:r w:rsidRPr="00D85E09">
              <w:t>25,404</w:t>
            </w:r>
          </w:p>
        </w:tc>
        <w:tc>
          <w:tcPr>
            <w:tcW w:w="1837" w:type="dxa"/>
            <w:tcBorders>
              <w:top w:val="single" w:sz="4" w:space="0" w:color="000000"/>
              <w:left w:val="single" w:sz="4" w:space="0" w:color="000000"/>
              <w:bottom w:val="single" w:sz="4" w:space="0" w:color="000000"/>
              <w:right w:val="single" w:sz="4" w:space="0" w:color="000000"/>
            </w:tcBorders>
            <w:hideMark/>
          </w:tcPr>
          <w:p w14:paraId="1EDC4645" w14:textId="77777777" w:rsidR="00A41E60" w:rsidRPr="00D85E09" w:rsidRDefault="00A41E60" w:rsidP="0043316B">
            <w:pPr>
              <w:pStyle w:val="Tabletext"/>
              <w:keepNext w:val="0"/>
              <w:widowControl w:val="0"/>
              <w:jc w:val="center"/>
            </w:pPr>
            <w:r w:rsidRPr="00D85E09">
              <w:t>9,751</w:t>
            </w:r>
            <w:r w:rsidRPr="00D85E09">
              <w:rPr>
                <w:vertAlign w:val="superscript"/>
              </w:rPr>
              <w:t>a</w:t>
            </w:r>
          </w:p>
        </w:tc>
      </w:tr>
      <w:tr w:rsidR="00A41E60" w:rsidRPr="00D85E09" w14:paraId="1C998744" w14:textId="77777777" w:rsidTr="00A41E60">
        <w:tc>
          <w:tcPr>
            <w:tcW w:w="2122" w:type="dxa"/>
            <w:tcBorders>
              <w:top w:val="single" w:sz="4" w:space="0" w:color="000000"/>
              <w:left w:val="single" w:sz="4" w:space="0" w:color="000000"/>
              <w:bottom w:val="single" w:sz="4" w:space="0" w:color="000000"/>
              <w:right w:val="single" w:sz="4" w:space="0" w:color="000000"/>
            </w:tcBorders>
            <w:hideMark/>
          </w:tcPr>
          <w:p w14:paraId="73C270F9" w14:textId="77777777" w:rsidR="00A41E60" w:rsidRPr="00D85E09" w:rsidRDefault="00A41E60" w:rsidP="0043316B">
            <w:pPr>
              <w:pStyle w:val="Tabletext"/>
              <w:keepNext w:val="0"/>
              <w:widowControl w:val="0"/>
              <w:rPr>
                <w:vertAlign w:val="superscript"/>
              </w:rPr>
            </w:pPr>
            <w:r w:rsidRPr="00D85E09">
              <w:t>+1 year (gender standardised</w:t>
            </w:r>
            <w:r w:rsidRPr="00D85E09">
              <w:rPr>
                <w:vertAlign w:val="superscript"/>
              </w:rPr>
              <w:t>b</w:t>
            </w:r>
            <w:r w:rsidRPr="00D85E09">
              <w:t>, annual)</w:t>
            </w:r>
            <w:r w:rsidRPr="00D85E09">
              <w:rPr>
                <w:vertAlign w:val="superscript"/>
              </w:rPr>
              <w:t>c</w:t>
            </w:r>
          </w:p>
        </w:tc>
        <w:tc>
          <w:tcPr>
            <w:tcW w:w="1204" w:type="dxa"/>
            <w:tcBorders>
              <w:top w:val="single" w:sz="4" w:space="0" w:color="000000"/>
              <w:left w:val="single" w:sz="4" w:space="0" w:color="000000"/>
              <w:bottom w:val="single" w:sz="4" w:space="0" w:color="000000"/>
              <w:right w:val="single" w:sz="4" w:space="0" w:color="000000"/>
            </w:tcBorders>
            <w:hideMark/>
          </w:tcPr>
          <w:p w14:paraId="057501DD" w14:textId="77777777" w:rsidR="00A41E60" w:rsidRPr="00D85E09" w:rsidRDefault="00A41E60" w:rsidP="0043316B">
            <w:pPr>
              <w:pStyle w:val="Tabletext"/>
              <w:keepNext w:val="0"/>
              <w:widowControl w:val="0"/>
              <w:jc w:val="center"/>
            </w:pPr>
            <w:r w:rsidRPr="00D85E09">
              <w:t>1,622</w:t>
            </w:r>
          </w:p>
        </w:tc>
        <w:tc>
          <w:tcPr>
            <w:tcW w:w="1205" w:type="dxa"/>
            <w:tcBorders>
              <w:top w:val="single" w:sz="4" w:space="0" w:color="000000"/>
              <w:left w:val="single" w:sz="4" w:space="0" w:color="000000"/>
              <w:bottom w:val="single" w:sz="4" w:space="0" w:color="000000"/>
              <w:right w:val="single" w:sz="4" w:space="0" w:color="000000"/>
            </w:tcBorders>
            <w:hideMark/>
          </w:tcPr>
          <w:p w14:paraId="74D52312" w14:textId="77777777" w:rsidR="00A41E60" w:rsidRPr="00D85E09" w:rsidRDefault="00A41E60" w:rsidP="0043316B">
            <w:pPr>
              <w:pStyle w:val="Tabletext"/>
              <w:keepNext w:val="0"/>
              <w:widowControl w:val="0"/>
              <w:jc w:val="center"/>
            </w:pPr>
            <w:r w:rsidRPr="00D85E09">
              <w:t>2,056</w:t>
            </w:r>
          </w:p>
        </w:tc>
        <w:tc>
          <w:tcPr>
            <w:tcW w:w="1205" w:type="dxa"/>
            <w:tcBorders>
              <w:top w:val="single" w:sz="4" w:space="0" w:color="000000"/>
              <w:left w:val="single" w:sz="4" w:space="0" w:color="000000"/>
              <w:bottom w:val="single" w:sz="4" w:space="0" w:color="000000"/>
              <w:right w:val="single" w:sz="4" w:space="0" w:color="000000"/>
            </w:tcBorders>
            <w:hideMark/>
          </w:tcPr>
          <w:p w14:paraId="2FAF54B0" w14:textId="77777777" w:rsidR="00A41E60" w:rsidRPr="00D85E09" w:rsidRDefault="00A41E60" w:rsidP="0043316B">
            <w:pPr>
              <w:pStyle w:val="Tabletext"/>
              <w:keepNext w:val="0"/>
              <w:widowControl w:val="0"/>
              <w:jc w:val="center"/>
            </w:pPr>
            <w:r w:rsidRPr="00D85E09">
              <w:t>15,897</w:t>
            </w:r>
          </w:p>
        </w:tc>
        <w:tc>
          <w:tcPr>
            <w:tcW w:w="1205" w:type="dxa"/>
            <w:tcBorders>
              <w:top w:val="single" w:sz="4" w:space="0" w:color="000000"/>
              <w:left w:val="single" w:sz="4" w:space="0" w:color="000000"/>
              <w:bottom w:val="single" w:sz="4" w:space="0" w:color="000000"/>
              <w:right w:val="single" w:sz="4" w:space="0" w:color="000000"/>
            </w:tcBorders>
            <w:hideMark/>
          </w:tcPr>
          <w:p w14:paraId="7450B42F" w14:textId="77777777" w:rsidR="00A41E60" w:rsidRPr="00D85E09" w:rsidRDefault="00A41E60" w:rsidP="0043316B">
            <w:pPr>
              <w:pStyle w:val="Tabletext"/>
              <w:keepNext w:val="0"/>
              <w:widowControl w:val="0"/>
              <w:jc w:val="center"/>
            </w:pPr>
            <w:r w:rsidRPr="00D85E09">
              <w:t>20,335</w:t>
            </w:r>
          </w:p>
        </w:tc>
        <w:tc>
          <w:tcPr>
            <w:tcW w:w="1837" w:type="dxa"/>
            <w:tcBorders>
              <w:top w:val="single" w:sz="4" w:space="0" w:color="000000"/>
              <w:left w:val="single" w:sz="4" w:space="0" w:color="000000"/>
              <w:bottom w:val="single" w:sz="4" w:space="0" w:color="000000"/>
              <w:right w:val="single" w:sz="4" w:space="0" w:color="000000"/>
            </w:tcBorders>
            <w:hideMark/>
          </w:tcPr>
          <w:p w14:paraId="571D5D84" w14:textId="77777777" w:rsidR="00A41E60" w:rsidRPr="00D85E09" w:rsidRDefault="00A41E60" w:rsidP="0043316B">
            <w:pPr>
              <w:pStyle w:val="Tabletext"/>
              <w:keepNext w:val="0"/>
              <w:widowControl w:val="0"/>
              <w:jc w:val="center"/>
            </w:pPr>
            <w:r w:rsidRPr="00D85E09">
              <w:t>8,047</w:t>
            </w:r>
            <w:r w:rsidRPr="00D85E09">
              <w:rPr>
                <w:vertAlign w:val="superscript"/>
              </w:rPr>
              <w:t>a</w:t>
            </w:r>
          </w:p>
        </w:tc>
      </w:tr>
      <w:tr w:rsidR="00A41E60" w:rsidRPr="00D85E09" w14:paraId="5E3F43D6" w14:textId="77777777" w:rsidTr="00A41E60">
        <w:tc>
          <w:tcPr>
            <w:tcW w:w="21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E70E46" w14:textId="77777777" w:rsidR="00A41E60" w:rsidRPr="00D85E09" w:rsidRDefault="00A41E60" w:rsidP="0043316B">
            <w:pPr>
              <w:pStyle w:val="Tabletext"/>
              <w:keepNext w:val="0"/>
              <w:widowControl w:val="0"/>
            </w:pPr>
            <w:r w:rsidRPr="00D85E09">
              <w:t>Cost multipliers according to mRS (vs average)</w:t>
            </w:r>
            <w:r w:rsidRPr="00D85E09">
              <w:rPr>
                <w:vertAlign w:val="superscript"/>
              </w:rPr>
              <w:t>c</w:t>
            </w:r>
            <w:r w:rsidRPr="00D85E09">
              <w:t xml:space="preserve"> </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1B73B6" w14:textId="77777777" w:rsidR="00A41E60" w:rsidRPr="00D85E09" w:rsidRDefault="00A41E60" w:rsidP="0043316B">
            <w:pPr>
              <w:pStyle w:val="Tabletext"/>
              <w:keepNext w:val="0"/>
              <w:widowControl w:val="0"/>
              <w:jc w:val="center"/>
            </w:pPr>
            <w:r w:rsidRPr="00D85E09">
              <w:t>0.20</w:t>
            </w:r>
          </w:p>
        </w:tc>
        <w:tc>
          <w:tcPr>
            <w:tcW w:w="12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F32F69E" w14:textId="77777777" w:rsidR="00A41E60" w:rsidRPr="00D85E09" w:rsidRDefault="00A41E60" w:rsidP="0043316B">
            <w:pPr>
              <w:pStyle w:val="Tabletext"/>
              <w:keepNext w:val="0"/>
              <w:widowControl w:val="0"/>
              <w:jc w:val="center"/>
            </w:pPr>
            <w:r w:rsidRPr="00D85E09">
              <w:t>0.26</w:t>
            </w:r>
          </w:p>
        </w:tc>
        <w:tc>
          <w:tcPr>
            <w:tcW w:w="12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2BDBA5" w14:textId="77777777" w:rsidR="00A41E60" w:rsidRPr="00D85E09" w:rsidRDefault="00A41E60" w:rsidP="0043316B">
            <w:pPr>
              <w:pStyle w:val="Tabletext"/>
              <w:keepNext w:val="0"/>
              <w:widowControl w:val="0"/>
              <w:jc w:val="center"/>
            </w:pPr>
            <w:r w:rsidRPr="00D85E09">
              <w:t>1.98</w:t>
            </w:r>
          </w:p>
        </w:tc>
        <w:tc>
          <w:tcPr>
            <w:tcW w:w="12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A963763" w14:textId="77777777" w:rsidR="00A41E60" w:rsidRPr="00D85E09" w:rsidRDefault="00A41E60" w:rsidP="0043316B">
            <w:pPr>
              <w:pStyle w:val="Tabletext"/>
              <w:keepNext w:val="0"/>
              <w:widowControl w:val="0"/>
              <w:jc w:val="center"/>
            </w:pPr>
            <w:r w:rsidRPr="00D85E09">
              <w:t>2.53</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FD7A0C4" w14:textId="77777777" w:rsidR="00A41E60" w:rsidRPr="00D85E09" w:rsidRDefault="00A41E60" w:rsidP="0043316B">
            <w:pPr>
              <w:pStyle w:val="Tabletext"/>
              <w:keepNext w:val="0"/>
              <w:widowControl w:val="0"/>
              <w:jc w:val="center"/>
            </w:pPr>
            <w:r w:rsidRPr="00D85E09">
              <w:t>1.00</w:t>
            </w:r>
          </w:p>
        </w:tc>
      </w:tr>
      <w:tr w:rsidR="00A41E60" w:rsidRPr="00D85E09" w14:paraId="6FC8B738" w14:textId="77777777" w:rsidTr="00A41E60">
        <w:tc>
          <w:tcPr>
            <w:tcW w:w="21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1A5145" w14:textId="32D65255" w:rsidR="00A41E60" w:rsidRPr="00D85E09" w:rsidRDefault="00A41E60" w:rsidP="0043316B">
            <w:pPr>
              <w:pStyle w:val="Tabletext"/>
              <w:keepNext w:val="0"/>
              <w:widowControl w:val="0"/>
            </w:pPr>
            <w:r w:rsidRPr="00D85E09">
              <w:t>Callibration to Gloede 2014</w:t>
            </w:r>
            <w:r w:rsidR="00745F0C" w:rsidRPr="00D85E09">
              <w:t>, annual</w:t>
            </w:r>
          </w:p>
        </w:tc>
        <w:tc>
          <w:tcPr>
            <w:tcW w:w="12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AC8674" w14:textId="77777777" w:rsidR="00A41E60" w:rsidRPr="00D85E09" w:rsidRDefault="00A41E60" w:rsidP="0043316B">
            <w:pPr>
              <w:pStyle w:val="Tabletext"/>
              <w:keepNext w:val="0"/>
              <w:widowControl w:val="0"/>
              <w:jc w:val="center"/>
            </w:pPr>
            <w:r w:rsidRPr="00D85E09">
              <w:t>$1,431</w:t>
            </w:r>
          </w:p>
        </w:tc>
        <w:tc>
          <w:tcPr>
            <w:tcW w:w="12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DAEE76E" w14:textId="77777777" w:rsidR="00A41E60" w:rsidRPr="00D85E09" w:rsidRDefault="00A41E60" w:rsidP="0043316B">
            <w:pPr>
              <w:pStyle w:val="Tabletext"/>
              <w:keepNext w:val="0"/>
              <w:widowControl w:val="0"/>
              <w:jc w:val="center"/>
            </w:pPr>
            <w:r w:rsidRPr="00D85E09">
              <w:t>$1,814</w:t>
            </w:r>
          </w:p>
        </w:tc>
        <w:tc>
          <w:tcPr>
            <w:tcW w:w="12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9F15840" w14:textId="77777777" w:rsidR="00A41E60" w:rsidRPr="00D85E09" w:rsidRDefault="00A41E60" w:rsidP="0043316B">
            <w:pPr>
              <w:pStyle w:val="Tabletext"/>
              <w:keepNext w:val="0"/>
              <w:widowControl w:val="0"/>
              <w:jc w:val="center"/>
            </w:pPr>
            <w:r w:rsidRPr="00D85E09">
              <w:t>$14,027</w:t>
            </w:r>
          </w:p>
        </w:tc>
        <w:tc>
          <w:tcPr>
            <w:tcW w:w="12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D381AA" w14:textId="77777777" w:rsidR="00A41E60" w:rsidRPr="00D85E09" w:rsidRDefault="00A41E60" w:rsidP="0043316B">
            <w:pPr>
              <w:pStyle w:val="Tabletext"/>
              <w:keepNext w:val="0"/>
              <w:widowControl w:val="0"/>
              <w:jc w:val="center"/>
            </w:pPr>
            <w:r w:rsidRPr="00D85E09">
              <w:t>$17,943</w:t>
            </w:r>
          </w:p>
        </w:tc>
        <w:tc>
          <w:tcPr>
            <w:tcW w:w="1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F223E9C" w14:textId="2DD4C3E8" w:rsidR="00A41E60" w:rsidRPr="00D85E09" w:rsidRDefault="00A41E60" w:rsidP="0043316B">
            <w:pPr>
              <w:pStyle w:val="Tabletext"/>
              <w:keepNext w:val="0"/>
              <w:widowControl w:val="0"/>
              <w:jc w:val="center"/>
            </w:pPr>
            <w:r w:rsidRPr="00D85E09">
              <w:t xml:space="preserve">$7,100 (see </w:t>
            </w:r>
            <w:r w:rsidRPr="00D85E09">
              <w:fldChar w:fldCharType="begin"/>
            </w:r>
            <w:r w:rsidRPr="00D85E09">
              <w:instrText xml:space="preserve"> REF _Ref447273460 \h  \* MERGEFORMAT </w:instrText>
            </w:r>
            <w:r w:rsidRPr="00D85E09">
              <w:fldChar w:fldCharType="separate"/>
            </w:r>
            <w:r w:rsidR="00A456ED" w:rsidRPr="00A456ED">
              <w:t>Table 62</w:t>
            </w:r>
            <w:r w:rsidRPr="00D85E09">
              <w:fldChar w:fldCharType="end"/>
            </w:r>
            <w:r w:rsidRPr="00D85E09">
              <w:t>; direct med costs only)</w:t>
            </w:r>
          </w:p>
        </w:tc>
      </w:tr>
    </w:tbl>
    <w:p w14:paraId="0229C34D" w14:textId="77777777" w:rsidR="00A41E60" w:rsidRPr="00D85E09" w:rsidRDefault="00A41E60" w:rsidP="0043316B">
      <w:pPr>
        <w:pStyle w:val="Tablefootnote"/>
        <w:widowControl w:val="0"/>
        <w:rPr>
          <w:lang w:val="en-AU"/>
        </w:rPr>
      </w:pPr>
      <w:r w:rsidRPr="00D85E09">
        <w:rPr>
          <w:lang w:val="en-AU"/>
        </w:rPr>
        <w:t>Source: Baeten et al 2013, Table 3</w:t>
      </w:r>
    </w:p>
    <w:p w14:paraId="17362071" w14:textId="40E7BAA3" w:rsidR="00A41E60" w:rsidRPr="00D85E09" w:rsidRDefault="00A41E60" w:rsidP="0043316B">
      <w:pPr>
        <w:pStyle w:val="Tablefootnote"/>
        <w:widowControl w:val="0"/>
        <w:rPr>
          <w:lang w:val="en-AU"/>
        </w:rPr>
      </w:pPr>
      <w:r w:rsidRPr="00D85E09">
        <w:rPr>
          <w:vertAlign w:val="superscript"/>
          <w:lang w:val="en-AU"/>
        </w:rPr>
        <w:t>a</w:t>
      </w:r>
      <w:r w:rsidRPr="00D85E09">
        <w:rPr>
          <w:lang w:val="en-AU"/>
        </w:rPr>
        <w:t xml:space="preserve"> Average for the two arms presented here. Calculated for the purpose of this submission.</w:t>
      </w:r>
    </w:p>
    <w:p w14:paraId="12873CC3" w14:textId="191C7215" w:rsidR="00A41E60" w:rsidRPr="00D85E09" w:rsidRDefault="00A41E60" w:rsidP="0043316B">
      <w:pPr>
        <w:pStyle w:val="Tablefootnote"/>
        <w:widowControl w:val="0"/>
        <w:rPr>
          <w:lang w:val="en-AU"/>
        </w:rPr>
      </w:pPr>
      <w:r w:rsidRPr="00D85E09">
        <w:rPr>
          <w:vertAlign w:val="superscript"/>
          <w:lang w:val="en-AU"/>
        </w:rPr>
        <w:t>b</w:t>
      </w:r>
      <w:r w:rsidRPr="00D85E09">
        <w:rPr>
          <w:lang w:val="en-AU"/>
        </w:rPr>
        <w:t xml:space="preserve"> The authors ICER calculations suggested a gender split of 50:50. This ratio is applied here.</w:t>
      </w:r>
    </w:p>
    <w:p w14:paraId="6932C7AC" w14:textId="2236E43A" w:rsidR="00A41E60" w:rsidRPr="00D85E09" w:rsidRDefault="00A41E60" w:rsidP="0043316B">
      <w:pPr>
        <w:pStyle w:val="Tablefootnote"/>
        <w:widowControl w:val="0"/>
        <w:rPr>
          <w:lang w:val="en-AU"/>
        </w:rPr>
      </w:pPr>
      <w:r w:rsidRPr="00D85E09">
        <w:rPr>
          <w:vertAlign w:val="superscript"/>
          <w:lang w:val="en-AU"/>
        </w:rPr>
        <w:t>c</w:t>
      </w:r>
      <w:r w:rsidRPr="00D85E09">
        <w:rPr>
          <w:lang w:val="en-AU"/>
        </w:rPr>
        <w:t xml:space="preserve"> Calculated for the purpose of this submission</w:t>
      </w:r>
      <w:r w:rsidR="004F68A7" w:rsidRPr="00D85E09">
        <w:rPr>
          <w:lang w:val="en-AU"/>
        </w:rPr>
        <w:t>; e.g., 0.20 for mRS 0-1 = $1,622 ÷ $8,047. The callibrated Australian value of $1,431 = $7,100 x 0.20</w:t>
      </w:r>
    </w:p>
    <w:p w14:paraId="488CDD0F" w14:textId="4B484398" w:rsidR="00A41E60" w:rsidRPr="00D85E09" w:rsidRDefault="00A41E60" w:rsidP="0043316B">
      <w:pPr>
        <w:widowControl w:val="0"/>
      </w:pPr>
      <w:r w:rsidRPr="00D85E09">
        <w:t>A literature review for other cost-effectiveness studies performed for Section D.</w:t>
      </w:r>
      <w:r w:rsidR="00166C2D" w:rsidRPr="00D85E09">
        <w:t>3.1</w:t>
      </w:r>
      <w:r w:rsidRPr="00D85E09">
        <w:t xml:space="preserve"> identified five publications. Their long-term cost data are summarised in </w:t>
      </w:r>
      <w:r w:rsidRPr="00D85E09">
        <w:fldChar w:fldCharType="begin"/>
      </w:r>
      <w:r w:rsidRPr="00D85E09">
        <w:instrText xml:space="preserve"> REF _Ref447281879 \h </w:instrText>
      </w:r>
      <w:r w:rsidRPr="00D85E09">
        <w:fldChar w:fldCharType="separate"/>
      </w:r>
      <w:r w:rsidR="00A456ED" w:rsidRPr="00D85E09">
        <w:t xml:space="preserve">Table </w:t>
      </w:r>
      <w:r w:rsidR="00A456ED">
        <w:rPr>
          <w:noProof/>
        </w:rPr>
        <w:t>64</w:t>
      </w:r>
      <w:r w:rsidRPr="00D85E09">
        <w:fldChar w:fldCharType="end"/>
      </w:r>
      <w:r w:rsidRPr="00D85E09">
        <w:t xml:space="preserve">, again highlighting large cost differences between patients with no/little disability vs severe disability. As performed above, based on cost multipliers from these publications, the Gloede 2014 estimate is calibrated to different disability levels, as also shown in </w:t>
      </w:r>
      <w:r w:rsidRPr="00D85E09">
        <w:fldChar w:fldCharType="begin"/>
      </w:r>
      <w:r w:rsidRPr="00D85E09">
        <w:instrText xml:space="preserve"> REF _Ref447281879 \h </w:instrText>
      </w:r>
      <w:r w:rsidRPr="00D85E09">
        <w:fldChar w:fldCharType="separate"/>
      </w:r>
      <w:r w:rsidR="00A456ED" w:rsidRPr="00D85E09">
        <w:t xml:space="preserve">Table </w:t>
      </w:r>
      <w:r w:rsidR="00A456ED">
        <w:rPr>
          <w:noProof/>
        </w:rPr>
        <w:t>64</w:t>
      </w:r>
      <w:r w:rsidRPr="00D85E09">
        <w:fldChar w:fldCharType="end"/>
      </w:r>
      <w:r w:rsidRPr="00D85E09">
        <w:t xml:space="preserve"> below.</w:t>
      </w:r>
    </w:p>
    <w:p w14:paraId="5F0956BF" w14:textId="4104D580" w:rsidR="00A41E60" w:rsidRPr="00D85E09" w:rsidRDefault="00A41E60" w:rsidP="0043316B">
      <w:pPr>
        <w:pStyle w:val="Caption"/>
        <w:keepNext w:val="0"/>
        <w:widowControl w:val="0"/>
        <w:rPr>
          <w:lang w:val="en-AU"/>
        </w:rPr>
      </w:pPr>
      <w:bookmarkStart w:id="439" w:name="_Ref447281879"/>
      <w:bookmarkStart w:id="440" w:name="_Toc453065400"/>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64</w:t>
      </w:r>
      <w:r w:rsidRPr="00D85E09">
        <w:rPr>
          <w:lang w:val="en-AU"/>
        </w:rPr>
        <w:fldChar w:fldCharType="end"/>
      </w:r>
      <w:bookmarkEnd w:id="439"/>
      <w:r w:rsidRPr="00D85E09">
        <w:rPr>
          <w:lang w:val="en-AU"/>
        </w:rPr>
        <w:tab/>
        <w:t>Long-term stroke care cost inputs in published cost-effectiveness models</w:t>
      </w:r>
      <w:bookmarkEnd w:id="440"/>
    </w:p>
    <w:tbl>
      <w:tblPr>
        <w:tblStyle w:val="TableGrid"/>
        <w:tblW w:w="5000" w:type="pct"/>
        <w:tblLook w:val="04A0" w:firstRow="1" w:lastRow="0" w:firstColumn="1" w:lastColumn="0" w:noHBand="0" w:noVBand="1"/>
        <w:tblDescription w:val="Table 64 Long-term stroke care cost inputs in published cost-effectiveness models"/>
      </w:tblPr>
      <w:tblGrid>
        <w:gridCol w:w="1884"/>
        <w:gridCol w:w="2183"/>
        <w:gridCol w:w="2472"/>
        <w:gridCol w:w="2465"/>
      </w:tblGrid>
      <w:tr w:rsidR="00A41E60" w:rsidRPr="00D85E09" w14:paraId="48020BEC" w14:textId="77777777" w:rsidTr="00BE6331">
        <w:trPr>
          <w:tblHeader/>
        </w:trPr>
        <w:tc>
          <w:tcPr>
            <w:tcW w:w="1046" w:type="pct"/>
            <w:tcBorders>
              <w:top w:val="single" w:sz="4" w:space="0" w:color="000000"/>
              <w:left w:val="single" w:sz="4" w:space="0" w:color="000000"/>
              <w:bottom w:val="single" w:sz="4" w:space="0" w:color="000000"/>
              <w:right w:val="single" w:sz="4" w:space="0" w:color="000000"/>
            </w:tcBorders>
            <w:hideMark/>
          </w:tcPr>
          <w:p w14:paraId="0451D67A" w14:textId="77777777" w:rsidR="00A41E60" w:rsidRPr="00D85E09" w:rsidRDefault="00A41E60" w:rsidP="0043316B">
            <w:pPr>
              <w:pStyle w:val="Tabletext"/>
              <w:keepNext w:val="0"/>
              <w:widowControl w:val="0"/>
            </w:pPr>
            <w:r w:rsidRPr="00D85E09">
              <w:t xml:space="preserve">Study </w:t>
            </w:r>
          </w:p>
        </w:tc>
        <w:tc>
          <w:tcPr>
            <w:tcW w:w="1212" w:type="pct"/>
            <w:tcBorders>
              <w:top w:val="single" w:sz="4" w:space="0" w:color="000000"/>
              <w:left w:val="single" w:sz="4" w:space="0" w:color="000000"/>
              <w:bottom w:val="single" w:sz="4" w:space="0" w:color="000000"/>
              <w:right w:val="single" w:sz="4" w:space="0" w:color="000000"/>
            </w:tcBorders>
            <w:hideMark/>
          </w:tcPr>
          <w:p w14:paraId="529DA7D0" w14:textId="77777777" w:rsidR="00A41E60" w:rsidRPr="00D85E09" w:rsidRDefault="00A41E60" w:rsidP="0043316B">
            <w:pPr>
              <w:pStyle w:val="Tabletext"/>
              <w:keepNext w:val="0"/>
              <w:widowControl w:val="0"/>
            </w:pPr>
            <w:r w:rsidRPr="00D85E09">
              <w:t>Cost multipliers</w:t>
            </w:r>
          </w:p>
        </w:tc>
        <w:tc>
          <w:tcPr>
            <w:tcW w:w="1373" w:type="pct"/>
            <w:tcBorders>
              <w:top w:val="single" w:sz="4" w:space="0" w:color="000000"/>
              <w:left w:val="single" w:sz="4" w:space="0" w:color="000000"/>
              <w:bottom w:val="single" w:sz="4" w:space="0" w:color="000000"/>
              <w:right w:val="single" w:sz="4" w:space="0" w:color="000000"/>
            </w:tcBorders>
            <w:hideMark/>
          </w:tcPr>
          <w:p w14:paraId="053BB7D3" w14:textId="77777777" w:rsidR="00A41E60" w:rsidRPr="00D85E09" w:rsidRDefault="00A41E60" w:rsidP="0043316B">
            <w:pPr>
              <w:pStyle w:val="Tabletext"/>
              <w:keepNext w:val="0"/>
              <w:widowControl w:val="0"/>
            </w:pPr>
            <w:r w:rsidRPr="00D85E09">
              <w:t>Cost inputs used in the original study</w:t>
            </w:r>
          </w:p>
        </w:tc>
        <w:tc>
          <w:tcPr>
            <w:tcW w:w="1369" w:type="pct"/>
            <w:tcBorders>
              <w:top w:val="single" w:sz="4" w:space="0" w:color="000000"/>
              <w:left w:val="single" w:sz="4" w:space="0" w:color="000000"/>
              <w:bottom w:val="single" w:sz="4" w:space="0" w:color="000000"/>
              <w:right w:val="single" w:sz="4" w:space="0" w:color="000000"/>
            </w:tcBorders>
            <w:hideMark/>
          </w:tcPr>
          <w:p w14:paraId="5F07C449" w14:textId="7BC8C6FF" w:rsidR="00A41E60" w:rsidRPr="00D85E09" w:rsidRDefault="00A41E60" w:rsidP="0043316B">
            <w:pPr>
              <w:pStyle w:val="Tabletext"/>
              <w:keepNext w:val="0"/>
              <w:widowControl w:val="0"/>
              <w:rPr>
                <w:vertAlign w:val="superscript"/>
              </w:rPr>
            </w:pPr>
            <w:r w:rsidRPr="00D85E09">
              <w:t>Callibration to Gloede 2014 (mean direct med cost of $7,100</w:t>
            </w:r>
            <w:r w:rsidR="004F68A7" w:rsidRPr="00D85E09">
              <w:t xml:space="preserve"> per annum</w:t>
            </w:r>
            <w:r w:rsidRPr="00D85E09">
              <w:t xml:space="preserve">; see </w:t>
            </w:r>
            <w:r w:rsidRPr="00D85E09">
              <w:fldChar w:fldCharType="begin"/>
            </w:r>
            <w:r w:rsidRPr="00D85E09">
              <w:instrText xml:space="preserve"> REF _Ref447273460 \h </w:instrText>
            </w:r>
            <w:r w:rsidRPr="00D85E09">
              <w:fldChar w:fldCharType="separate"/>
            </w:r>
            <w:r w:rsidR="00A456ED" w:rsidRPr="00D85E09">
              <w:rPr>
                <w:lang w:val="en-AU"/>
              </w:rPr>
              <w:t xml:space="preserve">Table </w:t>
            </w:r>
            <w:r w:rsidR="00A456ED">
              <w:rPr>
                <w:noProof/>
                <w:lang w:val="en-AU"/>
              </w:rPr>
              <w:t>62</w:t>
            </w:r>
            <w:r w:rsidRPr="00D85E09">
              <w:fldChar w:fldCharType="end"/>
            </w:r>
            <w:r w:rsidRPr="00D85E09">
              <w:t>)</w:t>
            </w:r>
            <w:r w:rsidRPr="00D85E09">
              <w:rPr>
                <w:vertAlign w:val="superscript"/>
              </w:rPr>
              <w:t>a</w:t>
            </w:r>
          </w:p>
        </w:tc>
      </w:tr>
      <w:tr w:rsidR="00A41E60" w:rsidRPr="00D85E09" w14:paraId="66D30C9E" w14:textId="77777777" w:rsidTr="00A41E60">
        <w:tc>
          <w:tcPr>
            <w:tcW w:w="1046" w:type="pct"/>
            <w:tcBorders>
              <w:top w:val="single" w:sz="4" w:space="0" w:color="000000"/>
              <w:left w:val="single" w:sz="4" w:space="0" w:color="000000"/>
              <w:bottom w:val="single" w:sz="4" w:space="0" w:color="000000"/>
              <w:right w:val="single" w:sz="4" w:space="0" w:color="000000"/>
            </w:tcBorders>
            <w:hideMark/>
          </w:tcPr>
          <w:p w14:paraId="119029B0" w14:textId="77777777" w:rsidR="00A41E60" w:rsidRPr="00D85E09" w:rsidRDefault="00A41E60" w:rsidP="0043316B">
            <w:pPr>
              <w:pStyle w:val="Tabletext"/>
              <w:keepNext w:val="0"/>
              <w:widowControl w:val="0"/>
            </w:pPr>
            <w:r w:rsidRPr="00D85E09">
              <w:t>Aaronson 2016</w:t>
            </w:r>
          </w:p>
        </w:tc>
        <w:tc>
          <w:tcPr>
            <w:tcW w:w="1212" w:type="pct"/>
            <w:tcBorders>
              <w:top w:val="single" w:sz="4" w:space="0" w:color="000000"/>
              <w:left w:val="single" w:sz="4" w:space="0" w:color="000000"/>
              <w:bottom w:val="single" w:sz="4" w:space="0" w:color="000000"/>
              <w:right w:val="single" w:sz="4" w:space="0" w:color="000000"/>
            </w:tcBorders>
            <w:hideMark/>
          </w:tcPr>
          <w:p w14:paraId="629C0D51" w14:textId="77777777" w:rsidR="00A41E60" w:rsidRPr="00D85E09" w:rsidRDefault="00A41E60" w:rsidP="0043316B">
            <w:pPr>
              <w:pStyle w:val="Tabletext"/>
              <w:keepNext w:val="0"/>
              <w:widowControl w:val="0"/>
            </w:pPr>
            <w:r w:rsidRPr="00D85E09">
              <w:t>On-going post 1 year:</w:t>
            </w:r>
          </w:p>
          <w:p w14:paraId="17B7C81A" w14:textId="77777777" w:rsidR="00A41E60" w:rsidRPr="00D85E09" w:rsidRDefault="00A41E60" w:rsidP="0043316B">
            <w:pPr>
              <w:pStyle w:val="Tabletext"/>
              <w:keepNext w:val="0"/>
              <w:widowControl w:val="0"/>
            </w:pPr>
            <w:r w:rsidRPr="00D85E09">
              <w:t>mRS 0-3 = 0.39</w:t>
            </w:r>
          </w:p>
          <w:p w14:paraId="00844199" w14:textId="77777777" w:rsidR="00A41E60" w:rsidRPr="00D85E09" w:rsidRDefault="00A41E60" w:rsidP="0043316B">
            <w:pPr>
              <w:pStyle w:val="Tabletext"/>
              <w:keepNext w:val="0"/>
              <w:widowControl w:val="0"/>
            </w:pPr>
            <w:r w:rsidRPr="00D85E09">
              <w:t>mRS 4-5 = 1</w:t>
            </w:r>
          </w:p>
        </w:tc>
        <w:tc>
          <w:tcPr>
            <w:tcW w:w="1373" w:type="pct"/>
            <w:tcBorders>
              <w:top w:val="single" w:sz="4" w:space="0" w:color="000000"/>
              <w:left w:val="single" w:sz="4" w:space="0" w:color="000000"/>
              <w:bottom w:val="single" w:sz="4" w:space="0" w:color="000000"/>
              <w:right w:val="single" w:sz="4" w:space="0" w:color="000000"/>
            </w:tcBorders>
            <w:hideMark/>
          </w:tcPr>
          <w:p w14:paraId="6CD54E3D" w14:textId="77777777" w:rsidR="00A41E60" w:rsidRPr="00D85E09" w:rsidRDefault="00A41E60" w:rsidP="0043316B">
            <w:pPr>
              <w:pStyle w:val="Tabletext"/>
              <w:keepNext w:val="0"/>
              <w:widowControl w:val="0"/>
            </w:pPr>
            <w:r w:rsidRPr="00D85E09">
              <w:t>On-going post 1 year</w:t>
            </w:r>
          </w:p>
          <w:p w14:paraId="4E277B30" w14:textId="77777777" w:rsidR="00A41E60" w:rsidRPr="00D85E09" w:rsidRDefault="00A41E60" w:rsidP="0043316B">
            <w:pPr>
              <w:pStyle w:val="Tabletext"/>
              <w:keepNext w:val="0"/>
              <w:widowControl w:val="0"/>
            </w:pPr>
            <w:r w:rsidRPr="00D85E09">
              <w:t xml:space="preserve"> (annual; 2015 values):</w:t>
            </w:r>
          </w:p>
          <w:p w14:paraId="5BADBD92" w14:textId="77777777" w:rsidR="00A41E60" w:rsidRPr="00D85E09" w:rsidRDefault="00A41E60" w:rsidP="0043316B">
            <w:pPr>
              <w:pStyle w:val="Tabletext"/>
              <w:keepNext w:val="0"/>
              <w:widowControl w:val="0"/>
            </w:pPr>
            <w:r w:rsidRPr="00D85E09">
              <w:t>mRS 0-3 = US$3,169</w:t>
            </w:r>
          </w:p>
          <w:p w14:paraId="334E81C7" w14:textId="77777777" w:rsidR="00A41E60" w:rsidRPr="00D85E09" w:rsidRDefault="00A41E60" w:rsidP="0043316B">
            <w:pPr>
              <w:pStyle w:val="Tabletext"/>
              <w:keepNext w:val="0"/>
              <w:widowControl w:val="0"/>
            </w:pPr>
            <w:r w:rsidRPr="00D85E09">
              <w:t>mRS 4-5 = US$8,118</w:t>
            </w:r>
          </w:p>
        </w:tc>
        <w:tc>
          <w:tcPr>
            <w:tcW w:w="1369" w:type="pct"/>
            <w:tcBorders>
              <w:top w:val="single" w:sz="4" w:space="0" w:color="000000"/>
              <w:left w:val="single" w:sz="4" w:space="0" w:color="000000"/>
              <w:bottom w:val="single" w:sz="4" w:space="0" w:color="000000"/>
              <w:right w:val="single" w:sz="4" w:space="0" w:color="000000"/>
            </w:tcBorders>
          </w:tcPr>
          <w:p w14:paraId="65D56CCF" w14:textId="77777777" w:rsidR="00A41E60" w:rsidRPr="00D85E09" w:rsidRDefault="00A41E60" w:rsidP="0043316B">
            <w:pPr>
              <w:pStyle w:val="Tabletext"/>
              <w:keepNext w:val="0"/>
              <w:widowControl w:val="0"/>
            </w:pPr>
            <w:r w:rsidRPr="00D85E09">
              <w:t>mRS 0-3 = $4,251</w:t>
            </w:r>
          </w:p>
          <w:p w14:paraId="47BC1FE9" w14:textId="77777777" w:rsidR="00A41E60" w:rsidRPr="00D85E09" w:rsidRDefault="00A41E60" w:rsidP="0043316B">
            <w:pPr>
              <w:pStyle w:val="Tabletext"/>
              <w:keepNext w:val="0"/>
              <w:widowControl w:val="0"/>
            </w:pPr>
            <w:r w:rsidRPr="00D85E09">
              <w:t>mRS 4-5 = $10,899</w:t>
            </w:r>
          </w:p>
          <w:p w14:paraId="1720F7E7" w14:textId="77777777" w:rsidR="00A41E60" w:rsidRPr="00D85E09" w:rsidRDefault="00A41E60" w:rsidP="0043316B">
            <w:pPr>
              <w:pStyle w:val="Tabletext"/>
              <w:keepNext w:val="0"/>
              <w:widowControl w:val="0"/>
            </w:pPr>
          </w:p>
        </w:tc>
      </w:tr>
      <w:tr w:rsidR="00A41E60" w:rsidRPr="00D85E09" w14:paraId="39159E9E" w14:textId="77777777" w:rsidTr="00A41E60">
        <w:tc>
          <w:tcPr>
            <w:tcW w:w="1046" w:type="pct"/>
            <w:tcBorders>
              <w:top w:val="single" w:sz="4" w:space="0" w:color="000000"/>
              <w:left w:val="single" w:sz="4" w:space="0" w:color="000000"/>
              <w:bottom w:val="single" w:sz="4" w:space="0" w:color="000000"/>
              <w:right w:val="single" w:sz="4" w:space="0" w:color="000000"/>
            </w:tcBorders>
            <w:hideMark/>
          </w:tcPr>
          <w:p w14:paraId="4997EFFA" w14:textId="77777777" w:rsidR="00A41E60" w:rsidRPr="00D85E09" w:rsidRDefault="00A41E60" w:rsidP="0043316B">
            <w:pPr>
              <w:pStyle w:val="Tabletext"/>
              <w:keepNext w:val="0"/>
              <w:widowControl w:val="0"/>
            </w:pPr>
            <w:r w:rsidRPr="00D85E09">
              <w:t>Ganesalingam 2015</w:t>
            </w:r>
          </w:p>
        </w:tc>
        <w:tc>
          <w:tcPr>
            <w:tcW w:w="1212" w:type="pct"/>
            <w:tcBorders>
              <w:top w:val="single" w:sz="4" w:space="0" w:color="000000"/>
              <w:left w:val="single" w:sz="4" w:space="0" w:color="000000"/>
              <w:bottom w:val="single" w:sz="4" w:space="0" w:color="000000"/>
              <w:right w:val="single" w:sz="4" w:space="0" w:color="000000"/>
            </w:tcBorders>
            <w:hideMark/>
          </w:tcPr>
          <w:p w14:paraId="64DE16D8" w14:textId="77777777" w:rsidR="00A41E60" w:rsidRPr="00D85E09" w:rsidRDefault="00A41E60" w:rsidP="0043316B">
            <w:pPr>
              <w:pStyle w:val="Tabletext"/>
              <w:keepNext w:val="0"/>
              <w:widowControl w:val="0"/>
            </w:pPr>
            <w:r w:rsidRPr="00D85E09">
              <w:t>On-going post 3 months:</w:t>
            </w:r>
          </w:p>
          <w:p w14:paraId="371F522F" w14:textId="77777777" w:rsidR="00A41E60" w:rsidRPr="00D85E09" w:rsidRDefault="00A41E60" w:rsidP="0043316B">
            <w:pPr>
              <w:pStyle w:val="Tabletext"/>
              <w:keepNext w:val="0"/>
              <w:widowControl w:val="0"/>
            </w:pPr>
            <w:r w:rsidRPr="00D85E09">
              <w:t>mRS 0-2 = 0.37</w:t>
            </w:r>
          </w:p>
          <w:p w14:paraId="47A09643" w14:textId="77777777" w:rsidR="00A41E60" w:rsidRPr="00D85E09" w:rsidRDefault="00A41E60" w:rsidP="0043316B">
            <w:pPr>
              <w:pStyle w:val="Tabletext"/>
              <w:keepNext w:val="0"/>
              <w:widowControl w:val="0"/>
            </w:pPr>
            <w:r w:rsidRPr="00D85E09">
              <w:t>mRS 3-5 = 1</w:t>
            </w:r>
          </w:p>
        </w:tc>
        <w:tc>
          <w:tcPr>
            <w:tcW w:w="1373" w:type="pct"/>
            <w:tcBorders>
              <w:top w:val="single" w:sz="4" w:space="0" w:color="000000"/>
              <w:left w:val="single" w:sz="4" w:space="0" w:color="000000"/>
              <w:bottom w:val="single" w:sz="4" w:space="0" w:color="000000"/>
              <w:right w:val="single" w:sz="4" w:space="0" w:color="000000"/>
            </w:tcBorders>
            <w:hideMark/>
          </w:tcPr>
          <w:p w14:paraId="76B1633A" w14:textId="77777777" w:rsidR="00A41E60" w:rsidRPr="00D85E09" w:rsidRDefault="00A41E60" w:rsidP="0043316B">
            <w:pPr>
              <w:pStyle w:val="Tabletext"/>
              <w:keepNext w:val="0"/>
              <w:widowControl w:val="0"/>
            </w:pPr>
            <w:r w:rsidRPr="00D85E09">
              <w:t>On-going post 3 months</w:t>
            </w:r>
          </w:p>
          <w:p w14:paraId="0E388E93" w14:textId="77777777" w:rsidR="00A41E60" w:rsidRPr="00D85E09" w:rsidRDefault="00A41E60" w:rsidP="0043316B">
            <w:pPr>
              <w:pStyle w:val="Tabletext"/>
              <w:keepNext w:val="0"/>
              <w:widowControl w:val="0"/>
            </w:pPr>
            <w:r w:rsidRPr="00D85E09">
              <w:t xml:space="preserve"> (3-monthly; 2013 values):</w:t>
            </w:r>
          </w:p>
          <w:p w14:paraId="2AC26376" w14:textId="77777777" w:rsidR="00A41E60" w:rsidRPr="00D85E09" w:rsidRDefault="00A41E60" w:rsidP="0043316B">
            <w:pPr>
              <w:pStyle w:val="Tabletext"/>
              <w:keepNext w:val="0"/>
              <w:widowControl w:val="0"/>
            </w:pPr>
            <w:r w:rsidRPr="00D85E09">
              <w:t>mRS 0–2 = US$772</w:t>
            </w:r>
          </w:p>
          <w:p w14:paraId="7E6E7955" w14:textId="77777777" w:rsidR="00A41E60" w:rsidRPr="00D85E09" w:rsidRDefault="00A41E60" w:rsidP="0043316B">
            <w:pPr>
              <w:pStyle w:val="Tabletext"/>
              <w:keepNext w:val="0"/>
              <w:widowControl w:val="0"/>
            </w:pPr>
            <w:r w:rsidRPr="00D85E09">
              <w:t>mRS 3-5 = US$2,075</w:t>
            </w:r>
          </w:p>
        </w:tc>
        <w:tc>
          <w:tcPr>
            <w:tcW w:w="1369" w:type="pct"/>
            <w:tcBorders>
              <w:top w:val="single" w:sz="4" w:space="0" w:color="000000"/>
              <w:left w:val="single" w:sz="4" w:space="0" w:color="000000"/>
              <w:bottom w:val="single" w:sz="4" w:space="0" w:color="000000"/>
              <w:right w:val="single" w:sz="4" w:space="0" w:color="000000"/>
            </w:tcBorders>
          </w:tcPr>
          <w:p w14:paraId="6F31BF6A" w14:textId="77777777" w:rsidR="00A41E60" w:rsidRPr="00D85E09" w:rsidRDefault="00A41E60" w:rsidP="0043316B">
            <w:pPr>
              <w:pStyle w:val="Tabletext"/>
              <w:keepNext w:val="0"/>
              <w:widowControl w:val="0"/>
            </w:pPr>
            <w:r w:rsidRPr="00D85E09">
              <w:t>mRS 0-2 = $3,457</w:t>
            </w:r>
          </w:p>
          <w:p w14:paraId="62894A5B" w14:textId="77777777" w:rsidR="00A41E60" w:rsidRPr="00D85E09" w:rsidRDefault="00A41E60" w:rsidP="0043316B">
            <w:pPr>
              <w:pStyle w:val="Tabletext"/>
              <w:keepNext w:val="0"/>
              <w:widowControl w:val="0"/>
            </w:pPr>
            <w:r w:rsidRPr="00D85E09">
              <w:t>mRS 4-5 = $9,342</w:t>
            </w:r>
          </w:p>
          <w:p w14:paraId="47F660D8" w14:textId="77777777" w:rsidR="00A41E60" w:rsidRPr="00D85E09" w:rsidRDefault="00A41E60" w:rsidP="0043316B">
            <w:pPr>
              <w:pStyle w:val="Tabletext"/>
              <w:keepNext w:val="0"/>
              <w:widowControl w:val="0"/>
            </w:pPr>
          </w:p>
          <w:p w14:paraId="51EE2BDD" w14:textId="77777777" w:rsidR="00A41E60" w:rsidRPr="00D85E09" w:rsidRDefault="00A41E60" w:rsidP="0043316B">
            <w:pPr>
              <w:pStyle w:val="Tabletext"/>
              <w:keepNext w:val="0"/>
              <w:widowControl w:val="0"/>
            </w:pPr>
          </w:p>
        </w:tc>
      </w:tr>
      <w:tr w:rsidR="00A41E60" w:rsidRPr="00D85E09" w14:paraId="70CF238B" w14:textId="77777777" w:rsidTr="00A41E60">
        <w:tc>
          <w:tcPr>
            <w:tcW w:w="1046" w:type="pct"/>
            <w:tcBorders>
              <w:top w:val="single" w:sz="4" w:space="0" w:color="000000"/>
              <w:left w:val="single" w:sz="4" w:space="0" w:color="000000"/>
              <w:bottom w:val="single" w:sz="4" w:space="0" w:color="000000"/>
              <w:right w:val="single" w:sz="4" w:space="0" w:color="000000"/>
            </w:tcBorders>
            <w:hideMark/>
          </w:tcPr>
          <w:p w14:paraId="0D72EB5E" w14:textId="77777777" w:rsidR="00A41E60" w:rsidRPr="00D85E09" w:rsidRDefault="00A41E60" w:rsidP="0043316B">
            <w:pPr>
              <w:pStyle w:val="Tabletext"/>
              <w:keepNext w:val="0"/>
              <w:widowControl w:val="0"/>
            </w:pPr>
            <w:r w:rsidRPr="00D85E09">
              <w:t>Kim 2011</w:t>
            </w:r>
          </w:p>
        </w:tc>
        <w:tc>
          <w:tcPr>
            <w:tcW w:w="1212" w:type="pct"/>
            <w:tcBorders>
              <w:top w:val="single" w:sz="4" w:space="0" w:color="000000"/>
              <w:left w:val="single" w:sz="4" w:space="0" w:color="000000"/>
              <w:bottom w:val="single" w:sz="4" w:space="0" w:color="000000"/>
              <w:right w:val="single" w:sz="4" w:space="0" w:color="000000"/>
            </w:tcBorders>
            <w:hideMark/>
          </w:tcPr>
          <w:p w14:paraId="0CBC3212" w14:textId="77777777" w:rsidR="00A41E60" w:rsidRPr="00D85E09" w:rsidRDefault="00A41E60" w:rsidP="0043316B">
            <w:pPr>
              <w:pStyle w:val="Tabletext"/>
              <w:keepNext w:val="0"/>
              <w:widowControl w:val="0"/>
            </w:pPr>
            <w:r w:rsidRPr="00D85E09">
              <w:t>On-going post 1 year:</w:t>
            </w:r>
          </w:p>
          <w:p w14:paraId="2AD98381" w14:textId="77777777" w:rsidR="00A41E60" w:rsidRPr="00D85E09" w:rsidRDefault="00A41E60" w:rsidP="0043316B">
            <w:pPr>
              <w:pStyle w:val="Tabletext"/>
              <w:keepNext w:val="0"/>
              <w:widowControl w:val="0"/>
            </w:pPr>
            <w:r w:rsidRPr="00D85E09">
              <w:t>mRS 0-2 = 0.11</w:t>
            </w:r>
          </w:p>
          <w:p w14:paraId="7596B0B8" w14:textId="77777777" w:rsidR="00A41E60" w:rsidRPr="00D85E09" w:rsidRDefault="00A41E60" w:rsidP="0043316B">
            <w:pPr>
              <w:pStyle w:val="Tabletext"/>
              <w:keepNext w:val="0"/>
              <w:widowControl w:val="0"/>
            </w:pPr>
            <w:r w:rsidRPr="00D85E09">
              <w:t>mRS 3-5 = 1</w:t>
            </w:r>
          </w:p>
        </w:tc>
        <w:tc>
          <w:tcPr>
            <w:tcW w:w="1373" w:type="pct"/>
            <w:tcBorders>
              <w:top w:val="single" w:sz="4" w:space="0" w:color="000000"/>
              <w:left w:val="single" w:sz="4" w:space="0" w:color="000000"/>
              <w:bottom w:val="single" w:sz="4" w:space="0" w:color="000000"/>
              <w:right w:val="single" w:sz="4" w:space="0" w:color="000000"/>
            </w:tcBorders>
            <w:hideMark/>
          </w:tcPr>
          <w:p w14:paraId="31068046" w14:textId="77777777" w:rsidR="00A41E60" w:rsidRPr="00D85E09" w:rsidRDefault="00A41E60" w:rsidP="0043316B">
            <w:pPr>
              <w:pStyle w:val="Tabletext"/>
              <w:keepNext w:val="0"/>
              <w:widowControl w:val="0"/>
            </w:pPr>
            <w:r w:rsidRPr="00D85E09">
              <w:t>On-going post 1 year (annual; 2009 values):</w:t>
            </w:r>
          </w:p>
          <w:p w14:paraId="6173D9F7" w14:textId="77777777" w:rsidR="00A41E60" w:rsidRPr="00D85E09" w:rsidRDefault="00A41E60" w:rsidP="0043316B">
            <w:pPr>
              <w:pStyle w:val="Tabletext"/>
              <w:keepNext w:val="0"/>
              <w:widowControl w:val="0"/>
            </w:pPr>
            <w:r w:rsidRPr="00D85E09">
              <w:t>mRS 0–2 = US$2,885</w:t>
            </w:r>
          </w:p>
          <w:p w14:paraId="347DBF15" w14:textId="77777777" w:rsidR="00A41E60" w:rsidRPr="00D85E09" w:rsidRDefault="00A41E60" w:rsidP="0043316B">
            <w:pPr>
              <w:pStyle w:val="Tabletext"/>
              <w:keepNext w:val="0"/>
              <w:widowControl w:val="0"/>
            </w:pPr>
            <w:r w:rsidRPr="00D85E09">
              <w:t>mRS 3-5 = US $25,960</w:t>
            </w:r>
          </w:p>
        </w:tc>
        <w:tc>
          <w:tcPr>
            <w:tcW w:w="1369" w:type="pct"/>
            <w:tcBorders>
              <w:top w:val="single" w:sz="4" w:space="0" w:color="000000"/>
              <w:left w:val="single" w:sz="4" w:space="0" w:color="000000"/>
              <w:bottom w:val="single" w:sz="4" w:space="0" w:color="000000"/>
              <w:right w:val="single" w:sz="4" w:space="0" w:color="000000"/>
            </w:tcBorders>
          </w:tcPr>
          <w:p w14:paraId="5718671D" w14:textId="77777777" w:rsidR="00A41E60" w:rsidRPr="00D85E09" w:rsidRDefault="00A41E60" w:rsidP="0043316B">
            <w:pPr>
              <w:pStyle w:val="Tabletext"/>
              <w:keepNext w:val="0"/>
              <w:widowControl w:val="0"/>
            </w:pPr>
            <w:r w:rsidRPr="00D85E09">
              <w:t>mRS 0-2 = $1,182</w:t>
            </w:r>
          </w:p>
          <w:p w14:paraId="5E389F3F" w14:textId="77777777" w:rsidR="00A41E60" w:rsidRPr="00D85E09" w:rsidRDefault="00A41E60" w:rsidP="0043316B">
            <w:pPr>
              <w:pStyle w:val="Tabletext"/>
              <w:keepNext w:val="0"/>
              <w:widowControl w:val="0"/>
            </w:pPr>
            <w:r w:rsidRPr="00D85E09">
              <w:t>mRS 4-5 = $10,742</w:t>
            </w:r>
          </w:p>
          <w:p w14:paraId="3D421A50" w14:textId="77777777" w:rsidR="00A41E60" w:rsidRPr="00D85E09" w:rsidRDefault="00A41E60" w:rsidP="0043316B">
            <w:pPr>
              <w:pStyle w:val="Tabletext"/>
              <w:keepNext w:val="0"/>
              <w:widowControl w:val="0"/>
            </w:pPr>
          </w:p>
          <w:p w14:paraId="2BF85484" w14:textId="77777777" w:rsidR="00A41E60" w:rsidRPr="00D85E09" w:rsidRDefault="00A41E60" w:rsidP="0043316B">
            <w:pPr>
              <w:pStyle w:val="Tabletext"/>
              <w:keepNext w:val="0"/>
              <w:widowControl w:val="0"/>
            </w:pPr>
          </w:p>
        </w:tc>
      </w:tr>
      <w:tr w:rsidR="00A41E60" w:rsidRPr="00D85E09" w14:paraId="08A44395" w14:textId="77777777" w:rsidTr="00A41E60">
        <w:tc>
          <w:tcPr>
            <w:tcW w:w="1046" w:type="pct"/>
            <w:tcBorders>
              <w:top w:val="single" w:sz="4" w:space="0" w:color="000000"/>
              <w:left w:val="single" w:sz="4" w:space="0" w:color="000000"/>
              <w:bottom w:val="single" w:sz="4" w:space="0" w:color="000000"/>
              <w:right w:val="single" w:sz="4" w:space="0" w:color="000000"/>
            </w:tcBorders>
            <w:hideMark/>
          </w:tcPr>
          <w:p w14:paraId="5593724C" w14:textId="77777777" w:rsidR="00A41E60" w:rsidRPr="00D85E09" w:rsidRDefault="00A41E60" w:rsidP="0043316B">
            <w:pPr>
              <w:pStyle w:val="Tabletext"/>
              <w:keepNext w:val="0"/>
              <w:widowControl w:val="0"/>
            </w:pPr>
            <w:r w:rsidRPr="00D85E09">
              <w:t>Nguyen-Huynh 2011</w:t>
            </w:r>
          </w:p>
        </w:tc>
        <w:tc>
          <w:tcPr>
            <w:tcW w:w="1212" w:type="pct"/>
            <w:tcBorders>
              <w:top w:val="single" w:sz="4" w:space="0" w:color="000000"/>
              <w:left w:val="single" w:sz="4" w:space="0" w:color="000000"/>
              <w:bottom w:val="single" w:sz="4" w:space="0" w:color="000000"/>
              <w:right w:val="single" w:sz="4" w:space="0" w:color="000000"/>
            </w:tcBorders>
            <w:hideMark/>
          </w:tcPr>
          <w:p w14:paraId="1494AF8B" w14:textId="77777777" w:rsidR="00A41E60" w:rsidRPr="00D85E09" w:rsidRDefault="00A41E60" w:rsidP="0043316B">
            <w:pPr>
              <w:pStyle w:val="Tabletext"/>
              <w:keepNext w:val="0"/>
              <w:widowControl w:val="0"/>
            </w:pPr>
            <w:r w:rsidRPr="00D85E09">
              <w:t>On-going post ~3 months:</w:t>
            </w:r>
          </w:p>
          <w:p w14:paraId="271F2A7C" w14:textId="77777777" w:rsidR="00A41E60" w:rsidRPr="00D85E09" w:rsidRDefault="00A41E60" w:rsidP="0043316B">
            <w:pPr>
              <w:pStyle w:val="Tabletext"/>
              <w:keepNext w:val="0"/>
              <w:widowControl w:val="0"/>
            </w:pPr>
            <w:r w:rsidRPr="00D85E09">
              <w:t>mRS 0-2 = 0.11</w:t>
            </w:r>
          </w:p>
          <w:p w14:paraId="71AD995B" w14:textId="77777777" w:rsidR="00A41E60" w:rsidRPr="00D85E09" w:rsidRDefault="00A41E60" w:rsidP="0043316B">
            <w:pPr>
              <w:pStyle w:val="Tabletext"/>
              <w:keepNext w:val="0"/>
              <w:widowControl w:val="0"/>
            </w:pPr>
            <w:r w:rsidRPr="00D85E09">
              <w:t>mRS 3-5 = 1</w:t>
            </w:r>
          </w:p>
        </w:tc>
        <w:tc>
          <w:tcPr>
            <w:tcW w:w="1373" w:type="pct"/>
            <w:tcBorders>
              <w:top w:val="single" w:sz="4" w:space="0" w:color="000000"/>
              <w:left w:val="single" w:sz="4" w:space="0" w:color="000000"/>
              <w:bottom w:val="single" w:sz="4" w:space="0" w:color="000000"/>
              <w:right w:val="single" w:sz="4" w:space="0" w:color="000000"/>
            </w:tcBorders>
            <w:hideMark/>
          </w:tcPr>
          <w:p w14:paraId="2BE12EBF" w14:textId="77777777" w:rsidR="00A41E60" w:rsidRPr="00D85E09" w:rsidRDefault="00A41E60" w:rsidP="0043316B">
            <w:pPr>
              <w:pStyle w:val="Tabletext"/>
              <w:keepNext w:val="0"/>
              <w:widowControl w:val="0"/>
            </w:pPr>
            <w:r w:rsidRPr="00D85E09">
              <w:t>On-going post ~3 months (annual; 2009 values):</w:t>
            </w:r>
          </w:p>
          <w:p w14:paraId="78CB246F" w14:textId="77777777" w:rsidR="00A41E60" w:rsidRPr="00D85E09" w:rsidRDefault="00A41E60" w:rsidP="0043316B">
            <w:pPr>
              <w:pStyle w:val="Tabletext"/>
              <w:keepNext w:val="0"/>
              <w:widowControl w:val="0"/>
            </w:pPr>
            <w:r w:rsidRPr="00D85E09">
              <w:t>mRS 0–2 = US$2,200</w:t>
            </w:r>
          </w:p>
          <w:p w14:paraId="2441A85E" w14:textId="77777777" w:rsidR="00A41E60" w:rsidRPr="00D85E09" w:rsidRDefault="00A41E60" w:rsidP="0043316B">
            <w:pPr>
              <w:pStyle w:val="Tabletext"/>
              <w:keepNext w:val="0"/>
              <w:widowControl w:val="0"/>
            </w:pPr>
            <w:r w:rsidRPr="00D85E09">
              <w:t>mRS 3-5 = US $20,000</w:t>
            </w:r>
          </w:p>
        </w:tc>
        <w:tc>
          <w:tcPr>
            <w:tcW w:w="1369" w:type="pct"/>
            <w:tcBorders>
              <w:top w:val="single" w:sz="4" w:space="0" w:color="000000"/>
              <w:left w:val="single" w:sz="4" w:space="0" w:color="000000"/>
              <w:bottom w:val="single" w:sz="4" w:space="0" w:color="000000"/>
              <w:right w:val="single" w:sz="4" w:space="0" w:color="000000"/>
            </w:tcBorders>
          </w:tcPr>
          <w:p w14:paraId="05E4E350" w14:textId="77777777" w:rsidR="00A41E60" w:rsidRPr="00D85E09" w:rsidRDefault="00A41E60" w:rsidP="0043316B">
            <w:pPr>
              <w:pStyle w:val="Tabletext"/>
              <w:keepNext w:val="0"/>
              <w:widowControl w:val="0"/>
            </w:pPr>
            <w:r w:rsidRPr="00D85E09">
              <w:t>mRS 0-2 = $1,182</w:t>
            </w:r>
          </w:p>
          <w:p w14:paraId="38F11A47" w14:textId="77777777" w:rsidR="00A41E60" w:rsidRPr="00D85E09" w:rsidRDefault="00A41E60" w:rsidP="0043316B">
            <w:pPr>
              <w:pStyle w:val="Tabletext"/>
              <w:keepNext w:val="0"/>
              <w:widowControl w:val="0"/>
            </w:pPr>
            <w:r w:rsidRPr="00D85E09">
              <w:t>mRS 4-5 = $10,742</w:t>
            </w:r>
          </w:p>
          <w:p w14:paraId="1489E1B3" w14:textId="77777777" w:rsidR="00A41E60" w:rsidRPr="00D85E09" w:rsidRDefault="00A41E60" w:rsidP="0043316B">
            <w:pPr>
              <w:pStyle w:val="Tabletext"/>
              <w:keepNext w:val="0"/>
              <w:widowControl w:val="0"/>
            </w:pPr>
          </w:p>
        </w:tc>
      </w:tr>
      <w:tr w:rsidR="00A41E60" w:rsidRPr="00D85E09" w14:paraId="5E92A950" w14:textId="77777777" w:rsidTr="00A41E60">
        <w:tc>
          <w:tcPr>
            <w:tcW w:w="1046" w:type="pct"/>
            <w:tcBorders>
              <w:top w:val="single" w:sz="4" w:space="0" w:color="000000"/>
              <w:left w:val="single" w:sz="4" w:space="0" w:color="000000"/>
              <w:bottom w:val="single" w:sz="4" w:space="0" w:color="000000"/>
              <w:right w:val="single" w:sz="4" w:space="0" w:color="000000"/>
            </w:tcBorders>
            <w:hideMark/>
          </w:tcPr>
          <w:p w14:paraId="20C15D68" w14:textId="77777777" w:rsidR="00A41E60" w:rsidRPr="00D85E09" w:rsidRDefault="00A41E60" w:rsidP="0043316B">
            <w:pPr>
              <w:pStyle w:val="Tabletext"/>
              <w:keepNext w:val="0"/>
              <w:widowControl w:val="0"/>
            </w:pPr>
            <w:r w:rsidRPr="00D85E09">
              <w:t>Patil 2009</w:t>
            </w:r>
          </w:p>
        </w:tc>
        <w:tc>
          <w:tcPr>
            <w:tcW w:w="1212" w:type="pct"/>
            <w:tcBorders>
              <w:top w:val="single" w:sz="4" w:space="0" w:color="000000"/>
              <w:left w:val="single" w:sz="4" w:space="0" w:color="000000"/>
              <w:bottom w:val="single" w:sz="4" w:space="0" w:color="000000"/>
              <w:right w:val="single" w:sz="4" w:space="0" w:color="000000"/>
            </w:tcBorders>
            <w:hideMark/>
          </w:tcPr>
          <w:p w14:paraId="3529340D" w14:textId="77777777" w:rsidR="00A41E60" w:rsidRPr="00D85E09" w:rsidRDefault="00A41E60" w:rsidP="0043316B">
            <w:pPr>
              <w:pStyle w:val="Tabletext"/>
              <w:keepNext w:val="0"/>
              <w:widowControl w:val="0"/>
            </w:pPr>
            <w:r w:rsidRPr="00D85E09">
              <w:t>On-going post 1 year:</w:t>
            </w:r>
          </w:p>
          <w:p w14:paraId="08BEA553" w14:textId="77777777" w:rsidR="00A41E60" w:rsidRPr="00D85E09" w:rsidRDefault="00A41E60" w:rsidP="0043316B">
            <w:pPr>
              <w:pStyle w:val="Tabletext"/>
              <w:keepNext w:val="0"/>
              <w:widowControl w:val="0"/>
            </w:pPr>
            <w:r w:rsidRPr="00D85E09">
              <w:t>mRS 0-2 = 0.13</w:t>
            </w:r>
          </w:p>
          <w:p w14:paraId="14D92963" w14:textId="77777777" w:rsidR="00A41E60" w:rsidRPr="00D85E09" w:rsidRDefault="00A41E60" w:rsidP="0043316B">
            <w:pPr>
              <w:pStyle w:val="Tabletext"/>
              <w:keepNext w:val="0"/>
              <w:widowControl w:val="0"/>
            </w:pPr>
            <w:r w:rsidRPr="00D85E09">
              <w:t>mRS 3-5 = 1</w:t>
            </w:r>
          </w:p>
        </w:tc>
        <w:tc>
          <w:tcPr>
            <w:tcW w:w="1373" w:type="pct"/>
            <w:tcBorders>
              <w:top w:val="single" w:sz="4" w:space="0" w:color="000000"/>
              <w:left w:val="single" w:sz="4" w:space="0" w:color="000000"/>
              <w:bottom w:val="single" w:sz="4" w:space="0" w:color="000000"/>
              <w:right w:val="single" w:sz="4" w:space="0" w:color="000000"/>
            </w:tcBorders>
            <w:hideMark/>
          </w:tcPr>
          <w:p w14:paraId="6A157256" w14:textId="77777777" w:rsidR="00A41E60" w:rsidRPr="00D85E09" w:rsidRDefault="00A41E60" w:rsidP="0043316B">
            <w:pPr>
              <w:pStyle w:val="Tabletext"/>
              <w:keepNext w:val="0"/>
              <w:widowControl w:val="0"/>
            </w:pPr>
            <w:r w:rsidRPr="00D85E09">
              <w:t>On-going post 1 year (annual; 2008 values):</w:t>
            </w:r>
          </w:p>
          <w:p w14:paraId="53D02FFF" w14:textId="77777777" w:rsidR="00A41E60" w:rsidRPr="00D85E09" w:rsidRDefault="00A41E60" w:rsidP="0043316B">
            <w:pPr>
              <w:pStyle w:val="Tabletext"/>
              <w:keepNext w:val="0"/>
              <w:widowControl w:val="0"/>
            </w:pPr>
            <w:r w:rsidRPr="00D85E09">
              <w:t>mRS 0–2 = US$5,764</w:t>
            </w:r>
          </w:p>
          <w:p w14:paraId="74CE32E8" w14:textId="77777777" w:rsidR="00A41E60" w:rsidRPr="00D85E09" w:rsidRDefault="00A41E60" w:rsidP="0043316B">
            <w:pPr>
              <w:pStyle w:val="Tabletext"/>
              <w:keepNext w:val="0"/>
              <w:widowControl w:val="0"/>
            </w:pPr>
            <w:r w:rsidRPr="00D85E09">
              <w:t>mRS 3-5 = US $45,469</w:t>
            </w:r>
          </w:p>
        </w:tc>
        <w:tc>
          <w:tcPr>
            <w:tcW w:w="1369" w:type="pct"/>
            <w:tcBorders>
              <w:top w:val="single" w:sz="4" w:space="0" w:color="000000"/>
              <w:left w:val="single" w:sz="4" w:space="0" w:color="000000"/>
              <w:bottom w:val="single" w:sz="4" w:space="0" w:color="000000"/>
              <w:right w:val="single" w:sz="4" w:space="0" w:color="000000"/>
            </w:tcBorders>
          </w:tcPr>
          <w:p w14:paraId="2583F65A" w14:textId="77777777" w:rsidR="00A41E60" w:rsidRPr="00D85E09" w:rsidRDefault="00A41E60" w:rsidP="0043316B">
            <w:pPr>
              <w:pStyle w:val="Tabletext"/>
              <w:keepNext w:val="0"/>
              <w:widowControl w:val="0"/>
            </w:pPr>
            <w:r w:rsidRPr="00D85E09">
              <w:t>mRS 0-2 = $1,381</w:t>
            </w:r>
          </w:p>
          <w:p w14:paraId="528EAF24" w14:textId="77777777" w:rsidR="00A41E60" w:rsidRPr="00D85E09" w:rsidRDefault="00A41E60" w:rsidP="0043316B">
            <w:pPr>
              <w:pStyle w:val="Tabletext"/>
              <w:keepNext w:val="0"/>
              <w:widowControl w:val="0"/>
            </w:pPr>
            <w:r w:rsidRPr="00D85E09">
              <w:t>mRS 4-5 = $10,620</w:t>
            </w:r>
          </w:p>
          <w:p w14:paraId="46E1C6C1" w14:textId="77777777" w:rsidR="00A41E60" w:rsidRPr="00D85E09" w:rsidRDefault="00A41E60" w:rsidP="0043316B">
            <w:pPr>
              <w:pStyle w:val="Tabletext"/>
              <w:keepNext w:val="0"/>
              <w:widowControl w:val="0"/>
            </w:pPr>
          </w:p>
        </w:tc>
      </w:tr>
    </w:tbl>
    <w:p w14:paraId="3B763BAD" w14:textId="70D7EED6" w:rsidR="00A41E60" w:rsidRPr="00D85E09" w:rsidRDefault="00A41E60" w:rsidP="0043316B">
      <w:pPr>
        <w:pStyle w:val="Tablefootnote"/>
        <w:widowControl w:val="0"/>
        <w:rPr>
          <w:lang w:val="en-AU"/>
        </w:rPr>
      </w:pPr>
      <w:r w:rsidRPr="00D85E09">
        <w:rPr>
          <w:lang w:val="en-AU"/>
        </w:rPr>
        <w:t>Note: See respective publications for further information.</w:t>
      </w:r>
    </w:p>
    <w:p w14:paraId="41DC3EFA" w14:textId="7FE28605" w:rsidR="00A41E60" w:rsidRPr="00D85E09" w:rsidRDefault="00A41E60" w:rsidP="0043316B">
      <w:pPr>
        <w:pStyle w:val="Tablefootnote"/>
        <w:widowControl w:val="0"/>
        <w:rPr>
          <w:lang w:val="en-AU"/>
        </w:rPr>
      </w:pPr>
      <w:r w:rsidRPr="00D85E09">
        <w:rPr>
          <w:vertAlign w:val="superscript"/>
          <w:lang w:val="en-AU"/>
        </w:rPr>
        <w:t xml:space="preserve">a </w:t>
      </w:r>
      <w:r w:rsidRPr="00D85E09">
        <w:rPr>
          <w:lang w:val="en-AU"/>
        </w:rPr>
        <w:t>Distributions of mRS based on the meta-analysed data of usual care reported in Campbell et al (2016); mRS 1 to 6 = 8%, 10%, 14%, 16%, 21%, 15% and 16%, respectively.</w:t>
      </w:r>
    </w:p>
    <w:p w14:paraId="3968E293" w14:textId="77777777" w:rsidR="00A41E60" w:rsidRPr="00D85E09" w:rsidRDefault="00A41E60" w:rsidP="0043316B">
      <w:pPr>
        <w:widowControl w:val="0"/>
      </w:pPr>
    </w:p>
    <w:p w14:paraId="07C8EE82" w14:textId="11686601" w:rsidR="00A41E60" w:rsidRPr="00D85E09" w:rsidRDefault="00A41E60" w:rsidP="0043316B">
      <w:pPr>
        <w:widowControl w:val="0"/>
        <w:rPr>
          <w:i/>
        </w:rPr>
      </w:pPr>
      <w:r w:rsidRPr="00D85E09">
        <w:rPr>
          <w:i/>
        </w:rPr>
        <w:t>The base case analysis in Section D will employ estimates derived based on Gloede et al (2014), adjusted by mRS cost multipliers reported by Baeten et al. (2010). While this is an approximation and reflects the paucity of locally</w:t>
      </w:r>
      <w:r w:rsidR="00D32933" w:rsidRPr="00D85E09">
        <w:rPr>
          <w:i/>
        </w:rPr>
        <w:t>-</w:t>
      </w:r>
      <w:r w:rsidRPr="00D85E09">
        <w:rPr>
          <w:i/>
        </w:rPr>
        <w:t>relevant published evidence, the resulting estimates by mRS (</w:t>
      </w:r>
      <w:r w:rsidRPr="00D85E09">
        <w:rPr>
          <w:i/>
        </w:rPr>
        <w:fldChar w:fldCharType="begin"/>
      </w:r>
      <w:r w:rsidRPr="00D85E09">
        <w:rPr>
          <w:i/>
        </w:rPr>
        <w:instrText xml:space="preserve"> REF _Ref447270362 \h  \* MERGEFORMAT </w:instrText>
      </w:r>
      <w:r w:rsidRPr="00D85E09">
        <w:rPr>
          <w:i/>
        </w:rPr>
      </w:r>
      <w:r w:rsidRPr="00D85E09">
        <w:rPr>
          <w:i/>
        </w:rPr>
        <w:fldChar w:fldCharType="separate"/>
      </w:r>
      <w:r w:rsidR="00A456ED" w:rsidRPr="00A456ED">
        <w:rPr>
          <w:i/>
        </w:rPr>
        <w:t>Table 63</w:t>
      </w:r>
      <w:r w:rsidRPr="00D85E09">
        <w:rPr>
          <w:i/>
        </w:rPr>
        <w:fldChar w:fldCharType="end"/>
      </w:r>
      <w:r w:rsidRPr="00D85E09">
        <w:rPr>
          <w:i/>
        </w:rPr>
        <w:t xml:space="preserve"> ) are well supported by the balance of the available evidence explored in the current pre-modelling study. This approach also provides granularity in the cost estimation by mRS in the model.</w:t>
      </w:r>
    </w:p>
    <w:p w14:paraId="4272A12E"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41" w:name="_Toc453065294"/>
      <w:r w:rsidRPr="00D85E09">
        <w:rPr>
          <w:lang w:val="en-AU"/>
        </w:rPr>
        <w:t>Relationship of the pre-modelling study to the economic model</w:t>
      </w:r>
      <w:bookmarkEnd w:id="441"/>
    </w:p>
    <w:p w14:paraId="429E4524" w14:textId="35C92F80" w:rsidR="00A41E60" w:rsidRPr="00D85E09" w:rsidRDefault="00A41E60" w:rsidP="0043316B">
      <w:pPr>
        <w:widowControl w:val="0"/>
      </w:pPr>
      <w:r w:rsidRPr="00D85E09">
        <w:fldChar w:fldCharType="begin"/>
      </w:r>
      <w:r w:rsidRPr="00D85E09">
        <w:instrText xml:space="preserve"> REF _Ref447284925 \h </w:instrText>
      </w:r>
      <w:r w:rsidRPr="00D85E09">
        <w:fldChar w:fldCharType="separate"/>
      </w:r>
      <w:r w:rsidR="00A456ED" w:rsidRPr="00D85E09">
        <w:t xml:space="preserve">Table </w:t>
      </w:r>
      <w:r w:rsidR="00A456ED">
        <w:rPr>
          <w:noProof/>
        </w:rPr>
        <w:t>65</w:t>
      </w:r>
      <w:r w:rsidRPr="00D85E09">
        <w:fldChar w:fldCharType="end"/>
      </w:r>
      <w:r w:rsidRPr="00D85E09">
        <w:t xml:space="preserve"> below summarises all cost inputs employed by the base case cost-effectiveness evaluation presented in Section D.</w:t>
      </w:r>
    </w:p>
    <w:p w14:paraId="4CCF5157" w14:textId="18C66C9A" w:rsidR="00A41E60" w:rsidRPr="00D85E09" w:rsidRDefault="00A41E60" w:rsidP="0043316B">
      <w:pPr>
        <w:widowControl w:val="0"/>
      </w:pPr>
      <w:r w:rsidRPr="00D85E09">
        <w:t xml:space="preserve">As discussed above, due to the lack of relevant publish evidence, long-term stroke care costs were estimated by using the mRS cost multipliers in the literature to calibrate the </w:t>
      </w:r>
      <w:r w:rsidRPr="00D85E09">
        <w:lastRenderedPageBreak/>
        <w:t>mean long-term cost from NEMESIS (Gloede et al 2014). While an approximation, this approach is necessary to capture likely long-term stroke care savings offered by mechanical thrombectomy vs usual care as the proposed service provides superior functional outcomes</w:t>
      </w:r>
      <w:r w:rsidR="00310EA3" w:rsidRPr="00D85E09">
        <w:t xml:space="preserve">. </w:t>
      </w:r>
      <w:r w:rsidRPr="00D85E09">
        <w:t xml:space="preserve">The base case estimates are based on the cost multipliers from Baeten et al (2013). Sensitivity analysis is performed to explore other estimates (see </w:t>
      </w:r>
      <w:r w:rsidRPr="00D85E09">
        <w:fldChar w:fldCharType="begin"/>
      </w:r>
      <w:r w:rsidRPr="00D85E09">
        <w:instrText xml:space="preserve"> REF _Ref447281879 \h </w:instrText>
      </w:r>
      <w:r w:rsidRPr="00D85E09">
        <w:fldChar w:fldCharType="separate"/>
      </w:r>
      <w:r w:rsidR="00A456ED" w:rsidRPr="00D85E09">
        <w:t xml:space="preserve">Table </w:t>
      </w:r>
      <w:r w:rsidR="00A456ED">
        <w:rPr>
          <w:noProof/>
        </w:rPr>
        <w:t>64</w:t>
      </w:r>
      <w:r w:rsidRPr="00D85E09">
        <w:fldChar w:fldCharType="end"/>
      </w:r>
      <w:r w:rsidRPr="00D85E09">
        <w:t>).</w:t>
      </w:r>
    </w:p>
    <w:p w14:paraId="48705996" w14:textId="4B4B04DD" w:rsidR="00A41E60" w:rsidRPr="00D85E09" w:rsidRDefault="00A41E60" w:rsidP="0043316B">
      <w:pPr>
        <w:widowControl w:val="0"/>
      </w:pPr>
      <w:r w:rsidRPr="00D85E09">
        <w:t>The intended patient population for the proposed service includes patients eligible and ineligible for IV</w:t>
      </w:r>
      <w:r w:rsidR="00D32933" w:rsidRPr="00D85E09">
        <w:t>-</w:t>
      </w:r>
      <w:r w:rsidRPr="00D85E09">
        <w:t>tPA. Hence, relevant to the acute stroke costs presented earlier, the proportion of patients who receive concomitant IV</w:t>
      </w:r>
      <w:r w:rsidR="00D32933" w:rsidRPr="00D85E09">
        <w:t>-</w:t>
      </w:r>
      <w:r w:rsidRPr="00D85E09">
        <w:t xml:space="preserve">tPA with MT will be considered in the base case Section D model. </w:t>
      </w:r>
      <w:r w:rsidRPr="00D85E09">
        <w:rPr>
          <w:i/>
        </w:rPr>
        <w:t>The base case Section D model will assume that 50% of all MT procedures are provided along with IV</w:t>
      </w:r>
      <w:r w:rsidR="00D32933" w:rsidRPr="00D85E09">
        <w:rPr>
          <w:i/>
        </w:rPr>
        <w:t>-</w:t>
      </w:r>
      <w:r w:rsidRPr="00D85E09">
        <w:rPr>
          <w:i/>
        </w:rPr>
        <w:t>tPA.</w:t>
      </w:r>
      <w:r w:rsidRPr="00D85E09">
        <w:rPr>
          <w:rStyle w:val="FootnoteReference"/>
          <w:i/>
        </w:rPr>
        <w:footnoteReference w:id="10"/>
      </w:r>
      <w:r w:rsidRPr="00D85E09">
        <w:rPr>
          <w:i/>
        </w:rPr>
        <w:t xml:space="preserve"> </w:t>
      </w:r>
      <w:r w:rsidRPr="00D85E09">
        <w:t>In any case, this assumption will equally affect both arms of the model, thus generating no incremental implications.</w:t>
      </w:r>
    </w:p>
    <w:p w14:paraId="1929A750" w14:textId="00892306" w:rsidR="00A41E60" w:rsidRPr="00D85E09" w:rsidRDefault="00A41E60" w:rsidP="0043316B">
      <w:pPr>
        <w:pStyle w:val="Caption"/>
        <w:keepNext w:val="0"/>
        <w:widowControl w:val="0"/>
        <w:rPr>
          <w:lang w:val="en-AU"/>
        </w:rPr>
      </w:pPr>
      <w:bookmarkStart w:id="442" w:name="_Ref447284925"/>
      <w:bookmarkStart w:id="443" w:name="_Toc45306540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65</w:t>
      </w:r>
      <w:r w:rsidRPr="00D85E09">
        <w:rPr>
          <w:lang w:val="en-AU"/>
        </w:rPr>
        <w:fldChar w:fldCharType="end"/>
      </w:r>
      <w:bookmarkEnd w:id="442"/>
      <w:r w:rsidRPr="00D85E09">
        <w:rPr>
          <w:lang w:val="en-AU"/>
        </w:rPr>
        <w:tab/>
        <w:t>Summary of cost inputs for the Section D cost-effectiveness model</w:t>
      </w:r>
      <w:bookmarkEnd w:id="443"/>
    </w:p>
    <w:tbl>
      <w:tblPr>
        <w:tblStyle w:val="TableGrid"/>
        <w:tblW w:w="5000" w:type="pct"/>
        <w:tblLook w:val="04A0" w:firstRow="1" w:lastRow="0" w:firstColumn="1" w:lastColumn="0" w:noHBand="0" w:noVBand="1"/>
        <w:tblDescription w:val="Summary of cost inputs for the Section D cost-effectiveness model"/>
      </w:tblPr>
      <w:tblGrid>
        <w:gridCol w:w="3776"/>
        <w:gridCol w:w="2226"/>
        <w:gridCol w:w="3002"/>
      </w:tblGrid>
      <w:tr w:rsidR="00A41E60" w:rsidRPr="00D85E09" w14:paraId="08A7C8E0" w14:textId="77777777" w:rsidTr="00BE6331">
        <w:trPr>
          <w:tblHeader/>
        </w:trPr>
        <w:tc>
          <w:tcPr>
            <w:tcW w:w="2097" w:type="pct"/>
            <w:tcBorders>
              <w:top w:val="single" w:sz="4" w:space="0" w:color="000000"/>
              <w:left w:val="single" w:sz="4" w:space="0" w:color="000000"/>
              <w:bottom w:val="single" w:sz="4" w:space="0" w:color="000000"/>
              <w:right w:val="single" w:sz="4" w:space="0" w:color="000000"/>
            </w:tcBorders>
            <w:hideMark/>
          </w:tcPr>
          <w:p w14:paraId="6E04570A" w14:textId="77777777" w:rsidR="00A41E60" w:rsidRPr="00D85E09" w:rsidRDefault="00A41E60" w:rsidP="0043316B">
            <w:pPr>
              <w:pStyle w:val="Tabletext"/>
              <w:keepNext w:val="0"/>
              <w:widowControl w:val="0"/>
              <w:rPr>
                <w:b/>
              </w:rPr>
            </w:pPr>
            <w:r w:rsidRPr="00D85E09">
              <w:rPr>
                <w:b/>
              </w:rPr>
              <w:t>Resource use</w:t>
            </w:r>
          </w:p>
        </w:tc>
        <w:tc>
          <w:tcPr>
            <w:tcW w:w="1236" w:type="pct"/>
            <w:tcBorders>
              <w:top w:val="single" w:sz="4" w:space="0" w:color="000000"/>
              <w:left w:val="single" w:sz="4" w:space="0" w:color="000000"/>
              <w:bottom w:val="single" w:sz="4" w:space="0" w:color="000000"/>
              <w:right w:val="single" w:sz="4" w:space="0" w:color="000000"/>
            </w:tcBorders>
            <w:hideMark/>
          </w:tcPr>
          <w:p w14:paraId="378C1691" w14:textId="77777777" w:rsidR="00A41E60" w:rsidRPr="00D85E09" w:rsidRDefault="00A41E60" w:rsidP="0043316B">
            <w:pPr>
              <w:pStyle w:val="Tabletext"/>
              <w:keepNext w:val="0"/>
              <w:widowControl w:val="0"/>
              <w:rPr>
                <w:b/>
              </w:rPr>
            </w:pPr>
            <w:r w:rsidRPr="00D85E09">
              <w:rPr>
                <w:b/>
              </w:rPr>
              <w:t>Cost input (base case)</w:t>
            </w:r>
          </w:p>
        </w:tc>
        <w:tc>
          <w:tcPr>
            <w:tcW w:w="1667" w:type="pct"/>
            <w:tcBorders>
              <w:top w:val="single" w:sz="4" w:space="0" w:color="000000"/>
              <w:left w:val="single" w:sz="4" w:space="0" w:color="000000"/>
              <w:bottom w:val="single" w:sz="4" w:space="0" w:color="000000"/>
              <w:right w:val="single" w:sz="4" w:space="0" w:color="000000"/>
            </w:tcBorders>
            <w:hideMark/>
          </w:tcPr>
          <w:p w14:paraId="144A7CF0" w14:textId="77777777" w:rsidR="00A41E60" w:rsidRPr="00D85E09" w:rsidRDefault="00A41E60" w:rsidP="0043316B">
            <w:pPr>
              <w:pStyle w:val="Tabletext"/>
              <w:keepNext w:val="0"/>
              <w:widowControl w:val="0"/>
              <w:rPr>
                <w:b/>
              </w:rPr>
            </w:pPr>
            <w:r w:rsidRPr="00D85E09">
              <w:rPr>
                <w:b/>
              </w:rPr>
              <w:t>Source / notes</w:t>
            </w:r>
          </w:p>
        </w:tc>
      </w:tr>
      <w:tr w:rsidR="00A41E60" w:rsidRPr="00D85E09" w14:paraId="10AB442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7D1EA01" w14:textId="77777777" w:rsidR="00A41E60" w:rsidRPr="00D85E09" w:rsidRDefault="00A41E60" w:rsidP="0043316B">
            <w:pPr>
              <w:pStyle w:val="Tabletext"/>
              <w:keepNext w:val="0"/>
              <w:widowControl w:val="0"/>
            </w:pPr>
            <w:r w:rsidRPr="00D85E09">
              <w:t>Mechanical thrombectomy</w:t>
            </w:r>
          </w:p>
        </w:tc>
        <w:tc>
          <w:tcPr>
            <w:tcW w:w="1236" w:type="pct"/>
            <w:tcBorders>
              <w:top w:val="single" w:sz="4" w:space="0" w:color="000000"/>
              <w:left w:val="single" w:sz="4" w:space="0" w:color="000000"/>
              <w:bottom w:val="single" w:sz="4" w:space="0" w:color="000000"/>
              <w:right w:val="single" w:sz="4" w:space="0" w:color="000000"/>
            </w:tcBorders>
            <w:hideMark/>
          </w:tcPr>
          <w:p w14:paraId="3B0AFDC8" w14:textId="77777777" w:rsidR="00A41E60" w:rsidRPr="00D85E09" w:rsidRDefault="00A41E60" w:rsidP="0043316B">
            <w:pPr>
              <w:pStyle w:val="Tabletext"/>
              <w:keepNext w:val="0"/>
              <w:widowControl w:val="0"/>
            </w:pPr>
            <w:r w:rsidRPr="00D85E09">
              <w:t>$18,308.49</w:t>
            </w:r>
          </w:p>
        </w:tc>
        <w:tc>
          <w:tcPr>
            <w:tcW w:w="1667" w:type="pct"/>
            <w:tcBorders>
              <w:top w:val="single" w:sz="4" w:space="0" w:color="000000"/>
              <w:left w:val="single" w:sz="4" w:space="0" w:color="000000"/>
              <w:bottom w:val="single" w:sz="4" w:space="0" w:color="000000"/>
              <w:right w:val="single" w:sz="4" w:space="0" w:color="000000"/>
            </w:tcBorders>
            <w:hideMark/>
          </w:tcPr>
          <w:p w14:paraId="2FB6BE32" w14:textId="1BD2935C" w:rsidR="00A41E60" w:rsidRPr="00D85E09" w:rsidRDefault="00A41E60" w:rsidP="0043316B">
            <w:pPr>
              <w:pStyle w:val="Tabletext"/>
              <w:keepNext w:val="0"/>
              <w:widowControl w:val="0"/>
            </w:pPr>
            <w:r w:rsidRPr="00D85E09">
              <w:t xml:space="preserve">See </w:t>
            </w:r>
            <w:r w:rsidRPr="00D85E09">
              <w:fldChar w:fldCharType="begin"/>
            </w:r>
            <w:r w:rsidRPr="00D85E09">
              <w:instrText xml:space="preserve"> REF _Ref447293125 \h </w:instrText>
            </w:r>
            <w:r w:rsidRPr="00D85E09">
              <w:fldChar w:fldCharType="separate"/>
            </w:r>
            <w:r w:rsidR="00A456ED">
              <w:rPr>
                <w:b/>
                <w:bCs/>
                <w:lang w:val="en-US"/>
              </w:rPr>
              <w:t>Error! Reference source not found.</w:t>
            </w:r>
            <w:r w:rsidRPr="00D85E09">
              <w:fldChar w:fldCharType="end"/>
            </w:r>
          </w:p>
        </w:tc>
      </w:tr>
      <w:tr w:rsidR="00A41E60" w:rsidRPr="00D85E09" w14:paraId="3AC47AF2"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5626AA8" w14:textId="711F45EA" w:rsidR="00A41E60" w:rsidRPr="00D85E09" w:rsidRDefault="00A41E60" w:rsidP="0043316B">
            <w:pPr>
              <w:pStyle w:val="Tabletext"/>
              <w:keepNext w:val="0"/>
              <w:widowControl w:val="0"/>
            </w:pPr>
            <w:r w:rsidRPr="00D85E09">
              <w:t>In-hospital acute stroke care cost by mRS (with / without IV</w:t>
            </w:r>
            <w:r w:rsidR="00D32933" w:rsidRPr="00D85E09">
              <w:t>-</w:t>
            </w:r>
            <w:r w:rsidRPr="00D85E09">
              <w:t>tPA costs)</w:t>
            </w:r>
          </w:p>
        </w:tc>
        <w:tc>
          <w:tcPr>
            <w:tcW w:w="1236" w:type="pct"/>
            <w:tcBorders>
              <w:top w:val="single" w:sz="4" w:space="0" w:color="000000"/>
              <w:left w:val="single" w:sz="4" w:space="0" w:color="000000"/>
              <w:bottom w:val="single" w:sz="4" w:space="0" w:color="000000"/>
              <w:right w:val="single" w:sz="4" w:space="0" w:color="000000"/>
            </w:tcBorders>
          </w:tcPr>
          <w:p w14:paraId="7BA26460"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single" w:sz="4" w:space="0" w:color="000000"/>
              <w:right w:val="single" w:sz="4" w:space="0" w:color="000000"/>
            </w:tcBorders>
            <w:hideMark/>
          </w:tcPr>
          <w:p w14:paraId="1FF1C3AB" w14:textId="77777777" w:rsidR="00A41E60" w:rsidRPr="00D85E09" w:rsidRDefault="00A41E60" w:rsidP="0043316B">
            <w:pPr>
              <w:pStyle w:val="Tabletext"/>
              <w:keepNext w:val="0"/>
              <w:widowControl w:val="0"/>
            </w:pPr>
            <w:r w:rsidRPr="00D85E09">
              <w:t>Tanny et al 2013, updated to 2016 values.</w:t>
            </w:r>
          </w:p>
          <w:p w14:paraId="18EC364A" w14:textId="692B9C73" w:rsidR="00A41E60" w:rsidRPr="00D85E09" w:rsidRDefault="00A41E60" w:rsidP="0043316B">
            <w:pPr>
              <w:pStyle w:val="Tabletext"/>
              <w:keepNext w:val="0"/>
              <w:widowControl w:val="0"/>
            </w:pPr>
            <w:r w:rsidRPr="00D85E09">
              <w:t xml:space="preserve">See </w:t>
            </w:r>
            <w:r w:rsidRPr="00D85E09">
              <w:fldChar w:fldCharType="begin"/>
            </w:r>
            <w:r w:rsidRPr="00D85E09">
              <w:instrText xml:space="preserve"> REF _Ref447120163 \h </w:instrText>
            </w:r>
            <w:r w:rsidRPr="00D85E09">
              <w:fldChar w:fldCharType="separate"/>
            </w:r>
            <w:r w:rsidR="00A456ED" w:rsidRPr="00D85E09">
              <w:rPr>
                <w:lang w:val="en-AU"/>
              </w:rPr>
              <w:t xml:space="preserve">Table </w:t>
            </w:r>
            <w:r w:rsidR="00A456ED">
              <w:rPr>
                <w:noProof/>
                <w:lang w:val="en-AU"/>
              </w:rPr>
              <w:t>59</w:t>
            </w:r>
            <w:r w:rsidRPr="00D85E09">
              <w:fldChar w:fldCharType="end"/>
            </w:r>
            <w:r w:rsidRPr="00D85E09">
              <w:t>.</w:t>
            </w:r>
          </w:p>
          <w:p w14:paraId="38EB6D14" w14:textId="7C073C29" w:rsidR="00A41E60" w:rsidRPr="00D85E09" w:rsidRDefault="00A41E60" w:rsidP="0043316B">
            <w:pPr>
              <w:pStyle w:val="Tabletext"/>
              <w:keepNext w:val="0"/>
              <w:widowControl w:val="0"/>
              <w:rPr>
                <w:i/>
              </w:rPr>
            </w:pPr>
            <w:r w:rsidRPr="00D85E09">
              <w:rPr>
                <w:i/>
              </w:rPr>
              <w:t>The base case will assume that 50% of all MT patients receive concomitant IV</w:t>
            </w:r>
            <w:r w:rsidR="00D32933" w:rsidRPr="00D85E09">
              <w:rPr>
                <w:i/>
              </w:rPr>
              <w:t>-</w:t>
            </w:r>
            <w:r w:rsidRPr="00D85E09">
              <w:rPr>
                <w:i/>
              </w:rPr>
              <w:t xml:space="preserve">tPA. </w:t>
            </w:r>
          </w:p>
        </w:tc>
      </w:tr>
      <w:tr w:rsidR="00A41E60" w:rsidRPr="00D85E09" w14:paraId="0BA19970"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EAD7839" w14:textId="20BA9343" w:rsidR="00A41E60" w:rsidRPr="00D85E09" w:rsidRDefault="00A41E60" w:rsidP="0043316B">
            <w:pPr>
              <w:pStyle w:val="Tabletext"/>
              <w:keepNext w:val="0"/>
              <w:widowControl w:val="0"/>
            </w:pPr>
            <w:r w:rsidRPr="00D85E09">
              <w:t xml:space="preserve"> mRS 0</w:t>
            </w:r>
          </w:p>
        </w:tc>
        <w:tc>
          <w:tcPr>
            <w:tcW w:w="1236" w:type="pct"/>
            <w:tcBorders>
              <w:top w:val="single" w:sz="4" w:space="0" w:color="000000"/>
              <w:left w:val="single" w:sz="4" w:space="0" w:color="000000"/>
              <w:bottom w:val="single" w:sz="4" w:space="0" w:color="000000"/>
              <w:right w:val="single" w:sz="4" w:space="0" w:color="000000"/>
            </w:tcBorders>
            <w:hideMark/>
          </w:tcPr>
          <w:p w14:paraId="7FE9E22B" w14:textId="77777777" w:rsidR="00A41E60" w:rsidRPr="00D85E09" w:rsidRDefault="00A41E60" w:rsidP="0043316B">
            <w:pPr>
              <w:pStyle w:val="Tabletext"/>
              <w:keepNext w:val="0"/>
              <w:widowControl w:val="0"/>
            </w:pPr>
            <w:r w:rsidRPr="00D85E09">
              <w:t>$19,605 / $23,558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96860E"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5C53EA49"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518802B4" w14:textId="7777FE1D" w:rsidR="00A41E60" w:rsidRPr="00D85E09" w:rsidRDefault="00A41E60" w:rsidP="0043316B">
            <w:pPr>
              <w:pStyle w:val="Tabletext"/>
              <w:keepNext w:val="0"/>
              <w:widowControl w:val="0"/>
            </w:pPr>
            <w:r w:rsidRPr="00D85E09">
              <w:t xml:space="preserve"> mRS 1</w:t>
            </w:r>
          </w:p>
        </w:tc>
        <w:tc>
          <w:tcPr>
            <w:tcW w:w="1236" w:type="pct"/>
            <w:tcBorders>
              <w:top w:val="single" w:sz="4" w:space="0" w:color="000000"/>
              <w:left w:val="single" w:sz="4" w:space="0" w:color="000000"/>
              <w:bottom w:val="single" w:sz="4" w:space="0" w:color="000000"/>
              <w:right w:val="single" w:sz="4" w:space="0" w:color="000000"/>
            </w:tcBorders>
            <w:hideMark/>
          </w:tcPr>
          <w:p w14:paraId="69DC82E3" w14:textId="77777777" w:rsidR="00A41E60" w:rsidRPr="00D85E09" w:rsidRDefault="00A41E60" w:rsidP="0043316B">
            <w:pPr>
              <w:pStyle w:val="Tabletext"/>
              <w:keepNext w:val="0"/>
              <w:widowControl w:val="0"/>
            </w:pPr>
            <w:r w:rsidRPr="00D85E09">
              <w:t>$19,884 / $23,837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9633F4"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3F942DB1"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A4FD9C6" w14:textId="6D073F1B" w:rsidR="00A41E60" w:rsidRPr="00D85E09" w:rsidRDefault="00A41E60" w:rsidP="0043316B">
            <w:pPr>
              <w:pStyle w:val="Tabletext"/>
              <w:keepNext w:val="0"/>
              <w:widowControl w:val="0"/>
            </w:pPr>
            <w:r w:rsidRPr="00D85E09">
              <w:t xml:space="preserve"> mRS 2</w:t>
            </w:r>
          </w:p>
        </w:tc>
        <w:tc>
          <w:tcPr>
            <w:tcW w:w="1236" w:type="pct"/>
            <w:tcBorders>
              <w:top w:val="single" w:sz="4" w:space="0" w:color="000000"/>
              <w:left w:val="single" w:sz="4" w:space="0" w:color="000000"/>
              <w:bottom w:val="single" w:sz="4" w:space="0" w:color="000000"/>
              <w:right w:val="single" w:sz="4" w:space="0" w:color="000000"/>
            </w:tcBorders>
            <w:hideMark/>
          </w:tcPr>
          <w:p w14:paraId="04623FF3" w14:textId="77777777" w:rsidR="00A41E60" w:rsidRPr="00D85E09" w:rsidRDefault="00A41E60" w:rsidP="0043316B">
            <w:pPr>
              <w:pStyle w:val="Tabletext"/>
              <w:keepNext w:val="0"/>
              <w:widowControl w:val="0"/>
            </w:pPr>
            <w:r w:rsidRPr="00D85E09">
              <w:t>$21,719 / $25,671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BF789"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08823E31"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2A9C0DC" w14:textId="12FCF558" w:rsidR="00A41E60" w:rsidRPr="00D85E09" w:rsidRDefault="00A41E60" w:rsidP="0043316B">
            <w:pPr>
              <w:pStyle w:val="Tabletext"/>
              <w:keepNext w:val="0"/>
              <w:widowControl w:val="0"/>
            </w:pPr>
            <w:r w:rsidRPr="00D85E09">
              <w:t xml:space="preserve"> mRS 3</w:t>
            </w:r>
          </w:p>
        </w:tc>
        <w:tc>
          <w:tcPr>
            <w:tcW w:w="1236" w:type="pct"/>
            <w:tcBorders>
              <w:top w:val="single" w:sz="4" w:space="0" w:color="000000"/>
              <w:left w:val="single" w:sz="4" w:space="0" w:color="000000"/>
              <w:bottom w:val="single" w:sz="4" w:space="0" w:color="000000"/>
              <w:right w:val="single" w:sz="4" w:space="0" w:color="000000"/>
            </w:tcBorders>
            <w:hideMark/>
          </w:tcPr>
          <w:p w14:paraId="35587E6E" w14:textId="77777777" w:rsidR="00A41E60" w:rsidRPr="00D85E09" w:rsidRDefault="00A41E60" w:rsidP="0043316B">
            <w:pPr>
              <w:pStyle w:val="Tabletext"/>
              <w:keepNext w:val="0"/>
              <w:widowControl w:val="0"/>
            </w:pPr>
            <w:r w:rsidRPr="00D85E09">
              <w:t>$21,719 / $25,671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F718E1"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6B4D0C70"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7989819" w14:textId="56C99BF1" w:rsidR="00A41E60" w:rsidRPr="00D85E09" w:rsidRDefault="00A41E60" w:rsidP="0043316B">
            <w:pPr>
              <w:pStyle w:val="Tabletext"/>
              <w:keepNext w:val="0"/>
              <w:widowControl w:val="0"/>
            </w:pPr>
            <w:r w:rsidRPr="00D85E09">
              <w:t xml:space="preserve"> mRS 4</w:t>
            </w:r>
          </w:p>
        </w:tc>
        <w:tc>
          <w:tcPr>
            <w:tcW w:w="1236" w:type="pct"/>
            <w:tcBorders>
              <w:top w:val="single" w:sz="4" w:space="0" w:color="000000"/>
              <w:left w:val="single" w:sz="4" w:space="0" w:color="000000"/>
              <w:bottom w:val="single" w:sz="4" w:space="0" w:color="000000"/>
              <w:right w:val="single" w:sz="4" w:space="0" w:color="000000"/>
            </w:tcBorders>
            <w:hideMark/>
          </w:tcPr>
          <w:p w14:paraId="040FB6B3" w14:textId="77777777" w:rsidR="00A41E60" w:rsidRPr="00D85E09" w:rsidRDefault="00A41E60" w:rsidP="0043316B">
            <w:pPr>
              <w:pStyle w:val="Tabletext"/>
              <w:keepNext w:val="0"/>
              <w:widowControl w:val="0"/>
            </w:pPr>
            <w:r w:rsidRPr="00D85E09">
              <w:t>$18,985 / $22,938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E0ACAB"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1BE84D2B"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5E3093F" w14:textId="335436A3" w:rsidR="00A41E60" w:rsidRPr="00D85E09" w:rsidRDefault="00A41E60" w:rsidP="0043316B">
            <w:pPr>
              <w:pStyle w:val="Tabletext"/>
              <w:keepNext w:val="0"/>
              <w:widowControl w:val="0"/>
            </w:pPr>
            <w:r w:rsidRPr="00D85E09">
              <w:t xml:space="preserve"> mRS 5</w:t>
            </w:r>
          </w:p>
        </w:tc>
        <w:tc>
          <w:tcPr>
            <w:tcW w:w="1236" w:type="pct"/>
            <w:tcBorders>
              <w:top w:val="single" w:sz="4" w:space="0" w:color="000000"/>
              <w:left w:val="single" w:sz="4" w:space="0" w:color="000000"/>
              <w:bottom w:val="single" w:sz="4" w:space="0" w:color="000000"/>
              <w:right w:val="single" w:sz="4" w:space="0" w:color="000000"/>
            </w:tcBorders>
            <w:hideMark/>
          </w:tcPr>
          <w:p w14:paraId="71E6605E" w14:textId="77777777" w:rsidR="00A41E60" w:rsidRPr="00D85E09" w:rsidRDefault="00A41E60" w:rsidP="0043316B">
            <w:pPr>
              <w:pStyle w:val="Tabletext"/>
              <w:keepNext w:val="0"/>
              <w:widowControl w:val="0"/>
            </w:pPr>
            <w:r w:rsidRPr="00D85E09">
              <w:t>$18,985 / $22,938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BF5FA"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35C77E8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9E519D4" w14:textId="288F7F5F" w:rsidR="00A41E60" w:rsidRPr="00D85E09" w:rsidRDefault="00A41E60" w:rsidP="0043316B">
            <w:pPr>
              <w:pStyle w:val="Tabletext"/>
              <w:keepNext w:val="0"/>
              <w:widowControl w:val="0"/>
            </w:pPr>
            <w:r w:rsidRPr="00D85E09">
              <w:t xml:space="preserve"> mRS 6</w:t>
            </w:r>
          </w:p>
        </w:tc>
        <w:tc>
          <w:tcPr>
            <w:tcW w:w="1236" w:type="pct"/>
            <w:tcBorders>
              <w:top w:val="single" w:sz="4" w:space="0" w:color="000000"/>
              <w:left w:val="single" w:sz="4" w:space="0" w:color="000000"/>
              <w:bottom w:val="single" w:sz="4" w:space="0" w:color="000000"/>
              <w:right w:val="single" w:sz="4" w:space="0" w:color="000000"/>
            </w:tcBorders>
            <w:hideMark/>
          </w:tcPr>
          <w:p w14:paraId="251C9E21" w14:textId="77777777" w:rsidR="00A41E60" w:rsidRPr="00D85E09" w:rsidRDefault="00A41E60" w:rsidP="0043316B">
            <w:pPr>
              <w:pStyle w:val="Tabletext"/>
              <w:keepNext w:val="0"/>
              <w:widowControl w:val="0"/>
            </w:pPr>
            <w:r w:rsidRPr="00D85E09">
              <w:t>$12,671 / $16,624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EB0FBC" w14:textId="77777777" w:rsidR="00A41E60" w:rsidRPr="00D85E09" w:rsidRDefault="00A41E60" w:rsidP="0043316B">
            <w:pPr>
              <w:widowControl w:val="0"/>
              <w:spacing w:after="0" w:line="240" w:lineRule="auto"/>
              <w:rPr>
                <w:rFonts w:ascii="Arial Narrow" w:hAnsi="Arial Narrow" w:cs="Times New Roman"/>
                <w:i/>
                <w:sz w:val="20"/>
                <w:szCs w:val="20"/>
              </w:rPr>
            </w:pPr>
          </w:p>
        </w:tc>
      </w:tr>
      <w:tr w:rsidR="00A41E60" w:rsidRPr="00D85E09" w14:paraId="39899FAC"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414DFC13" w14:textId="77777777" w:rsidR="00A41E60" w:rsidRPr="00D85E09" w:rsidRDefault="00A41E60" w:rsidP="0043316B">
            <w:pPr>
              <w:pStyle w:val="Tabletext"/>
              <w:keepNext w:val="0"/>
              <w:widowControl w:val="0"/>
            </w:pPr>
            <w:r w:rsidRPr="00D85E09">
              <w:t>Stroke care cost to 12 months by mRS, from Day 90 to Day 365</w:t>
            </w:r>
          </w:p>
        </w:tc>
        <w:tc>
          <w:tcPr>
            <w:tcW w:w="1236" w:type="pct"/>
            <w:tcBorders>
              <w:top w:val="single" w:sz="4" w:space="0" w:color="000000"/>
              <w:left w:val="single" w:sz="4" w:space="0" w:color="000000"/>
              <w:bottom w:val="single" w:sz="4" w:space="0" w:color="000000"/>
              <w:right w:val="single" w:sz="4" w:space="0" w:color="000000"/>
            </w:tcBorders>
          </w:tcPr>
          <w:p w14:paraId="67CC487B"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single" w:sz="4" w:space="0" w:color="000000"/>
              <w:right w:val="single" w:sz="4" w:space="0" w:color="000000"/>
            </w:tcBorders>
            <w:hideMark/>
          </w:tcPr>
          <w:p w14:paraId="23057FE3" w14:textId="77777777" w:rsidR="00A41E60" w:rsidRPr="00D85E09" w:rsidRDefault="00A41E60" w:rsidP="0043316B">
            <w:pPr>
              <w:pStyle w:val="Tabletext"/>
              <w:keepNext w:val="0"/>
              <w:widowControl w:val="0"/>
            </w:pPr>
            <w:r w:rsidRPr="00D85E09">
              <w:t>Tanny et al 2013, updated to 2016 values.</w:t>
            </w:r>
          </w:p>
          <w:p w14:paraId="2507DBD7" w14:textId="7A9B016E" w:rsidR="00A41E60" w:rsidRPr="00D85E09" w:rsidRDefault="00A41E60" w:rsidP="0043316B">
            <w:pPr>
              <w:pStyle w:val="Tabletext"/>
              <w:keepNext w:val="0"/>
              <w:widowControl w:val="0"/>
            </w:pPr>
            <w:r w:rsidRPr="00D85E09">
              <w:t xml:space="preserve">See </w:t>
            </w:r>
            <w:r w:rsidRPr="00D85E09">
              <w:fldChar w:fldCharType="begin"/>
            </w:r>
            <w:r w:rsidRPr="00D85E09">
              <w:instrText xml:space="preserve"> REF _Ref447120163 \h </w:instrText>
            </w:r>
            <w:r w:rsidRPr="00D85E09">
              <w:fldChar w:fldCharType="separate"/>
            </w:r>
            <w:r w:rsidR="00A456ED" w:rsidRPr="00D85E09">
              <w:rPr>
                <w:lang w:val="en-AU"/>
              </w:rPr>
              <w:t xml:space="preserve">Table </w:t>
            </w:r>
            <w:r w:rsidR="00A456ED">
              <w:rPr>
                <w:noProof/>
                <w:lang w:val="en-AU"/>
              </w:rPr>
              <w:t>59</w:t>
            </w:r>
            <w:r w:rsidRPr="00D85E09">
              <w:fldChar w:fldCharType="end"/>
            </w:r>
            <w:r w:rsidRPr="00D85E09">
              <w:t>.</w:t>
            </w:r>
          </w:p>
        </w:tc>
      </w:tr>
      <w:tr w:rsidR="00A41E60" w:rsidRPr="00D85E09" w14:paraId="5003C4FF"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6FBF57C8" w14:textId="24FCC8B7" w:rsidR="00A41E60" w:rsidRPr="00D85E09" w:rsidRDefault="00A41E60" w:rsidP="0043316B">
            <w:pPr>
              <w:pStyle w:val="Tabletext"/>
              <w:keepNext w:val="0"/>
              <w:widowControl w:val="0"/>
            </w:pPr>
            <w:r w:rsidRPr="00D85E09">
              <w:t xml:space="preserve"> mRS 0</w:t>
            </w:r>
          </w:p>
        </w:tc>
        <w:tc>
          <w:tcPr>
            <w:tcW w:w="1236" w:type="pct"/>
            <w:tcBorders>
              <w:top w:val="single" w:sz="4" w:space="0" w:color="000000"/>
              <w:left w:val="single" w:sz="4" w:space="0" w:color="000000"/>
              <w:bottom w:val="single" w:sz="4" w:space="0" w:color="000000"/>
              <w:right w:val="single" w:sz="4" w:space="0" w:color="000000"/>
            </w:tcBorders>
            <w:hideMark/>
          </w:tcPr>
          <w:p w14:paraId="1A978CBE" w14:textId="77777777" w:rsidR="00A41E60" w:rsidRPr="00D85E09" w:rsidRDefault="00A41E60" w:rsidP="0043316B">
            <w:pPr>
              <w:pStyle w:val="Tabletext"/>
              <w:keepNext w:val="0"/>
              <w:widowControl w:val="0"/>
            </w:pPr>
            <w:r w:rsidRPr="00D85E09">
              <w:t>$10,499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FF1CE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15BEA0E"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BA93BA3" w14:textId="68E7BF78" w:rsidR="00A41E60" w:rsidRPr="00D85E09" w:rsidRDefault="00A41E60" w:rsidP="0043316B">
            <w:pPr>
              <w:pStyle w:val="Tabletext"/>
              <w:keepNext w:val="0"/>
              <w:widowControl w:val="0"/>
            </w:pPr>
            <w:r w:rsidRPr="00D85E09">
              <w:t xml:space="preserve"> mRS 1</w:t>
            </w:r>
          </w:p>
        </w:tc>
        <w:tc>
          <w:tcPr>
            <w:tcW w:w="1236" w:type="pct"/>
            <w:tcBorders>
              <w:top w:val="single" w:sz="4" w:space="0" w:color="000000"/>
              <w:left w:val="single" w:sz="4" w:space="0" w:color="000000"/>
              <w:bottom w:val="single" w:sz="4" w:space="0" w:color="000000"/>
              <w:right w:val="single" w:sz="4" w:space="0" w:color="000000"/>
            </w:tcBorders>
            <w:hideMark/>
          </w:tcPr>
          <w:p w14:paraId="66619D40" w14:textId="77777777" w:rsidR="00A41E60" w:rsidRPr="00D85E09" w:rsidRDefault="00A41E60" w:rsidP="0043316B">
            <w:pPr>
              <w:pStyle w:val="Tabletext"/>
              <w:keepNext w:val="0"/>
              <w:widowControl w:val="0"/>
            </w:pPr>
            <w:r w:rsidRPr="00D85E09">
              <w:t>$13,230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A9390"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28BABC7D"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E2F06C3" w14:textId="2B8A23FD" w:rsidR="00A41E60" w:rsidRPr="00D85E09" w:rsidRDefault="00A41E60" w:rsidP="0043316B">
            <w:pPr>
              <w:pStyle w:val="Tabletext"/>
              <w:keepNext w:val="0"/>
              <w:widowControl w:val="0"/>
            </w:pPr>
            <w:r w:rsidRPr="00D85E09">
              <w:t xml:space="preserve"> mRS 2</w:t>
            </w:r>
          </w:p>
        </w:tc>
        <w:tc>
          <w:tcPr>
            <w:tcW w:w="1236" w:type="pct"/>
            <w:tcBorders>
              <w:top w:val="single" w:sz="4" w:space="0" w:color="000000"/>
              <w:left w:val="single" w:sz="4" w:space="0" w:color="000000"/>
              <w:bottom w:val="single" w:sz="4" w:space="0" w:color="000000"/>
              <w:right w:val="single" w:sz="4" w:space="0" w:color="000000"/>
            </w:tcBorders>
            <w:hideMark/>
          </w:tcPr>
          <w:p w14:paraId="0D231AFE" w14:textId="77777777" w:rsidR="00A41E60" w:rsidRPr="00D85E09" w:rsidRDefault="00A41E60" w:rsidP="0043316B">
            <w:pPr>
              <w:pStyle w:val="Tabletext"/>
              <w:keepNext w:val="0"/>
              <w:widowControl w:val="0"/>
            </w:pPr>
            <w:r w:rsidRPr="00D85E09">
              <w:t>$15,943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F45F0"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5722B8D"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EDDD902" w14:textId="661EB748" w:rsidR="00A41E60" w:rsidRPr="00D85E09" w:rsidRDefault="00A41E60" w:rsidP="0043316B">
            <w:pPr>
              <w:pStyle w:val="Tabletext"/>
              <w:keepNext w:val="0"/>
              <w:widowControl w:val="0"/>
            </w:pPr>
            <w:r w:rsidRPr="00D85E09">
              <w:t xml:space="preserve"> mRS 3</w:t>
            </w:r>
          </w:p>
        </w:tc>
        <w:tc>
          <w:tcPr>
            <w:tcW w:w="1236" w:type="pct"/>
            <w:tcBorders>
              <w:top w:val="single" w:sz="4" w:space="0" w:color="000000"/>
              <w:left w:val="single" w:sz="4" w:space="0" w:color="000000"/>
              <w:bottom w:val="single" w:sz="4" w:space="0" w:color="000000"/>
              <w:right w:val="single" w:sz="4" w:space="0" w:color="000000"/>
            </w:tcBorders>
            <w:hideMark/>
          </w:tcPr>
          <w:p w14:paraId="3FDAF426" w14:textId="77777777" w:rsidR="00A41E60" w:rsidRPr="00D85E09" w:rsidRDefault="00A41E60" w:rsidP="0043316B">
            <w:pPr>
              <w:pStyle w:val="Tabletext"/>
              <w:keepNext w:val="0"/>
              <w:widowControl w:val="0"/>
            </w:pPr>
            <w:r w:rsidRPr="00D85E09">
              <w:t>$17,540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D52826"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79EA1A1C"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7FD695D" w14:textId="5802F03F" w:rsidR="00A41E60" w:rsidRPr="00D85E09" w:rsidRDefault="00A41E60" w:rsidP="0043316B">
            <w:pPr>
              <w:pStyle w:val="Tabletext"/>
              <w:keepNext w:val="0"/>
              <w:widowControl w:val="0"/>
            </w:pPr>
            <w:r w:rsidRPr="00D85E09">
              <w:t xml:space="preserve"> mRS 4</w:t>
            </w:r>
          </w:p>
        </w:tc>
        <w:tc>
          <w:tcPr>
            <w:tcW w:w="1236" w:type="pct"/>
            <w:tcBorders>
              <w:top w:val="single" w:sz="4" w:space="0" w:color="000000"/>
              <w:left w:val="single" w:sz="4" w:space="0" w:color="000000"/>
              <w:bottom w:val="single" w:sz="4" w:space="0" w:color="000000"/>
              <w:right w:val="single" w:sz="4" w:space="0" w:color="000000"/>
            </w:tcBorders>
            <w:hideMark/>
          </w:tcPr>
          <w:p w14:paraId="1FBFBD8C" w14:textId="77777777" w:rsidR="00A41E60" w:rsidRPr="00D85E09" w:rsidRDefault="00A41E60" w:rsidP="0043316B">
            <w:pPr>
              <w:pStyle w:val="Tabletext"/>
              <w:keepNext w:val="0"/>
              <w:widowControl w:val="0"/>
            </w:pPr>
            <w:r w:rsidRPr="00D85E09">
              <w:t>$20,772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77682"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4C21A9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4F8AFEA" w14:textId="0031FB7E" w:rsidR="00A41E60" w:rsidRPr="00D85E09" w:rsidRDefault="00A41E60" w:rsidP="0043316B">
            <w:pPr>
              <w:pStyle w:val="Tabletext"/>
              <w:keepNext w:val="0"/>
              <w:widowControl w:val="0"/>
            </w:pPr>
            <w:r w:rsidRPr="00D85E09">
              <w:t xml:space="preserve"> mRS 5</w:t>
            </w:r>
          </w:p>
        </w:tc>
        <w:tc>
          <w:tcPr>
            <w:tcW w:w="1236" w:type="pct"/>
            <w:tcBorders>
              <w:top w:val="single" w:sz="4" w:space="0" w:color="000000"/>
              <w:left w:val="single" w:sz="4" w:space="0" w:color="000000"/>
              <w:bottom w:val="single" w:sz="4" w:space="0" w:color="000000"/>
              <w:right w:val="single" w:sz="4" w:space="0" w:color="000000"/>
            </w:tcBorders>
            <w:hideMark/>
          </w:tcPr>
          <w:p w14:paraId="738174B4" w14:textId="77777777" w:rsidR="00A41E60" w:rsidRPr="00D85E09" w:rsidRDefault="00A41E60" w:rsidP="0043316B">
            <w:pPr>
              <w:pStyle w:val="Tabletext"/>
              <w:keepNext w:val="0"/>
              <w:widowControl w:val="0"/>
            </w:pPr>
            <w:r w:rsidRPr="00D85E09">
              <w:t>$24,169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670F48"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4F920F9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583001B" w14:textId="0BDEE15B" w:rsidR="00A41E60" w:rsidRPr="00D85E09" w:rsidRDefault="00A41E60" w:rsidP="0043316B">
            <w:pPr>
              <w:pStyle w:val="Tabletext"/>
              <w:keepNext w:val="0"/>
              <w:widowControl w:val="0"/>
            </w:pPr>
            <w:r w:rsidRPr="00D85E09">
              <w:t xml:space="preserve"> mRS 6</w:t>
            </w:r>
          </w:p>
        </w:tc>
        <w:tc>
          <w:tcPr>
            <w:tcW w:w="1236" w:type="pct"/>
            <w:tcBorders>
              <w:top w:val="single" w:sz="4" w:space="0" w:color="000000"/>
              <w:left w:val="single" w:sz="4" w:space="0" w:color="000000"/>
              <w:bottom w:val="single" w:sz="4" w:space="0" w:color="000000"/>
              <w:right w:val="single" w:sz="4" w:space="0" w:color="000000"/>
            </w:tcBorders>
            <w:hideMark/>
          </w:tcPr>
          <w:p w14:paraId="5DA7B8D7" w14:textId="77777777" w:rsidR="00A41E60" w:rsidRPr="00D85E09" w:rsidRDefault="00A41E60" w:rsidP="0043316B">
            <w:pPr>
              <w:pStyle w:val="Tabletext"/>
              <w:keepNext w:val="0"/>
              <w:widowControl w:val="0"/>
            </w:pPr>
            <w:r w:rsidRPr="00D85E09">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AF05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AF64E14"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16D0E97" w14:textId="77777777" w:rsidR="00A41E60" w:rsidRPr="00D85E09" w:rsidRDefault="00A41E60" w:rsidP="0043316B">
            <w:pPr>
              <w:pStyle w:val="Tabletext"/>
              <w:keepNext w:val="0"/>
              <w:widowControl w:val="0"/>
            </w:pPr>
            <w:r w:rsidRPr="00D85E09">
              <w:t>Long-term stroke care costs by mRS, per year</w:t>
            </w:r>
          </w:p>
        </w:tc>
        <w:tc>
          <w:tcPr>
            <w:tcW w:w="1236" w:type="pct"/>
            <w:tcBorders>
              <w:top w:val="single" w:sz="4" w:space="0" w:color="000000"/>
              <w:left w:val="single" w:sz="4" w:space="0" w:color="000000"/>
              <w:bottom w:val="single" w:sz="4" w:space="0" w:color="000000"/>
              <w:right w:val="single" w:sz="4" w:space="0" w:color="000000"/>
            </w:tcBorders>
          </w:tcPr>
          <w:p w14:paraId="3FD57E90"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single" w:sz="4" w:space="0" w:color="000000"/>
              <w:right w:val="single" w:sz="4" w:space="0" w:color="000000"/>
            </w:tcBorders>
            <w:hideMark/>
          </w:tcPr>
          <w:p w14:paraId="7C652DA1" w14:textId="2F08DAAC" w:rsidR="00A41E60" w:rsidRPr="00D85E09" w:rsidRDefault="00A41E60" w:rsidP="0043316B">
            <w:pPr>
              <w:pStyle w:val="Tabletext"/>
              <w:keepNext w:val="0"/>
              <w:widowControl w:val="0"/>
            </w:pPr>
            <w:r w:rsidRPr="00D85E09">
              <w:t xml:space="preserve">Gloede et al 2014, direct medical </w:t>
            </w:r>
            <w:r w:rsidRPr="00D85E09">
              <w:lastRenderedPageBreak/>
              <w:t>costs only; callibrated according to mRS cost multipliers from Baeten et al 2013.</w:t>
            </w:r>
          </w:p>
          <w:p w14:paraId="50947917" w14:textId="439BD0E8" w:rsidR="00A41E60" w:rsidRPr="00D85E09" w:rsidRDefault="00A41E60" w:rsidP="0043316B">
            <w:pPr>
              <w:pStyle w:val="Tabletext"/>
              <w:keepNext w:val="0"/>
              <w:widowControl w:val="0"/>
            </w:pPr>
            <w:r w:rsidRPr="00D85E09">
              <w:t xml:space="preserve">See </w:t>
            </w:r>
            <w:r w:rsidRPr="00D85E09">
              <w:fldChar w:fldCharType="begin"/>
            </w:r>
            <w:r w:rsidRPr="00D85E09">
              <w:instrText xml:space="preserve"> REF _Ref447273460 \h </w:instrText>
            </w:r>
            <w:r w:rsidRPr="00D85E09">
              <w:fldChar w:fldCharType="separate"/>
            </w:r>
            <w:r w:rsidR="00A456ED" w:rsidRPr="00D85E09">
              <w:rPr>
                <w:lang w:val="en-AU"/>
              </w:rPr>
              <w:t xml:space="preserve">Table </w:t>
            </w:r>
            <w:r w:rsidR="00A456ED">
              <w:rPr>
                <w:noProof/>
                <w:lang w:val="en-AU"/>
              </w:rPr>
              <w:t>62</w:t>
            </w:r>
            <w:r w:rsidRPr="00D85E09">
              <w:fldChar w:fldCharType="end"/>
            </w:r>
            <w:r w:rsidRPr="00D85E09">
              <w:t xml:space="preserve"> and </w:t>
            </w:r>
            <w:r w:rsidRPr="00D85E09">
              <w:fldChar w:fldCharType="begin"/>
            </w:r>
            <w:r w:rsidRPr="00D85E09">
              <w:instrText xml:space="preserve"> REF _Ref447270362 \h </w:instrText>
            </w:r>
            <w:r w:rsidRPr="00D85E09">
              <w:fldChar w:fldCharType="separate"/>
            </w:r>
            <w:r w:rsidR="00A456ED" w:rsidRPr="00D85E09">
              <w:rPr>
                <w:lang w:val="en-AU"/>
              </w:rPr>
              <w:t xml:space="preserve">Table </w:t>
            </w:r>
            <w:r w:rsidR="00A456ED">
              <w:rPr>
                <w:noProof/>
                <w:lang w:val="en-AU"/>
              </w:rPr>
              <w:t>63</w:t>
            </w:r>
            <w:r w:rsidRPr="00D85E09">
              <w:fldChar w:fldCharType="end"/>
            </w:r>
          </w:p>
        </w:tc>
      </w:tr>
      <w:tr w:rsidR="00A41E60" w:rsidRPr="00D85E09" w14:paraId="47782DC4"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61E5699" w14:textId="597D9330" w:rsidR="00A41E60" w:rsidRPr="00D85E09" w:rsidRDefault="00A41E60" w:rsidP="0043316B">
            <w:pPr>
              <w:pStyle w:val="Tabletext"/>
              <w:keepNext w:val="0"/>
              <w:widowControl w:val="0"/>
            </w:pPr>
            <w:r w:rsidRPr="00D85E09">
              <w:lastRenderedPageBreak/>
              <w:t xml:space="preserve"> mRS 0</w:t>
            </w:r>
          </w:p>
        </w:tc>
        <w:tc>
          <w:tcPr>
            <w:tcW w:w="1236" w:type="pct"/>
            <w:tcBorders>
              <w:top w:val="single" w:sz="4" w:space="0" w:color="000000"/>
              <w:left w:val="single" w:sz="4" w:space="0" w:color="000000"/>
              <w:bottom w:val="single" w:sz="4" w:space="0" w:color="000000"/>
              <w:right w:val="single" w:sz="4" w:space="0" w:color="000000"/>
            </w:tcBorders>
            <w:hideMark/>
          </w:tcPr>
          <w:p w14:paraId="54ECCC79" w14:textId="77777777" w:rsidR="00A41E60" w:rsidRPr="00D85E09" w:rsidRDefault="00A41E60" w:rsidP="0043316B">
            <w:pPr>
              <w:pStyle w:val="Tabletext"/>
              <w:keepNext w:val="0"/>
              <w:widowControl w:val="0"/>
            </w:pPr>
            <w:r w:rsidRPr="00D85E09">
              <w:t>$1,431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6D3432"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6E1DA69"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68809C9B" w14:textId="28EF1252" w:rsidR="00A41E60" w:rsidRPr="00D85E09" w:rsidRDefault="00A41E60" w:rsidP="0043316B">
            <w:pPr>
              <w:pStyle w:val="Tabletext"/>
              <w:keepNext w:val="0"/>
              <w:widowControl w:val="0"/>
            </w:pPr>
            <w:r w:rsidRPr="00D85E09">
              <w:lastRenderedPageBreak/>
              <w:t xml:space="preserve"> mRS 1</w:t>
            </w:r>
          </w:p>
        </w:tc>
        <w:tc>
          <w:tcPr>
            <w:tcW w:w="1236" w:type="pct"/>
            <w:tcBorders>
              <w:top w:val="single" w:sz="4" w:space="0" w:color="000000"/>
              <w:left w:val="single" w:sz="4" w:space="0" w:color="000000"/>
              <w:bottom w:val="single" w:sz="4" w:space="0" w:color="000000"/>
              <w:right w:val="single" w:sz="4" w:space="0" w:color="000000"/>
            </w:tcBorders>
            <w:hideMark/>
          </w:tcPr>
          <w:p w14:paraId="2904CF6F" w14:textId="77777777" w:rsidR="00A41E60" w:rsidRPr="00D85E09" w:rsidRDefault="00A41E60" w:rsidP="0043316B">
            <w:pPr>
              <w:pStyle w:val="Tabletext"/>
              <w:keepNext w:val="0"/>
              <w:widowControl w:val="0"/>
            </w:pPr>
            <w:r w:rsidRPr="00D85E09">
              <w:t>$1,431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96A918"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9AFCB9E"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18495B5" w14:textId="5CAD6873" w:rsidR="00A41E60" w:rsidRPr="00D85E09" w:rsidRDefault="00A41E60" w:rsidP="0043316B">
            <w:pPr>
              <w:pStyle w:val="Tabletext"/>
              <w:keepNext w:val="0"/>
              <w:widowControl w:val="0"/>
            </w:pPr>
            <w:r w:rsidRPr="00D85E09">
              <w:t xml:space="preserve"> mRS 2</w:t>
            </w:r>
          </w:p>
        </w:tc>
        <w:tc>
          <w:tcPr>
            <w:tcW w:w="1236" w:type="pct"/>
            <w:tcBorders>
              <w:top w:val="single" w:sz="4" w:space="0" w:color="000000"/>
              <w:left w:val="single" w:sz="4" w:space="0" w:color="000000"/>
              <w:bottom w:val="single" w:sz="4" w:space="0" w:color="000000"/>
              <w:right w:val="single" w:sz="4" w:space="0" w:color="000000"/>
            </w:tcBorders>
            <w:hideMark/>
          </w:tcPr>
          <w:p w14:paraId="767016FE" w14:textId="77777777" w:rsidR="00A41E60" w:rsidRPr="00D85E09" w:rsidRDefault="00A41E60" w:rsidP="0043316B">
            <w:pPr>
              <w:pStyle w:val="Tabletext"/>
              <w:keepNext w:val="0"/>
              <w:widowControl w:val="0"/>
            </w:pPr>
            <w:r w:rsidRPr="00D85E09">
              <w:t>$1,814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F111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CB6C86A"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8233694" w14:textId="41507F5E" w:rsidR="00A41E60" w:rsidRPr="00D85E09" w:rsidRDefault="00A41E60" w:rsidP="0043316B">
            <w:pPr>
              <w:pStyle w:val="Tabletext"/>
              <w:keepNext w:val="0"/>
              <w:widowControl w:val="0"/>
            </w:pPr>
            <w:r w:rsidRPr="00D85E09">
              <w:t xml:space="preserve"> mRS 3</w:t>
            </w:r>
          </w:p>
        </w:tc>
        <w:tc>
          <w:tcPr>
            <w:tcW w:w="1236" w:type="pct"/>
            <w:tcBorders>
              <w:top w:val="single" w:sz="4" w:space="0" w:color="000000"/>
              <w:left w:val="single" w:sz="4" w:space="0" w:color="000000"/>
              <w:bottom w:val="single" w:sz="4" w:space="0" w:color="000000"/>
              <w:right w:val="single" w:sz="4" w:space="0" w:color="000000"/>
            </w:tcBorders>
            <w:hideMark/>
          </w:tcPr>
          <w:p w14:paraId="69F19EDC" w14:textId="77777777" w:rsidR="00A41E60" w:rsidRPr="00D85E09" w:rsidRDefault="00A41E60" w:rsidP="0043316B">
            <w:pPr>
              <w:pStyle w:val="Tabletext"/>
              <w:keepNext w:val="0"/>
              <w:widowControl w:val="0"/>
            </w:pPr>
            <w:r w:rsidRPr="00D85E09">
              <w:t>$1,814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68489E"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2681E6B0"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4B335D74" w14:textId="53899CC4" w:rsidR="00A41E60" w:rsidRPr="00D85E09" w:rsidRDefault="00A41E60" w:rsidP="0043316B">
            <w:pPr>
              <w:pStyle w:val="Tabletext"/>
              <w:keepNext w:val="0"/>
              <w:widowControl w:val="0"/>
            </w:pPr>
            <w:r w:rsidRPr="00D85E09">
              <w:t xml:space="preserve"> mRS 4</w:t>
            </w:r>
          </w:p>
        </w:tc>
        <w:tc>
          <w:tcPr>
            <w:tcW w:w="1236" w:type="pct"/>
            <w:tcBorders>
              <w:top w:val="single" w:sz="4" w:space="0" w:color="000000"/>
              <w:left w:val="single" w:sz="4" w:space="0" w:color="000000"/>
              <w:bottom w:val="single" w:sz="4" w:space="0" w:color="000000"/>
              <w:right w:val="single" w:sz="4" w:space="0" w:color="000000"/>
            </w:tcBorders>
            <w:hideMark/>
          </w:tcPr>
          <w:p w14:paraId="0C9507E8" w14:textId="77777777" w:rsidR="00A41E60" w:rsidRPr="00D85E09" w:rsidRDefault="00A41E60" w:rsidP="0043316B">
            <w:pPr>
              <w:pStyle w:val="Tabletext"/>
              <w:keepNext w:val="0"/>
              <w:widowControl w:val="0"/>
            </w:pPr>
            <w:r w:rsidRPr="00D85E09">
              <w:t>$14,027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5CFDD0"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4FCBAC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607BA469" w14:textId="00BF3E98" w:rsidR="00A41E60" w:rsidRPr="00D85E09" w:rsidRDefault="00A41E60" w:rsidP="0043316B">
            <w:pPr>
              <w:pStyle w:val="Tabletext"/>
              <w:keepNext w:val="0"/>
              <w:widowControl w:val="0"/>
            </w:pPr>
            <w:r w:rsidRPr="00D85E09">
              <w:t xml:space="preserve"> mRS 5</w:t>
            </w:r>
          </w:p>
        </w:tc>
        <w:tc>
          <w:tcPr>
            <w:tcW w:w="1236" w:type="pct"/>
            <w:tcBorders>
              <w:top w:val="single" w:sz="4" w:space="0" w:color="000000"/>
              <w:left w:val="single" w:sz="4" w:space="0" w:color="000000"/>
              <w:bottom w:val="single" w:sz="4" w:space="0" w:color="000000"/>
              <w:right w:val="single" w:sz="4" w:space="0" w:color="000000"/>
            </w:tcBorders>
            <w:hideMark/>
          </w:tcPr>
          <w:p w14:paraId="025F2C03" w14:textId="77777777" w:rsidR="00A41E60" w:rsidRPr="00D85E09" w:rsidRDefault="00A41E60" w:rsidP="0043316B">
            <w:pPr>
              <w:pStyle w:val="Tabletext"/>
              <w:keepNext w:val="0"/>
              <w:widowControl w:val="0"/>
            </w:pPr>
            <w:r w:rsidRPr="00D85E09">
              <w:t>$17,943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2816BB"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48DE343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E9679FF" w14:textId="5FE0AD60" w:rsidR="00A41E60" w:rsidRPr="00D85E09" w:rsidRDefault="00A41E60" w:rsidP="0043316B">
            <w:pPr>
              <w:pStyle w:val="Tabletext"/>
              <w:keepNext w:val="0"/>
              <w:widowControl w:val="0"/>
            </w:pPr>
            <w:r w:rsidRPr="00D85E09">
              <w:t xml:space="preserve"> mRS 6</w:t>
            </w:r>
          </w:p>
        </w:tc>
        <w:tc>
          <w:tcPr>
            <w:tcW w:w="1236" w:type="pct"/>
            <w:tcBorders>
              <w:top w:val="single" w:sz="4" w:space="0" w:color="000000"/>
              <w:left w:val="single" w:sz="4" w:space="0" w:color="000000"/>
              <w:bottom w:val="single" w:sz="4" w:space="0" w:color="000000"/>
              <w:right w:val="single" w:sz="4" w:space="0" w:color="000000"/>
            </w:tcBorders>
            <w:hideMark/>
          </w:tcPr>
          <w:p w14:paraId="6DD328B1" w14:textId="77777777" w:rsidR="00A41E60" w:rsidRPr="00D85E09" w:rsidRDefault="00A41E60" w:rsidP="0043316B">
            <w:pPr>
              <w:pStyle w:val="Tabletext"/>
              <w:keepNext w:val="0"/>
              <w:widowControl w:val="0"/>
              <w:rPr>
                <w:vertAlign w:val="subscript"/>
              </w:rPr>
            </w:pPr>
            <w:r w:rsidRPr="00D85E09">
              <w:rPr>
                <w:vertAlign w:val="subscript"/>
              </w:rPr>
              <w:softHyphen/>
            </w:r>
            <w:r w:rsidRPr="00D85E09">
              <w:rPr>
                <w:vertAlign w:val="subscript"/>
              </w:rPr>
              <w:softHyphen/>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CEE48" w14:textId="77777777" w:rsidR="00A41E60" w:rsidRPr="00D85E09" w:rsidRDefault="00A41E60" w:rsidP="0043316B">
            <w:pPr>
              <w:widowControl w:val="0"/>
              <w:spacing w:after="0" w:line="240" w:lineRule="auto"/>
              <w:rPr>
                <w:rFonts w:ascii="Arial Narrow" w:hAnsi="Arial Narrow" w:cs="Times New Roman"/>
                <w:sz w:val="20"/>
                <w:szCs w:val="20"/>
              </w:rPr>
            </w:pPr>
          </w:p>
        </w:tc>
      </w:tr>
    </w:tbl>
    <w:p w14:paraId="0F86300C" w14:textId="77777777" w:rsidR="00A41E60" w:rsidRPr="00D85E09" w:rsidRDefault="00A41E60" w:rsidP="0043316B">
      <w:pPr>
        <w:widowControl w:val="0"/>
      </w:pPr>
    </w:p>
    <w:p w14:paraId="29EDFED3" w14:textId="72939EC7" w:rsidR="00A41E60" w:rsidRPr="00D85E09" w:rsidRDefault="00A41E60" w:rsidP="0043316B">
      <w:pPr>
        <w:widowControl w:val="0"/>
      </w:pPr>
      <w:r w:rsidRPr="00D85E09">
        <w:t>No consideration for indirect / out-of-pocket costs are considered in the current model. From the societal perspective, this may significantly underestimate the value for money of mechanical thrombectomy. The presented cost-effectiveness evidence in Section D should hence be considered as conservative, biasing against mechanical thrombectomy.</w:t>
      </w:r>
    </w:p>
    <w:p w14:paraId="31639408" w14:textId="77777777" w:rsidR="00A41E60" w:rsidRPr="00D85E09" w:rsidRDefault="00A41E60" w:rsidP="0043316B">
      <w:pPr>
        <w:pStyle w:val="Heading2"/>
        <w:widowControl w:val="0"/>
        <w:rPr>
          <w:lang w:val="en-AU"/>
        </w:rPr>
      </w:pPr>
      <w:r w:rsidRPr="00D85E09">
        <w:rPr>
          <w:lang w:val="en-AU"/>
        </w:rPr>
        <w:t xml:space="preserve"> </w:t>
      </w:r>
      <w:bookmarkStart w:id="444" w:name="_Ref451421814"/>
      <w:bookmarkStart w:id="445" w:name="_Toc453065295"/>
      <w:r w:rsidRPr="00D85E09">
        <w:rPr>
          <w:lang w:val="en-AU"/>
        </w:rPr>
        <w:t>Risk of recurrent strokes</w:t>
      </w:r>
      <w:bookmarkEnd w:id="444"/>
      <w:bookmarkEnd w:id="445"/>
    </w:p>
    <w:p w14:paraId="5432C355" w14:textId="019977D1" w:rsidR="00A41E60" w:rsidRPr="00D85E09" w:rsidRDefault="00A41E60" w:rsidP="0043316B">
      <w:pPr>
        <w:widowControl w:val="0"/>
      </w:pPr>
      <w:r w:rsidRPr="00D85E09">
        <w:t>Extrapolation is an important element of the Section D model as much of the functional benefits offered by MT over usual care at Day 90 (i.e., demonstrated through RCT evidence) will persist into the future, and for many patients these functional benefits (and thus their QoL and cost implications) are permanent. From the perspective of a cost-effectiveness analysis of MT, this is particularly important to be accounted for because all costs are accrued at baseline, while the health and economic benefits are spread out over a long period.</w:t>
      </w:r>
    </w:p>
    <w:p w14:paraId="3A7C7835" w14:textId="143AF196" w:rsidR="00A41E60" w:rsidRPr="00D85E09" w:rsidRDefault="00A41E60" w:rsidP="0043316B">
      <w:pPr>
        <w:widowControl w:val="0"/>
      </w:pPr>
      <w:r w:rsidRPr="00D85E09">
        <w:t>In particular, the base case Section D model incorporates the risk of recurrent stroke over time to be</w:t>
      </w:r>
      <w:r w:rsidR="00902135" w:rsidRPr="00D85E09">
        <w:t>tter reflect the “real world”</w:t>
      </w:r>
      <w:r w:rsidRPr="00D85E09">
        <w:t xml:space="preserve"> prognosis for these patients – who having experienced stroke have an increased risk of subsequent stroke compared to someone who has never had a stroke. The following pre-modelling study identifies relevant data informing this process.</w:t>
      </w:r>
    </w:p>
    <w:p w14:paraId="541C6B69" w14:textId="77777777" w:rsidR="00A41E60" w:rsidRPr="00D85E09" w:rsidRDefault="00A41E60" w:rsidP="0043316B">
      <w:pPr>
        <w:pStyle w:val="Heading3"/>
        <w:keepNext w:val="0"/>
        <w:widowControl w:val="0"/>
        <w:rPr>
          <w:lang w:val="en-AU"/>
        </w:rPr>
      </w:pPr>
      <w:bookmarkStart w:id="446" w:name="_Toc453065296"/>
      <w:r w:rsidRPr="00D85E09">
        <w:rPr>
          <w:lang w:val="en-AU"/>
        </w:rPr>
        <w:t>Focused analytical plan</w:t>
      </w:r>
      <w:bookmarkEnd w:id="446"/>
    </w:p>
    <w:p w14:paraId="61517309" w14:textId="393D2331" w:rsidR="00C13682" w:rsidRDefault="00A41E60" w:rsidP="0043316B">
      <w:pPr>
        <w:widowControl w:val="0"/>
      </w:pPr>
      <w:r w:rsidRPr="00D85E09">
        <w:t>A Pub</w:t>
      </w:r>
      <w:r w:rsidR="00F67AF7" w:rsidRPr="00D85E09">
        <w:t>M</w:t>
      </w:r>
      <w:r w:rsidRPr="00D85E09">
        <w:t>ed literature search was performed on the 15</w:t>
      </w:r>
      <w:r w:rsidRPr="00D85E09">
        <w:rPr>
          <w:vertAlign w:val="superscript"/>
        </w:rPr>
        <w:t>th</w:t>
      </w:r>
      <w:r w:rsidRPr="00D85E09">
        <w:t xml:space="preserve"> of April with the following search string; </w:t>
      </w:r>
      <w:r w:rsidRPr="00D85E09">
        <w:rPr>
          <w:i/>
        </w:rPr>
        <w:t>Australia* AND (Recurren* AND (Stroke AND Ischaemic))</w:t>
      </w:r>
      <w:r w:rsidRPr="00D85E09">
        <w:t>; returning 95 citations. Only non-interventional observational studies (unless mechanical thrombectomy and/or usual care including IV</w:t>
      </w:r>
      <w:r w:rsidR="00D32933" w:rsidRPr="00D85E09">
        <w:t>-</w:t>
      </w:r>
      <w:r w:rsidRPr="00D85E09">
        <w:t>tPA were studied interventions) performed in Australia are considered for inclusion. In addition, an ad-hoc search is also performed to supplement the Pub</w:t>
      </w:r>
      <w:r w:rsidR="00F67AF7" w:rsidRPr="00D85E09">
        <w:t>M</w:t>
      </w:r>
      <w:r w:rsidRPr="00D85E09">
        <w:t xml:space="preserve">ed search. In total, three Australian cohort data were identified; two reporting on the Perth Community Stroke Study (Hardie et al 2004, Hardie et al 2005) and another study based on a Western Australia data linkage study (Lee et al 2004). In addition, a </w:t>
      </w:r>
      <w:r w:rsidRPr="00D85E09">
        <w:lastRenderedPageBreak/>
        <w:t>systematic review / meta-analysis by Mohan et al (2011) is also identified.</w:t>
      </w:r>
      <w:r w:rsidR="00C13682">
        <w:br w:type="page"/>
      </w:r>
    </w:p>
    <w:p w14:paraId="0CB6FC96" w14:textId="1758E8BC" w:rsidR="00A41E60" w:rsidRPr="00D85E09" w:rsidRDefault="00A41E60" w:rsidP="0043316B">
      <w:pPr>
        <w:pStyle w:val="Caption"/>
        <w:keepNext w:val="0"/>
        <w:widowControl w:val="0"/>
        <w:rPr>
          <w:lang w:val="en-AU"/>
        </w:rPr>
      </w:pPr>
      <w:bookmarkStart w:id="447" w:name="_Toc453065402"/>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66</w:t>
      </w:r>
      <w:r w:rsidRPr="00D85E09">
        <w:rPr>
          <w:lang w:val="en-AU"/>
        </w:rPr>
        <w:fldChar w:fldCharType="end"/>
      </w:r>
      <w:r w:rsidRPr="00D85E09">
        <w:rPr>
          <w:lang w:val="en-AU"/>
        </w:rPr>
        <w:tab/>
        <w:t>Publications reporting risk of recurrent stroke; included for further consideration in the current pre-modelling study</w:t>
      </w:r>
      <w:bookmarkEnd w:id="447"/>
    </w:p>
    <w:tbl>
      <w:tblPr>
        <w:tblStyle w:val="TableGrid"/>
        <w:tblW w:w="0" w:type="auto"/>
        <w:tblLook w:val="04A0" w:firstRow="1" w:lastRow="0" w:firstColumn="1" w:lastColumn="0" w:noHBand="0" w:noVBand="1"/>
        <w:tblDescription w:val="Table 66 Publications reporting risk of recurrent stroke; included for further consideration in the current pre-modelling study"/>
      </w:tblPr>
      <w:tblGrid>
        <w:gridCol w:w="8778"/>
      </w:tblGrid>
      <w:tr w:rsidR="00A41E60" w:rsidRPr="00D85E09" w14:paraId="461D3F40"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hideMark/>
          </w:tcPr>
          <w:p w14:paraId="6304B193" w14:textId="77777777" w:rsidR="00A41E60" w:rsidRPr="00D85E09" w:rsidRDefault="00A41E60" w:rsidP="0043316B">
            <w:pPr>
              <w:pStyle w:val="Tabletext"/>
              <w:keepNext w:val="0"/>
              <w:widowControl w:val="0"/>
            </w:pPr>
            <w:r w:rsidRPr="00D85E09">
              <w:t>Mohan KM, Wolfe CD, Rudd AG, Heuschmann PU, Kolominsky-Rabas PL, Grieve AP. Risk and cumulative risk of stroke recurrence: a systematic review and meta-analysis. Stroke. 2011 May;42(5):1489-94.</w:t>
            </w:r>
          </w:p>
        </w:tc>
      </w:tr>
      <w:tr w:rsidR="00A41E60" w:rsidRPr="00D85E09" w14:paraId="6C9386BB"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B1054D6" w14:textId="5465CCA7" w:rsidR="00A41E60" w:rsidRPr="00D85E09" w:rsidRDefault="00A41E60" w:rsidP="0043316B">
            <w:pPr>
              <w:pStyle w:val="Tabletext"/>
              <w:keepNext w:val="0"/>
              <w:widowControl w:val="0"/>
            </w:pPr>
            <w:r w:rsidRPr="00D85E09">
              <w:t xml:space="preserve">Hardie, K, Jamrozik, K, Hankey, GJ, Broadhurst, RJ and Anderson, C (2005) Trends in five-year survival and risk of recurrent stroke after first-ever stroke in the Perth </w:t>
            </w:r>
            <w:r w:rsidR="00F67AF7" w:rsidRPr="00D85E09">
              <w:t>C</w:t>
            </w:r>
            <w:r w:rsidRPr="00D85E09">
              <w:t xml:space="preserve">ommunity </w:t>
            </w:r>
            <w:r w:rsidR="00F67AF7" w:rsidRPr="00D85E09">
              <w:t>S</w:t>
            </w:r>
            <w:r w:rsidRPr="00D85E09">
              <w:t xml:space="preserve">troke </w:t>
            </w:r>
            <w:r w:rsidR="00F67AF7" w:rsidRPr="00D85E09">
              <w:t>S</w:t>
            </w:r>
            <w:r w:rsidRPr="00D85E09">
              <w:t>tudy. Cerebrovascular Diseases, 19 3: 179-185.</w:t>
            </w:r>
          </w:p>
        </w:tc>
      </w:tr>
      <w:tr w:rsidR="00A41E60" w:rsidRPr="00D85E09" w14:paraId="3320FA27"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72A4B0D6" w14:textId="77777777" w:rsidR="00A41E60" w:rsidRPr="00D85E09" w:rsidRDefault="00A41E60" w:rsidP="0043316B">
            <w:pPr>
              <w:pStyle w:val="Tabletext"/>
              <w:keepNext w:val="0"/>
              <w:widowControl w:val="0"/>
            </w:pPr>
            <w:r w:rsidRPr="00D85E09">
              <w:t>Hardie K, Hankey GJ, Jamrozik K, Broadhurst RJ, Anderson C. Ten-year risk of first recurrent stroke and disability after first-ever stroke in the Perth Community Stroke Study. Stroke. 2004 Mar;35(3):731-5.</w:t>
            </w:r>
          </w:p>
        </w:tc>
      </w:tr>
      <w:tr w:rsidR="00A41E60" w:rsidRPr="00D85E09" w14:paraId="3A249920"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1329801D" w14:textId="77777777" w:rsidR="00A41E60" w:rsidRPr="00D85E09" w:rsidRDefault="00A41E60" w:rsidP="0043316B">
            <w:pPr>
              <w:pStyle w:val="Tabletext"/>
              <w:keepNext w:val="0"/>
              <w:widowControl w:val="0"/>
            </w:pPr>
            <w:r w:rsidRPr="00D85E09">
              <w:t xml:space="preserve">Lee AH, Somerford PJ, Yau KK. Risk factors for ischaemic stroke recurrence after hospitalisation. Med J Aust. 2004 Sep 6;181(5):244-6. </w:t>
            </w:r>
          </w:p>
        </w:tc>
      </w:tr>
    </w:tbl>
    <w:p w14:paraId="29132A22" w14:textId="77777777" w:rsidR="00A41E60" w:rsidRPr="00D85E09" w:rsidRDefault="00A41E60" w:rsidP="0043316B">
      <w:pPr>
        <w:widowControl w:val="0"/>
      </w:pPr>
    </w:p>
    <w:p w14:paraId="5F441518" w14:textId="77777777" w:rsidR="00A41E60" w:rsidRPr="00D85E09" w:rsidRDefault="00A41E60" w:rsidP="0043316B">
      <w:pPr>
        <w:pStyle w:val="Heading3"/>
        <w:keepNext w:val="0"/>
        <w:widowControl w:val="0"/>
        <w:rPr>
          <w:lang w:val="en-AU"/>
        </w:rPr>
      </w:pPr>
      <w:bookmarkStart w:id="448" w:name="_Toc453065297"/>
      <w:r w:rsidRPr="00D85E09">
        <w:rPr>
          <w:lang w:val="en-AU"/>
        </w:rPr>
        <w:t>Results of the pre-modelling study</w:t>
      </w:r>
      <w:bookmarkEnd w:id="448"/>
    </w:p>
    <w:p w14:paraId="51EA2324" w14:textId="21A581DB" w:rsidR="00A41E60" w:rsidRPr="00D85E09" w:rsidRDefault="00A41E60" w:rsidP="0043316B">
      <w:pPr>
        <w:widowControl w:val="0"/>
      </w:pPr>
      <w:r w:rsidRPr="00D85E09">
        <w:t xml:space="preserve">Mohan et al (2011) performed a systematic review which included a total of 13 studies reporting cumulative risk of stroke recurrence in 9115 survivors, as summarised in </w:t>
      </w:r>
      <w:r w:rsidRPr="00D85E09">
        <w:fldChar w:fldCharType="begin"/>
      </w:r>
      <w:r w:rsidRPr="00D85E09">
        <w:instrText xml:space="preserve"> REF _Ref448739104 \h </w:instrText>
      </w:r>
      <w:r w:rsidRPr="00D85E09">
        <w:fldChar w:fldCharType="separate"/>
      </w:r>
      <w:r w:rsidR="00A456ED" w:rsidRPr="00D85E09">
        <w:t xml:space="preserve">Table </w:t>
      </w:r>
      <w:r w:rsidR="00A456ED">
        <w:rPr>
          <w:noProof/>
        </w:rPr>
        <w:t>67</w:t>
      </w:r>
      <w:r w:rsidRPr="00D85E09">
        <w:fldChar w:fldCharType="end"/>
      </w:r>
      <w:r w:rsidRPr="00D85E09">
        <w:t xml:space="preserve"> below. The pooled cumulative risk of stroke recurrence was: 3.1% (95% CI, 1.7– 4.4) at 30 days; 11.1% (95% CI, 9.0 –13.3) at 1 year; 26.4% (95% CI, 20.1–32.8) at 5 years; and 39.2% (95% CI, 27.2–51.2) at 10 years after initial stroke.</w:t>
      </w:r>
    </w:p>
    <w:p w14:paraId="1E530BB9" w14:textId="0EB0B5B7" w:rsidR="00A41E60" w:rsidRPr="00D85E09" w:rsidRDefault="00A41E60" w:rsidP="0043316B">
      <w:pPr>
        <w:pStyle w:val="Caption"/>
        <w:keepNext w:val="0"/>
        <w:widowControl w:val="0"/>
        <w:rPr>
          <w:lang w:val="en-AU"/>
        </w:rPr>
      </w:pPr>
      <w:bookmarkStart w:id="449" w:name="_Ref448739104"/>
      <w:bookmarkStart w:id="450" w:name="_Toc45306540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67</w:t>
      </w:r>
      <w:r w:rsidRPr="00D85E09">
        <w:rPr>
          <w:lang w:val="en-AU"/>
        </w:rPr>
        <w:fldChar w:fldCharType="end"/>
      </w:r>
      <w:bookmarkEnd w:id="449"/>
      <w:r w:rsidRPr="00D85E09">
        <w:rPr>
          <w:lang w:val="en-AU"/>
        </w:rPr>
        <w:tab/>
        <w:t>Cumulative risk of stroke recurrence by study</w:t>
      </w:r>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67 Cumulative risk of stroke recurrence by study"/>
      </w:tblPr>
      <w:tblGrid>
        <w:gridCol w:w="1939"/>
        <w:gridCol w:w="966"/>
        <w:gridCol w:w="1259"/>
        <w:gridCol w:w="679"/>
        <w:gridCol w:w="994"/>
        <w:gridCol w:w="965"/>
        <w:gridCol w:w="1104"/>
        <w:gridCol w:w="1098"/>
      </w:tblGrid>
      <w:tr w:rsidR="00A41E60" w:rsidRPr="00D85E09" w14:paraId="79696923" w14:textId="77777777" w:rsidTr="00A41E60">
        <w:trPr>
          <w:trHeight w:val="329"/>
        </w:trPr>
        <w:tc>
          <w:tcPr>
            <w:tcW w:w="886" w:type="pct"/>
            <w:vMerge w:val="restart"/>
            <w:tcBorders>
              <w:top w:val="single" w:sz="4" w:space="0" w:color="auto"/>
              <w:left w:val="single" w:sz="4" w:space="0" w:color="auto"/>
              <w:bottom w:val="single" w:sz="4" w:space="0" w:color="auto"/>
              <w:right w:val="single" w:sz="4" w:space="0" w:color="auto"/>
            </w:tcBorders>
            <w:noWrap/>
            <w:vAlign w:val="center"/>
            <w:hideMark/>
          </w:tcPr>
          <w:p w14:paraId="72F58468" w14:textId="77777777" w:rsidR="00A41E60" w:rsidRPr="00D85E09" w:rsidRDefault="00A41E60" w:rsidP="0043316B">
            <w:pPr>
              <w:pStyle w:val="Tabletext"/>
              <w:keepNext w:val="0"/>
              <w:widowControl w:val="0"/>
              <w:rPr>
                <w:b/>
              </w:rPr>
            </w:pPr>
            <w:r w:rsidRPr="00D85E09">
              <w:rPr>
                <w:b/>
              </w:rPr>
              <w:t>Authors</w:t>
            </w:r>
          </w:p>
        </w:tc>
        <w:tc>
          <w:tcPr>
            <w:tcW w:w="564" w:type="pct"/>
            <w:vMerge w:val="restart"/>
            <w:tcBorders>
              <w:top w:val="single" w:sz="4" w:space="0" w:color="auto"/>
              <w:left w:val="single" w:sz="4" w:space="0" w:color="auto"/>
              <w:bottom w:val="single" w:sz="4" w:space="0" w:color="auto"/>
              <w:right w:val="single" w:sz="4" w:space="0" w:color="auto"/>
            </w:tcBorders>
            <w:noWrap/>
            <w:vAlign w:val="center"/>
            <w:hideMark/>
          </w:tcPr>
          <w:p w14:paraId="4FE57F91" w14:textId="77777777" w:rsidR="00A41E60" w:rsidRPr="00D85E09" w:rsidRDefault="00A41E60" w:rsidP="0043316B">
            <w:pPr>
              <w:pStyle w:val="Tabletext"/>
              <w:keepNext w:val="0"/>
              <w:widowControl w:val="0"/>
              <w:jc w:val="center"/>
              <w:rPr>
                <w:b/>
              </w:rPr>
            </w:pPr>
            <w:r w:rsidRPr="00D85E09">
              <w:rPr>
                <w:b/>
              </w:rPr>
              <w:t>Country</w:t>
            </w:r>
          </w:p>
        </w:tc>
        <w:tc>
          <w:tcPr>
            <w:tcW w:w="727" w:type="pct"/>
            <w:vMerge w:val="restart"/>
            <w:tcBorders>
              <w:top w:val="single" w:sz="4" w:space="0" w:color="auto"/>
              <w:left w:val="single" w:sz="4" w:space="0" w:color="auto"/>
              <w:bottom w:val="single" w:sz="4" w:space="0" w:color="auto"/>
              <w:right w:val="single" w:sz="4" w:space="0" w:color="auto"/>
            </w:tcBorders>
            <w:noWrap/>
            <w:vAlign w:val="center"/>
            <w:hideMark/>
          </w:tcPr>
          <w:p w14:paraId="325BCC32" w14:textId="77777777" w:rsidR="00A41E60" w:rsidRPr="00D85E09" w:rsidRDefault="00A41E60" w:rsidP="0043316B">
            <w:pPr>
              <w:pStyle w:val="Tabletext"/>
              <w:keepNext w:val="0"/>
              <w:widowControl w:val="0"/>
              <w:jc w:val="center"/>
              <w:rPr>
                <w:b/>
              </w:rPr>
            </w:pPr>
            <w:r w:rsidRPr="00D85E09">
              <w:rPr>
                <w:b/>
              </w:rPr>
              <w:t>Initial period</w:t>
            </w:r>
          </w:p>
        </w:tc>
        <w:tc>
          <w:tcPr>
            <w:tcW w:w="404" w:type="pct"/>
            <w:vMerge w:val="restart"/>
            <w:tcBorders>
              <w:top w:val="single" w:sz="4" w:space="0" w:color="auto"/>
              <w:left w:val="single" w:sz="4" w:space="0" w:color="auto"/>
              <w:bottom w:val="single" w:sz="4" w:space="0" w:color="auto"/>
              <w:right w:val="single" w:sz="4" w:space="0" w:color="auto"/>
            </w:tcBorders>
            <w:noWrap/>
            <w:vAlign w:val="center"/>
            <w:hideMark/>
          </w:tcPr>
          <w:p w14:paraId="06B570EF" w14:textId="77777777" w:rsidR="00A41E60" w:rsidRPr="00D85E09" w:rsidRDefault="00A41E60" w:rsidP="0043316B">
            <w:pPr>
              <w:pStyle w:val="Tabletext"/>
              <w:keepNext w:val="0"/>
              <w:widowControl w:val="0"/>
              <w:jc w:val="center"/>
              <w:rPr>
                <w:b/>
              </w:rPr>
            </w:pPr>
            <w:r w:rsidRPr="00D85E09">
              <w:rPr>
                <w:b/>
              </w:rPr>
              <w:t>n</w:t>
            </w:r>
          </w:p>
        </w:tc>
        <w:tc>
          <w:tcPr>
            <w:tcW w:w="2419" w:type="pct"/>
            <w:gridSpan w:val="4"/>
            <w:tcBorders>
              <w:top w:val="single" w:sz="4" w:space="0" w:color="auto"/>
              <w:left w:val="single" w:sz="4" w:space="0" w:color="auto"/>
              <w:bottom w:val="single" w:sz="4" w:space="0" w:color="auto"/>
              <w:right w:val="single" w:sz="4" w:space="0" w:color="auto"/>
            </w:tcBorders>
            <w:noWrap/>
            <w:vAlign w:val="bottom"/>
            <w:hideMark/>
          </w:tcPr>
          <w:p w14:paraId="79BA4156" w14:textId="77777777" w:rsidR="00A41E60" w:rsidRPr="00D85E09" w:rsidRDefault="00A41E60" w:rsidP="0043316B">
            <w:pPr>
              <w:pStyle w:val="Tabletext"/>
              <w:keepNext w:val="0"/>
              <w:widowControl w:val="0"/>
              <w:jc w:val="center"/>
              <w:rPr>
                <w:b/>
              </w:rPr>
            </w:pPr>
            <w:r w:rsidRPr="00D85E09">
              <w:rPr>
                <w:b/>
              </w:rPr>
              <w:t>Cumulative stroke recurrence risk (%)</w:t>
            </w:r>
          </w:p>
        </w:tc>
      </w:tr>
      <w:tr w:rsidR="00A41E60" w:rsidRPr="00D85E09" w14:paraId="1256017D" w14:textId="77777777" w:rsidTr="00A41E60">
        <w:trPr>
          <w:trHeight w:val="3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36F4E"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1EC76"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93EA3"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4CFE8"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579" w:type="pct"/>
            <w:tcBorders>
              <w:top w:val="single" w:sz="4" w:space="0" w:color="auto"/>
              <w:left w:val="single" w:sz="4" w:space="0" w:color="auto"/>
              <w:bottom w:val="single" w:sz="4" w:space="0" w:color="auto"/>
              <w:right w:val="single" w:sz="4" w:space="0" w:color="auto"/>
            </w:tcBorders>
            <w:noWrap/>
            <w:vAlign w:val="bottom"/>
            <w:hideMark/>
          </w:tcPr>
          <w:p w14:paraId="0CE89ED9" w14:textId="77777777" w:rsidR="00A41E60" w:rsidRPr="00D85E09" w:rsidRDefault="00A41E60" w:rsidP="0043316B">
            <w:pPr>
              <w:pStyle w:val="Tabletext"/>
              <w:keepNext w:val="0"/>
              <w:widowControl w:val="0"/>
              <w:jc w:val="center"/>
              <w:rPr>
                <w:b/>
              </w:rPr>
            </w:pPr>
            <w:r w:rsidRPr="00D85E09">
              <w:rPr>
                <w:b/>
              </w:rPr>
              <w:t>30 day</w:t>
            </w:r>
          </w:p>
        </w:tc>
        <w:tc>
          <w:tcPr>
            <w:tcW w:w="563" w:type="pct"/>
            <w:tcBorders>
              <w:top w:val="single" w:sz="4" w:space="0" w:color="auto"/>
              <w:left w:val="single" w:sz="4" w:space="0" w:color="auto"/>
              <w:bottom w:val="single" w:sz="4" w:space="0" w:color="auto"/>
              <w:right w:val="single" w:sz="4" w:space="0" w:color="auto"/>
            </w:tcBorders>
            <w:noWrap/>
            <w:vAlign w:val="bottom"/>
            <w:hideMark/>
          </w:tcPr>
          <w:p w14:paraId="53229AB6" w14:textId="77777777" w:rsidR="00A41E60" w:rsidRPr="00D85E09" w:rsidRDefault="00A41E60" w:rsidP="0043316B">
            <w:pPr>
              <w:pStyle w:val="Tabletext"/>
              <w:keepNext w:val="0"/>
              <w:widowControl w:val="0"/>
              <w:jc w:val="center"/>
              <w:rPr>
                <w:b/>
              </w:rPr>
            </w:pPr>
            <w:r w:rsidRPr="00D85E09">
              <w:rPr>
                <w:b/>
              </w:rPr>
              <w:t>1 year</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71961493" w14:textId="77777777" w:rsidR="00A41E60" w:rsidRPr="00D85E09" w:rsidRDefault="00A41E60" w:rsidP="0043316B">
            <w:pPr>
              <w:pStyle w:val="Tabletext"/>
              <w:keepNext w:val="0"/>
              <w:widowControl w:val="0"/>
              <w:jc w:val="center"/>
              <w:rPr>
                <w:b/>
              </w:rPr>
            </w:pPr>
            <w:r w:rsidRPr="00D85E09">
              <w:rPr>
                <w:b/>
              </w:rPr>
              <w:t>5 year</w:t>
            </w:r>
          </w:p>
        </w:tc>
        <w:tc>
          <w:tcPr>
            <w:tcW w:w="637" w:type="pct"/>
            <w:tcBorders>
              <w:top w:val="single" w:sz="4" w:space="0" w:color="auto"/>
              <w:left w:val="single" w:sz="4" w:space="0" w:color="auto"/>
              <w:bottom w:val="single" w:sz="4" w:space="0" w:color="auto"/>
              <w:right w:val="single" w:sz="4" w:space="0" w:color="auto"/>
            </w:tcBorders>
            <w:noWrap/>
            <w:vAlign w:val="bottom"/>
            <w:hideMark/>
          </w:tcPr>
          <w:p w14:paraId="25A05127" w14:textId="77777777" w:rsidR="00A41E60" w:rsidRPr="00D85E09" w:rsidRDefault="00A41E60" w:rsidP="0043316B">
            <w:pPr>
              <w:pStyle w:val="Tabletext"/>
              <w:keepNext w:val="0"/>
              <w:widowControl w:val="0"/>
              <w:jc w:val="center"/>
              <w:rPr>
                <w:b/>
              </w:rPr>
            </w:pPr>
            <w:r w:rsidRPr="00D85E09">
              <w:rPr>
                <w:b/>
              </w:rPr>
              <w:t>10 year</w:t>
            </w:r>
          </w:p>
        </w:tc>
      </w:tr>
      <w:tr w:rsidR="00A41E60" w:rsidRPr="00D85E09" w14:paraId="1CE1F558"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0883D45B" w14:textId="77777777" w:rsidR="00A41E60" w:rsidRPr="00D85E09" w:rsidRDefault="00A41E60" w:rsidP="0043316B">
            <w:pPr>
              <w:pStyle w:val="Tabletext"/>
              <w:keepNext w:val="0"/>
              <w:widowControl w:val="0"/>
            </w:pPr>
            <w:r w:rsidRPr="00D85E09">
              <w:t>Hata et al</w:t>
            </w:r>
          </w:p>
        </w:tc>
        <w:tc>
          <w:tcPr>
            <w:tcW w:w="564" w:type="pct"/>
            <w:tcBorders>
              <w:top w:val="single" w:sz="4" w:space="0" w:color="auto"/>
              <w:left w:val="single" w:sz="4" w:space="0" w:color="auto"/>
              <w:bottom w:val="single" w:sz="4" w:space="0" w:color="auto"/>
              <w:right w:val="single" w:sz="4" w:space="0" w:color="auto"/>
            </w:tcBorders>
            <w:noWrap/>
            <w:hideMark/>
          </w:tcPr>
          <w:p w14:paraId="44766686" w14:textId="77777777" w:rsidR="00A41E60" w:rsidRPr="00D85E09" w:rsidRDefault="00A41E60" w:rsidP="0043316B">
            <w:pPr>
              <w:pStyle w:val="Tabletext"/>
              <w:keepNext w:val="0"/>
              <w:widowControl w:val="0"/>
            </w:pPr>
            <w:r w:rsidRPr="00D85E09">
              <w:t>Japan</w:t>
            </w:r>
          </w:p>
        </w:tc>
        <w:tc>
          <w:tcPr>
            <w:tcW w:w="727" w:type="pct"/>
            <w:tcBorders>
              <w:top w:val="single" w:sz="4" w:space="0" w:color="auto"/>
              <w:left w:val="single" w:sz="4" w:space="0" w:color="auto"/>
              <w:bottom w:val="single" w:sz="4" w:space="0" w:color="auto"/>
              <w:right w:val="single" w:sz="4" w:space="0" w:color="auto"/>
            </w:tcBorders>
            <w:noWrap/>
            <w:hideMark/>
          </w:tcPr>
          <w:p w14:paraId="0D47F6C1" w14:textId="77777777" w:rsidR="00A41E60" w:rsidRPr="00D85E09" w:rsidRDefault="00A41E60" w:rsidP="0043316B">
            <w:pPr>
              <w:pStyle w:val="Tabletext"/>
              <w:keepNext w:val="0"/>
              <w:widowControl w:val="0"/>
            </w:pPr>
            <w:r w:rsidRPr="00D85E09">
              <w:t>1961–1993</w:t>
            </w:r>
          </w:p>
        </w:tc>
        <w:tc>
          <w:tcPr>
            <w:tcW w:w="404" w:type="pct"/>
            <w:tcBorders>
              <w:top w:val="single" w:sz="4" w:space="0" w:color="auto"/>
              <w:left w:val="single" w:sz="4" w:space="0" w:color="auto"/>
              <w:bottom w:val="single" w:sz="4" w:space="0" w:color="auto"/>
              <w:right w:val="single" w:sz="4" w:space="0" w:color="auto"/>
            </w:tcBorders>
            <w:noWrap/>
            <w:hideMark/>
          </w:tcPr>
          <w:p w14:paraId="1CD1F5F3" w14:textId="77777777" w:rsidR="00A41E60" w:rsidRPr="00D85E09" w:rsidRDefault="00A41E60" w:rsidP="0043316B">
            <w:pPr>
              <w:pStyle w:val="Tabletext"/>
              <w:keepNext w:val="0"/>
              <w:widowControl w:val="0"/>
              <w:jc w:val="center"/>
            </w:pPr>
            <w:r w:rsidRPr="00D85E09">
              <w:t>410</w:t>
            </w:r>
          </w:p>
        </w:tc>
        <w:tc>
          <w:tcPr>
            <w:tcW w:w="579" w:type="pct"/>
            <w:tcBorders>
              <w:top w:val="single" w:sz="4" w:space="0" w:color="auto"/>
              <w:left w:val="single" w:sz="4" w:space="0" w:color="auto"/>
              <w:bottom w:val="single" w:sz="4" w:space="0" w:color="auto"/>
              <w:right w:val="single" w:sz="4" w:space="0" w:color="auto"/>
            </w:tcBorders>
            <w:noWrap/>
            <w:hideMark/>
          </w:tcPr>
          <w:p w14:paraId="3DD528B8" w14:textId="77777777" w:rsidR="00A41E60" w:rsidRPr="00D85E09" w:rsidRDefault="00A41E60" w:rsidP="0043316B">
            <w:pPr>
              <w:pStyle w:val="Tabletext"/>
              <w:keepNext w:val="0"/>
              <w:widowControl w:val="0"/>
              <w:jc w:val="center"/>
            </w:pPr>
            <w:r w:rsidRPr="00D85E09">
              <w:t>.</w:t>
            </w:r>
          </w:p>
        </w:tc>
        <w:tc>
          <w:tcPr>
            <w:tcW w:w="563" w:type="pct"/>
            <w:tcBorders>
              <w:top w:val="single" w:sz="4" w:space="0" w:color="auto"/>
              <w:left w:val="single" w:sz="4" w:space="0" w:color="auto"/>
              <w:bottom w:val="single" w:sz="4" w:space="0" w:color="auto"/>
              <w:right w:val="single" w:sz="4" w:space="0" w:color="auto"/>
            </w:tcBorders>
            <w:noWrap/>
            <w:hideMark/>
          </w:tcPr>
          <w:p w14:paraId="3587F296" w14:textId="77777777" w:rsidR="00A41E60" w:rsidRPr="00D85E09" w:rsidRDefault="00A41E60" w:rsidP="0043316B">
            <w:pPr>
              <w:pStyle w:val="Tabletext"/>
              <w:keepNext w:val="0"/>
              <w:widowControl w:val="0"/>
              <w:jc w:val="center"/>
            </w:pPr>
            <w:r w:rsidRPr="00D85E09">
              <w:t>12.8</w:t>
            </w:r>
          </w:p>
        </w:tc>
        <w:tc>
          <w:tcPr>
            <w:tcW w:w="640" w:type="pct"/>
            <w:tcBorders>
              <w:top w:val="single" w:sz="4" w:space="0" w:color="auto"/>
              <w:left w:val="single" w:sz="4" w:space="0" w:color="auto"/>
              <w:bottom w:val="single" w:sz="4" w:space="0" w:color="auto"/>
              <w:right w:val="single" w:sz="4" w:space="0" w:color="auto"/>
            </w:tcBorders>
            <w:noWrap/>
            <w:hideMark/>
          </w:tcPr>
          <w:p w14:paraId="3B7232DE" w14:textId="77777777" w:rsidR="00A41E60" w:rsidRPr="00D85E09" w:rsidRDefault="00A41E60" w:rsidP="0043316B">
            <w:pPr>
              <w:pStyle w:val="Tabletext"/>
              <w:keepNext w:val="0"/>
              <w:widowControl w:val="0"/>
              <w:jc w:val="center"/>
            </w:pPr>
            <w:r w:rsidRPr="00D85E09">
              <w:t>35.3</w:t>
            </w:r>
          </w:p>
        </w:tc>
        <w:tc>
          <w:tcPr>
            <w:tcW w:w="637" w:type="pct"/>
            <w:tcBorders>
              <w:top w:val="single" w:sz="4" w:space="0" w:color="auto"/>
              <w:left w:val="single" w:sz="4" w:space="0" w:color="auto"/>
              <w:bottom w:val="single" w:sz="4" w:space="0" w:color="auto"/>
              <w:right w:val="single" w:sz="4" w:space="0" w:color="auto"/>
            </w:tcBorders>
            <w:noWrap/>
            <w:hideMark/>
          </w:tcPr>
          <w:p w14:paraId="27164857" w14:textId="77777777" w:rsidR="00A41E60" w:rsidRPr="00D85E09" w:rsidRDefault="00A41E60" w:rsidP="0043316B">
            <w:pPr>
              <w:pStyle w:val="Tabletext"/>
              <w:keepNext w:val="0"/>
              <w:widowControl w:val="0"/>
              <w:jc w:val="center"/>
            </w:pPr>
            <w:r w:rsidRPr="00D85E09">
              <w:t>51.3</w:t>
            </w:r>
          </w:p>
        </w:tc>
      </w:tr>
      <w:tr w:rsidR="00A41E60" w:rsidRPr="00D85E09" w14:paraId="2266FB19" w14:textId="77777777" w:rsidTr="00A41E60">
        <w:trPr>
          <w:trHeight w:val="329"/>
        </w:trPr>
        <w:tc>
          <w:tcPr>
            <w:tcW w:w="886" w:type="pct"/>
            <w:tcBorders>
              <w:top w:val="single" w:sz="4" w:space="0" w:color="auto"/>
              <w:left w:val="single" w:sz="4" w:space="0" w:color="auto"/>
              <w:bottom w:val="single" w:sz="4" w:space="0" w:color="auto"/>
              <w:right w:val="single" w:sz="4" w:space="0" w:color="auto"/>
            </w:tcBorders>
            <w:noWrap/>
            <w:hideMark/>
          </w:tcPr>
          <w:p w14:paraId="238DEC3D" w14:textId="77777777" w:rsidR="00A41E60" w:rsidRPr="00D85E09" w:rsidRDefault="00A41E60" w:rsidP="0043316B">
            <w:pPr>
              <w:pStyle w:val="Tabletext"/>
              <w:keepNext w:val="0"/>
              <w:widowControl w:val="0"/>
            </w:pPr>
            <w:r w:rsidRPr="00D85E09">
              <w:t>Petty et al</w:t>
            </w:r>
          </w:p>
        </w:tc>
        <w:tc>
          <w:tcPr>
            <w:tcW w:w="564" w:type="pct"/>
            <w:tcBorders>
              <w:top w:val="single" w:sz="4" w:space="0" w:color="auto"/>
              <w:left w:val="single" w:sz="4" w:space="0" w:color="auto"/>
              <w:bottom w:val="single" w:sz="4" w:space="0" w:color="auto"/>
              <w:right w:val="single" w:sz="4" w:space="0" w:color="auto"/>
            </w:tcBorders>
            <w:noWrap/>
            <w:hideMark/>
          </w:tcPr>
          <w:p w14:paraId="16ACADA4" w14:textId="77777777" w:rsidR="00A41E60" w:rsidRPr="00D85E09" w:rsidRDefault="00A41E60" w:rsidP="0043316B">
            <w:pPr>
              <w:pStyle w:val="Tabletext"/>
              <w:keepNext w:val="0"/>
              <w:widowControl w:val="0"/>
            </w:pPr>
            <w:r w:rsidRPr="00D85E09">
              <w:t>USA</w:t>
            </w:r>
          </w:p>
        </w:tc>
        <w:tc>
          <w:tcPr>
            <w:tcW w:w="727" w:type="pct"/>
            <w:tcBorders>
              <w:top w:val="single" w:sz="4" w:space="0" w:color="auto"/>
              <w:left w:val="single" w:sz="4" w:space="0" w:color="auto"/>
              <w:bottom w:val="single" w:sz="4" w:space="0" w:color="auto"/>
              <w:right w:val="single" w:sz="4" w:space="0" w:color="auto"/>
            </w:tcBorders>
            <w:noWrap/>
            <w:hideMark/>
          </w:tcPr>
          <w:p w14:paraId="798E1902" w14:textId="77777777" w:rsidR="00A41E60" w:rsidRPr="00D85E09" w:rsidRDefault="00A41E60" w:rsidP="0043316B">
            <w:pPr>
              <w:pStyle w:val="Tabletext"/>
              <w:keepNext w:val="0"/>
              <w:widowControl w:val="0"/>
            </w:pPr>
            <w:r w:rsidRPr="00D85E09">
              <w:t>1975–1989</w:t>
            </w:r>
          </w:p>
        </w:tc>
        <w:tc>
          <w:tcPr>
            <w:tcW w:w="404" w:type="pct"/>
            <w:tcBorders>
              <w:top w:val="single" w:sz="4" w:space="0" w:color="auto"/>
              <w:left w:val="single" w:sz="4" w:space="0" w:color="auto"/>
              <w:bottom w:val="single" w:sz="4" w:space="0" w:color="auto"/>
              <w:right w:val="single" w:sz="4" w:space="0" w:color="auto"/>
            </w:tcBorders>
            <w:noWrap/>
            <w:hideMark/>
          </w:tcPr>
          <w:p w14:paraId="5B6256EA" w14:textId="77777777" w:rsidR="00A41E60" w:rsidRPr="00D85E09" w:rsidRDefault="00A41E60" w:rsidP="0043316B">
            <w:pPr>
              <w:pStyle w:val="Tabletext"/>
              <w:keepNext w:val="0"/>
              <w:widowControl w:val="0"/>
              <w:jc w:val="center"/>
            </w:pPr>
            <w:r w:rsidRPr="00D85E09">
              <w:t>1111</w:t>
            </w:r>
          </w:p>
        </w:tc>
        <w:tc>
          <w:tcPr>
            <w:tcW w:w="579" w:type="pct"/>
            <w:tcBorders>
              <w:top w:val="single" w:sz="4" w:space="0" w:color="auto"/>
              <w:left w:val="single" w:sz="4" w:space="0" w:color="auto"/>
              <w:bottom w:val="single" w:sz="4" w:space="0" w:color="auto"/>
              <w:right w:val="single" w:sz="4" w:space="0" w:color="auto"/>
            </w:tcBorders>
            <w:noWrap/>
            <w:hideMark/>
          </w:tcPr>
          <w:p w14:paraId="66AD2C24" w14:textId="77777777" w:rsidR="00A41E60" w:rsidRPr="00D85E09" w:rsidRDefault="00A41E60" w:rsidP="0043316B">
            <w:pPr>
              <w:pStyle w:val="Tabletext"/>
              <w:keepNext w:val="0"/>
              <w:widowControl w:val="0"/>
              <w:jc w:val="center"/>
            </w:pPr>
            <w:r w:rsidRPr="00D85E09">
              <w:t>4.4</w:t>
            </w:r>
          </w:p>
        </w:tc>
        <w:tc>
          <w:tcPr>
            <w:tcW w:w="563" w:type="pct"/>
            <w:tcBorders>
              <w:top w:val="single" w:sz="4" w:space="0" w:color="auto"/>
              <w:left w:val="single" w:sz="4" w:space="0" w:color="auto"/>
              <w:bottom w:val="single" w:sz="4" w:space="0" w:color="auto"/>
              <w:right w:val="single" w:sz="4" w:space="0" w:color="auto"/>
            </w:tcBorders>
            <w:noWrap/>
            <w:hideMark/>
          </w:tcPr>
          <w:p w14:paraId="1C8358D1" w14:textId="77777777" w:rsidR="00A41E60" w:rsidRPr="00D85E09" w:rsidRDefault="00A41E60" w:rsidP="0043316B">
            <w:pPr>
              <w:pStyle w:val="Tabletext"/>
              <w:keepNext w:val="0"/>
              <w:widowControl w:val="0"/>
              <w:jc w:val="center"/>
            </w:pPr>
            <w:r w:rsidRPr="00D85E09">
              <w:t>12</w:t>
            </w:r>
          </w:p>
        </w:tc>
        <w:tc>
          <w:tcPr>
            <w:tcW w:w="640" w:type="pct"/>
            <w:tcBorders>
              <w:top w:val="single" w:sz="4" w:space="0" w:color="auto"/>
              <w:left w:val="single" w:sz="4" w:space="0" w:color="auto"/>
              <w:bottom w:val="single" w:sz="4" w:space="0" w:color="auto"/>
              <w:right w:val="single" w:sz="4" w:space="0" w:color="auto"/>
            </w:tcBorders>
            <w:noWrap/>
            <w:hideMark/>
          </w:tcPr>
          <w:p w14:paraId="75F30770" w14:textId="77777777" w:rsidR="00A41E60" w:rsidRPr="00D85E09" w:rsidRDefault="00A41E60" w:rsidP="0043316B">
            <w:pPr>
              <w:pStyle w:val="Tabletext"/>
              <w:keepNext w:val="0"/>
              <w:widowControl w:val="0"/>
              <w:jc w:val="center"/>
            </w:pPr>
            <w:r w:rsidRPr="00D85E09">
              <w:t>29.2</w:t>
            </w:r>
          </w:p>
        </w:tc>
        <w:tc>
          <w:tcPr>
            <w:tcW w:w="637" w:type="pct"/>
            <w:tcBorders>
              <w:top w:val="single" w:sz="4" w:space="0" w:color="auto"/>
              <w:left w:val="single" w:sz="4" w:space="0" w:color="auto"/>
              <w:bottom w:val="single" w:sz="4" w:space="0" w:color="auto"/>
              <w:right w:val="single" w:sz="4" w:space="0" w:color="auto"/>
            </w:tcBorders>
            <w:noWrap/>
            <w:hideMark/>
          </w:tcPr>
          <w:p w14:paraId="077158C4" w14:textId="77777777" w:rsidR="00A41E60" w:rsidRPr="00D85E09" w:rsidRDefault="00A41E60" w:rsidP="0043316B">
            <w:pPr>
              <w:pStyle w:val="Tabletext"/>
              <w:keepNext w:val="0"/>
              <w:widowControl w:val="0"/>
              <w:jc w:val="center"/>
            </w:pPr>
            <w:r w:rsidRPr="00D85E09">
              <w:t>39.3</w:t>
            </w:r>
          </w:p>
        </w:tc>
      </w:tr>
      <w:tr w:rsidR="00A41E60" w:rsidRPr="00D85E09" w14:paraId="2A730284"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63BBA1C8" w14:textId="77777777" w:rsidR="00A41E60" w:rsidRPr="00D85E09" w:rsidRDefault="00A41E60" w:rsidP="0043316B">
            <w:pPr>
              <w:pStyle w:val="Tabletext"/>
              <w:keepNext w:val="0"/>
              <w:widowControl w:val="0"/>
            </w:pPr>
            <w:r w:rsidRPr="00D85E09">
              <w:t>Burn et al</w:t>
            </w:r>
          </w:p>
        </w:tc>
        <w:tc>
          <w:tcPr>
            <w:tcW w:w="564" w:type="pct"/>
            <w:tcBorders>
              <w:top w:val="single" w:sz="4" w:space="0" w:color="auto"/>
              <w:left w:val="single" w:sz="4" w:space="0" w:color="auto"/>
              <w:bottom w:val="single" w:sz="4" w:space="0" w:color="auto"/>
              <w:right w:val="single" w:sz="4" w:space="0" w:color="auto"/>
            </w:tcBorders>
            <w:noWrap/>
            <w:hideMark/>
          </w:tcPr>
          <w:p w14:paraId="303A5C3C" w14:textId="77777777" w:rsidR="00A41E60" w:rsidRPr="00D85E09" w:rsidRDefault="00A41E60" w:rsidP="0043316B">
            <w:pPr>
              <w:pStyle w:val="Tabletext"/>
              <w:keepNext w:val="0"/>
              <w:widowControl w:val="0"/>
            </w:pPr>
            <w:r w:rsidRPr="00D85E09">
              <w:t>UK</w:t>
            </w:r>
          </w:p>
        </w:tc>
        <w:tc>
          <w:tcPr>
            <w:tcW w:w="727" w:type="pct"/>
            <w:tcBorders>
              <w:top w:val="single" w:sz="4" w:space="0" w:color="auto"/>
              <w:left w:val="single" w:sz="4" w:space="0" w:color="auto"/>
              <w:bottom w:val="single" w:sz="4" w:space="0" w:color="auto"/>
              <w:right w:val="single" w:sz="4" w:space="0" w:color="auto"/>
            </w:tcBorders>
            <w:noWrap/>
            <w:hideMark/>
          </w:tcPr>
          <w:p w14:paraId="49F136D3" w14:textId="77777777" w:rsidR="00A41E60" w:rsidRPr="00D85E09" w:rsidRDefault="00A41E60" w:rsidP="0043316B">
            <w:pPr>
              <w:pStyle w:val="Tabletext"/>
              <w:keepNext w:val="0"/>
              <w:widowControl w:val="0"/>
            </w:pPr>
            <w:r w:rsidRPr="00D85E09">
              <w:t>1981–1986</w:t>
            </w:r>
          </w:p>
        </w:tc>
        <w:tc>
          <w:tcPr>
            <w:tcW w:w="404" w:type="pct"/>
            <w:tcBorders>
              <w:top w:val="single" w:sz="4" w:space="0" w:color="auto"/>
              <w:left w:val="single" w:sz="4" w:space="0" w:color="auto"/>
              <w:bottom w:val="single" w:sz="4" w:space="0" w:color="auto"/>
              <w:right w:val="single" w:sz="4" w:space="0" w:color="auto"/>
            </w:tcBorders>
            <w:noWrap/>
            <w:hideMark/>
          </w:tcPr>
          <w:p w14:paraId="45D10C00" w14:textId="77777777" w:rsidR="00A41E60" w:rsidRPr="00D85E09" w:rsidRDefault="00A41E60" w:rsidP="0043316B">
            <w:pPr>
              <w:pStyle w:val="Tabletext"/>
              <w:keepNext w:val="0"/>
              <w:widowControl w:val="0"/>
              <w:jc w:val="center"/>
            </w:pPr>
            <w:r w:rsidRPr="00D85E09">
              <w:t>675</w:t>
            </w:r>
          </w:p>
        </w:tc>
        <w:tc>
          <w:tcPr>
            <w:tcW w:w="579" w:type="pct"/>
            <w:tcBorders>
              <w:top w:val="single" w:sz="4" w:space="0" w:color="auto"/>
              <w:left w:val="single" w:sz="4" w:space="0" w:color="auto"/>
              <w:bottom w:val="single" w:sz="4" w:space="0" w:color="auto"/>
              <w:right w:val="single" w:sz="4" w:space="0" w:color="auto"/>
            </w:tcBorders>
            <w:noWrap/>
            <w:hideMark/>
          </w:tcPr>
          <w:p w14:paraId="7FC6438C" w14:textId="77777777" w:rsidR="00A41E60" w:rsidRPr="00D85E09" w:rsidRDefault="00A41E60" w:rsidP="0043316B">
            <w:pPr>
              <w:pStyle w:val="Tabletext"/>
              <w:keepNext w:val="0"/>
              <w:widowControl w:val="0"/>
              <w:jc w:val="center"/>
            </w:pPr>
            <w:r w:rsidRPr="00D85E09">
              <w:t>.</w:t>
            </w:r>
          </w:p>
        </w:tc>
        <w:tc>
          <w:tcPr>
            <w:tcW w:w="563" w:type="pct"/>
            <w:tcBorders>
              <w:top w:val="single" w:sz="4" w:space="0" w:color="auto"/>
              <w:left w:val="single" w:sz="4" w:space="0" w:color="auto"/>
              <w:bottom w:val="single" w:sz="4" w:space="0" w:color="auto"/>
              <w:right w:val="single" w:sz="4" w:space="0" w:color="auto"/>
            </w:tcBorders>
            <w:noWrap/>
            <w:hideMark/>
          </w:tcPr>
          <w:p w14:paraId="741A531C" w14:textId="77777777" w:rsidR="00A41E60" w:rsidRPr="00D85E09" w:rsidRDefault="00A41E60" w:rsidP="0043316B">
            <w:pPr>
              <w:pStyle w:val="Tabletext"/>
              <w:keepNext w:val="0"/>
              <w:widowControl w:val="0"/>
              <w:jc w:val="center"/>
            </w:pPr>
            <w:r w:rsidRPr="00D85E09">
              <w:t>13.2</w:t>
            </w:r>
          </w:p>
        </w:tc>
        <w:tc>
          <w:tcPr>
            <w:tcW w:w="640" w:type="pct"/>
            <w:tcBorders>
              <w:top w:val="single" w:sz="4" w:space="0" w:color="auto"/>
              <w:left w:val="single" w:sz="4" w:space="0" w:color="auto"/>
              <w:bottom w:val="single" w:sz="4" w:space="0" w:color="auto"/>
              <w:right w:val="single" w:sz="4" w:space="0" w:color="auto"/>
            </w:tcBorders>
            <w:noWrap/>
            <w:hideMark/>
          </w:tcPr>
          <w:p w14:paraId="30F33FC0" w14:textId="77777777" w:rsidR="00A41E60" w:rsidRPr="00D85E09" w:rsidRDefault="00A41E60" w:rsidP="0043316B">
            <w:pPr>
              <w:pStyle w:val="Tabletext"/>
              <w:keepNext w:val="0"/>
              <w:widowControl w:val="0"/>
              <w:jc w:val="center"/>
            </w:pPr>
            <w:r w:rsidRPr="00D85E09">
              <w:t>29.5</w:t>
            </w:r>
          </w:p>
        </w:tc>
        <w:tc>
          <w:tcPr>
            <w:tcW w:w="637" w:type="pct"/>
            <w:tcBorders>
              <w:top w:val="single" w:sz="4" w:space="0" w:color="auto"/>
              <w:left w:val="single" w:sz="4" w:space="0" w:color="auto"/>
              <w:bottom w:val="single" w:sz="4" w:space="0" w:color="auto"/>
              <w:right w:val="single" w:sz="4" w:space="0" w:color="auto"/>
            </w:tcBorders>
            <w:noWrap/>
            <w:hideMark/>
          </w:tcPr>
          <w:p w14:paraId="7EE175D9" w14:textId="77777777" w:rsidR="00A41E60" w:rsidRPr="00D85E09" w:rsidRDefault="00A41E60" w:rsidP="0043316B">
            <w:pPr>
              <w:pStyle w:val="Tabletext"/>
              <w:keepNext w:val="0"/>
              <w:widowControl w:val="0"/>
              <w:jc w:val="center"/>
            </w:pPr>
            <w:r w:rsidRPr="00D85E09">
              <w:t>.</w:t>
            </w:r>
          </w:p>
        </w:tc>
      </w:tr>
      <w:tr w:rsidR="00A41E60" w:rsidRPr="00D85E09" w14:paraId="6BF824AC" w14:textId="77777777" w:rsidTr="00A41E60">
        <w:trPr>
          <w:trHeight w:val="329"/>
        </w:trPr>
        <w:tc>
          <w:tcPr>
            <w:tcW w:w="886" w:type="pct"/>
            <w:tcBorders>
              <w:top w:val="single" w:sz="4" w:space="0" w:color="auto"/>
              <w:left w:val="single" w:sz="4" w:space="0" w:color="auto"/>
              <w:bottom w:val="single" w:sz="4" w:space="0" w:color="auto"/>
              <w:right w:val="single" w:sz="4" w:space="0" w:color="auto"/>
            </w:tcBorders>
            <w:noWrap/>
            <w:hideMark/>
          </w:tcPr>
          <w:p w14:paraId="19343F06" w14:textId="77777777" w:rsidR="00A41E60" w:rsidRPr="00D85E09" w:rsidRDefault="00A41E60" w:rsidP="0043316B">
            <w:pPr>
              <w:pStyle w:val="Tabletext"/>
              <w:keepNext w:val="0"/>
              <w:widowControl w:val="0"/>
            </w:pPr>
            <w:r w:rsidRPr="00D85E09">
              <w:t>Dhamoon et al</w:t>
            </w:r>
          </w:p>
        </w:tc>
        <w:tc>
          <w:tcPr>
            <w:tcW w:w="564" w:type="pct"/>
            <w:tcBorders>
              <w:top w:val="single" w:sz="4" w:space="0" w:color="auto"/>
              <w:left w:val="single" w:sz="4" w:space="0" w:color="auto"/>
              <w:bottom w:val="single" w:sz="4" w:space="0" w:color="auto"/>
              <w:right w:val="single" w:sz="4" w:space="0" w:color="auto"/>
            </w:tcBorders>
            <w:noWrap/>
            <w:hideMark/>
          </w:tcPr>
          <w:p w14:paraId="04627E15" w14:textId="77777777" w:rsidR="00A41E60" w:rsidRPr="00D85E09" w:rsidRDefault="00A41E60" w:rsidP="0043316B">
            <w:pPr>
              <w:pStyle w:val="Tabletext"/>
              <w:keepNext w:val="0"/>
              <w:widowControl w:val="0"/>
            </w:pPr>
            <w:r w:rsidRPr="00D85E09">
              <w:t>USA</w:t>
            </w:r>
          </w:p>
        </w:tc>
        <w:tc>
          <w:tcPr>
            <w:tcW w:w="727" w:type="pct"/>
            <w:tcBorders>
              <w:top w:val="single" w:sz="4" w:space="0" w:color="auto"/>
              <w:left w:val="single" w:sz="4" w:space="0" w:color="auto"/>
              <w:bottom w:val="single" w:sz="4" w:space="0" w:color="auto"/>
              <w:right w:val="single" w:sz="4" w:space="0" w:color="auto"/>
            </w:tcBorders>
            <w:noWrap/>
            <w:hideMark/>
          </w:tcPr>
          <w:p w14:paraId="518BA83F" w14:textId="77777777" w:rsidR="00A41E60" w:rsidRPr="00D85E09" w:rsidRDefault="00A41E60" w:rsidP="0043316B">
            <w:pPr>
              <w:pStyle w:val="Tabletext"/>
              <w:keepNext w:val="0"/>
              <w:widowControl w:val="0"/>
            </w:pPr>
            <w:r w:rsidRPr="00D85E09">
              <w:t>1983–1988</w:t>
            </w:r>
          </w:p>
        </w:tc>
        <w:tc>
          <w:tcPr>
            <w:tcW w:w="404" w:type="pct"/>
            <w:tcBorders>
              <w:top w:val="single" w:sz="4" w:space="0" w:color="auto"/>
              <w:left w:val="single" w:sz="4" w:space="0" w:color="auto"/>
              <w:bottom w:val="single" w:sz="4" w:space="0" w:color="auto"/>
              <w:right w:val="single" w:sz="4" w:space="0" w:color="auto"/>
            </w:tcBorders>
            <w:noWrap/>
            <w:hideMark/>
          </w:tcPr>
          <w:p w14:paraId="75C250B3" w14:textId="77777777" w:rsidR="00A41E60" w:rsidRPr="00D85E09" w:rsidRDefault="00A41E60" w:rsidP="0043316B">
            <w:pPr>
              <w:pStyle w:val="Tabletext"/>
              <w:keepNext w:val="0"/>
              <w:widowControl w:val="0"/>
              <w:jc w:val="center"/>
            </w:pPr>
            <w:r w:rsidRPr="00D85E09">
              <w:t>655</w:t>
            </w:r>
          </w:p>
        </w:tc>
        <w:tc>
          <w:tcPr>
            <w:tcW w:w="579" w:type="pct"/>
            <w:tcBorders>
              <w:top w:val="single" w:sz="4" w:space="0" w:color="auto"/>
              <w:left w:val="single" w:sz="4" w:space="0" w:color="auto"/>
              <w:bottom w:val="single" w:sz="4" w:space="0" w:color="auto"/>
              <w:right w:val="single" w:sz="4" w:space="0" w:color="auto"/>
            </w:tcBorders>
            <w:noWrap/>
            <w:hideMark/>
          </w:tcPr>
          <w:p w14:paraId="3A9EDEBC" w14:textId="77777777" w:rsidR="00A41E60" w:rsidRPr="00D85E09" w:rsidRDefault="00A41E60" w:rsidP="0043316B">
            <w:pPr>
              <w:pStyle w:val="Tabletext"/>
              <w:keepNext w:val="0"/>
              <w:widowControl w:val="0"/>
              <w:jc w:val="center"/>
            </w:pPr>
            <w:r w:rsidRPr="00D85E09">
              <w:t>1.5</w:t>
            </w:r>
          </w:p>
        </w:tc>
        <w:tc>
          <w:tcPr>
            <w:tcW w:w="563" w:type="pct"/>
            <w:tcBorders>
              <w:top w:val="single" w:sz="4" w:space="0" w:color="auto"/>
              <w:left w:val="single" w:sz="4" w:space="0" w:color="auto"/>
              <w:bottom w:val="single" w:sz="4" w:space="0" w:color="auto"/>
              <w:right w:val="single" w:sz="4" w:space="0" w:color="auto"/>
            </w:tcBorders>
            <w:noWrap/>
            <w:hideMark/>
          </w:tcPr>
          <w:p w14:paraId="7BD3A7F0" w14:textId="77777777" w:rsidR="00A41E60" w:rsidRPr="00D85E09" w:rsidRDefault="00A41E60" w:rsidP="0043316B">
            <w:pPr>
              <w:pStyle w:val="Tabletext"/>
              <w:keepNext w:val="0"/>
              <w:widowControl w:val="0"/>
              <w:jc w:val="center"/>
            </w:pPr>
            <w:r w:rsidRPr="00D85E09">
              <w:t>7.7</w:t>
            </w:r>
          </w:p>
        </w:tc>
        <w:tc>
          <w:tcPr>
            <w:tcW w:w="640" w:type="pct"/>
            <w:tcBorders>
              <w:top w:val="single" w:sz="4" w:space="0" w:color="auto"/>
              <w:left w:val="single" w:sz="4" w:space="0" w:color="auto"/>
              <w:bottom w:val="single" w:sz="4" w:space="0" w:color="auto"/>
              <w:right w:val="single" w:sz="4" w:space="0" w:color="auto"/>
            </w:tcBorders>
            <w:noWrap/>
            <w:hideMark/>
          </w:tcPr>
          <w:p w14:paraId="01DE93A2" w14:textId="77777777" w:rsidR="00A41E60" w:rsidRPr="00D85E09" w:rsidRDefault="00A41E60" w:rsidP="0043316B">
            <w:pPr>
              <w:pStyle w:val="Tabletext"/>
              <w:keepNext w:val="0"/>
              <w:widowControl w:val="0"/>
              <w:jc w:val="center"/>
            </w:pPr>
            <w:r w:rsidRPr="00D85E09">
              <w:t>18.3</w:t>
            </w:r>
          </w:p>
        </w:tc>
        <w:tc>
          <w:tcPr>
            <w:tcW w:w="637" w:type="pct"/>
            <w:tcBorders>
              <w:top w:val="single" w:sz="4" w:space="0" w:color="auto"/>
              <w:left w:val="single" w:sz="4" w:space="0" w:color="auto"/>
              <w:bottom w:val="single" w:sz="4" w:space="0" w:color="auto"/>
              <w:right w:val="single" w:sz="4" w:space="0" w:color="auto"/>
            </w:tcBorders>
            <w:noWrap/>
            <w:hideMark/>
          </w:tcPr>
          <w:p w14:paraId="52D261A0" w14:textId="77777777" w:rsidR="00A41E60" w:rsidRPr="00D85E09" w:rsidRDefault="00A41E60" w:rsidP="0043316B">
            <w:pPr>
              <w:pStyle w:val="Tabletext"/>
              <w:keepNext w:val="0"/>
              <w:widowControl w:val="0"/>
              <w:jc w:val="center"/>
            </w:pPr>
            <w:r w:rsidRPr="00D85E09">
              <w:t>.</w:t>
            </w:r>
          </w:p>
        </w:tc>
      </w:tr>
      <w:tr w:rsidR="00A41E60" w:rsidRPr="00D85E09" w14:paraId="3805C1C4"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29A3BA65" w14:textId="77777777" w:rsidR="00A41E60" w:rsidRPr="00D85E09" w:rsidRDefault="00A41E60" w:rsidP="0043316B">
            <w:pPr>
              <w:pStyle w:val="Tabletext"/>
              <w:keepNext w:val="0"/>
              <w:widowControl w:val="0"/>
            </w:pPr>
            <w:r w:rsidRPr="00D85E09">
              <w:t>Hardie et al</w:t>
            </w:r>
          </w:p>
        </w:tc>
        <w:tc>
          <w:tcPr>
            <w:tcW w:w="564" w:type="pct"/>
            <w:tcBorders>
              <w:top w:val="single" w:sz="4" w:space="0" w:color="auto"/>
              <w:left w:val="single" w:sz="4" w:space="0" w:color="auto"/>
              <w:bottom w:val="single" w:sz="4" w:space="0" w:color="auto"/>
              <w:right w:val="single" w:sz="4" w:space="0" w:color="auto"/>
            </w:tcBorders>
            <w:noWrap/>
            <w:hideMark/>
          </w:tcPr>
          <w:p w14:paraId="09327B5A" w14:textId="77777777" w:rsidR="00A41E60" w:rsidRPr="00D85E09" w:rsidRDefault="00A41E60" w:rsidP="0043316B">
            <w:pPr>
              <w:pStyle w:val="Tabletext"/>
              <w:keepNext w:val="0"/>
              <w:widowControl w:val="0"/>
            </w:pPr>
            <w:r w:rsidRPr="00D85E09">
              <w:t>Australia</w:t>
            </w:r>
          </w:p>
        </w:tc>
        <w:tc>
          <w:tcPr>
            <w:tcW w:w="727" w:type="pct"/>
            <w:tcBorders>
              <w:top w:val="single" w:sz="4" w:space="0" w:color="auto"/>
              <w:left w:val="single" w:sz="4" w:space="0" w:color="auto"/>
              <w:bottom w:val="single" w:sz="4" w:space="0" w:color="auto"/>
              <w:right w:val="single" w:sz="4" w:space="0" w:color="auto"/>
            </w:tcBorders>
            <w:noWrap/>
            <w:hideMark/>
          </w:tcPr>
          <w:p w14:paraId="70B2EA2F" w14:textId="77777777" w:rsidR="00A41E60" w:rsidRPr="00D85E09" w:rsidRDefault="00A41E60" w:rsidP="0043316B">
            <w:pPr>
              <w:pStyle w:val="Tabletext"/>
              <w:keepNext w:val="0"/>
              <w:widowControl w:val="0"/>
            </w:pPr>
            <w:r w:rsidRPr="00D85E09">
              <w:t>1989–1990</w:t>
            </w:r>
          </w:p>
        </w:tc>
        <w:tc>
          <w:tcPr>
            <w:tcW w:w="404" w:type="pct"/>
            <w:tcBorders>
              <w:top w:val="single" w:sz="4" w:space="0" w:color="auto"/>
              <w:left w:val="single" w:sz="4" w:space="0" w:color="auto"/>
              <w:bottom w:val="single" w:sz="4" w:space="0" w:color="auto"/>
              <w:right w:val="single" w:sz="4" w:space="0" w:color="auto"/>
            </w:tcBorders>
            <w:noWrap/>
            <w:hideMark/>
          </w:tcPr>
          <w:p w14:paraId="1ACEF9A6" w14:textId="77777777" w:rsidR="00A41E60" w:rsidRPr="00D85E09" w:rsidRDefault="00A41E60" w:rsidP="0043316B">
            <w:pPr>
              <w:pStyle w:val="Tabletext"/>
              <w:keepNext w:val="0"/>
              <w:widowControl w:val="0"/>
              <w:jc w:val="center"/>
            </w:pPr>
            <w:r w:rsidRPr="00D85E09">
              <w:t>328</w:t>
            </w:r>
          </w:p>
        </w:tc>
        <w:tc>
          <w:tcPr>
            <w:tcW w:w="579" w:type="pct"/>
            <w:tcBorders>
              <w:top w:val="single" w:sz="4" w:space="0" w:color="auto"/>
              <w:left w:val="single" w:sz="4" w:space="0" w:color="auto"/>
              <w:bottom w:val="single" w:sz="4" w:space="0" w:color="auto"/>
              <w:right w:val="single" w:sz="4" w:space="0" w:color="auto"/>
            </w:tcBorders>
            <w:noWrap/>
            <w:hideMark/>
          </w:tcPr>
          <w:p w14:paraId="114C106D" w14:textId="77777777" w:rsidR="00A41E60" w:rsidRPr="00D85E09" w:rsidRDefault="00A41E60" w:rsidP="0043316B">
            <w:pPr>
              <w:pStyle w:val="Tabletext"/>
              <w:keepNext w:val="0"/>
              <w:widowControl w:val="0"/>
              <w:jc w:val="center"/>
            </w:pPr>
            <w:r w:rsidRPr="00D85E09">
              <w:t>2</w:t>
            </w:r>
          </w:p>
        </w:tc>
        <w:tc>
          <w:tcPr>
            <w:tcW w:w="563" w:type="pct"/>
            <w:tcBorders>
              <w:top w:val="single" w:sz="4" w:space="0" w:color="auto"/>
              <w:left w:val="single" w:sz="4" w:space="0" w:color="auto"/>
              <w:bottom w:val="single" w:sz="4" w:space="0" w:color="auto"/>
              <w:right w:val="single" w:sz="4" w:space="0" w:color="auto"/>
            </w:tcBorders>
            <w:noWrap/>
            <w:hideMark/>
          </w:tcPr>
          <w:p w14:paraId="2E1EE523" w14:textId="77777777" w:rsidR="00A41E60" w:rsidRPr="00D85E09" w:rsidRDefault="00A41E60" w:rsidP="0043316B">
            <w:pPr>
              <w:pStyle w:val="Tabletext"/>
              <w:keepNext w:val="0"/>
              <w:widowControl w:val="0"/>
              <w:jc w:val="center"/>
            </w:pPr>
            <w:r w:rsidRPr="00D85E09">
              <w:t>16</w:t>
            </w:r>
          </w:p>
        </w:tc>
        <w:tc>
          <w:tcPr>
            <w:tcW w:w="640" w:type="pct"/>
            <w:tcBorders>
              <w:top w:val="single" w:sz="4" w:space="0" w:color="auto"/>
              <w:left w:val="single" w:sz="4" w:space="0" w:color="auto"/>
              <w:bottom w:val="single" w:sz="4" w:space="0" w:color="auto"/>
              <w:right w:val="single" w:sz="4" w:space="0" w:color="auto"/>
            </w:tcBorders>
            <w:noWrap/>
            <w:hideMark/>
          </w:tcPr>
          <w:p w14:paraId="72494AC0" w14:textId="77777777" w:rsidR="00A41E60" w:rsidRPr="00D85E09" w:rsidRDefault="00A41E60" w:rsidP="0043316B">
            <w:pPr>
              <w:pStyle w:val="Tabletext"/>
              <w:keepNext w:val="0"/>
              <w:widowControl w:val="0"/>
              <w:jc w:val="center"/>
            </w:pPr>
            <w:r w:rsidRPr="00D85E09">
              <w:t>32</w:t>
            </w:r>
          </w:p>
        </w:tc>
        <w:tc>
          <w:tcPr>
            <w:tcW w:w="637" w:type="pct"/>
            <w:tcBorders>
              <w:top w:val="single" w:sz="4" w:space="0" w:color="auto"/>
              <w:left w:val="single" w:sz="4" w:space="0" w:color="auto"/>
              <w:bottom w:val="single" w:sz="4" w:space="0" w:color="auto"/>
              <w:right w:val="single" w:sz="4" w:space="0" w:color="auto"/>
            </w:tcBorders>
            <w:noWrap/>
            <w:hideMark/>
          </w:tcPr>
          <w:p w14:paraId="00C59C31" w14:textId="77777777" w:rsidR="00A41E60" w:rsidRPr="00D85E09" w:rsidRDefault="00A41E60" w:rsidP="0043316B">
            <w:pPr>
              <w:pStyle w:val="Tabletext"/>
              <w:keepNext w:val="0"/>
              <w:widowControl w:val="0"/>
              <w:jc w:val="center"/>
            </w:pPr>
            <w:r w:rsidRPr="00D85E09">
              <w:t>43</w:t>
            </w:r>
          </w:p>
        </w:tc>
      </w:tr>
      <w:tr w:rsidR="00A41E60" w:rsidRPr="00D85E09" w14:paraId="5300690B" w14:textId="77777777" w:rsidTr="00A41E60">
        <w:trPr>
          <w:trHeight w:val="329"/>
        </w:trPr>
        <w:tc>
          <w:tcPr>
            <w:tcW w:w="886" w:type="pct"/>
            <w:tcBorders>
              <w:top w:val="single" w:sz="4" w:space="0" w:color="auto"/>
              <w:left w:val="single" w:sz="4" w:space="0" w:color="auto"/>
              <w:bottom w:val="single" w:sz="4" w:space="0" w:color="auto"/>
              <w:right w:val="single" w:sz="4" w:space="0" w:color="auto"/>
            </w:tcBorders>
            <w:noWrap/>
            <w:hideMark/>
          </w:tcPr>
          <w:p w14:paraId="4FE75E5C" w14:textId="77777777" w:rsidR="00A41E60" w:rsidRPr="00D85E09" w:rsidRDefault="00A41E60" w:rsidP="0043316B">
            <w:pPr>
              <w:pStyle w:val="Tabletext"/>
              <w:keepNext w:val="0"/>
              <w:widowControl w:val="0"/>
            </w:pPr>
            <w:r w:rsidRPr="00D85E09">
              <w:t>Salgado et al</w:t>
            </w:r>
          </w:p>
        </w:tc>
        <w:tc>
          <w:tcPr>
            <w:tcW w:w="564" w:type="pct"/>
            <w:tcBorders>
              <w:top w:val="single" w:sz="4" w:space="0" w:color="auto"/>
              <w:left w:val="single" w:sz="4" w:space="0" w:color="auto"/>
              <w:bottom w:val="single" w:sz="4" w:space="0" w:color="auto"/>
              <w:right w:val="single" w:sz="4" w:space="0" w:color="auto"/>
            </w:tcBorders>
            <w:noWrap/>
            <w:hideMark/>
          </w:tcPr>
          <w:p w14:paraId="7A1BD2C6" w14:textId="77777777" w:rsidR="00A41E60" w:rsidRPr="00D85E09" w:rsidRDefault="00A41E60" w:rsidP="0043316B">
            <w:pPr>
              <w:pStyle w:val="Tabletext"/>
              <w:keepNext w:val="0"/>
              <w:widowControl w:val="0"/>
            </w:pPr>
            <w:r w:rsidRPr="00D85E09">
              <w:t>Portugal</w:t>
            </w:r>
          </w:p>
        </w:tc>
        <w:tc>
          <w:tcPr>
            <w:tcW w:w="727" w:type="pct"/>
            <w:tcBorders>
              <w:top w:val="single" w:sz="4" w:space="0" w:color="auto"/>
              <w:left w:val="single" w:sz="4" w:space="0" w:color="auto"/>
              <w:bottom w:val="single" w:sz="4" w:space="0" w:color="auto"/>
              <w:right w:val="single" w:sz="4" w:space="0" w:color="auto"/>
            </w:tcBorders>
            <w:noWrap/>
            <w:hideMark/>
          </w:tcPr>
          <w:p w14:paraId="1871F097" w14:textId="77777777" w:rsidR="00A41E60" w:rsidRPr="00D85E09" w:rsidRDefault="00A41E60" w:rsidP="0043316B">
            <w:pPr>
              <w:pStyle w:val="Tabletext"/>
              <w:keepNext w:val="0"/>
              <w:widowControl w:val="0"/>
            </w:pPr>
            <w:r w:rsidRPr="00D85E09">
              <w:t>1990–1993</w:t>
            </w:r>
          </w:p>
        </w:tc>
        <w:tc>
          <w:tcPr>
            <w:tcW w:w="404" w:type="pct"/>
            <w:tcBorders>
              <w:top w:val="single" w:sz="4" w:space="0" w:color="auto"/>
              <w:left w:val="single" w:sz="4" w:space="0" w:color="auto"/>
              <w:bottom w:val="single" w:sz="4" w:space="0" w:color="auto"/>
              <w:right w:val="single" w:sz="4" w:space="0" w:color="auto"/>
            </w:tcBorders>
            <w:noWrap/>
            <w:hideMark/>
          </w:tcPr>
          <w:p w14:paraId="662791AB" w14:textId="77777777" w:rsidR="00A41E60" w:rsidRPr="00D85E09" w:rsidRDefault="00A41E60" w:rsidP="0043316B">
            <w:pPr>
              <w:pStyle w:val="Tabletext"/>
              <w:keepNext w:val="0"/>
              <w:widowControl w:val="0"/>
              <w:jc w:val="center"/>
            </w:pPr>
            <w:r w:rsidRPr="00D85E09">
              <w:t>145</w:t>
            </w:r>
          </w:p>
        </w:tc>
        <w:tc>
          <w:tcPr>
            <w:tcW w:w="579" w:type="pct"/>
            <w:tcBorders>
              <w:top w:val="single" w:sz="4" w:space="0" w:color="auto"/>
              <w:left w:val="single" w:sz="4" w:space="0" w:color="auto"/>
              <w:bottom w:val="single" w:sz="4" w:space="0" w:color="auto"/>
              <w:right w:val="single" w:sz="4" w:space="0" w:color="auto"/>
            </w:tcBorders>
            <w:noWrap/>
            <w:hideMark/>
          </w:tcPr>
          <w:p w14:paraId="170C2B89" w14:textId="77777777" w:rsidR="00A41E60" w:rsidRPr="00D85E09" w:rsidRDefault="00A41E60" w:rsidP="0043316B">
            <w:pPr>
              <w:pStyle w:val="Tabletext"/>
              <w:keepNext w:val="0"/>
              <w:widowControl w:val="0"/>
              <w:jc w:val="center"/>
            </w:pPr>
            <w:r w:rsidRPr="00D85E09">
              <w:t>.</w:t>
            </w:r>
          </w:p>
        </w:tc>
        <w:tc>
          <w:tcPr>
            <w:tcW w:w="563" w:type="pct"/>
            <w:tcBorders>
              <w:top w:val="single" w:sz="4" w:space="0" w:color="auto"/>
              <w:left w:val="single" w:sz="4" w:space="0" w:color="auto"/>
              <w:bottom w:val="single" w:sz="4" w:space="0" w:color="auto"/>
              <w:right w:val="single" w:sz="4" w:space="0" w:color="auto"/>
            </w:tcBorders>
            <w:noWrap/>
            <w:hideMark/>
          </w:tcPr>
          <w:p w14:paraId="48EED526" w14:textId="77777777" w:rsidR="00A41E60" w:rsidRPr="00D85E09" w:rsidRDefault="00A41E60" w:rsidP="0043316B">
            <w:pPr>
              <w:pStyle w:val="Tabletext"/>
              <w:keepNext w:val="0"/>
              <w:widowControl w:val="0"/>
              <w:jc w:val="center"/>
            </w:pPr>
            <w:r w:rsidRPr="00D85E09">
              <w:t>7</w:t>
            </w:r>
          </w:p>
        </w:tc>
        <w:tc>
          <w:tcPr>
            <w:tcW w:w="640" w:type="pct"/>
            <w:tcBorders>
              <w:top w:val="single" w:sz="4" w:space="0" w:color="auto"/>
              <w:left w:val="single" w:sz="4" w:space="0" w:color="auto"/>
              <w:bottom w:val="single" w:sz="4" w:space="0" w:color="auto"/>
              <w:right w:val="single" w:sz="4" w:space="0" w:color="auto"/>
            </w:tcBorders>
            <w:noWrap/>
            <w:hideMark/>
          </w:tcPr>
          <w:p w14:paraId="0D73FD5B" w14:textId="77777777" w:rsidR="00A41E60" w:rsidRPr="00D85E09" w:rsidRDefault="00A41E60" w:rsidP="0043316B">
            <w:pPr>
              <w:pStyle w:val="Tabletext"/>
              <w:keepNext w:val="0"/>
              <w:widowControl w:val="0"/>
              <w:jc w:val="center"/>
            </w:pPr>
            <w:r w:rsidRPr="00D85E09">
              <w:t>.</w:t>
            </w:r>
          </w:p>
        </w:tc>
        <w:tc>
          <w:tcPr>
            <w:tcW w:w="637" w:type="pct"/>
            <w:tcBorders>
              <w:top w:val="single" w:sz="4" w:space="0" w:color="auto"/>
              <w:left w:val="single" w:sz="4" w:space="0" w:color="auto"/>
              <w:bottom w:val="single" w:sz="4" w:space="0" w:color="auto"/>
              <w:right w:val="single" w:sz="4" w:space="0" w:color="auto"/>
            </w:tcBorders>
            <w:noWrap/>
            <w:hideMark/>
          </w:tcPr>
          <w:p w14:paraId="35CB4AC6" w14:textId="77777777" w:rsidR="00A41E60" w:rsidRPr="00D85E09" w:rsidRDefault="00A41E60" w:rsidP="0043316B">
            <w:pPr>
              <w:pStyle w:val="Tabletext"/>
              <w:keepNext w:val="0"/>
              <w:widowControl w:val="0"/>
              <w:jc w:val="center"/>
            </w:pPr>
            <w:r w:rsidRPr="00D85E09">
              <w:t>.</w:t>
            </w:r>
          </w:p>
        </w:tc>
      </w:tr>
      <w:tr w:rsidR="00A41E60" w:rsidRPr="00D85E09" w14:paraId="7ABD8BF2"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51CAA00A" w14:textId="77777777" w:rsidR="00A41E60" w:rsidRPr="00D85E09" w:rsidRDefault="00A41E60" w:rsidP="0043316B">
            <w:pPr>
              <w:pStyle w:val="Tabletext"/>
              <w:keepNext w:val="0"/>
              <w:widowControl w:val="0"/>
            </w:pPr>
            <w:r w:rsidRPr="00D85E09">
              <w:t>Rundek et al</w:t>
            </w:r>
          </w:p>
        </w:tc>
        <w:tc>
          <w:tcPr>
            <w:tcW w:w="564" w:type="pct"/>
            <w:tcBorders>
              <w:top w:val="single" w:sz="4" w:space="0" w:color="auto"/>
              <w:left w:val="single" w:sz="4" w:space="0" w:color="auto"/>
              <w:bottom w:val="single" w:sz="4" w:space="0" w:color="auto"/>
              <w:right w:val="single" w:sz="4" w:space="0" w:color="auto"/>
            </w:tcBorders>
            <w:noWrap/>
            <w:hideMark/>
          </w:tcPr>
          <w:p w14:paraId="656A7FB0" w14:textId="77777777" w:rsidR="00A41E60" w:rsidRPr="00D85E09" w:rsidRDefault="00A41E60" w:rsidP="0043316B">
            <w:pPr>
              <w:pStyle w:val="Tabletext"/>
              <w:keepNext w:val="0"/>
              <w:widowControl w:val="0"/>
            </w:pPr>
            <w:r w:rsidRPr="00D85E09">
              <w:t>USA</w:t>
            </w:r>
          </w:p>
        </w:tc>
        <w:tc>
          <w:tcPr>
            <w:tcW w:w="727" w:type="pct"/>
            <w:tcBorders>
              <w:top w:val="single" w:sz="4" w:space="0" w:color="auto"/>
              <w:left w:val="single" w:sz="4" w:space="0" w:color="auto"/>
              <w:bottom w:val="single" w:sz="4" w:space="0" w:color="auto"/>
              <w:right w:val="single" w:sz="4" w:space="0" w:color="auto"/>
            </w:tcBorders>
            <w:noWrap/>
            <w:hideMark/>
          </w:tcPr>
          <w:p w14:paraId="41B17DE5" w14:textId="77777777" w:rsidR="00A41E60" w:rsidRPr="00D85E09" w:rsidRDefault="00A41E60" w:rsidP="0043316B">
            <w:pPr>
              <w:pStyle w:val="Tabletext"/>
              <w:keepNext w:val="0"/>
              <w:widowControl w:val="0"/>
            </w:pPr>
            <w:r w:rsidRPr="00D85E09">
              <w:t>1990–1995</w:t>
            </w:r>
          </w:p>
        </w:tc>
        <w:tc>
          <w:tcPr>
            <w:tcW w:w="404" w:type="pct"/>
            <w:tcBorders>
              <w:top w:val="single" w:sz="4" w:space="0" w:color="auto"/>
              <w:left w:val="single" w:sz="4" w:space="0" w:color="auto"/>
              <w:bottom w:val="single" w:sz="4" w:space="0" w:color="auto"/>
              <w:right w:val="single" w:sz="4" w:space="0" w:color="auto"/>
            </w:tcBorders>
            <w:noWrap/>
            <w:hideMark/>
          </w:tcPr>
          <w:p w14:paraId="513796CD" w14:textId="77777777" w:rsidR="00A41E60" w:rsidRPr="00D85E09" w:rsidRDefault="00A41E60" w:rsidP="0043316B">
            <w:pPr>
              <w:pStyle w:val="Tabletext"/>
              <w:keepNext w:val="0"/>
              <w:widowControl w:val="0"/>
              <w:jc w:val="center"/>
            </w:pPr>
            <w:r w:rsidRPr="00D85E09">
              <w:t>611</w:t>
            </w:r>
          </w:p>
        </w:tc>
        <w:tc>
          <w:tcPr>
            <w:tcW w:w="579" w:type="pct"/>
            <w:tcBorders>
              <w:top w:val="single" w:sz="4" w:space="0" w:color="auto"/>
              <w:left w:val="single" w:sz="4" w:space="0" w:color="auto"/>
              <w:bottom w:val="single" w:sz="4" w:space="0" w:color="auto"/>
              <w:right w:val="single" w:sz="4" w:space="0" w:color="auto"/>
            </w:tcBorders>
            <w:noWrap/>
            <w:hideMark/>
          </w:tcPr>
          <w:p w14:paraId="5CA123CB" w14:textId="77777777" w:rsidR="00A41E60" w:rsidRPr="00D85E09" w:rsidRDefault="00A41E60" w:rsidP="0043316B">
            <w:pPr>
              <w:pStyle w:val="Tabletext"/>
              <w:keepNext w:val="0"/>
              <w:widowControl w:val="0"/>
              <w:jc w:val="center"/>
            </w:pPr>
            <w:r w:rsidRPr="00D85E09">
              <w:t>2.9</w:t>
            </w:r>
          </w:p>
        </w:tc>
        <w:tc>
          <w:tcPr>
            <w:tcW w:w="563" w:type="pct"/>
            <w:tcBorders>
              <w:top w:val="single" w:sz="4" w:space="0" w:color="auto"/>
              <w:left w:val="single" w:sz="4" w:space="0" w:color="auto"/>
              <w:bottom w:val="single" w:sz="4" w:space="0" w:color="auto"/>
              <w:right w:val="single" w:sz="4" w:space="0" w:color="auto"/>
            </w:tcBorders>
            <w:noWrap/>
            <w:hideMark/>
          </w:tcPr>
          <w:p w14:paraId="2CE6FD1C" w14:textId="77777777" w:rsidR="00A41E60" w:rsidRPr="00D85E09" w:rsidRDefault="00A41E60" w:rsidP="0043316B">
            <w:pPr>
              <w:pStyle w:val="Tabletext"/>
              <w:keepNext w:val="0"/>
              <w:widowControl w:val="0"/>
              <w:jc w:val="center"/>
            </w:pPr>
            <w:r w:rsidRPr="00D85E09">
              <w:t>9.8</w:t>
            </w:r>
          </w:p>
        </w:tc>
        <w:tc>
          <w:tcPr>
            <w:tcW w:w="640" w:type="pct"/>
            <w:tcBorders>
              <w:top w:val="single" w:sz="4" w:space="0" w:color="auto"/>
              <w:left w:val="single" w:sz="4" w:space="0" w:color="auto"/>
              <w:bottom w:val="single" w:sz="4" w:space="0" w:color="auto"/>
              <w:right w:val="single" w:sz="4" w:space="0" w:color="auto"/>
            </w:tcBorders>
            <w:noWrap/>
            <w:hideMark/>
          </w:tcPr>
          <w:p w14:paraId="3488F743" w14:textId="77777777" w:rsidR="00A41E60" w:rsidRPr="00D85E09" w:rsidRDefault="00A41E60" w:rsidP="0043316B">
            <w:pPr>
              <w:pStyle w:val="Tabletext"/>
              <w:keepNext w:val="0"/>
              <w:widowControl w:val="0"/>
              <w:jc w:val="center"/>
            </w:pPr>
            <w:r w:rsidRPr="00D85E09">
              <w:t>.</w:t>
            </w:r>
          </w:p>
        </w:tc>
        <w:tc>
          <w:tcPr>
            <w:tcW w:w="637" w:type="pct"/>
            <w:tcBorders>
              <w:top w:val="single" w:sz="4" w:space="0" w:color="auto"/>
              <w:left w:val="single" w:sz="4" w:space="0" w:color="auto"/>
              <w:bottom w:val="single" w:sz="4" w:space="0" w:color="auto"/>
              <w:right w:val="single" w:sz="4" w:space="0" w:color="auto"/>
            </w:tcBorders>
            <w:noWrap/>
            <w:hideMark/>
          </w:tcPr>
          <w:p w14:paraId="058281E3" w14:textId="77777777" w:rsidR="00A41E60" w:rsidRPr="00D85E09" w:rsidRDefault="00A41E60" w:rsidP="0043316B">
            <w:pPr>
              <w:pStyle w:val="Tabletext"/>
              <w:keepNext w:val="0"/>
              <w:widowControl w:val="0"/>
              <w:jc w:val="center"/>
            </w:pPr>
            <w:r w:rsidRPr="00D85E09">
              <w:t>.</w:t>
            </w:r>
          </w:p>
        </w:tc>
      </w:tr>
      <w:tr w:rsidR="00A41E60" w:rsidRPr="00D85E09" w14:paraId="385766E4" w14:textId="77777777" w:rsidTr="00A41E60">
        <w:trPr>
          <w:trHeight w:val="329"/>
        </w:trPr>
        <w:tc>
          <w:tcPr>
            <w:tcW w:w="886" w:type="pct"/>
            <w:tcBorders>
              <w:top w:val="single" w:sz="4" w:space="0" w:color="auto"/>
              <w:left w:val="single" w:sz="4" w:space="0" w:color="auto"/>
              <w:bottom w:val="single" w:sz="4" w:space="0" w:color="auto"/>
              <w:right w:val="single" w:sz="4" w:space="0" w:color="auto"/>
            </w:tcBorders>
            <w:noWrap/>
            <w:hideMark/>
          </w:tcPr>
          <w:p w14:paraId="54AEC2BE" w14:textId="43263EB4" w:rsidR="00A41E60" w:rsidRPr="00D85E09" w:rsidRDefault="00A41E60" w:rsidP="0043316B">
            <w:pPr>
              <w:pStyle w:val="Tabletext"/>
              <w:keepNext w:val="0"/>
              <w:widowControl w:val="0"/>
            </w:pPr>
            <w:r w:rsidRPr="00D85E09">
              <w:t>Kolominsky</w:t>
            </w:r>
            <w:r w:rsidR="00D32933" w:rsidRPr="00D85E09">
              <w:t>-</w:t>
            </w:r>
            <w:r w:rsidRPr="00D85E09">
              <w:t>Rabas et al</w:t>
            </w:r>
          </w:p>
        </w:tc>
        <w:tc>
          <w:tcPr>
            <w:tcW w:w="564" w:type="pct"/>
            <w:tcBorders>
              <w:top w:val="single" w:sz="4" w:space="0" w:color="auto"/>
              <w:left w:val="single" w:sz="4" w:space="0" w:color="auto"/>
              <w:bottom w:val="single" w:sz="4" w:space="0" w:color="auto"/>
              <w:right w:val="single" w:sz="4" w:space="0" w:color="auto"/>
            </w:tcBorders>
            <w:noWrap/>
            <w:hideMark/>
          </w:tcPr>
          <w:p w14:paraId="4F71C85E" w14:textId="77777777" w:rsidR="00A41E60" w:rsidRPr="00D85E09" w:rsidRDefault="00A41E60" w:rsidP="0043316B">
            <w:pPr>
              <w:pStyle w:val="Tabletext"/>
              <w:keepNext w:val="0"/>
              <w:widowControl w:val="0"/>
            </w:pPr>
            <w:r w:rsidRPr="00D85E09">
              <w:t>Germany</w:t>
            </w:r>
          </w:p>
        </w:tc>
        <w:tc>
          <w:tcPr>
            <w:tcW w:w="727" w:type="pct"/>
            <w:tcBorders>
              <w:top w:val="single" w:sz="4" w:space="0" w:color="auto"/>
              <w:left w:val="single" w:sz="4" w:space="0" w:color="auto"/>
              <w:bottom w:val="single" w:sz="4" w:space="0" w:color="auto"/>
              <w:right w:val="single" w:sz="4" w:space="0" w:color="auto"/>
            </w:tcBorders>
            <w:noWrap/>
            <w:hideMark/>
          </w:tcPr>
          <w:p w14:paraId="5B2093B7" w14:textId="77777777" w:rsidR="00A41E60" w:rsidRPr="00D85E09" w:rsidRDefault="00A41E60" w:rsidP="0043316B">
            <w:pPr>
              <w:pStyle w:val="Tabletext"/>
              <w:keepNext w:val="0"/>
              <w:widowControl w:val="0"/>
            </w:pPr>
            <w:r w:rsidRPr="00D85E09">
              <w:t>1994–1998</w:t>
            </w:r>
          </w:p>
        </w:tc>
        <w:tc>
          <w:tcPr>
            <w:tcW w:w="404" w:type="pct"/>
            <w:tcBorders>
              <w:top w:val="single" w:sz="4" w:space="0" w:color="auto"/>
              <w:left w:val="single" w:sz="4" w:space="0" w:color="auto"/>
              <w:bottom w:val="single" w:sz="4" w:space="0" w:color="auto"/>
              <w:right w:val="single" w:sz="4" w:space="0" w:color="auto"/>
            </w:tcBorders>
            <w:noWrap/>
            <w:hideMark/>
          </w:tcPr>
          <w:p w14:paraId="0BCFBDF5" w14:textId="77777777" w:rsidR="00A41E60" w:rsidRPr="00D85E09" w:rsidRDefault="00A41E60" w:rsidP="0043316B">
            <w:pPr>
              <w:pStyle w:val="Tabletext"/>
              <w:keepNext w:val="0"/>
              <w:widowControl w:val="0"/>
              <w:jc w:val="center"/>
            </w:pPr>
            <w:r w:rsidRPr="00D85E09">
              <w:t>583</w:t>
            </w:r>
          </w:p>
        </w:tc>
        <w:tc>
          <w:tcPr>
            <w:tcW w:w="579" w:type="pct"/>
            <w:tcBorders>
              <w:top w:val="single" w:sz="4" w:space="0" w:color="auto"/>
              <w:left w:val="single" w:sz="4" w:space="0" w:color="auto"/>
              <w:bottom w:val="single" w:sz="4" w:space="0" w:color="auto"/>
              <w:right w:val="single" w:sz="4" w:space="0" w:color="auto"/>
            </w:tcBorders>
            <w:noWrap/>
            <w:hideMark/>
          </w:tcPr>
          <w:p w14:paraId="3BB717C0" w14:textId="77777777" w:rsidR="00A41E60" w:rsidRPr="00D85E09" w:rsidRDefault="00A41E60" w:rsidP="0043316B">
            <w:pPr>
              <w:pStyle w:val="Tabletext"/>
              <w:keepNext w:val="0"/>
              <w:widowControl w:val="0"/>
              <w:jc w:val="center"/>
            </w:pPr>
            <w:r w:rsidRPr="00D85E09">
              <w:t>.</w:t>
            </w:r>
          </w:p>
        </w:tc>
        <w:tc>
          <w:tcPr>
            <w:tcW w:w="563" w:type="pct"/>
            <w:tcBorders>
              <w:top w:val="single" w:sz="4" w:space="0" w:color="auto"/>
              <w:left w:val="single" w:sz="4" w:space="0" w:color="auto"/>
              <w:bottom w:val="single" w:sz="4" w:space="0" w:color="auto"/>
              <w:right w:val="single" w:sz="4" w:space="0" w:color="auto"/>
            </w:tcBorders>
            <w:noWrap/>
            <w:hideMark/>
          </w:tcPr>
          <w:p w14:paraId="7A16FFFB" w14:textId="77777777" w:rsidR="00A41E60" w:rsidRPr="00D85E09" w:rsidRDefault="00A41E60" w:rsidP="0043316B">
            <w:pPr>
              <w:pStyle w:val="Tabletext"/>
              <w:keepNext w:val="0"/>
              <w:widowControl w:val="0"/>
              <w:jc w:val="center"/>
            </w:pPr>
            <w:r w:rsidRPr="00D85E09">
              <w:t>11</w:t>
            </w:r>
          </w:p>
        </w:tc>
        <w:tc>
          <w:tcPr>
            <w:tcW w:w="640" w:type="pct"/>
            <w:tcBorders>
              <w:top w:val="single" w:sz="4" w:space="0" w:color="auto"/>
              <w:left w:val="single" w:sz="4" w:space="0" w:color="auto"/>
              <w:bottom w:val="single" w:sz="4" w:space="0" w:color="auto"/>
              <w:right w:val="single" w:sz="4" w:space="0" w:color="auto"/>
            </w:tcBorders>
            <w:noWrap/>
            <w:hideMark/>
          </w:tcPr>
          <w:p w14:paraId="5F673B37" w14:textId="77777777" w:rsidR="00A41E60" w:rsidRPr="00D85E09" w:rsidRDefault="00A41E60" w:rsidP="0043316B">
            <w:pPr>
              <w:pStyle w:val="Tabletext"/>
              <w:keepNext w:val="0"/>
              <w:widowControl w:val="0"/>
              <w:jc w:val="center"/>
            </w:pPr>
            <w:r w:rsidRPr="00D85E09">
              <w:t>.</w:t>
            </w:r>
          </w:p>
        </w:tc>
        <w:tc>
          <w:tcPr>
            <w:tcW w:w="637" w:type="pct"/>
            <w:tcBorders>
              <w:top w:val="single" w:sz="4" w:space="0" w:color="auto"/>
              <w:left w:val="single" w:sz="4" w:space="0" w:color="auto"/>
              <w:bottom w:val="single" w:sz="4" w:space="0" w:color="auto"/>
              <w:right w:val="single" w:sz="4" w:space="0" w:color="auto"/>
            </w:tcBorders>
            <w:noWrap/>
            <w:hideMark/>
          </w:tcPr>
          <w:p w14:paraId="165790B7" w14:textId="77777777" w:rsidR="00A41E60" w:rsidRPr="00D85E09" w:rsidRDefault="00A41E60" w:rsidP="0043316B">
            <w:pPr>
              <w:pStyle w:val="Tabletext"/>
              <w:keepNext w:val="0"/>
              <w:widowControl w:val="0"/>
              <w:jc w:val="center"/>
            </w:pPr>
            <w:r w:rsidRPr="00D85E09">
              <w:t>.</w:t>
            </w:r>
          </w:p>
        </w:tc>
      </w:tr>
      <w:tr w:rsidR="00A41E60" w:rsidRPr="00D85E09" w14:paraId="09F16064"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0C130B54" w14:textId="77777777" w:rsidR="00A41E60" w:rsidRPr="00D85E09" w:rsidRDefault="00A41E60" w:rsidP="0043316B">
            <w:pPr>
              <w:pStyle w:val="Tabletext"/>
              <w:keepNext w:val="0"/>
              <w:widowControl w:val="0"/>
            </w:pPr>
            <w:r w:rsidRPr="00D85E09">
              <w:t>Mohan et al</w:t>
            </w:r>
          </w:p>
        </w:tc>
        <w:tc>
          <w:tcPr>
            <w:tcW w:w="564" w:type="pct"/>
            <w:tcBorders>
              <w:top w:val="single" w:sz="4" w:space="0" w:color="auto"/>
              <w:left w:val="single" w:sz="4" w:space="0" w:color="auto"/>
              <w:bottom w:val="single" w:sz="4" w:space="0" w:color="auto"/>
              <w:right w:val="single" w:sz="4" w:space="0" w:color="auto"/>
            </w:tcBorders>
            <w:noWrap/>
            <w:hideMark/>
          </w:tcPr>
          <w:p w14:paraId="51A64877" w14:textId="77777777" w:rsidR="00A41E60" w:rsidRPr="00D85E09" w:rsidRDefault="00A41E60" w:rsidP="0043316B">
            <w:pPr>
              <w:pStyle w:val="Tabletext"/>
              <w:keepNext w:val="0"/>
              <w:widowControl w:val="0"/>
            </w:pPr>
            <w:r w:rsidRPr="00D85E09">
              <w:t>UK</w:t>
            </w:r>
          </w:p>
        </w:tc>
        <w:tc>
          <w:tcPr>
            <w:tcW w:w="727" w:type="pct"/>
            <w:tcBorders>
              <w:top w:val="single" w:sz="4" w:space="0" w:color="auto"/>
              <w:left w:val="single" w:sz="4" w:space="0" w:color="auto"/>
              <w:bottom w:val="single" w:sz="4" w:space="0" w:color="auto"/>
              <w:right w:val="single" w:sz="4" w:space="0" w:color="auto"/>
            </w:tcBorders>
            <w:noWrap/>
            <w:hideMark/>
          </w:tcPr>
          <w:p w14:paraId="7336EAD9" w14:textId="77777777" w:rsidR="00A41E60" w:rsidRPr="00D85E09" w:rsidRDefault="00A41E60" w:rsidP="0043316B">
            <w:pPr>
              <w:pStyle w:val="Tabletext"/>
              <w:keepNext w:val="0"/>
              <w:widowControl w:val="0"/>
            </w:pPr>
            <w:r w:rsidRPr="00D85E09">
              <w:t>1995–2004</w:t>
            </w:r>
          </w:p>
        </w:tc>
        <w:tc>
          <w:tcPr>
            <w:tcW w:w="404" w:type="pct"/>
            <w:tcBorders>
              <w:top w:val="single" w:sz="4" w:space="0" w:color="auto"/>
              <w:left w:val="single" w:sz="4" w:space="0" w:color="auto"/>
              <w:bottom w:val="single" w:sz="4" w:space="0" w:color="auto"/>
              <w:right w:val="single" w:sz="4" w:space="0" w:color="auto"/>
            </w:tcBorders>
            <w:noWrap/>
            <w:hideMark/>
          </w:tcPr>
          <w:p w14:paraId="1CDC7D12" w14:textId="77777777" w:rsidR="00A41E60" w:rsidRPr="00D85E09" w:rsidRDefault="00A41E60" w:rsidP="0043316B">
            <w:pPr>
              <w:pStyle w:val="Tabletext"/>
              <w:keepNext w:val="0"/>
              <w:widowControl w:val="0"/>
              <w:jc w:val="center"/>
            </w:pPr>
            <w:r w:rsidRPr="00D85E09">
              <w:t>2874</w:t>
            </w:r>
          </w:p>
        </w:tc>
        <w:tc>
          <w:tcPr>
            <w:tcW w:w="579" w:type="pct"/>
            <w:tcBorders>
              <w:top w:val="single" w:sz="4" w:space="0" w:color="auto"/>
              <w:left w:val="single" w:sz="4" w:space="0" w:color="auto"/>
              <w:bottom w:val="single" w:sz="4" w:space="0" w:color="auto"/>
              <w:right w:val="single" w:sz="4" w:space="0" w:color="auto"/>
            </w:tcBorders>
            <w:noWrap/>
            <w:hideMark/>
          </w:tcPr>
          <w:p w14:paraId="51B6E74A" w14:textId="77777777" w:rsidR="00A41E60" w:rsidRPr="00D85E09" w:rsidRDefault="00A41E60" w:rsidP="0043316B">
            <w:pPr>
              <w:pStyle w:val="Tabletext"/>
              <w:keepNext w:val="0"/>
              <w:widowControl w:val="0"/>
              <w:jc w:val="center"/>
            </w:pPr>
            <w:r w:rsidRPr="00D85E09">
              <w:t>1.1</w:t>
            </w:r>
          </w:p>
        </w:tc>
        <w:tc>
          <w:tcPr>
            <w:tcW w:w="563" w:type="pct"/>
            <w:tcBorders>
              <w:top w:val="single" w:sz="4" w:space="0" w:color="auto"/>
              <w:left w:val="single" w:sz="4" w:space="0" w:color="auto"/>
              <w:bottom w:val="single" w:sz="4" w:space="0" w:color="auto"/>
              <w:right w:val="single" w:sz="4" w:space="0" w:color="auto"/>
            </w:tcBorders>
            <w:noWrap/>
            <w:hideMark/>
          </w:tcPr>
          <w:p w14:paraId="70D3F439" w14:textId="77777777" w:rsidR="00A41E60" w:rsidRPr="00D85E09" w:rsidRDefault="00A41E60" w:rsidP="0043316B">
            <w:pPr>
              <w:pStyle w:val="Tabletext"/>
              <w:keepNext w:val="0"/>
              <w:widowControl w:val="0"/>
              <w:jc w:val="center"/>
            </w:pPr>
            <w:r w:rsidRPr="00D85E09">
              <w:t>7.1</w:t>
            </w:r>
          </w:p>
        </w:tc>
        <w:tc>
          <w:tcPr>
            <w:tcW w:w="640" w:type="pct"/>
            <w:tcBorders>
              <w:top w:val="single" w:sz="4" w:space="0" w:color="auto"/>
              <w:left w:val="single" w:sz="4" w:space="0" w:color="auto"/>
              <w:bottom w:val="single" w:sz="4" w:space="0" w:color="auto"/>
              <w:right w:val="single" w:sz="4" w:space="0" w:color="auto"/>
            </w:tcBorders>
            <w:noWrap/>
            <w:hideMark/>
          </w:tcPr>
          <w:p w14:paraId="0E4D0F98" w14:textId="77777777" w:rsidR="00A41E60" w:rsidRPr="00D85E09" w:rsidRDefault="00A41E60" w:rsidP="0043316B">
            <w:pPr>
              <w:pStyle w:val="Tabletext"/>
              <w:keepNext w:val="0"/>
              <w:widowControl w:val="0"/>
              <w:jc w:val="center"/>
            </w:pPr>
            <w:r w:rsidRPr="00D85E09">
              <w:t>16.2</w:t>
            </w:r>
          </w:p>
        </w:tc>
        <w:tc>
          <w:tcPr>
            <w:tcW w:w="637" w:type="pct"/>
            <w:tcBorders>
              <w:top w:val="single" w:sz="4" w:space="0" w:color="auto"/>
              <w:left w:val="single" w:sz="4" w:space="0" w:color="auto"/>
              <w:bottom w:val="single" w:sz="4" w:space="0" w:color="auto"/>
              <w:right w:val="single" w:sz="4" w:space="0" w:color="auto"/>
            </w:tcBorders>
            <w:noWrap/>
            <w:hideMark/>
          </w:tcPr>
          <w:p w14:paraId="3D5BE873" w14:textId="77777777" w:rsidR="00A41E60" w:rsidRPr="00D85E09" w:rsidRDefault="00A41E60" w:rsidP="0043316B">
            <w:pPr>
              <w:pStyle w:val="Tabletext"/>
              <w:keepNext w:val="0"/>
              <w:widowControl w:val="0"/>
              <w:jc w:val="center"/>
            </w:pPr>
            <w:r w:rsidRPr="00D85E09">
              <w:t>24.5</w:t>
            </w:r>
          </w:p>
        </w:tc>
      </w:tr>
      <w:tr w:rsidR="00A41E60" w:rsidRPr="00D85E09" w14:paraId="719D6869" w14:textId="77777777" w:rsidTr="00A41E60">
        <w:trPr>
          <w:trHeight w:val="329"/>
        </w:trPr>
        <w:tc>
          <w:tcPr>
            <w:tcW w:w="886" w:type="pct"/>
            <w:tcBorders>
              <w:top w:val="single" w:sz="4" w:space="0" w:color="auto"/>
              <w:left w:val="single" w:sz="4" w:space="0" w:color="auto"/>
              <w:bottom w:val="single" w:sz="4" w:space="0" w:color="auto"/>
              <w:right w:val="single" w:sz="4" w:space="0" w:color="auto"/>
            </w:tcBorders>
            <w:noWrap/>
            <w:hideMark/>
          </w:tcPr>
          <w:p w14:paraId="0C0BA34A" w14:textId="77777777" w:rsidR="00A41E60" w:rsidRPr="00D85E09" w:rsidRDefault="00A41E60" w:rsidP="0043316B">
            <w:pPr>
              <w:pStyle w:val="Tabletext"/>
              <w:keepNext w:val="0"/>
              <w:widowControl w:val="0"/>
            </w:pPr>
            <w:r w:rsidRPr="00D85E09">
              <w:t>Modrego et al</w:t>
            </w:r>
          </w:p>
        </w:tc>
        <w:tc>
          <w:tcPr>
            <w:tcW w:w="564" w:type="pct"/>
            <w:tcBorders>
              <w:top w:val="single" w:sz="4" w:space="0" w:color="auto"/>
              <w:left w:val="single" w:sz="4" w:space="0" w:color="auto"/>
              <w:bottom w:val="single" w:sz="4" w:space="0" w:color="auto"/>
              <w:right w:val="single" w:sz="4" w:space="0" w:color="auto"/>
            </w:tcBorders>
            <w:noWrap/>
            <w:hideMark/>
          </w:tcPr>
          <w:p w14:paraId="358401E2" w14:textId="77777777" w:rsidR="00A41E60" w:rsidRPr="00D85E09" w:rsidRDefault="00A41E60" w:rsidP="0043316B">
            <w:pPr>
              <w:pStyle w:val="Tabletext"/>
              <w:keepNext w:val="0"/>
              <w:widowControl w:val="0"/>
            </w:pPr>
            <w:r w:rsidRPr="00D85E09">
              <w:t>Spain</w:t>
            </w:r>
          </w:p>
        </w:tc>
        <w:tc>
          <w:tcPr>
            <w:tcW w:w="727" w:type="pct"/>
            <w:tcBorders>
              <w:top w:val="single" w:sz="4" w:space="0" w:color="auto"/>
              <w:left w:val="single" w:sz="4" w:space="0" w:color="auto"/>
              <w:bottom w:val="single" w:sz="4" w:space="0" w:color="auto"/>
              <w:right w:val="single" w:sz="4" w:space="0" w:color="auto"/>
            </w:tcBorders>
            <w:noWrap/>
            <w:hideMark/>
          </w:tcPr>
          <w:p w14:paraId="24491731" w14:textId="77777777" w:rsidR="00A41E60" w:rsidRPr="00D85E09" w:rsidRDefault="00A41E60" w:rsidP="0043316B">
            <w:pPr>
              <w:pStyle w:val="Tabletext"/>
              <w:keepNext w:val="0"/>
              <w:widowControl w:val="0"/>
            </w:pPr>
            <w:r w:rsidRPr="00D85E09">
              <w:t>1997–2001</w:t>
            </w:r>
          </w:p>
        </w:tc>
        <w:tc>
          <w:tcPr>
            <w:tcW w:w="404" w:type="pct"/>
            <w:tcBorders>
              <w:top w:val="single" w:sz="4" w:space="0" w:color="auto"/>
              <w:left w:val="single" w:sz="4" w:space="0" w:color="auto"/>
              <w:bottom w:val="single" w:sz="4" w:space="0" w:color="auto"/>
              <w:right w:val="single" w:sz="4" w:space="0" w:color="auto"/>
            </w:tcBorders>
            <w:noWrap/>
            <w:hideMark/>
          </w:tcPr>
          <w:p w14:paraId="230B6F58" w14:textId="77777777" w:rsidR="00A41E60" w:rsidRPr="00D85E09" w:rsidRDefault="00A41E60" w:rsidP="0043316B">
            <w:pPr>
              <w:pStyle w:val="Tabletext"/>
              <w:keepNext w:val="0"/>
              <w:widowControl w:val="0"/>
              <w:jc w:val="center"/>
            </w:pPr>
            <w:r w:rsidRPr="00D85E09">
              <w:t>425</w:t>
            </w:r>
          </w:p>
        </w:tc>
        <w:tc>
          <w:tcPr>
            <w:tcW w:w="579" w:type="pct"/>
            <w:tcBorders>
              <w:top w:val="single" w:sz="4" w:space="0" w:color="auto"/>
              <w:left w:val="single" w:sz="4" w:space="0" w:color="auto"/>
              <w:bottom w:val="single" w:sz="4" w:space="0" w:color="auto"/>
              <w:right w:val="single" w:sz="4" w:space="0" w:color="auto"/>
            </w:tcBorders>
            <w:noWrap/>
            <w:hideMark/>
          </w:tcPr>
          <w:p w14:paraId="08BB53D2" w14:textId="77777777" w:rsidR="00A41E60" w:rsidRPr="00D85E09" w:rsidRDefault="00A41E60" w:rsidP="0043316B">
            <w:pPr>
              <w:pStyle w:val="Tabletext"/>
              <w:keepNext w:val="0"/>
              <w:widowControl w:val="0"/>
              <w:jc w:val="center"/>
            </w:pPr>
            <w:r w:rsidRPr="00D85E09">
              <w:t>2.1</w:t>
            </w:r>
          </w:p>
        </w:tc>
        <w:tc>
          <w:tcPr>
            <w:tcW w:w="563" w:type="pct"/>
            <w:tcBorders>
              <w:top w:val="single" w:sz="4" w:space="0" w:color="auto"/>
              <w:left w:val="single" w:sz="4" w:space="0" w:color="auto"/>
              <w:bottom w:val="single" w:sz="4" w:space="0" w:color="auto"/>
              <w:right w:val="single" w:sz="4" w:space="0" w:color="auto"/>
            </w:tcBorders>
            <w:noWrap/>
            <w:hideMark/>
          </w:tcPr>
          <w:p w14:paraId="158B5265" w14:textId="77777777" w:rsidR="00A41E60" w:rsidRPr="00D85E09" w:rsidRDefault="00A41E60" w:rsidP="0043316B">
            <w:pPr>
              <w:pStyle w:val="Tabletext"/>
              <w:keepNext w:val="0"/>
              <w:widowControl w:val="0"/>
              <w:jc w:val="center"/>
            </w:pPr>
            <w:r w:rsidRPr="00D85E09">
              <w:t>9.5</w:t>
            </w:r>
          </w:p>
        </w:tc>
        <w:tc>
          <w:tcPr>
            <w:tcW w:w="640" w:type="pct"/>
            <w:tcBorders>
              <w:top w:val="single" w:sz="4" w:space="0" w:color="auto"/>
              <w:left w:val="single" w:sz="4" w:space="0" w:color="auto"/>
              <w:bottom w:val="single" w:sz="4" w:space="0" w:color="auto"/>
              <w:right w:val="single" w:sz="4" w:space="0" w:color="auto"/>
            </w:tcBorders>
            <w:noWrap/>
            <w:hideMark/>
          </w:tcPr>
          <w:p w14:paraId="1CE49B86" w14:textId="77777777" w:rsidR="00A41E60" w:rsidRPr="00D85E09" w:rsidRDefault="00A41E60" w:rsidP="0043316B">
            <w:pPr>
              <w:pStyle w:val="Tabletext"/>
              <w:keepNext w:val="0"/>
              <w:widowControl w:val="0"/>
              <w:jc w:val="center"/>
            </w:pPr>
            <w:r w:rsidRPr="00D85E09">
              <w:t>26</w:t>
            </w:r>
          </w:p>
        </w:tc>
        <w:tc>
          <w:tcPr>
            <w:tcW w:w="637" w:type="pct"/>
            <w:tcBorders>
              <w:top w:val="single" w:sz="4" w:space="0" w:color="auto"/>
              <w:left w:val="single" w:sz="4" w:space="0" w:color="auto"/>
              <w:bottom w:val="single" w:sz="4" w:space="0" w:color="auto"/>
              <w:right w:val="single" w:sz="4" w:space="0" w:color="auto"/>
            </w:tcBorders>
            <w:noWrap/>
            <w:hideMark/>
          </w:tcPr>
          <w:p w14:paraId="092F2B51" w14:textId="77777777" w:rsidR="00A41E60" w:rsidRPr="00D85E09" w:rsidRDefault="00A41E60" w:rsidP="0043316B">
            <w:pPr>
              <w:pStyle w:val="Tabletext"/>
              <w:keepNext w:val="0"/>
              <w:widowControl w:val="0"/>
              <w:jc w:val="center"/>
            </w:pPr>
            <w:r w:rsidRPr="00D85E09">
              <w:t>.</w:t>
            </w:r>
          </w:p>
        </w:tc>
      </w:tr>
      <w:tr w:rsidR="00A41E60" w:rsidRPr="00D85E09" w14:paraId="72C2A2D0"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3EBB87DE" w14:textId="77777777" w:rsidR="00A41E60" w:rsidRPr="00D85E09" w:rsidRDefault="00A41E60" w:rsidP="0043316B">
            <w:pPr>
              <w:pStyle w:val="Tabletext"/>
              <w:keepNext w:val="0"/>
              <w:widowControl w:val="0"/>
            </w:pPr>
            <w:r w:rsidRPr="00D85E09">
              <w:t>Appelros et al</w:t>
            </w:r>
          </w:p>
        </w:tc>
        <w:tc>
          <w:tcPr>
            <w:tcW w:w="564" w:type="pct"/>
            <w:tcBorders>
              <w:top w:val="single" w:sz="4" w:space="0" w:color="auto"/>
              <w:left w:val="single" w:sz="4" w:space="0" w:color="auto"/>
              <w:bottom w:val="single" w:sz="4" w:space="0" w:color="auto"/>
              <w:right w:val="single" w:sz="4" w:space="0" w:color="auto"/>
            </w:tcBorders>
            <w:noWrap/>
            <w:hideMark/>
          </w:tcPr>
          <w:p w14:paraId="3B583613" w14:textId="77777777" w:rsidR="00A41E60" w:rsidRPr="00D85E09" w:rsidRDefault="00A41E60" w:rsidP="0043316B">
            <w:pPr>
              <w:pStyle w:val="Tabletext"/>
              <w:keepNext w:val="0"/>
              <w:widowControl w:val="0"/>
            </w:pPr>
            <w:r w:rsidRPr="00D85E09">
              <w:t>Sweden</w:t>
            </w:r>
          </w:p>
        </w:tc>
        <w:tc>
          <w:tcPr>
            <w:tcW w:w="727" w:type="pct"/>
            <w:tcBorders>
              <w:top w:val="single" w:sz="4" w:space="0" w:color="auto"/>
              <w:left w:val="single" w:sz="4" w:space="0" w:color="auto"/>
              <w:bottom w:val="single" w:sz="4" w:space="0" w:color="auto"/>
              <w:right w:val="single" w:sz="4" w:space="0" w:color="auto"/>
            </w:tcBorders>
            <w:noWrap/>
            <w:hideMark/>
          </w:tcPr>
          <w:p w14:paraId="421F5C5B" w14:textId="77777777" w:rsidR="00A41E60" w:rsidRPr="00D85E09" w:rsidRDefault="00A41E60" w:rsidP="0043316B">
            <w:pPr>
              <w:pStyle w:val="Tabletext"/>
              <w:keepNext w:val="0"/>
              <w:widowControl w:val="0"/>
            </w:pPr>
            <w:r w:rsidRPr="00D85E09">
              <w:t>1999–2000</w:t>
            </w:r>
          </w:p>
        </w:tc>
        <w:tc>
          <w:tcPr>
            <w:tcW w:w="404" w:type="pct"/>
            <w:tcBorders>
              <w:top w:val="single" w:sz="4" w:space="0" w:color="auto"/>
              <w:left w:val="single" w:sz="4" w:space="0" w:color="auto"/>
              <w:bottom w:val="single" w:sz="4" w:space="0" w:color="auto"/>
              <w:right w:val="single" w:sz="4" w:space="0" w:color="auto"/>
            </w:tcBorders>
            <w:noWrap/>
            <w:hideMark/>
          </w:tcPr>
          <w:p w14:paraId="4826E6A6" w14:textId="77777777" w:rsidR="00A41E60" w:rsidRPr="00D85E09" w:rsidRDefault="00A41E60" w:rsidP="0043316B">
            <w:pPr>
              <w:pStyle w:val="Tabletext"/>
              <w:keepNext w:val="0"/>
              <w:widowControl w:val="0"/>
              <w:jc w:val="center"/>
            </w:pPr>
            <w:r w:rsidRPr="00D85E09">
              <w:t>377</w:t>
            </w:r>
          </w:p>
        </w:tc>
        <w:tc>
          <w:tcPr>
            <w:tcW w:w="579" w:type="pct"/>
            <w:tcBorders>
              <w:top w:val="single" w:sz="4" w:space="0" w:color="auto"/>
              <w:left w:val="single" w:sz="4" w:space="0" w:color="auto"/>
              <w:bottom w:val="single" w:sz="4" w:space="0" w:color="auto"/>
              <w:right w:val="single" w:sz="4" w:space="0" w:color="auto"/>
            </w:tcBorders>
            <w:noWrap/>
            <w:hideMark/>
          </w:tcPr>
          <w:p w14:paraId="176B551C" w14:textId="77777777" w:rsidR="00A41E60" w:rsidRPr="00D85E09" w:rsidRDefault="00A41E60" w:rsidP="0043316B">
            <w:pPr>
              <w:pStyle w:val="Tabletext"/>
              <w:keepNext w:val="0"/>
              <w:widowControl w:val="0"/>
              <w:jc w:val="center"/>
            </w:pPr>
            <w:r w:rsidRPr="00D85E09">
              <w:t>.</w:t>
            </w:r>
          </w:p>
        </w:tc>
        <w:tc>
          <w:tcPr>
            <w:tcW w:w="563" w:type="pct"/>
            <w:tcBorders>
              <w:top w:val="single" w:sz="4" w:space="0" w:color="auto"/>
              <w:left w:val="single" w:sz="4" w:space="0" w:color="auto"/>
              <w:bottom w:val="single" w:sz="4" w:space="0" w:color="auto"/>
              <w:right w:val="single" w:sz="4" w:space="0" w:color="auto"/>
            </w:tcBorders>
            <w:noWrap/>
            <w:hideMark/>
          </w:tcPr>
          <w:p w14:paraId="0BACCEBE" w14:textId="77777777" w:rsidR="00A41E60" w:rsidRPr="00D85E09" w:rsidRDefault="00A41E60" w:rsidP="0043316B">
            <w:pPr>
              <w:pStyle w:val="Tabletext"/>
              <w:keepNext w:val="0"/>
              <w:widowControl w:val="0"/>
              <w:jc w:val="center"/>
            </w:pPr>
            <w:r w:rsidRPr="00D85E09">
              <w:t>9</w:t>
            </w:r>
          </w:p>
        </w:tc>
        <w:tc>
          <w:tcPr>
            <w:tcW w:w="640" w:type="pct"/>
            <w:tcBorders>
              <w:top w:val="single" w:sz="4" w:space="0" w:color="auto"/>
              <w:left w:val="single" w:sz="4" w:space="0" w:color="auto"/>
              <w:bottom w:val="single" w:sz="4" w:space="0" w:color="auto"/>
              <w:right w:val="single" w:sz="4" w:space="0" w:color="auto"/>
            </w:tcBorders>
            <w:noWrap/>
            <w:hideMark/>
          </w:tcPr>
          <w:p w14:paraId="7F841201" w14:textId="77777777" w:rsidR="00A41E60" w:rsidRPr="00D85E09" w:rsidRDefault="00A41E60" w:rsidP="0043316B">
            <w:pPr>
              <w:pStyle w:val="Tabletext"/>
              <w:keepNext w:val="0"/>
              <w:widowControl w:val="0"/>
              <w:jc w:val="center"/>
            </w:pPr>
            <w:r w:rsidRPr="00D85E09">
              <w:t>.</w:t>
            </w:r>
          </w:p>
        </w:tc>
        <w:tc>
          <w:tcPr>
            <w:tcW w:w="637" w:type="pct"/>
            <w:tcBorders>
              <w:top w:val="single" w:sz="4" w:space="0" w:color="auto"/>
              <w:left w:val="single" w:sz="4" w:space="0" w:color="auto"/>
              <w:bottom w:val="single" w:sz="4" w:space="0" w:color="auto"/>
              <w:right w:val="single" w:sz="4" w:space="0" w:color="auto"/>
            </w:tcBorders>
            <w:noWrap/>
            <w:hideMark/>
          </w:tcPr>
          <w:p w14:paraId="08B3BF68" w14:textId="77777777" w:rsidR="00A41E60" w:rsidRPr="00D85E09" w:rsidRDefault="00A41E60" w:rsidP="0043316B">
            <w:pPr>
              <w:pStyle w:val="Tabletext"/>
              <w:keepNext w:val="0"/>
              <w:widowControl w:val="0"/>
              <w:jc w:val="center"/>
            </w:pPr>
            <w:r w:rsidRPr="00D85E09">
              <w:t>.</w:t>
            </w:r>
          </w:p>
        </w:tc>
      </w:tr>
      <w:tr w:rsidR="00A41E60" w:rsidRPr="00D85E09" w14:paraId="719AFCFF" w14:textId="77777777" w:rsidTr="00A41E60">
        <w:trPr>
          <w:trHeight w:val="329"/>
        </w:trPr>
        <w:tc>
          <w:tcPr>
            <w:tcW w:w="886" w:type="pct"/>
            <w:tcBorders>
              <w:top w:val="single" w:sz="4" w:space="0" w:color="auto"/>
              <w:left w:val="single" w:sz="4" w:space="0" w:color="auto"/>
              <w:bottom w:val="single" w:sz="4" w:space="0" w:color="auto"/>
              <w:right w:val="single" w:sz="4" w:space="0" w:color="auto"/>
            </w:tcBorders>
            <w:noWrap/>
            <w:hideMark/>
          </w:tcPr>
          <w:p w14:paraId="2FED01F2" w14:textId="77777777" w:rsidR="00A41E60" w:rsidRPr="00D85E09" w:rsidRDefault="00A41E60" w:rsidP="0043316B">
            <w:pPr>
              <w:pStyle w:val="Tabletext"/>
              <w:keepNext w:val="0"/>
              <w:widowControl w:val="0"/>
            </w:pPr>
            <w:r w:rsidRPr="00D85E09">
              <w:t>Coull et al</w:t>
            </w:r>
          </w:p>
        </w:tc>
        <w:tc>
          <w:tcPr>
            <w:tcW w:w="564" w:type="pct"/>
            <w:tcBorders>
              <w:top w:val="single" w:sz="4" w:space="0" w:color="auto"/>
              <w:left w:val="single" w:sz="4" w:space="0" w:color="auto"/>
              <w:bottom w:val="single" w:sz="4" w:space="0" w:color="auto"/>
              <w:right w:val="single" w:sz="4" w:space="0" w:color="auto"/>
            </w:tcBorders>
            <w:noWrap/>
            <w:hideMark/>
          </w:tcPr>
          <w:p w14:paraId="32706879" w14:textId="77777777" w:rsidR="00A41E60" w:rsidRPr="00D85E09" w:rsidRDefault="00A41E60" w:rsidP="0043316B">
            <w:pPr>
              <w:pStyle w:val="Tabletext"/>
              <w:keepNext w:val="0"/>
              <w:widowControl w:val="0"/>
            </w:pPr>
            <w:r w:rsidRPr="00D85E09">
              <w:t>UK</w:t>
            </w:r>
          </w:p>
        </w:tc>
        <w:tc>
          <w:tcPr>
            <w:tcW w:w="727" w:type="pct"/>
            <w:tcBorders>
              <w:top w:val="single" w:sz="4" w:space="0" w:color="auto"/>
              <w:left w:val="single" w:sz="4" w:space="0" w:color="auto"/>
              <w:bottom w:val="single" w:sz="4" w:space="0" w:color="auto"/>
              <w:right w:val="single" w:sz="4" w:space="0" w:color="auto"/>
            </w:tcBorders>
            <w:noWrap/>
            <w:hideMark/>
          </w:tcPr>
          <w:p w14:paraId="1D64AF58" w14:textId="77777777" w:rsidR="00A41E60" w:rsidRPr="00D85E09" w:rsidRDefault="00A41E60" w:rsidP="0043316B">
            <w:pPr>
              <w:pStyle w:val="Tabletext"/>
              <w:keepNext w:val="0"/>
              <w:widowControl w:val="0"/>
            </w:pPr>
            <w:r w:rsidRPr="00D85E09">
              <w:t>2002–2003</w:t>
            </w:r>
          </w:p>
        </w:tc>
        <w:tc>
          <w:tcPr>
            <w:tcW w:w="404" w:type="pct"/>
            <w:tcBorders>
              <w:top w:val="single" w:sz="4" w:space="0" w:color="auto"/>
              <w:left w:val="single" w:sz="4" w:space="0" w:color="auto"/>
              <w:bottom w:val="single" w:sz="4" w:space="0" w:color="auto"/>
              <w:right w:val="single" w:sz="4" w:space="0" w:color="auto"/>
            </w:tcBorders>
            <w:noWrap/>
            <w:hideMark/>
          </w:tcPr>
          <w:p w14:paraId="3AA77E16" w14:textId="77777777" w:rsidR="00A41E60" w:rsidRPr="00D85E09" w:rsidRDefault="00A41E60" w:rsidP="0043316B">
            <w:pPr>
              <w:pStyle w:val="Tabletext"/>
              <w:keepNext w:val="0"/>
              <w:widowControl w:val="0"/>
              <w:jc w:val="center"/>
            </w:pPr>
            <w:r w:rsidRPr="00D85E09">
              <w:t>87</w:t>
            </w:r>
          </w:p>
        </w:tc>
        <w:tc>
          <w:tcPr>
            <w:tcW w:w="579" w:type="pct"/>
            <w:tcBorders>
              <w:top w:val="single" w:sz="4" w:space="0" w:color="auto"/>
              <w:left w:val="single" w:sz="4" w:space="0" w:color="auto"/>
              <w:bottom w:val="single" w:sz="4" w:space="0" w:color="auto"/>
              <w:right w:val="single" w:sz="4" w:space="0" w:color="auto"/>
            </w:tcBorders>
            <w:noWrap/>
            <w:hideMark/>
          </w:tcPr>
          <w:p w14:paraId="469CF7E5" w14:textId="77777777" w:rsidR="00A41E60" w:rsidRPr="00D85E09" w:rsidRDefault="00A41E60" w:rsidP="0043316B">
            <w:pPr>
              <w:pStyle w:val="Tabletext"/>
              <w:keepNext w:val="0"/>
              <w:widowControl w:val="0"/>
              <w:jc w:val="center"/>
            </w:pPr>
            <w:r w:rsidRPr="00D85E09">
              <w:t>15</w:t>
            </w:r>
          </w:p>
        </w:tc>
        <w:tc>
          <w:tcPr>
            <w:tcW w:w="563" w:type="pct"/>
            <w:tcBorders>
              <w:top w:val="single" w:sz="4" w:space="0" w:color="auto"/>
              <w:left w:val="single" w:sz="4" w:space="0" w:color="auto"/>
              <w:bottom w:val="single" w:sz="4" w:space="0" w:color="auto"/>
              <w:right w:val="single" w:sz="4" w:space="0" w:color="auto"/>
            </w:tcBorders>
            <w:noWrap/>
            <w:hideMark/>
          </w:tcPr>
          <w:p w14:paraId="0EDEE73C" w14:textId="77777777" w:rsidR="00A41E60" w:rsidRPr="00D85E09" w:rsidRDefault="00A41E60" w:rsidP="0043316B">
            <w:pPr>
              <w:pStyle w:val="Tabletext"/>
              <w:keepNext w:val="0"/>
              <w:widowControl w:val="0"/>
              <w:jc w:val="center"/>
            </w:pPr>
            <w:r w:rsidRPr="00D85E09">
              <w:t>.</w:t>
            </w:r>
          </w:p>
        </w:tc>
        <w:tc>
          <w:tcPr>
            <w:tcW w:w="640" w:type="pct"/>
            <w:tcBorders>
              <w:top w:val="single" w:sz="4" w:space="0" w:color="auto"/>
              <w:left w:val="single" w:sz="4" w:space="0" w:color="auto"/>
              <w:bottom w:val="single" w:sz="4" w:space="0" w:color="auto"/>
              <w:right w:val="single" w:sz="4" w:space="0" w:color="auto"/>
            </w:tcBorders>
            <w:noWrap/>
            <w:hideMark/>
          </w:tcPr>
          <w:p w14:paraId="18599083" w14:textId="77777777" w:rsidR="00A41E60" w:rsidRPr="00D85E09" w:rsidRDefault="00A41E60" w:rsidP="0043316B">
            <w:pPr>
              <w:pStyle w:val="Tabletext"/>
              <w:keepNext w:val="0"/>
              <w:widowControl w:val="0"/>
              <w:jc w:val="center"/>
            </w:pPr>
            <w:r w:rsidRPr="00D85E09">
              <w:t>.</w:t>
            </w:r>
          </w:p>
        </w:tc>
        <w:tc>
          <w:tcPr>
            <w:tcW w:w="637" w:type="pct"/>
            <w:tcBorders>
              <w:top w:val="single" w:sz="4" w:space="0" w:color="auto"/>
              <w:left w:val="single" w:sz="4" w:space="0" w:color="auto"/>
              <w:bottom w:val="single" w:sz="4" w:space="0" w:color="auto"/>
              <w:right w:val="single" w:sz="4" w:space="0" w:color="auto"/>
            </w:tcBorders>
            <w:noWrap/>
            <w:hideMark/>
          </w:tcPr>
          <w:p w14:paraId="3F09AF68" w14:textId="77777777" w:rsidR="00A41E60" w:rsidRPr="00D85E09" w:rsidRDefault="00A41E60" w:rsidP="0043316B">
            <w:pPr>
              <w:pStyle w:val="Tabletext"/>
              <w:keepNext w:val="0"/>
              <w:widowControl w:val="0"/>
              <w:jc w:val="center"/>
            </w:pPr>
            <w:r w:rsidRPr="00D85E09">
              <w:t>.</w:t>
            </w:r>
          </w:p>
        </w:tc>
      </w:tr>
      <w:tr w:rsidR="00A41E60" w:rsidRPr="00D85E09" w14:paraId="751CC994"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61E8C922" w14:textId="77777777" w:rsidR="00A41E60" w:rsidRPr="00D85E09" w:rsidRDefault="00A41E60" w:rsidP="0043316B">
            <w:pPr>
              <w:pStyle w:val="Tabletext"/>
              <w:keepNext w:val="0"/>
              <w:widowControl w:val="0"/>
            </w:pPr>
            <w:r w:rsidRPr="00D85E09">
              <w:t>Xu et al</w:t>
            </w:r>
          </w:p>
        </w:tc>
        <w:tc>
          <w:tcPr>
            <w:tcW w:w="564" w:type="pct"/>
            <w:tcBorders>
              <w:top w:val="single" w:sz="4" w:space="0" w:color="auto"/>
              <w:left w:val="single" w:sz="4" w:space="0" w:color="auto"/>
              <w:bottom w:val="single" w:sz="4" w:space="0" w:color="auto"/>
              <w:right w:val="single" w:sz="4" w:space="0" w:color="auto"/>
            </w:tcBorders>
            <w:noWrap/>
            <w:hideMark/>
          </w:tcPr>
          <w:p w14:paraId="3A78F8FD" w14:textId="77777777" w:rsidR="00A41E60" w:rsidRPr="00D85E09" w:rsidRDefault="00A41E60" w:rsidP="0043316B">
            <w:pPr>
              <w:pStyle w:val="Tabletext"/>
              <w:keepNext w:val="0"/>
              <w:widowControl w:val="0"/>
            </w:pPr>
            <w:r w:rsidRPr="00D85E09">
              <w:t>China</w:t>
            </w:r>
          </w:p>
        </w:tc>
        <w:tc>
          <w:tcPr>
            <w:tcW w:w="727" w:type="pct"/>
            <w:tcBorders>
              <w:top w:val="single" w:sz="4" w:space="0" w:color="auto"/>
              <w:left w:val="single" w:sz="4" w:space="0" w:color="auto"/>
              <w:bottom w:val="single" w:sz="4" w:space="0" w:color="auto"/>
              <w:right w:val="single" w:sz="4" w:space="0" w:color="auto"/>
            </w:tcBorders>
            <w:noWrap/>
            <w:hideMark/>
          </w:tcPr>
          <w:p w14:paraId="4DF4E15E" w14:textId="77777777" w:rsidR="00A41E60" w:rsidRPr="00D85E09" w:rsidRDefault="00A41E60" w:rsidP="0043316B">
            <w:pPr>
              <w:pStyle w:val="Tabletext"/>
              <w:keepNext w:val="0"/>
              <w:widowControl w:val="0"/>
            </w:pPr>
            <w:r w:rsidRPr="00D85E09">
              <w:t>2003–2006</w:t>
            </w:r>
          </w:p>
        </w:tc>
        <w:tc>
          <w:tcPr>
            <w:tcW w:w="404" w:type="pct"/>
            <w:tcBorders>
              <w:top w:val="single" w:sz="4" w:space="0" w:color="auto"/>
              <w:left w:val="single" w:sz="4" w:space="0" w:color="auto"/>
              <w:bottom w:val="single" w:sz="4" w:space="0" w:color="auto"/>
              <w:right w:val="single" w:sz="4" w:space="0" w:color="auto"/>
            </w:tcBorders>
            <w:noWrap/>
            <w:hideMark/>
          </w:tcPr>
          <w:p w14:paraId="4676BCB9" w14:textId="77777777" w:rsidR="00A41E60" w:rsidRPr="00D85E09" w:rsidRDefault="00A41E60" w:rsidP="0043316B">
            <w:pPr>
              <w:pStyle w:val="Tabletext"/>
              <w:keepNext w:val="0"/>
              <w:widowControl w:val="0"/>
              <w:jc w:val="center"/>
            </w:pPr>
            <w:r w:rsidRPr="00D85E09">
              <w:t>834</w:t>
            </w:r>
          </w:p>
        </w:tc>
        <w:tc>
          <w:tcPr>
            <w:tcW w:w="579" w:type="pct"/>
            <w:tcBorders>
              <w:top w:val="single" w:sz="4" w:space="0" w:color="auto"/>
              <w:left w:val="single" w:sz="4" w:space="0" w:color="auto"/>
              <w:bottom w:val="single" w:sz="4" w:space="0" w:color="auto"/>
              <w:right w:val="single" w:sz="4" w:space="0" w:color="auto"/>
            </w:tcBorders>
            <w:noWrap/>
            <w:hideMark/>
          </w:tcPr>
          <w:p w14:paraId="5432DC6C" w14:textId="77777777" w:rsidR="00A41E60" w:rsidRPr="00D85E09" w:rsidRDefault="00A41E60" w:rsidP="0043316B">
            <w:pPr>
              <w:pStyle w:val="Tabletext"/>
              <w:keepNext w:val="0"/>
              <w:widowControl w:val="0"/>
              <w:jc w:val="center"/>
            </w:pPr>
            <w:r w:rsidRPr="00D85E09">
              <w:t>5.5</w:t>
            </w:r>
          </w:p>
        </w:tc>
        <w:tc>
          <w:tcPr>
            <w:tcW w:w="563" w:type="pct"/>
            <w:tcBorders>
              <w:top w:val="single" w:sz="4" w:space="0" w:color="auto"/>
              <w:left w:val="single" w:sz="4" w:space="0" w:color="auto"/>
              <w:bottom w:val="single" w:sz="4" w:space="0" w:color="auto"/>
              <w:right w:val="single" w:sz="4" w:space="0" w:color="auto"/>
            </w:tcBorders>
            <w:noWrap/>
            <w:hideMark/>
          </w:tcPr>
          <w:p w14:paraId="3E3F058F" w14:textId="77777777" w:rsidR="00A41E60" w:rsidRPr="00D85E09" w:rsidRDefault="00A41E60" w:rsidP="0043316B">
            <w:pPr>
              <w:pStyle w:val="Tabletext"/>
              <w:keepNext w:val="0"/>
              <w:widowControl w:val="0"/>
              <w:jc w:val="center"/>
            </w:pPr>
            <w:r w:rsidRPr="00D85E09">
              <w:t>20.6</w:t>
            </w:r>
          </w:p>
        </w:tc>
        <w:tc>
          <w:tcPr>
            <w:tcW w:w="640" w:type="pct"/>
            <w:tcBorders>
              <w:top w:val="single" w:sz="4" w:space="0" w:color="auto"/>
              <w:left w:val="single" w:sz="4" w:space="0" w:color="auto"/>
              <w:bottom w:val="single" w:sz="4" w:space="0" w:color="auto"/>
              <w:right w:val="single" w:sz="4" w:space="0" w:color="auto"/>
            </w:tcBorders>
            <w:noWrap/>
            <w:hideMark/>
          </w:tcPr>
          <w:p w14:paraId="12C50F20" w14:textId="77777777" w:rsidR="00A41E60" w:rsidRPr="00D85E09" w:rsidRDefault="00A41E60" w:rsidP="0043316B">
            <w:pPr>
              <w:pStyle w:val="Tabletext"/>
              <w:keepNext w:val="0"/>
              <w:widowControl w:val="0"/>
              <w:jc w:val="center"/>
            </w:pPr>
            <w:r w:rsidRPr="00D85E09">
              <w:t>.</w:t>
            </w:r>
          </w:p>
        </w:tc>
        <w:tc>
          <w:tcPr>
            <w:tcW w:w="637" w:type="pct"/>
            <w:tcBorders>
              <w:top w:val="single" w:sz="4" w:space="0" w:color="auto"/>
              <w:left w:val="single" w:sz="4" w:space="0" w:color="auto"/>
              <w:bottom w:val="single" w:sz="4" w:space="0" w:color="auto"/>
              <w:right w:val="single" w:sz="4" w:space="0" w:color="auto"/>
            </w:tcBorders>
            <w:noWrap/>
            <w:hideMark/>
          </w:tcPr>
          <w:p w14:paraId="2CE1FFBD" w14:textId="77777777" w:rsidR="00A41E60" w:rsidRPr="00D85E09" w:rsidRDefault="00A41E60" w:rsidP="0043316B">
            <w:pPr>
              <w:pStyle w:val="Tabletext"/>
              <w:keepNext w:val="0"/>
              <w:widowControl w:val="0"/>
              <w:jc w:val="center"/>
            </w:pPr>
            <w:r w:rsidRPr="00D85E09">
              <w:t>.</w:t>
            </w:r>
          </w:p>
        </w:tc>
      </w:tr>
      <w:tr w:rsidR="00A41E60" w:rsidRPr="00D85E09" w14:paraId="3833F9B2" w14:textId="77777777" w:rsidTr="00A41E60">
        <w:trPr>
          <w:trHeight w:val="330"/>
        </w:trPr>
        <w:tc>
          <w:tcPr>
            <w:tcW w:w="886" w:type="pct"/>
            <w:tcBorders>
              <w:top w:val="single" w:sz="4" w:space="0" w:color="auto"/>
              <w:left w:val="single" w:sz="4" w:space="0" w:color="auto"/>
              <w:bottom w:val="single" w:sz="4" w:space="0" w:color="auto"/>
              <w:right w:val="single" w:sz="4" w:space="0" w:color="auto"/>
            </w:tcBorders>
            <w:noWrap/>
            <w:hideMark/>
          </w:tcPr>
          <w:p w14:paraId="6C6E1D63" w14:textId="77777777" w:rsidR="00A41E60" w:rsidRPr="00D85E09" w:rsidRDefault="00A41E60" w:rsidP="0043316B">
            <w:pPr>
              <w:pStyle w:val="Tabletext"/>
              <w:keepNext w:val="0"/>
              <w:widowControl w:val="0"/>
              <w:rPr>
                <w:b/>
              </w:rPr>
            </w:pPr>
            <w:r w:rsidRPr="00D85E09">
              <w:rPr>
                <w:b/>
              </w:rPr>
              <w:t>Pooled</w:t>
            </w:r>
          </w:p>
        </w:tc>
        <w:tc>
          <w:tcPr>
            <w:tcW w:w="564" w:type="pct"/>
            <w:tcBorders>
              <w:top w:val="single" w:sz="4" w:space="0" w:color="auto"/>
              <w:left w:val="single" w:sz="4" w:space="0" w:color="auto"/>
              <w:bottom w:val="single" w:sz="4" w:space="0" w:color="auto"/>
              <w:right w:val="single" w:sz="4" w:space="0" w:color="auto"/>
            </w:tcBorders>
            <w:noWrap/>
            <w:hideMark/>
          </w:tcPr>
          <w:p w14:paraId="576A4B16" w14:textId="77777777" w:rsidR="00A41E60" w:rsidRPr="00D85E09" w:rsidRDefault="00A41E60" w:rsidP="0043316B">
            <w:pPr>
              <w:pStyle w:val="Tabletext"/>
              <w:keepNext w:val="0"/>
              <w:widowControl w:val="0"/>
              <w:rPr>
                <w:b/>
              </w:rPr>
            </w:pPr>
            <w:r w:rsidRPr="00D85E09">
              <w:rPr>
                <w:b/>
              </w:rPr>
              <w:t>–</w:t>
            </w:r>
          </w:p>
        </w:tc>
        <w:tc>
          <w:tcPr>
            <w:tcW w:w="727" w:type="pct"/>
            <w:tcBorders>
              <w:top w:val="single" w:sz="4" w:space="0" w:color="auto"/>
              <w:left w:val="single" w:sz="4" w:space="0" w:color="auto"/>
              <w:bottom w:val="single" w:sz="4" w:space="0" w:color="auto"/>
              <w:right w:val="single" w:sz="4" w:space="0" w:color="auto"/>
            </w:tcBorders>
            <w:noWrap/>
            <w:hideMark/>
          </w:tcPr>
          <w:p w14:paraId="23CF6907" w14:textId="77777777" w:rsidR="00A41E60" w:rsidRPr="00D85E09" w:rsidRDefault="00A41E60" w:rsidP="0043316B">
            <w:pPr>
              <w:pStyle w:val="Tabletext"/>
              <w:keepNext w:val="0"/>
              <w:widowControl w:val="0"/>
              <w:rPr>
                <w:b/>
              </w:rPr>
            </w:pPr>
            <w:r w:rsidRPr="00D85E09">
              <w:rPr>
                <w:b/>
              </w:rPr>
              <w:t>–</w:t>
            </w:r>
          </w:p>
        </w:tc>
        <w:tc>
          <w:tcPr>
            <w:tcW w:w="404" w:type="pct"/>
            <w:tcBorders>
              <w:top w:val="single" w:sz="4" w:space="0" w:color="auto"/>
              <w:left w:val="single" w:sz="4" w:space="0" w:color="auto"/>
              <w:bottom w:val="single" w:sz="4" w:space="0" w:color="auto"/>
              <w:right w:val="single" w:sz="4" w:space="0" w:color="auto"/>
            </w:tcBorders>
            <w:noWrap/>
            <w:hideMark/>
          </w:tcPr>
          <w:p w14:paraId="66FD09CE" w14:textId="77777777" w:rsidR="00A41E60" w:rsidRPr="00D85E09" w:rsidRDefault="00A41E60" w:rsidP="0043316B">
            <w:pPr>
              <w:pStyle w:val="Tabletext"/>
              <w:keepNext w:val="0"/>
              <w:widowControl w:val="0"/>
              <w:jc w:val="center"/>
              <w:rPr>
                <w:b/>
              </w:rPr>
            </w:pPr>
            <w:r w:rsidRPr="00D85E09">
              <w:rPr>
                <w:b/>
              </w:rPr>
              <w:t>9115</w:t>
            </w:r>
          </w:p>
        </w:tc>
        <w:tc>
          <w:tcPr>
            <w:tcW w:w="579" w:type="pct"/>
            <w:tcBorders>
              <w:top w:val="single" w:sz="4" w:space="0" w:color="auto"/>
              <w:left w:val="single" w:sz="4" w:space="0" w:color="auto"/>
              <w:bottom w:val="single" w:sz="4" w:space="0" w:color="auto"/>
              <w:right w:val="single" w:sz="4" w:space="0" w:color="auto"/>
            </w:tcBorders>
            <w:noWrap/>
            <w:hideMark/>
          </w:tcPr>
          <w:p w14:paraId="146E22FE" w14:textId="77777777" w:rsidR="00A41E60" w:rsidRPr="00D85E09" w:rsidRDefault="00A41E60" w:rsidP="0043316B">
            <w:pPr>
              <w:pStyle w:val="Tabletext"/>
              <w:keepNext w:val="0"/>
              <w:widowControl w:val="0"/>
              <w:jc w:val="center"/>
              <w:rPr>
                <w:b/>
              </w:rPr>
            </w:pPr>
            <w:r w:rsidRPr="00D85E09">
              <w:rPr>
                <w:b/>
              </w:rPr>
              <w:t>3.1</w:t>
            </w:r>
          </w:p>
        </w:tc>
        <w:tc>
          <w:tcPr>
            <w:tcW w:w="563" w:type="pct"/>
            <w:tcBorders>
              <w:top w:val="single" w:sz="4" w:space="0" w:color="auto"/>
              <w:left w:val="single" w:sz="4" w:space="0" w:color="auto"/>
              <w:bottom w:val="single" w:sz="4" w:space="0" w:color="auto"/>
              <w:right w:val="single" w:sz="4" w:space="0" w:color="auto"/>
            </w:tcBorders>
            <w:noWrap/>
            <w:hideMark/>
          </w:tcPr>
          <w:p w14:paraId="6041271D" w14:textId="77777777" w:rsidR="00A41E60" w:rsidRPr="00D85E09" w:rsidRDefault="00A41E60" w:rsidP="0043316B">
            <w:pPr>
              <w:pStyle w:val="Tabletext"/>
              <w:keepNext w:val="0"/>
              <w:widowControl w:val="0"/>
              <w:jc w:val="center"/>
              <w:rPr>
                <w:b/>
              </w:rPr>
            </w:pPr>
            <w:r w:rsidRPr="00D85E09">
              <w:rPr>
                <w:b/>
              </w:rPr>
              <w:t>11.1</w:t>
            </w:r>
          </w:p>
        </w:tc>
        <w:tc>
          <w:tcPr>
            <w:tcW w:w="640" w:type="pct"/>
            <w:tcBorders>
              <w:top w:val="single" w:sz="4" w:space="0" w:color="auto"/>
              <w:left w:val="single" w:sz="4" w:space="0" w:color="auto"/>
              <w:bottom w:val="single" w:sz="4" w:space="0" w:color="auto"/>
              <w:right w:val="single" w:sz="4" w:space="0" w:color="auto"/>
            </w:tcBorders>
            <w:noWrap/>
            <w:hideMark/>
          </w:tcPr>
          <w:p w14:paraId="3E867042" w14:textId="77777777" w:rsidR="00A41E60" w:rsidRPr="00D85E09" w:rsidRDefault="00A41E60" w:rsidP="0043316B">
            <w:pPr>
              <w:pStyle w:val="Tabletext"/>
              <w:keepNext w:val="0"/>
              <w:widowControl w:val="0"/>
              <w:jc w:val="center"/>
              <w:rPr>
                <w:b/>
              </w:rPr>
            </w:pPr>
            <w:r w:rsidRPr="00D85E09">
              <w:rPr>
                <w:b/>
              </w:rPr>
              <w:t>26.4</w:t>
            </w:r>
          </w:p>
        </w:tc>
        <w:tc>
          <w:tcPr>
            <w:tcW w:w="637" w:type="pct"/>
            <w:tcBorders>
              <w:top w:val="single" w:sz="4" w:space="0" w:color="auto"/>
              <w:left w:val="single" w:sz="4" w:space="0" w:color="auto"/>
              <w:bottom w:val="single" w:sz="4" w:space="0" w:color="auto"/>
              <w:right w:val="single" w:sz="4" w:space="0" w:color="auto"/>
            </w:tcBorders>
            <w:noWrap/>
            <w:hideMark/>
          </w:tcPr>
          <w:p w14:paraId="468D5CF5" w14:textId="77777777" w:rsidR="00A41E60" w:rsidRPr="00D85E09" w:rsidRDefault="00A41E60" w:rsidP="0043316B">
            <w:pPr>
              <w:pStyle w:val="Tabletext"/>
              <w:keepNext w:val="0"/>
              <w:widowControl w:val="0"/>
              <w:jc w:val="center"/>
              <w:rPr>
                <w:b/>
              </w:rPr>
            </w:pPr>
            <w:r w:rsidRPr="00D85E09">
              <w:rPr>
                <w:b/>
              </w:rPr>
              <w:t>39.2</w:t>
            </w:r>
          </w:p>
        </w:tc>
      </w:tr>
    </w:tbl>
    <w:p w14:paraId="3CFF0193" w14:textId="0F43A10D" w:rsidR="00A41E60" w:rsidRPr="00D85E09" w:rsidRDefault="00A41E60" w:rsidP="0043316B">
      <w:pPr>
        <w:pStyle w:val="Tablefootnote"/>
        <w:widowControl w:val="0"/>
        <w:rPr>
          <w:lang w:val="en-AU"/>
        </w:rPr>
      </w:pPr>
      <w:r w:rsidRPr="00D85E09">
        <w:rPr>
          <w:lang w:val="en-AU"/>
        </w:rPr>
        <w:t xml:space="preserve">Source: Mohan et al 2011. See Mohan et al 2011 for the details of the original sources. </w:t>
      </w:r>
      <w:r w:rsidRPr="00D85E09">
        <w:rPr>
          <w:lang w:val="en-AU"/>
        </w:rPr>
        <w:br/>
        <w:t>Note: Some studies included haemorrhagic stroke as the index event. However, the authors noted that no differences were identified between studies reporting the cumulative risk of recurrence after isch</w:t>
      </w:r>
      <w:r w:rsidR="00E56287" w:rsidRPr="00D85E09">
        <w:rPr>
          <w:lang w:val="en-AU"/>
        </w:rPr>
        <w:t>aemic</w:t>
      </w:r>
      <w:r w:rsidRPr="00D85E09">
        <w:rPr>
          <w:lang w:val="en-AU"/>
        </w:rPr>
        <w:t xml:space="preserve"> stroke only compared to studies including haemorrhagic strokes in their analyses.</w:t>
      </w:r>
    </w:p>
    <w:p w14:paraId="1DEC2B10" w14:textId="7A0BAC35" w:rsidR="00C13682" w:rsidRDefault="00C13682" w:rsidP="0043316B">
      <w:pPr>
        <w:widowControl w:val="0"/>
      </w:pPr>
      <w:r>
        <w:br w:type="page"/>
      </w:r>
    </w:p>
    <w:p w14:paraId="083CC34E" w14:textId="6D020D1D" w:rsidR="00A41E60" w:rsidRPr="00D85E09" w:rsidRDefault="00A41E60" w:rsidP="0043316B">
      <w:pPr>
        <w:widowControl w:val="0"/>
      </w:pPr>
      <w:r w:rsidRPr="00D85E09">
        <w:lastRenderedPageBreak/>
        <w:t>Mohan et al (2011) identified the presence of substantial heterogeneity between studies at all time points (</w:t>
      </w:r>
      <w:r w:rsidRPr="00D85E09">
        <w:rPr>
          <w:i/>
        </w:rPr>
        <w:t>p</w:t>
      </w:r>
      <w:r w:rsidRPr="00D85E09">
        <w:t xml:space="preserve">&lt;0.0001). Interestingly, and expectedly, the dataset exhibited a temporal reduction in risk of stroke recurrence across the different study populations; that is, more recent studies reported smaller recurrence risk when compared with older studies. This is likely due to the advent and increasing importance given to secondary prevention. The authors developed statistical modelling to demonstrate time trends in risk of stroke recurrence and to predict future trends, which predicted the cumulative risks of stroke recurrence at 1 year and 5 years after first stroke to be 6.49% and 14.3%, respectively, for studies conducted in 2010. This clearly compares favourably to 11.1% and 26.4%, as estimated by a simple pooling of the reported data, as shown in in </w:t>
      </w:r>
      <w:r w:rsidRPr="00D85E09">
        <w:fldChar w:fldCharType="begin"/>
      </w:r>
      <w:r w:rsidRPr="00D85E09">
        <w:instrText xml:space="preserve"> REF _Ref448739104 \h </w:instrText>
      </w:r>
      <w:r w:rsidRPr="00D85E09">
        <w:fldChar w:fldCharType="separate"/>
      </w:r>
      <w:r w:rsidR="00A456ED" w:rsidRPr="00D85E09">
        <w:t xml:space="preserve">Table </w:t>
      </w:r>
      <w:r w:rsidR="00A456ED">
        <w:rPr>
          <w:noProof/>
        </w:rPr>
        <w:t>67</w:t>
      </w:r>
      <w:r w:rsidRPr="00D85E09">
        <w:fldChar w:fldCharType="end"/>
      </w:r>
      <w:r w:rsidRPr="00D85E09">
        <w:t xml:space="preserve"> above.</w:t>
      </w:r>
    </w:p>
    <w:p w14:paraId="1E1D4D8C" w14:textId="5E6C9819" w:rsidR="00A41E60" w:rsidRPr="00D85E09" w:rsidRDefault="00A41E60" w:rsidP="0043316B">
      <w:pPr>
        <w:widowControl w:val="0"/>
      </w:pPr>
      <w:r w:rsidRPr="00D85E09">
        <w:t>The risk of recurrent stroke observed in the Perth Community Stroke Study (PCSS) cohort was reported in two studies (Hardie et al 2004; Hardie et al 2005). The PCSS registered all episodes of possible acute cerebrovascular disease among residents of a geographically defined segment of Perth, Western Australia, in 1989 to 1990, and the study was repeated in 1995 to 1996 and again in 2000 to 2001. No data relating to the risk of recurrent stroke from the 2000-2001 study appear to have been reported in the literature.</w:t>
      </w:r>
    </w:p>
    <w:p w14:paraId="6534AEE7" w14:textId="254DDD45" w:rsidR="00A41E60" w:rsidRPr="00D85E09" w:rsidRDefault="00A41E60" w:rsidP="0043316B">
      <w:pPr>
        <w:widowControl w:val="0"/>
      </w:pPr>
      <w:r w:rsidRPr="00D85E09">
        <w:t xml:space="preserve">Hardie et al (2004), reporting on the 1989-1990 cohort data, has been included in Mohan et al (2011; see </w:t>
      </w:r>
      <w:r w:rsidRPr="00D85E09">
        <w:fldChar w:fldCharType="begin"/>
      </w:r>
      <w:r w:rsidRPr="00D85E09">
        <w:instrText xml:space="preserve"> REF _Ref448739104 \h </w:instrText>
      </w:r>
      <w:r w:rsidRPr="00D85E09">
        <w:fldChar w:fldCharType="separate"/>
      </w:r>
      <w:r w:rsidR="00A456ED" w:rsidRPr="00D85E09">
        <w:t xml:space="preserve">Table </w:t>
      </w:r>
      <w:r w:rsidR="00A456ED">
        <w:rPr>
          <w:noProof/>
        </w:rPr>
        <w:t>67</w:t>
      </w:r>
      <w:r w:rsidRPr="00D85E09">
        <w:fldChar w:fldCharType="end"/>
      </w:r>
      <w:r w:rsidRPr="00D85E09">
        <w:t xml:space="preserve">). Being in line with other studies included in the systematic review, the PCSS 1989-1990 cohort data reported that the risk of recurrent stroke was greatest in the first 6 months at 9% and the risk plateaued thereafter, reaching 16%, 32% and 43% in 1, 5 and 10 years, respectively. Of note, when haemorrhagic stroke was excluded as the index event, the risk was considerably lower than the overall rate in this dataset (28% vs 43%; see </w:t>
      </w:r>
      <w:r w:rsidRPr="00D85E09">
        <w:fldChar w:fldCharType="begin"/>
      </w:r>
      <w:r w:rsidRPr="00D85E09">
        <w:instrText xml:space="preserve"> REF _Ref448739104 \h </w:instrText>
      </w:r>
      <w:r w:rsidRPr="00D85E09">
        <w:fldChar w:fldCharType="separate"/>
      </w:r>
      <w:r w:rsidR="00A456ED" w:rsidRPr="00D85E09">
        <w:t xml:space="preserve">Table </w:t>
      </w:r>
      <w:r w:rsidR="00A456ED">
        <w:rPr>
          <w:noProof/>
        </w:rPr>
        <w:t>67</w:t>
      </w:r>
      <w:r w:rsidRPr="00D85E09">
        <w:fldChar w:fldCharType="end"/>
      </w:r>
      <w:r w:rsidRPr="00D85E09">
        <w:t xml:space="preserve"> and </w:t>
      </w:r>
      <w:r w:rsidRPr="00D85E09">
        <w:fldChar w:fldCharType="begin"/>
      </w:r>
      <w:r w:rsidRPr="00D85E09">
        <w:instrText xml:space="preserve"> REF _Ref448740928 \h </w:instrText>
      </w:r>
      <w:r w:rsidRPr="00D85E09">
        <w:fldChar w:fldCharType="separate"/>
      </w:r>
      <w:r w:rsidR="00A456ED" w:rsidRPr="00D85E09">
        <w:t xml:space="preserve">Table </w:t>
      </w:r>
      <w:r w:rsidR="00A456ED">
        <w:rPr>
          <w:noProof/>
        </w:rPr>
        <w:t>68</w:t>
      </w:r>
      <w:r w:rsidRPr="00D85E09">
        <w:fldChar w:fldCharType="end"/>
      </w:r>
      <w:r w:rsidRPr="00D85E09">
        <w:t>). In PCSS 1989-1990 cohort, recurrent events were predominantly ischaemic with haemorrhagic stroke accounting for less than 5% of all recurrent cases (</w:t>
      </w:r>
      <w:r w:rsidRPr="00D85E09">
        <w:fldChar w:fldCharType="begin"/>
      </w:r>
      <w:r w:rsidRPr="00D85E09">
        <w:instrText xml:space="preserve"> REF _Ref448740928 \h </w:instrText>
      </w:r>
      <w:r w:rsidRPr="00D85E09">
        <w:fldChar w:fldCharType="separate"/>
      </w:r>
      <w:r w:rsidR="00A456ED" w:rsidRPr="00D85E09">
        <w:t xml:space="preserve">Table </w:t>
      </w:r>
      <w:r w:rsidR="00A456ED">
        <w:rPr>
          <w:noProof/>
        </w:rPr>
        <w:t>68</w:t>
      </w:r>
      <w:r w:rsidRPr="00D85E09">
        <w:fldChar w:fldCharType="end"/>
      </w:r>
      <w:r w:rsidRPr="00D85E09">
        <w:t>).</w:t>
      </w:r>
    </w:p>
    <w:p w14:paraId="3126B2DA" w14:textId="0826EED1" w:rsidR="00A41E60" w:rsidRPr="00D85E09" w:rsidRDefault="00A41E60" w:rsidP="0043316B">
      <w:pPr>
        <w:pStyle w:val="Caption"/>
        <w:keepNext w:val="0"/>
        <w:widowControl w:val="0"/>
        <w:rPr>
          <w:lang w:val="en-AU"/>
        </w:rPr>
      </w:pPr>
      <w:bookmarkStart w:id="451" w:name="_Ref448740928"/>
      <w:bookmarkStart w:id="452" w:name="_Toc45306540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68</w:t>
      </w:r>
      <w:r w:rsidRPr="00D85E09">
        <w:rPr>
          <w:lang w:val="en-AU"/>
        </w:rPr>
        <w:fldChar w:fldCharType="end"/>
      </w:r>
      <w:bookmarkEnd w:id="451"/>
      <w:r w:rsidRPr="00D85E09">
        <w:rPr>
          <w:lang w:val="en-AU"/>
        </w:rPr>
        <w:tab/>
        <w:t>Ten-year cumulative risk of recurrent stroke according to pathological subtype of initial stroke; ischaemic strokes only as the index event</w:t>
      </w:r>
      <w:bookmarkEnd w:id="452"/>
    </w:p>
    <w:tbl>
      <w:tblPr>
        <w:tblStyle w:val="TableGrid"/>
        <w:tblW w:w="5000" w:type="pct"/>
        <w:tblLook w:val="04A0" w:firstRow="1" w:lastRow="0" w:firstColumn="1" w:lastColumn="0" w:noHBand="0" w:noVBand="1"/>
        <w:tblDescription w:val="Table 68 Ten-year cumulative risk of recurrent stroke according to pathological subtype of initial stroke; ischaemic strokes only as the index event"/>
      </w:tblPr>
      <w:tblGrid>
        <w:gridCol w:w="2971"/>
        <w:gridCol w:w="1507"/>
        <w:gridCol w:w="1509"/>
        <w:gridCol w:w="1279"/>
        <w:gridCol w:w="1738"/>
      </w:tblGrid>
      <w:tr w:rsidR="00A41E60" w:rsidRPr="00D85E09" w14:paraId="32D97E2E" w14:textId="77777777" w:rsidTr="00BE6331">
        <w:trPr>
          <w:tblHeader/>
        </w:trPr>
        <w:tc>
          <w:tcPr>
            <w:tcW w:w="1650" w:type="pct"/>
            <w:vMerge w:val="restart"/>
            <w:tcBorders>
              <w:top w:val="single" w:sz="4" w:space="0" w:color="000000"/>
              <w:left w:val="single" w:sz="4" w:space="0" w:color="000000"/>
              <w:bottom w:val="single" w:sz="4" w:space="0" w:color="000000"/>
              <w:right w:val="single" w:sz="4" w:space="0" w:color="000000"/>
            </w:tcBorders>
            <w:hideMark/>
          </w:tcPr>
          <w:p w14:paraId="34A8345B" w14:textId="77777777" w:rsidR="00A41E60" w:rsidRPr="00D85E09" w:rsidRDefault="00A41E60" w:rsidP="0043316B">
            <w:pPr>
              <w:pStyle w:val="Tabletext"/>
              <w:keepNext w:val="0"/>
              <w:widowControl w:val="0"/>
            </w:pPr>
            <w:r w:rsidRPr="00D85E09">
              <w:t>Initial stroke</w:t>
            </w:r>
          </w:p>
        </w:tc>
        <w:tc>
          <w:tcPr>
            <w:tcW w:w="3350" w:type="pct"/>
            <w:gridSpan w:val="4"/>
            <w:tcBorders>
              <w:top w:val="single" w:sz="4" w:space="0" w:color="000000"/>
              <w:left w:val="single" w:sz="4" w:space="0" w:color="000000"/>
              <w:bottom w:val="single" w:sz="4" w:space="0" w:color="000000"/>
              <w:right w:val="single" w:sz="4" w:space="0" w:color="000000"/>
            </w:tcBorders>
            <w:hideMark/>
          </w:tcPr>
          <w:p w14:paraId="33ED54C3" w14:textId="77777777" w:rsidR="00A41E60" w:rsidRPr="00D85E09" w:rsidRDefault="00A41E60" w:rsidP="0043316B">
            <w:pPr>
              <w:pStyle w:val="Tabletext"/>
              <w:keepNext w:val="0"/>
              <w:widowControl w:val="0"/>
            </w:pPr>
            <w:r w:rsidRPr="00D85E09">
              <w:t>Recurrent stroke, n</w:t>
            </w:r>
          </w:p>
        </w:tc>
      </w:tr>
      <w:tr w:rsidR="00A41E60" w:rsidRPr="00D85E09" w14:paraId="2664ACBB" w14:textId="77777777" w:rsidTr="00BE6331">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CA6D2C"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37" w:type="pct"/>
            <w:tcBorders>
              <w:top w:val="single" w:sz="4" w:space="0" w:color="000000"/>
              <w:left w:val="single" w:sz="4" w:space="0" w:color="000000"/>
              <w:bottom w:val="single" w:sz="4" w:space="0" w:color="000000"/>
              <w:right w:val="single" w:sz="4" w:space="0" w:color="000000"/>
            </w:tcBorders>
            <w:hideMark/>
          </w:tcPr>
          <w:p w14:paraId="5CCB0F3E" w14:textId="77777777" w:rsidR="00A41E60" w:rsidRPr="00D85E09" w:rsidRDefault="00A41E60" w:rsidP="0043316B">
            <w:pPr>
              <w:pStyle w:val="Tabletext"/>
              <w:keepNext w:val="0"/>
              <w:widowControl w:val="0"/>
            </w:pPr>
            <w:r w:rsidRPr="00D85E09">
              <w:t>Cerebral infarct</w:t>
            </w:r>
          </w:p>
        </w:tc>
        <w:tc>
          <w:tcPr>
            <w:tcW w:w="838" w:type="pct"/>
            <w:tcBorders>
              <w:top w:val="single" w:sz="4" w:space="0" w:color="000000"/>
              <w:left w:val="single" w:sz="4" w:space="0" w:color="000000"/>
              <w:bottom w:val="single" w:sz="4" w:space="0" w:color="000000"/>
              <w:right w:val="single" w:sz="4" w:space="0" w:color="000000"/>
            </w:tcBorders>
            <w:hideMark/>
          </w:tcPr>
          <w:p w14:paraId="7514AAB1" w14:textId="77777777" w:rsidR="00A41E60" w:rsidRPr="00D85E09" w:rsidRDefault="00A41E60" w:rsidP="0043316B">
            <w:pPr>
              <w:pStyle w:val="Tabletext"/>
              <w:keepNext w:val="0"/>
              <w:widowControl w:val="0"/>
            </w:pPr>
            <w:r w:rsidRPr="00D85E09">
              <w:t>Haemorragic</w:t>
            </w:r>
          </w:p>
        </w:tc>
        <w:tc>
          <w:tcPr>
            <w:tcW w:w="710" w:type="pct"/>
            <w:tcBorders>
              <w:top w:val="single" w:sz="4" w:space="0" w:color="000000"/>
              <w:left w:val="single" w:sz="4" w:space="0" w:color="000000"/>
              <w:bottom w:val="single" w:sz="4" w:space="0" w:color="000000"/>
              <w:right w:val="single" w:sz="4" w:space="0" w:color="000000"/>
            </w:tcBorders>
            <w:hideMark/>
          </w:tcPr>
          <w:p w14:paraId="34E53B18" w14:textId="77777777" w:rsidR="00A41E60" w:rsidRPr="00D85E09" w:rsidRDefault="00A41E60" w:rsidP="0043316B">
            <w:pPr>
              <w:pStyle w:val="Tabletext"/>
              <w:keepNext w:val="0"/>
              <w:widowControl w:val="0"/>
            </w:pPr>
            <w:r w:rsidRPr="00D85E09">
              <w:t>Undetermined</w:t>
            </w:r>
          </w:p>
        </w:tc>
        <w:tc>
          <w:tcPr>
            <w:tcW w:w="965" w:type="pct"/>
            <w:tcBorders>
              <w:top w:val="single" w:sz="4" w:space="0" w:color="000000"/>
              <w:left w:val="single" w:sz="4" w:space="0" w:color="000000"/>
              <w:bottom w:val="single" w:sz="4" w:space="0" w:color="000000"/>
              <w:right w:val="single" w:sz="4" w:space="0" w:color="000000"/>
            </w:tcBorders>
            <w:hideMark/>
          </w:tcPr>
          <w:p w14:paraId="5918C5AF" w14:textId="77777777" w:rsidR="00A41E60" w:rsidRPr="00D85E09" w:rsidRDefault="00A41E60" w:rsidP="0043316B">
            <w:pPr>
              <w:pStyle w:val="Tabletext"/>
              <w:keepNext w:val="0"/>
              <w:widowControl w:val="0"/>
            </w:pPr>
            <w:r w:rsidRPr="00D85E09">
              <w:t>Total (10-year risk)</w:t>
            </w:r>
          </w:p>
        </w:tc>
      </w:tr>
      <w:tr w:rsidR="00A41E60" w:rsidRPr="00D85E09" w14:paraId="724E87BD" w14:textId="77777777" w:rsidTr="00C13682">
        <w:tc>
          <w:tcPr>
            <w:tcW w:w="1650" w:type="pct"/>
            <w:tcBorders>
              <w:top w:val="single" w:sz="4" w:space="0" w:color="000000"/>
              <w:left w:val="single" w:sz="4" w:space="0" w:color="000000"/>
              <w:bottom w:val="single" w:sz="4" w:space="0" w:color="000000"/>
              <w:right w:val="single" w:sz="4" w:space="0" w:color="000000"/>
            </w:tcBorders>
            <w:hideMark/>
          </w:tcPr>
          <w:p w14:paraId="7F4359D2" w14:textId="77777777" w:rsidR="00A41E60" w:rsidRPr="00D85E09" w:rsidRDefault="00A41E60" w:rsidP="0043316B">
            <w:pPr>
              <w:pStyle w:val="Tabletext"/>
              <w:keepNext w:val="0"/>
              <w:widowControl w:val="0"/>
            </w:pPr>
            <w:r w:rsidRPr="00D85E09">
              <w:t>Cerebral infarction (n=168)</w:t>
            </w:r>
          </w:p>
        </w:tc>
        <w:tc>
          <w:tcPr>
            <w:tcW w:w="837" w:type="pct"/>
            <w:tcBorders>
              <w:top w:val="single" w:sz="4" w:space="0" w:color="000000"/>
              <w:left w:val="single" w:sz="4" w:space="0" w:color="000000"/>
              <w:bottom w:val="single" w:sz="4" w:space="0" w:color="000000"/>
              <w:right w:val="single" w:sz="4" w:space="0" w:color="000000"/>
            </w:tcBorders>
            <w:hideMark/>
          </w:tcPr>
          <w:p w14:paraId="55D9CFF7" w14:textId="77777777" w:rsidR="00A41E60" w:rsidRPr="00D85E09" w:rsidRDefault="00A41E60" w:rsidP="0043316B">
            <w:pPr>
              <w:pStyle w:val="Tabletext"/>
              <w:keepNext w:val="0"/>
              <w:widowControl w:val="0"/>
            </w:pPr>
            <w:r w:rsidRPr="00D85E09">
              <w:t>32</w:t>
            </w:r>
          </w:p>
        </w:tc>
        <w:tc>
          <w:tcPr>
            <w:tcW w:w="838" w:type="pct"/>
            <w:tcBorders>
              <w:top w:val="single" w:sz="4" w:space="0" w:color="000000"/>
              <w:left w:val="single" w:sz="4" w:space="0" w:color="000000"/>
              <w:bottom w:val="single" w:sz="4" w:space="0" w:color="000000"/>
              <w:right w:val="single" w:sz="4" w:space="0" w:color="000000"/>
            </w:tcBorders>
            <w:hideMark/>
          </w:tcPr>
          <w:p w14:paraId="200C082E" w14:textId="77777777" w:rsidR="00A41E60" w:rsidRPr="00D85E09" w:rsidRDefault="00A41E60" w:rsidP="0043316B">
            <w:pPr>
              <w:pStyle w:val="Tabletext"/>
              <w:keepNext w:val="0"/>
              <w:widowControl w:val="0"/>
            </w:pPr>
            <w:r w:rsidRPr="00D85E09">
              <w:t>2</w:t>
            </w:r>
          </w:p>
        </w:tc>
        <w:tc>
          <w:tcPr>
            <w:tcW w:w="710" w:type="pct"/>
            <w:tcBorders>
              <w:top w:val="single" w:sz="4" w:space="0" w:color="000000"/>
              <w:left w:val="single" w:sz="4" w:space="0" w:color="000000"/>
              <w:bottom w:val="single" w:sz="4" w:space="0" w:color="000000"/>
              <w:right w:val="single" w:sz="4" w:space="0" w:color="000000"/>
            </w:tcBorders>
            <w:hideMark/>
          </w:tcPr>
          <w:p w14:paraId="08A29133" w14:textId="77777777" w:rsidR="00A41E60" w:rsidRPr="00D85E09" w:rsidRDefault="00A41E60" w:rsidP="0043316B">
            <w:pPr>
              <w:pStyle w:val="Tabletext"/>
              <w:keepNext w:val="0"/>
              <w:widowControl w:val="0"/>
            </w:pPr>
            <w:r w:rsidRPr="00D85E09">
              <w:t>13</w:t>
            </w:r>
          </w:p>
        </w:tc>
        <w:tc>
          <w:tcPr>
            <w:tcW w:w="965" w:type="pct"/>
            <w:tcBorders>
              <w:top w:val="single" w:sz="4" w:space="0" w:color="000000"/>
              <w:left w:val="single" w:sz="4" w:space="0" w:color="000000"/>
              <w:bottom w:val="single" w:sz="4" w:space="0" w:color="000000"/>
              <w:right w:val="single" w:sz="4" w:space="0" w:color="000000"/>
            </w:tcBorders>
            <w:hideMark/>
          </w:tcPr>
          <w:p w14:paraId="5FA905C0" w14:textId="77777777" w:rsidR="00A41E60" w:rsidRPr="00D85E09" w:rsidRDefault="00A41E60" w:rsidP="0043316B">
            <w:pPr>
              <w:pStyle w:val="Tabletext"/>
              <w:keepNext w:val="0"/>
              <w:widowControl w:val="0"/>
            </w:pPr>
            <w:r w:rsidRPr="00D85E09">
              <w:t>47 (28%)</w:t>
            </w:r>
          </w:p>
        </w:tc>
      </w:tr>
      <w:tr w:rsidR="00A41E60" w:rsidRPr="00D85E09" w14:paraId="7A167E16" w14:textId="77777777" w:rsidTr="00C13682">
        <w:tc>
          <w:tcPr>
            <w:tcW w:w="1650" w:type="pct"/>
            <w:tcBorders>
              <w:top w:val="single" w:sz="4" w:space="0" w:color="000000"/>
              <w:left w:val="single" w:sz="4" w:space="0" w:color="000000"/>
              <w:bottom w:val="single" w:sz="4" w:space="0" w:color="000000"/>
              <w:right w:val="single" w:sz="4" w:space="0" w:color="000000"/>
            </w:tcBorders>
            <w:hideMark/>
          </w:tcPr>
          <w:p w14:paraId="49BA5A91" w14:textId="391CA562" w:rsidR="00A41E60" w:rsidRPr="00D85E09" w:rsidRDefault="00A41E60" w:rsidP="0043316B">
            <w:pPr>
              <w:pStyle w:val="Tabletext"/>
              <w:keepNext w:val="0"/>
              <w:widowControl w:val="0"/>
            </w:pPr>
            <w:r w:rsidRPr="00D85E09">
              <w:t xml:space="preserve"> Large</w:t>
            </w:r>
            <w:r w:rsidR="00D32933" w:rsidRPr="00D85E09">
              <w:t xml:space="preserve"> </w:t>
            </w:r>
            <w:r w:rsidRPr="00D85E09">
              <w:t>artery occulusion (n=116)</w:t>
            </w:r>
          </w:p>
        </w:tc>
        <w:tc>
          <w:tcPr>
            <w:tcW w:w="837" w:type="pct"/>
            <w:tcBorders>
              <w:top w:val="single" w:sz="4" w:space="0" w:color="000000"/>
              <w:left w:val="single" w:sz="4" w:space="0" w:color="000000"/>
              <w:bottom w:val="single" w:sz="4" w:space="0" w:color="000000"/>
              <w:right w:val="single" w:sz="4" w:space="0" w:color="000000"/>
            </w:tcBorders>
            <w:hideMark/>
          </w:tcPr>
          <w:p w14:paraId="0D313EBA" w14:textId="77777777" w:rsidR="00A41E60" w:rsidRPr="00D85E09" w:rsidRDefault="00A41E60" w:rsidP="0043316B">
            <w:pPr>
              <w:pStyle w:val="Tabletext"/>
              <w:keepNext w:val="0"/>
              <w:widowControl w:val="0"/>
            </w:pPr>
            <w:r w:rsidRPr="00D85E09">
              <w:t>23</w:t>
            </w:r>
          </w:p>
        </w:tc>
        <w:tc>
          <w:tcPr>
            <w:tcW w:w="838" w:type="pct"/>
            <w:tcBorders>
              <w:top w:val="single" w:sz="4" w:space="0" w:color="000000"/>
              <w:left w:val="single" w:sz="4" w:space="0" w:color="000000"/>
              <w:bottom w:val="single" w:sz="4" w:space="0" w:color="000000"/>
              <w:right w:val="single" w:sz="4" w:space="0" w:color="000000"/>
            </w:tcBorders>
            <w:hideMark/>
          </w:tcPr>
          <w:p w14:paraId="35401513" w14:textId="77777777" w:rsidR="00A41E60" w:rsidRPr="00D85E09" w:rsidRDefault="00A41E60" w:rsidP="0043316B">
            <w:pPr>
              <w:pStyle w:val="Tabletext"/>
              <w:keepNext w:val="0"/>
              <w:widowControl w:val="0"/>
            </w:pPr>
            <w:r w:rsidRPr="00D85E09">
              <w:t>1</w:t>
            </w:r>
          </w:p>
        </w:tc>
        <w:tc>
          <w:tcPr>
            <w:tcW w:w="710" w:type="pct"/>
            <w:tcBorders>
              <w:top w:val="single" w:sz="4" w:space="0" w:color="000000"/>
              <w:left w:val="single" w:sz="4" w:space="0" w:color="000000"/>
              <w:bottom w:val="single" w:sz="4" w:space="0" w:color="000000"/>
              <w:right w:val="single" w:sz="4" w:space="0" w:color="000000"/>
            </w:tcBorders>
            <w:hideMark/>
          </w:tcPr>
          <w:p w14:paraId="767559E2" w14:textId="77777777" w:rsidR="00A41E60" w:rsidRPr="00D85E09" w:rsidRDefault="00A41E60" w:rsidP="0043316B">
            <w:pPr>
              <w:pStyle w:val="Tabletext"/>
              <w:keepNext w:val="0"/>
              <w:widowControl w:val="0"/>
            </w:pPr>
            <w:r w:rsidRPr="00D85E09">
              <w:t>10</w:t>
            </w:r>
          </w:p>
        </w:tc>
        <w:tc>
          <w:tcPr>
            <w:tcW w:w="965" w:type="pct"/>
            <w:tcBorders>
              <w:top w:val="single" w:sz="4" w:space="0" w:color="000000"/>
              <w:left w:val="single" w:sz="4" w:space="0" w:color="000000"/>
              <w:bottom w:val="single" w:sz="4" w:space="0" w:color="000000"/>
              <w:right w:val="single" w:sz="4" w:space="0" w:color="000000"/>
            </w:tcBorders>
            <w:hideMark/>
          </w:tcPr>
          <w:p w14:paraId="0F062718" w14:textId="77777777" w:rsidR="00A41E60" w:rsidRPr="00D85E09" w:rsidRDefault="00A41E60" w:rsidP="0043316B">
            <w:pPr>
              <w:pStyle w:val="Tabletext"/>
              <w:keepNext w:val="0"/>
              <w:widowControl w:val="0"/>
            </w:pPr>
            <w:r w:rsidRPr="00D85E09">
              <w:t>34 (29%)</w:t>
            </w:r>
          </w:p>
        </w:tc>
      </w:tr>
      <w:tr w:rsidR="00A41E60" w:rsidRPr="00D85E09" w14:paraId="668E0913" w14:textId="77777777" w:rsidTr="00C13682">
        <w:tc>
          <w:tcPr>
            <w:tcW w:w="1650" w:type="pct"/>
            <w:tcBorders>
              <w:top w:val="single" w:sz="4" w:space="0" w:color="000000"/>
              <w:left w:val="single" w:sz="4" w:space="0" w:color="000000"/>
              <w:bottom w:val="single" w:sz="4" w:space="0" w:color="000000"/>
              <w:right w:val="single" w:sz="4" w:space="0" w:color="000000"/>
            </w:tcBorders>
            <w:hideMark/>
          </w:tcPr>
          <w:p w14:paraId="4BEFFEF0" w14:textId="00084411" w:rsidR="00A41E60" w:rsidRPr="00D85E09" w:rsidRDefault="00A41E60" w:rsidP="0043316B">
            <w:pPr>
              <w:pStyle w:val="Tabletext"/>
              <w:keepNext w:val="0"/>
              <w:widowControl w:val="0"/>
            </w:pPr>
            <w:r w:rsidRPr="00D85E09">
              <w:t xml:space="preserve"> Lacunar (n=15)</w:t>
            </w:r>
          </w:p>
        </w:tc>
        <w:tc>
          <w:tcPr>
            <w:tcW w:w="837" w:type="pct"/>
            <w:tcBorders>
              <w:top w:val="single" w:sz="4" w:space="0" w:color="000000"/>
              <w:left w:val="single" w:sz="4" w:space="0" w:color="000000"/>
              <w:bottom w:val="single" w:sz="4" w:space="0" w:color="000000"/>
              <w:right w:val="single" w:sz="4" w:space="0" w:color="000000"/>
            </w:tcBorders>
            <w:hideMark/>
          </w:tcPr>
          <w:p w14:paraId="51141B39" w14:textId="77777777" w:rsidR="00A41E60" w:rsidRPr="00D85E09" w:rsidRDefault="00A41E60" w:rsidP="0043316B">
            <w:pPr>
              <w:pStyle w:val="Tabletext"/>
              <w:keepNext w:val="0"/>
              <w:widowControl w:val="0"/>
            </w:pPr>
            <w:r w:rsidRPr="00D85E09">
              <w:t>5</w:t>
            </w:r>
          </w:p>
        </w:tc>
        <w:tc>
          <w:tcPr>
            <w:tcW w:w="838" w:type="pct"/>
            <w:tcBorders>
              <w:top w:val="single" w:sz="4" w:space="0" w:color="000000"/>
              <w:left w:val="single" w:sz="4" w:space="0" w:color="000000"/>
              <w:bottom w:val="single" w:sz="4" w:space="0" w:color="000000"/>
              <w:right w:val="single" w:sz="4" w:space="0" w:color="000000"/>
            </w:tcBorders>
            <w:hideMark/>
          </w:tcPr>
          <w:p w14:paraId="0B6531FA" w14:textId="77777777" w:rsidR="00A41E60" w:rsidRPr="00D85E09" w:rsidRDefault="00A41E60" w:rsidP="0043316B">
            <w:pPr>
              <w:pStyle w:val="Tabletext"/>
              <w:keepNext w:val="0"/>
              <w:widowControl w:val="0"/>
            </w:pPr>
            <w:r w:rsidRPr="00D85E09">
              <w:t>0</w:t>
            </w:r>
          </w:p>
        </w:tc>
        <w:tc>
          <w:tcPr>
            <w:tcW w:w="710" w:type="pct"/>
            <w:tcBorders>
              <w:top w:val="single" w:sz="4" w:space="0" w:color="000000"/>
              <w:left w:val="single" w:sz="4" w:space="0" w:color="000000"/>
              <w:bottom w:val="single" w:sz="4" w:space="0" w:color="000000"/>
              <w:right w:val="single" w:sz="4" w:space="0" w:color="000000"/>
            </w:tcBorders>
            <w:hideMark/>
          </w:tcPr>
          <w:p w14:paraId="443AF63F" w14:textId="77777777" w:rsidR="00A41E60" w:rsidRPr="00D85E09" w:rsidRDefault="00A41E60" w:rsidP="0043316B">
            <w:pPr>
              <w:pStyle w:val="Tabletext"/>
              <w:keepNext w:val="0"/>
              <w:widowControl w:val="0"/>
            </w:pPr>
            <w:r w:rsidRPr="00D85E09">
              <w:t>0</w:t>
            </w:r>
          </w:p>
        </w:tc>
        <w:tc>
          <w:tcPr>
            <w:tcW w:w="965" w:type="pct"/>
            <w:tcBorders>
              <w:top w:val="single" w:sz="4" w:space="0" w:color="000000"/>
              <w:left w:val="single" w:sz="4" w:space="0" w:color="000000"/>
              <w:bottom w:val="single" w:sz="4" w:space="0" w:color="000000"/>
              <w:right w:val="single" w:sz="4" w:space="0" w:color="000000"/>
            </w:tcBorders>
            <w:hideMark/>
          </w:tcPr>
          <w:p w14:paraId="2505B218" w14:textId="77777777" w:rsidR="00A41E60" w:rsidRPr="00D85E09" w:rsidRDefault="00A41E60" w:rsidP="0043316B">
            <w:pPr>
              <w:pStyle w:val="Tabletext"/>
              <w:keepNext w:val="0"/>
              <w:widowControl w:val="0"/>
            </w:pPr>
            <w:r w:rsidRPr="00D85E09">
              <w:t>5 (33%)</w:t>
            </w:r>
          </w:p>
        </w:tc>
      </w:tr>
      <w:tr w:rsidR="00A41E60" w:rsidRPr="00D85E09" w14:paraId="736C2A40" w14:textId="77777777" w:rsidTr="00C13682">
        <w:tc>
          <w:tcPr>
            <w:tcW w:w="1650" w:type="pct"/>
            <w:tcBorders>
              <w:top w:val="single" w:sz="4" w:space="0" w:color="000000"/>
              <w:left w:val="single" w:sz="4" w:space="0" w:color="000000"/>
              <w:bottom w:val="single" w:sz="4" w:space="0" w:color="000000"/>
              <w:right w:val="single" w:sz="4" w:space="0" w:color="000000"/>
            </w:tcBorders>
            <w:hideMark/>
          </w:tcPr>
          <w:p w14:paraId="71FF0D3E" w14:textId="75EFECB8" w:rsidR="00A41E60" w:rsidRPr="00D85E09" w:rsidRDefault="00A41E60" w:rsidP="0043316B">
            <w:pPr>
              <w:pStyle w:val="Tabletext"/>
              <w:keepNext w:val="0"/>
              <w:widowControl w:val="0"/>
            </w:pPr>
            <w:r w:rsidRPr="00D85E09">
              <w:t xml:space="preserve"> Cardioembolic (n=28)</w:t>
            </w:r>
          </w:p>
        </w:tc>
        <w:tc>
          <w:tcPr>
            <w:tcW w:w="837" w:type="pct"/>
            <w:tcBorders>
              <w:top w:val="single" w:sz="4" w:space="0" w:color="000000"/>
              <w:left w:val="single" w:sz="4" w:space="0" w:color="000000"/>
              <w:bottom w:val="single" w:sz="4" w:space="0" w:color="000000"/>
              <w:right w:val="single" w:sz="4" w:space="0" w:color="000000"/>
            </w:tcBorders>
            <w:hideMark/>
          </w:tcPr>
          <w:p w14:paraId="60AC0094" w14:textId="77777777" w:rsidR="00A41E60" w:rsidRPr="00D85E09" w:rsidRDefault="00A41E60" w:rsidP="0043316B">
            <w:pPr>
              <w:pStyle w:val="Tabletext"/>
              <w:keepNext w:val="0"/>
              <w:widowControl w:val="0"/>
            </w:pPr>
            <w:r w:rsidRPr="00D85E09">
              <w:t>3</w:t>
            </w:r>
          </w:p>
        </w:tc>
        <w:tc>
          <w:tcPr>
            <w:tcW w:w="838" w:type="pct"/>
            <w:tcBorders>
              <w:top w:val="single" w:sz="4" w:space="0" w:color="000000"/>
              <w:left w:val="single" w:sz="4" w:space="0" w:color="000000"/>
              <w:bottom w:val="single" w:sz="4" w:space="0" w:color="000000"/>
              <w:right w:val="single" w:sz="4" w:space="0" w:color="000000"/>
            </w:tcBorders>
            <w:hideMark/>
          </w:tcPr>
          <w:p w14:paraId="419F0DC0" w14:textId="77777777" w:rsidR="00A41E60" w:rsidRPr="00D85E09" w:rsidRDefault="00A41E60" w:rsidP="0043316B">
            <w:pPr>
              <w:pStyle w:val="Tabletext"/>
              <w:keepNext w:val="0"/>
              <w:widowControl w:val="0"/>
            </w:pPr>
            <w:r w:rsidRPr="00D85E09">
              <w:t>1</w:t>
            </w:r>
          </w:p>
        </w:tc>
        <w:tc>
          <w:tcPr>
            <w:tcW w:w="710" w:type="pct"/>
            <w:tcBorders>
              <w:top w:val="single" w:sz="4" w:space="0" w:color="000000"/>
              <w:left w:val="single" w:sz="4" w:space="0" w:color="000000"/>
              <w:bottom w:val="single" w:sz="4" w:space="0" w:color="000000"/>
              <w:right w:val="single" w:sz="4" w:space="0" w:color="000000"/>
            </w:tcBorders>
            <w:hideMark/>
          </w:tcPr>
          <w:p w14:paraId="0DDF4C61" w14:textId="77777777" w:rsidR="00A41E60" w:rsidRPr="00D85E09" w:rsidRDefault="00A41E60" w:rsidP="0043316B">
            <w:pPr>
              <w:pStyle w:val="Tabletext"/>
              <w:keepNext w:val="0"/>
              <w:widowControl w:val="0"/>
            </w:pPr>
            <w:r w:rsidRPr="00D85E09">
              <w:t>2</w:t>
            </w:r>
          </w:p>
        </w:tc>
        <w:tc>
          <w:tcPr>
            <w:tcW w:w="965" w:type="pct"/>
            <w:tcBorders>
              <w:top w:val="single" w:sz="4" w:space="0" w:color="000000"/>
              <w:left w:val="single" w:sz="4" w:space="0" w:color="000000"/>
              <w:bottom w:val="single" w:sz="4" w:space="0" w:color="000000"/>
              <w:right w:val="single" w:sz="4" w:space="0" w:color="000000"/>
            </w:tcBorders>
            <w:hideMark/>
          </w:tcPr>
          <w:p w14:paraId="4A81DF9B" w14:textId="77777777" w:rsidR="00A41E60" w:rsidRPr="00D85E09" w:rsidRDefault="00A41E60" w:rsidP="0043316B">
            <w:pPr>
              <w:pStyle w:val="Tabletext"/>
              <w:keepNext w:val="0"/>
              <w:widowControl w:val="0"/>
            </w:pPr>
            <w:r w:rsidRPr="00D85E09">
              <w:t>6 (21%)</w:t>
            </w:r>
          </w:p>
        </w:tc>
      </w:tr>
      <w:tr w:rsidR="00A41E60" w:rsidRPr="00D85E09" w14:paraId="333A69B7" w14:textId="77777777" w:rsidTr="00C13682">
        <w:tc>
          <w:tcPr>
            <w:tcW w:w="1650" w:type="pct"/>
            <w:tcBorders>
              <w:top w:val="single" w:sz="4" w:space="0" w:color="000000"/>
              <w:left w:val="single" w:sz="4" w:space="0" w:color="000000"/>
              <w:bottom w:val="single" w:sz="4" w:space="0" w:color="000000"/>
              <w:right w:val="single" w:sz="4" w:space="0" w:color="000000"/>
            </w:tcBorders>
            <w:hideMark/>
          </w:tcPr>
          <w:p w14:paraId="179DDD80" w14:textId="0F412552" w:rsidR="00A41E60" w:rsidRPr="00D85E09" w:rsidRDefault="00A41E60" w:rsidP="0043316B">
            <w:pPr>
              <w:pStyle w:val="Tabletext"/>
              <w:keepNext w:val="0"/>
              <w:widowControl w:val="0"/>
            </w:pPr>
            <w:r w:rsidRPr="00D85E09">
              <w:t xml:space="preserve"> Boundary Zone (n=9)</w:t>
            </w:r>
          </w:p>
        </w:tc>
        <w:tc>
          <w:tcPr>
            <w:tcW w:w="837" w:type="pct"/>
            <w:tcBorders>
              <w:top w:val="single" w:sz="4" w:space="0" w:color="000000"/>
              <w:left w:val="single" w:sz="4" w:space="0" w:color="000000"/>
              <w:bottom w:val="single" w:sz="4" w:space="0" w:color="000000"/>
              <w:right w:val="single" w:sz="4" w:space="0" w:color="000000"/>
            </w:tcBorders>
            <w:hideMark/>
          </w:tcPr>
          <w:p w14:paraId="1E4741E8" w14:textId="77777777" w:rsidR="00A41E60" w:rsidRPr="00D85E09" w:rsidRDefault="00A41E60" w:rsidP="0043316B">
            <w:pPr>
              <w:pStyle w:val="Tabletext"/>
              <w:keepNext w:val="0"/>
              <w:widowControl w:val="0"/>
            </w:pPr>
            <w:r w:rsidRPr="00D85E09">
              <w:t>1</w:t>
            </w:r>
          </w:p>
        </w:tc>
        <w:tc>
          <w:tcPr>
            <w:tcW w:w="838" w:type="pct"/>
            <w:tcBorders>
              <w:top w:val="single" w:sz="4" w:space="0" w:color="000000"/>
              <w:left w:val="single" w:sz="4" w:space="0" w:color="000000"/>
              <w:bottom w:val="single" w:sz="4" w:space="0" w:color="000000"/>
              <w:right w:val="single" w:sz="4" w:space="0" w:color="000000"/>
            </w:tcBorders>
            <w:hideMark/>
          </w:tcPr>
          <w:p w14:paraId="2EB822EB" w14:textId="77777777" w:rsidR="00A41E60" w:rsidRPr="00D85E09" w:rsidRDefault="00A41E60" w:rsidP="0043316B">
            <w:pPr>
              <w:pStyle w:val="Tabletext"/>
              <w:keepNext w:val="0"/>
              <w:widowControl w:val="0"/>
            </w:pPr>
            <w:r w:rsidRPr="00D85E09">
              <w:t>0</w:t>
            </w:r>
          </w:p>
        </w:tc>
        <w:tc>
          <w:tcPr>
            <w:tcW w:w="710" w:type="pct"/>
            <w:tcBorders>
              <w:top w:val="single" w:sz="4" w:space="0" w:color="000000"/>
              <w:left w:val="single" w:sz="4" w:space="0" w:color="000000"/>
              <w:bottom w:val="single" w:sz="4" w:space="0" w:color="000000"/>
              <w:right w:val="single" w:sz="4" w:space="0" w:color="000000"/>
            </w:tcBorders>
            <w:hideMark/>
          </w:tcPr>
          <w:p w14:paraId="69206FB4" w14:textId="77777777" w:rsidR="00A41E60" w:rsidRPr="00D85E09" w:rsidRDefault="00A41E60" w:rsidP="0043316B">
            <w:pPr>
              <w:pStyle w:val="Tabletext"/>
              <w:keepNext w:val="0"/>
              <w:widowControl w:val="0"/>
            </w:pPr>
            <w:r w:rsidRPr="00D85E09">
              <w:t>1</w:t>
            </w:r>
          </w:p>
        </w:tc>
        <w:tc>
          <w:tcPr>
            <w:tcW w:w="965" w:type="pct"/>
            <w:tcBorders>
              <w:top w:val="single" w:sz="4" w:space="0" w:color="000000"/>
              <w:left w:val="single" w:sz="4" w:space="0" w:color="000000"/>
              <w:bottom w:val="single" w:sz="4" w:space="0" w:color="000000"/>
              <w:right w:val="single" w:sz="4" w:space="0" w:color="000000"/>
            </w:tcBorders>
            <w:hideMark/>
          </w:tcPr>
          <w:p w14:paraId="1C6A4088" w14:textId="77777777" w:rsidR="00A41E60" w:rsidRPr="00D85E09" w:rsidRDefault="00A41E60" w:rsidP="0043316B">
            <w:pPr>
              <w:pStyle w:val="Tabletext"/>
              <w:keepNext w:val="0"/>
              <w:widowControl w:val="0"/>
            </w:pPr>
            <w:r w:rsidRPr="00D85E09">
              <w:t>2 (22%)</w:t>
            </w:r>
          </w:p>
        </w:tc>
      </w:tr>
    </w:tbl>
    <w:p w14:paraId="62F64FD2" w14:textId="77777777" w:rsidR="00A41E60" w:rsidRPr="00D85E09" w:rsidRDefault="00A41E60" w:rsidP="0043316B">
      <w:pPr>
        <w:pStyle w:val="Tablefootnote"/>
        <w:widowControl w:val="0"/>
        <w:rPr>
          <w:lang w:val="en-AU"/>
        </w:rPr>
      </w:pPr>
      <w:r w:rsidRPr="00D85E09">
        <w:rPr>
          <w:lang w:val="en-AU"/>
        </w:rPr>
        <w:t>Source: Hardie et al 2004, Table 4</w:t>
      </w:r>
    </w:p>
    <w:p w14:paraId="0BC68C63" w14:textId="26A7BF9D" w:rsidR="00A41E60" w:rsidRPr="00D85E09" w:rsidRDefault="00A41E60" w:rsidP="0043316B">
      <w:pPr>
        <w:widowControl w:val="0"/>
      </w:pPr>
      <w:r w:rsidRPr="00D85E09">
        <w:lastRenderedPageBreak/>
        <w:t xml:space="preserve">The PCSS dataset also demonstrated the temporal reduction in risk of recurrent stroke, as observed in Mohan et al (2011). Hardie et al (2005) reported that the 5-year cumulative risk of first recurrent stroke was 32% (95% CI 25%, 40%; as per </w:t>
      </w:r>
      <w:r w:rsidRPr="00D85E09">
        <w:fldChar w:fldCharType="begin"/>
      </w:r>
      <w:r w:rsidRPr="00D85E09">
        <w:instrText xml:space="preserve"> REF _Ref448739104 \h </w:instrText>
      </w:r>
      <w:r w:rsidRPr="00D85E09">
        <w:fldChar w:fldCharType="separate"/>
      </w:r>
      <w:r w:rsidR="00A456ED" w:rsidRPr="00D85E09">
        <w:t xml:space="preserve">Table </w:t>
      </w:r>
      <w:r w:rsidR="00A456ED">
        <w:rPr>
          <w:noProof/>
        </w:rPr>
        <w:t>67</w:t>
      </w:r>
      <w:r w:rsidRPr="00D85E09">
        <w:fldChar w:fldCharType="end"/>
      </w:r>
      <w:r w:rsidRPr="00D85E09">
        <w:t>) and 23% (95% CI 16%, 30%) for the 1989-90 and 1995-96 cohorts, respectively (p = 0.07). While not statistically significant, this trend clearly supports the presence of a temporal recurrence reduction among stroke survivors in Australia. Unfortunately, the authors did not report recurrence risks by stroke types (of index events).</w:t>
      </w:r>
    </w:p>
    <w:p w14:paraId="5B0469C9" w14:textId="6C7BEB84" w:rsidR="00A41E60" w:rsidRPr="00D85E09" w:rsidRDefault="00A41E60" w:rsidP="0043316B">
      <w:pPr>
        <w:widowControl w:val="0"/>
      </w:pPr>
      <w:r w:rsidRPr="00D85E09">
        <w:t>Lee et al (2004) performed a retrospective patient data review using the Western Australia (WA) Data Linkage System. First</w:t>
      </w:r>
      <w:r w:rsidR="00D32933" w:rsidRPr="00D85E09">
        <w:t>-</w:t>
      </w:r>
      <w:r w:rsidRPr="00D85E09">
        <w:t>ever admissions to hospital for ischaemic stroke between 1 July 1995 and 31 December 1999 were included in the study (n=7816). In this dataset, the cumulative risk of having another ischaemic stroke within 6 months of the index event was 5.1% (95%CI, 4.6%-5.7%), increasing to 8.4% (95%CI, 7.6%-9.1%) after 1 year and 19.8% (95%CI, 18.1%-21.4%) after 4 years (Lee et al 2004). These rates are largely in line with the PCSS 1995-96 cohort reported in Hardie et al (2005).</w:t>
      </w:r>
    </w:p>
    <w:p w14:paraId="535B2A39" w14:textId="18DD8051" w:rsidR="00A41E60" w:rsidRPr="00D85E09" w:rsidRDefault="00A41E60" w:rsidP="0043316B">
      <w:pPr>
        <w:widowControl w:val="0"/>
        <w:rPr>
          <w:i/>
        </w:rPr>
      </w:pPr>
      <w:r w:rsidRPr="00D85E09">
        <w:rPr>
          <w:i/>
        </w:rPr>
        <w:t>The base case analysis will be informed by the 2010 estimates derived by Mohan et al (2011); i.e., 6.49% during the first 12 months and 14.3% at 5 years. These estimates are slightly lower than older values reported for Australia (Hardie et al 2005, Lee et al 2004), but are considered as more appropriate because they would better capture the expected reduction in recurrent risks than those Australian studies (conducted in the 90’s).</w:t>
      </w:r>
    </w:p>
    <w:p w14:paraId="6B6F9D41"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53" w:name="_Toc453065298"/>
      <w:r w:rsidRPr="00D85E09">
        <w:rPr>
          <w:lang w:val="en-AU"/>
        </w:rPr>
        <w:t>Relationship of the pre-modelling study to the economic model</w:t>
      </w:r>
      <w:bookmarkEnd w:id="453"/>
    </w:p>
    <w:p w14:paraId="33F0AA92" w14:textId="1AE90B1F" w:rsidR="00A41E60" w:rsidRPr="00D85E09" w:rsidRDefault="00A41E60" w:rsidP="0043316B">
      <w:pPr>
        <w:widowControl w:val="0"/>
      </w:pPr>
      <w:r w:rsidRPr="00D85E09">
        <w:t>The current pre-modelling study suggested that, also supported by Mohan et al (2010), the risk of stroke recurrence has been declining over time, likely reflecting increasing awareness given to secondary prevention. To capture this, the base case Section D model will apply a recurrence rate of 6.49% during the first year, and a cumulative risk of 14.3% to 5 years (Mohan et al 2011).</w:t>
      </w:r>
    </w:p>
    <w:p w14:paraId="32CC6281" w14:textId="7398D44C" w:rsidR="00A41E60" w:rsidRPr="00D85E09" w:rsidRDefault="00A41E60" w:rsidP="0043316B">
      <w:pPr>
        <w:widowControl w:val="0"/>
      </w:pPr>
      <w:r w:rsidRPr="00D85E09">
        <w:t xml:space="preserve">In the model, the Day 90 mRS distribution is directly informed by the available RCT evidence. This distribution would have accounted for any impacts due to stroke recurrence occurred to 90 days post the index event. </w:t>
      </w:r>
      <w:r w:rsidRPr="00D85E09">
        <w:rPr>
          <w:i/>
        </w:rPr>
        <w:t>It was assumed that the monthly probability of stroke recurrence is constant over the first year, allowing the 9-month recurrence risk to be calculated (i.e., between Day 90 to Month 12); i.e., 4.91%. Thereafter, the annual risk is also assumed to be constant at 2.01%, based on the 5-year cumulative risk of 14.30% (as reported in Mohan et al 2011).</w:t>
      </w:r>
    </w:p>
    <w:p w14:paraId="65EBC2EE" w14:textId="12D7412F" w:rsidR="00A41E60" w:rsidRPr="00D85E09" w:rsidRDefault="00A41E60" w:rsidP="0043316B">
      <w:pPr>
        <w:widowControl w:val="0"/>
      </w:pPr>
      <w:r w:rsidRPr="00D85E09">
        <w:t xml:space="preserve">No evidence was identified in the literature review whether disability levels affect the risk </w:t>
      </w:r>
      <w:r w:rsidRPr="00D85E09">
        <w:lastRenderedPageBreak/>
        <w:t>of stroke recurrence. To this end, these recurrent rates are applied regardless of mRS scores in the model.</w:t>
      </w:r>
    </w:p>
    <w:p w14:paraId="20A21D06" w14:textId="0AF0D884" w:rsidR="00A41E60" w:rsidRPr="00D85E09" w:rsidRDefault="00A41E60" w:rsidP="0043316B">
      <w:pPr>
        <w:widowControl w:val="0"/>
      </w:pPr>
      <w:r w:rsidRPr="00D85E09">
        <w:t xml:space="preserve">Sensitivity analysis will be also performed to test other estimates. </w:t>
      </w:r>
      <w:r w:rsidRPr="00D85E09">
        <w:rPr>
          <w:i/>
        </w:rPr>
        <w:t xml:space="preserve">The </w:t>
      </w:r>
      <w:r w:rsidR="0070191F" w:rsidRPr="00D85E09">
        <w:rPr>
          <w:i/>
        </w:rPr>
        <w:t>A</w:t>
      </w:r>
      <w:r w:rsidRPr="00D85E09">
        <w:rPr>
          <w:i/>
        </w:rPr>
        <w:t xml:space="preserve">pplicant would like to note that the modelling of recurrent stroke and associated mRS transitions adds considerable complexity to the overall model structure and data requirements. The Excel model provided with the submission incorporates separate analyses that omit the modelling of stroke recurrence, significantly simplifying the model structure. Further discussion is provided in Section </w:t>
      </w:r>
      <w:r w:rsidRPr="00D85E09">
        <w:rPr>
          <w:i/>
        </w:rPr>
        <w:fldChar w:fldCharType="begin"/>
      </w:r>
      <w:r w:rsidRPr="00D85E09">
        <w:rPr>
          <w:i/>
        </w:rPr>
        <w:instrText xml:space="preserve"> REF _Ref452113564 \r \h </w:instrText>
      </w:r>
      <w:r w:rsidRPr="00D85E09">
        <w:rPr>
          <w:i/>
        </w:rPr>
      </w:r>
      <w:r w:rsidRPr="00D85E09">
        <w:rPr>
          <w:i/>
        </w:rPr>
        <w:fldChar w:fldCharType="separate"/>
      </w:r>
      <w:r w:rsidR="00A456ED">
        <w:rPr>
          <w:i/>
        </w:rPr>
        <w:t>C.7.3</w:t>
      </w:r>
      <w:r w:rsidRPr="00D85E09">
        <w:rPr>
          <w:i/>
        </w:rPr>
        <w:fldChar w:fldCharType="end"/>
      </w:r>
      <w:r w:rsidRPr="00D85E09">
        <w:rPr>
          <w:i/>
        </w:rPr>
        <w:t xml:space="preserve"> below. Findings from this simplified model are presented as a sensitivity analysis in Section D.</w:t>
      </w:r>
      <w:r w:rsidR="00B5717D" w:rsidRPr="00D85E09">
        <w:t>5</w:t>
      </w:r>
      <w:r w:rsidRPr="00D85E09">
        <w:t>.</w:t>
      </w:r>
    </w:p>
    <w:p w14:paraId="66FCA780" w14:textId="50131272" w:rsidR="00A41E60" w:rsidRPr="00D85E09" w:rsidRDefault="00A41E60" w:rsidP="0043316B">
      <w:pPr>
        <w:pStyle w:val="Heading2"/>
        <w:widowControl w:val="0"/>
        <w:ind w:left="851" w:hanging="851"/>
        <w:rPr>
          <w:lang w:val="en-AU"/>
        </w:rPr>
      </w:pPr>
      <w:bookmarkStart w:id="454" w:name="_Ref452371484"/>
      <w:bookmarkStart w:id="455" w:name="_Toc453065299"/>
      <w:r w:rsidRPr="00D85E09">
        <w:rPr>
          <w:lang w:val="en-AU"/>
        </w:rPr>
        <w:t>Long</w:t>
      </w:r>
      <w:r w:rsidR="00D32933" w:rsidRPr="00D85E09">
        <w:rPr>
          <w:lang w:val="en-AU"/>
        </w:rPr>
        <w:t>-</w:t>
      </w:r>
      <w:r w:rsidRPr="00D85E09">
        <w:rPr>
          <w:lang w:val="en-AU"/>
        </w:rPr>
        <w:t>term transitions in mRS scores</w:t>
      </w:r>
      <w:bookmarkEnd w:id="454"/>
      <w:bookmarkEnd w:id="455"/>
    </w:p>
    <w:p w14:paraId="05B2CE3E" w14:textId="0A9AA38E" w:rsidR="00A41E60" w:rsidRPr="00D85E09" w:rsidRDefault="00A41E60" w:rsidP="0043316B">
      <w:pPr>
        <w:widowControl w:val="0"/>
      </w:pPr>
      <w:r w:rsidRPr="00D85E09">
        <w:t>As set out above, extrapolation is an important element of the Section D model because the functional benefits offered by MT over usual care will persist into the future. Importantly, a long-term model horizon is also vital to account for the reduction in mortality at Day 90 (i.e., mRS 6) within the calculation of ICER (indeed, a life</w:t>
      </w:r>
      <w:r w:rsidR="00D32933" w:rsidRPr="00D85E09">
        <w:t>-</w:t>
      </w:r>
      <w:r w:rsidRPr="00D85E09">
        <w:t>time model can only adequately capture this fully). This is particularly relevant for a fair assessment of MT’s cost-effectiveness because all intervention costs are incurred at baseline, while its cost / health benefits are accrued in the long run.</w:t>
      </w:r>
    </w:p>
    <w:p w14:paraId="379ED3DA" w14:textId="75A19229" w:rsidR="00A41E60" w:rsidRPr="00D85E09" w:rsidRDefault="00A41E60" w:rsidP="0043316B">
      <w:pPr>
        <w:widowControl w:val="0"/>
      </w:pPr>
      <w:r w:rsidRPr="00D85E09">
        <w:t>The primary outcome in Section B of this submission is the mRS 90 days after the intervention. In each of the five pivotal clinical trials reporting this outcome, this 90-day outcome was also the final efficacy assessment. By comparison, the base case Section D model applies a life</w:t>
      </w:r>
      <w:r w:rsidR="00D32933" w:rsidRPr="00D85E09">
        <w:t>-</w:t>
      </w:r>
      <w:r w:rsidRPr="00D85E09">
        <w:t>time horizon with the maximum age of 100.</w:t>
      </w:r>
      <w:r w:rsidRPr="00D85E09">
        <w:rPr>
          <w:rStyle w:val="FootnoteReference"/>
        </w:rPr>
        <w:footnoteReference w:id="11"/>
      </w:r>
      <w:r w:rsidRPr="00D85E09">
        <w:t xml:space="preserve"> During this time, it is possible that patients may improve or deteriorate with respect to functional status. The purpose of this pre-modelling study is to identify long-term clinical data to extrapolate functional outcomes beyond 3 months. The primary source of evidence for this analysis is long</w:t>
      </w:r>
      <w:r w:rsidR="00D32933" w:rsidRPr="00D85E09">
        <w:t>-</w:t>
      </w:r>
      <w:r w:rsidRPr="00D85E09">
        <w:t>term longitudinal studies that follow patients suffering from acute stroke.</w:t>
      </w:r>
    </w:p>
    <w:p w14:paraId="633215EE"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56" w:name="_Toc453065300"/>
      <w:r w:rsidRPr="00D85E09">
        <w:rPr>
          <w:lang w:val="en-AU"/>
        </w:rPr>
        <w:t>Focused analytical plan</w:t>
      </w:r>
      <w:bookmarkEnd w:id="456"/>
    </w:p>
    <w:p w14:paraId="13802D18" w14:textId="664080AF" w:rsidR="00A41E60" w:rsidRPr="00D85E09" w:rsidRDefault="00A41E60" w:rsidP="0043316B">
      <w:pPr>
        <w:widowControl w:val="0"/>
      </w:pPr>
      <w:r w:rsidRPr="00D85E09">
        <w:t xml:space="preserve">A PubMed literature search was performed on the 20th of April with the following search string; </w:t>
      </w:r>
      <w:r w:rsidRPr="00D85E09">
        <w:rPr>
          <w:i/>
        </w:rPr>
        <w:t>(mortality OR death OR survival OR prognosis) AND "rankin" AND stroke AND "long</w:t>
      </w:r>
      <w:r w:rsidR="00D32933" w:rsidRPr="00D85E09">
        <w:rPr>
          <w:i/>
        </w:rPr>
        <w:t>-</w:t>
      </w:r>
      <w:r w:rsidRPr="00D85E09">
        <w:rPr>
          <w:i/>
        </w:rPr>
        <w:t xml:space="preserve">term", </w:t>
      </w:r>
      <w:r w:rsidRPr="00D85E09">
        <w:t>returning 419 citations. A supplementary manual search of reference lists was performed to identify relevant studies not identified through the PubMed search. To be eligible for inclusion, the study had to report long</w:t>
      </w:r>
      <w:r w:rsidR="00D32933" w:rsidRPr="00D85E09">
        <w:t>-</w:t>
      </w:r>
      <w:r w:rsidRPr="00D85E09">
        <w:t xml:space="preserve">term functional outcomes (beyond 90 </w:t>
      </w:r>
      <w:r w:rsidRPr="00D85E09">
        <w:lastRenderedPageBreak/>
        <w:t>days) for patients with AIS by post-stroke mRS score.</w:t>
      </w:r>
    </w:p>
    <w:p w14:paraId="374EBF32" w14:textId="56CBE6B0" w:rsidR="00A41E60" w:rsidRPr="00D85E09" w:rsidRDefault="00A41E60" w:rsidP="0043316B">
      <w:pPr>
        <w:widowControl w:val="0"/>
      </w:pPr>
      <w:r w:rsidRPr="00D85E09">
        <w:t xml:space="preserve">As shown in </w:t>
      </w:r>
      <w:r w:rsidRPr="00D85E09">
        <w:fldChar w:fldCharType="begin"/>
      </w:r>
      <w:r w:rsidRPr="00D85E09">
        <w:instrText xml:space="preserve"> REF _Ref451444931 \h </w:instrText>
      </w:r>
      <w:r w:rsidRPr="00D85E09">
        <w:fldChar w:fldCharType="separate"/>
      </w:r>
      <w:r w:rsidR="00A456ED" w:rsidRPr="00D85E09">
        <w:t xml:space="preserve">Table </w:t>
      </w:r>
      <w:r w:rsidR="00A456ED">
        <w:rPr>
          <w:noProof/>
        </w:rPr>
        <w:t>69</w:t>
      </w:r>
      <w:r w:rsidRPr="00D85E09">
        <w:fldChar w:fldCharType="end"/>
      </w:r>
      <w:r w:rsidRPr="00D85E09">
        <w:t>, the search identified three relevant studies reporting the association between post-stroke functional status and long-term functional outcomes. An Italian study by Cioncoloni et al (2012) also reported the long-term mRS transitions but only reported data for a mixed stroke population (ischaemic and haemorrhagic) with a relatively small sample size (n=92; 74 and 18 with ischaemic and haemorrhagic, respectively); thus excluded from further consideration.</w:t>
      </w:r>
    </w:p>
    <w:p w14:paraId="6309B3F5" w14:textId="210F8F92" w:rsidR="00A41E60" w:rsidRPr="00D85E09" w:rsidRDefault="00A41E60" w:rsidP="0043316B">
      <w:pPr>
        <w:pStyle w:val="Caption"/>
        <w:keepNext w:val="0"/>
        <w:widowControl w:val="0"/>
        <w:rPr>
          <w:lang w:val="en-AU"/>
        </w:rPr>
      </w:pPr>
      <w:bookmarkStart w:id="457" w:name="_Ref451444931"/>
      <w:bookmarkStart w:id="458" w:name="_Toc45306540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69</w:t>
      </w:r>
      <w:r w:rsidRPr="00D85E09">
        <w:rPr>
          <w:lang w:val="en-AU"/>
        </w:rPr>
        <w:fldChar w:fldCharType="end"/>
      </w:r>
      <w:bookmarkEnd w:id="457"/>
      <w:r w:rsidRPr="00D85E09">
        <w:rPr>
          <w:lang w:val="en-AU"/>
        </w:rPr>
        <w:tab/>
        <w:t>Publications reporting post-stroke functional status and long</w:t>
      </w:r>
      <w:r w:rsidR="00D32933" w:rsidRPr="00D85E09">
        <w:rPr>
          <w:lang w:val="en-AU"/>
        </w:rPr>
        <w:t>-</w:t>
      </w:r>
      <w:r w:rsidRPr="00D85E09">
        <w:rPr>
          <w:lang w:val="en-AU"/>
        </w:rPr>
        <w:t>term survival</w:t>
      </w:r>
      <w:bookmarkEnd w:id="458"/>
    </w:p>
    <w:tbl>
      <w:tblPr>
        <w:tblStyle w:val="TableGrid"/>
        <w:tblW w:w="0" w:type="auto"/>
        <w:tblLook w:val="04A0" w:firstRow="1" w:lastRow="0" w:firstColumn="1" w:lastColumn="0" w:noHBand="0" w:noVBand="1"/>
        <w:tblDescription w:val="Table 69 Publications reporting post-stroke functional status and long-term survival"/>
      </w:tblPr>
      <w:tblGrid>
        <w:gridCol w:w="8778"/>
      </w:tblGrid>
      <w:tr w:rsidR="00A41E60" w:rsidRPr="00D85E09" w14:paraId="546C3BF0"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hideMark/>
          </w:tcPr>
          <w:p w14:paraId="0649B332" w14:textId="12266B93" w:rsidR="00A41E60" w:rsidRPr="00D85E09" w:rsidRDefault="00A41E60" w:rsidP="0043316B">
            <w:pPr>
              <w:pStyle w:val="Tabletext"/>
              <w:keepNext w:val="0"/>
              <w:widowControl w:val="0"/>
            </w:pPr>
            <w:r w:rsidRPr="00D85E09">
              <w:t>Magalh</w:t>
            </w:r>
            <w:r w:rsidR="00582C35" w:rsidRPr="00D85E09">
              <w:t>a</w:t>
            </w:r>
            <w:r w:rsidRPr="00D85E09">
              <w:t>es R, Abreu P, Correia M, Whiteley W, Silva MC, Sandercock P. Functional status three months after the first isch</w:t>
            </w:r>
            <w:r w:rsidR="00E56287" w:rsidRPr="00D85E09">
              <w:t>aemic</w:t>
            </w:r>
            <w:r w:rsidRPr="00D85E09">
              <w:t xml:space="preserve"> stroke is associated with long-term outcome: data from a community-based cohort. Cerebrovasc Dis. 2014;38(1):46-54</w:t>
            </w:r>
          </w:p>
        </w:tc>
      </w:tr>
      <w:tr w:rsidR="00A41E60" w:rsidRPr="00D85E09" w14:paraId="6F144CD3"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5744378F" w14:textId="710202FB" w:rsidR="00A41E60" w:rsidRPr="00D85E09" w:rsidRDefault="00A41E60" w:rsidP="0043316B">
            <w:pPr>
              <w:pStyle w:val="Tabletext"/>
              <w:keepNext w:val="0"/>
              <w:widowControl w:val="0"/>
            </w:pPr>
            <w:r w:rsidRPr="00D85E09">
              <w:t>Aoki J, Kimura K, Sakamoto Y. Early administration of tissue</w:t>
            </w:r>
            <w:r w:rsidR="00300BB6" w:rsidRPr="00D85E09">
              <w:t xml:space="preserve"> </w:t>
            </w:r>
            <w:r w:rsidRPr="00D85E09">
              <w:t>plasminogen activator improves the long-term clinical outcome at 5years after onset. J Neurol Sci. 2016 Mar 15;362:33-9</w:t>
            </w:r>
          </w:p>
        </w:tc>
      </w:tr>
      <w:tr w:rsidR="00A41E60" w:rsidRPr="00D85E09" w14:paraId="019D8CD4"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78D43FB9" w14:textId="77777777" w:rsidR="00A41E60" w:rsidRPr="00D85E09" w:rsidRDefault="00A41E60" w:rsidP="0043316B">
            <w:pPr>
              <w:pStyle w:val="Tabletext"/>
              <w:keepNext w:val="0"/>
              <w:widowControl w:val="0"/>
            </w:pPr>
            <w:r w:rsidRPr="00D85E09">
              <w:t>Gensicke H, Seiffge DJ, Polasek AE, Peters N, Bonati LH, Lyrer PA, Engelter ST. Long-term outcome in stroke patients treated with IV thrombolysis. Neurology. 2013 Mar 5;80(10):919-25</w:t>
            </w:r>
          </w:p>
        </w:tc>
      </w:tr>
    </w:tbl>
    <w:p w14:paraId="143054CB" w14:textId="77777777" w:rsidR="00A41E60" w:rsidRPr="00D85E09" w:rsidRDefault="00A41E60" w:rsidP="0043316B">
      <w:pPr>
        <w:widowControl w:val="0"/>
      </w:pPr>
    </w:p>
    <w:p w14:paraId="1D31B6EE"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59" w:name="_Toc453065301"/>
      <w:r w:rsidRPr="00D85E09">
        <w:rPr>
          <w:lang w:val="en-AU"/>
        </w:rPr>
        <w:t>Results of the pre-modelling study</w:t>
      </w:r>
      <w:bookmarkEnd w:id="459"/>
    </w:p>
    <w:p w14:paraId="17439CDF" w14:textId="391B2DD6" w:rsidR="00A41E60" w:rsidRPr="00D85E09" w:rsidRDefault="00A41E60" w:rsidP="0043316B">
      <w:pPr>
        <w:widowControl w:val="0"/>
      </w:pPr>
      <w:r w:rsidRPr="00D85E09">
        <w:fldChar w:fldCharType="begin"/>
      </w:r>
      <w:r w:rsidRPr="00D85E09">
        <w:instrText xml:space="preserve"> REF _Ref450648402 \h </w:instrText>
      </w:r>
      <w:r w:rsidRPr="00D85E09">
        <w:fldChar w:fldCharType="separate"/>
      </w:r>
      <w:r w:rsidR="00A456ED" w:rsidRPr="00D85E09">
        <w:t xml:space="preserve">Table </w:t>
      </w:r>
      <w:r w:rsidR="00A456ED">
        <w:rPr>
          <w:noProof/>
        </w:rPr>
        <w:t>70</w:t>
      </w:r>
      <w:r w:rsidRPr="00D85E09">
        <w:fldChar w:fldCharType="end"/>
      </w:r>
      <w:r w:rsidRPr="00D85E09">
        <w:t xml:space="preserve"> summarises the results for each study identified in the literature search.</w:t>
      </w:r>
    </w:p>
    <w:p w14:paraId="17E5CF06" w14:textId="77777777" w:rsidR="00A41E60" w:rsidRPr="00D85E09" w:rsidRDefault="00A41E60" w:rsidP="0043316B">
      <w:pPr>
        <w:widowControl w:val="0"/>
        <w:spacing w:after="0" w:line="240" w:lineRule="auto"/>
        <w:rPr>
          <w:rFonts w:cs="Times New Roman"/>
          <w:b/>
          <w:szCs w:val="20"/>
        </w:rPr>
        <w:sectPr w:rsidR="00A41E60" w:rsidRPr="00D85E09">
          <w:pgSz w:w="11907" w:h="16840"/>
          <w:pgMar w:top="1701" w:right="1418" w:bottom="1418" w:left="1701" w:header="709" w:footer="709" w:gutter="0"/>
          <w:cols w:space="720"/>
        </w:sectPr>
      </w:pPr>
    </w:p>
    <w:p w14:paraId="6643D741" w14:textId="2D386369" w:rsidR="00A41E60" w:rsidRPr="00D85E09" w:rsidRDefault="00A41E60" w:rsidP="0043316B">
      <w:pPr>
        <w:pStyle w:val="Caption"/>
        <w:keepNext w:val="0"/>
        <w:widowControl w:val="0"/>
        <w:rPr>
          <w:lang w:val="en-AU"/>
        </w:rPr>
      </w:pPr>
      <w:bookmarkStart w:id="460" w:name="_Ref450648402"/>
      <w:bookmarkStart w:id="461" w:name="_Toc453065406"/>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70</w:t>
      </w:r>
      <w:r w:rsidRPr="00D85E09">
        <w:rPr>
          <w:lang w:val="en-AU"/>
        </w:rPr>
        <w:fldChar w:fldCharType="end"/>
      </w:r>
      <w:bookmarkEnd w:id="460"/>
      <w:r w:rsidRPr="00D85E09">
        <w:rPr>
          <w:lang w:val="en-AU"/>
        </w:rPr>
        <w:tab/>
        <w:t>Results of studies reporting post-stroke functional status and long</w:t>
      </w:r>
      <w:r w:rsidR="00D32933" w:rsidRPr="00D85E09">
        <w:rPr>
          <w:lang w:val="en-AU"/>
        </w:rPr>
        <w:t>-</w:t>
      </w:r>
      <w:r w:rsidRPr="00D85E09">
        <w:rPr>
          <w:lang w:val="en-AU"/>
        </w:rPr>
        <w:t>term survival</w:t>
      </w:r>
      <w:bookmarkEnd w:id="461"/>
    </w:p>
    <w:tbl>
      <w:tblPr>
        <w:tblStyle w:val="TableGrid"/>
        <w:tblW w:w="5000" w:type="pct"/>
        <w:tblLook w:val="04A0" w:firstRow="1" w:lastRow="0" w:firstColumn="1" w:lastColumn="0" w:noHBand="0" w:noVBand="1"/>
        <w:tblDescription w:val="Table 70 Results of studies reporting post-stroke functional status and long-term survival"/>
      </w:tblPr>
      <w:tblGrid>
        <w:gridCol w:w="1949"/>
        <w:gridCol w:w="1285"/>
        <w:gridCol w:w="1274"/>
        <w:gridCol w:w="1700"/>
        <w:gridCol w:w="7729"/>
      </w:tblGrid>
      <w:tr w:rsidR="00A41E60" w:rsidRPr="00D85E09" w14:paraId="7E9ECDD0" w14:textId="77777777" w:rsidTr="00A41E60">
        <w:trPr>
          <w:tblHeader/>
        </w:trPr>
        <w:tc>
          <w:tcPr>
            <w:tcW w:w="699" w:type="pct"/>
            <w:tcBorders>
              <w:top w:val="single" w:sz="4" w:space="0" w:color="000000"/>
              <w:left w:val="single" w:sz="4" w:space="0" w:color="000000"/>
              <w:bottom w:val="single" w:sz="4" w:space="0" w:color="000000"/>
              <w:right w:val="single" w:sz="4" w:space="0" w:color="000000"/>
            </w:tcBorders>
            <w:hideMark/>
          </w:tcPr>
          <w:p w14:paraId="53A5D867" w14:textId="77777777" w:rsidR="00A41E60" w:rsidRPr="00D85E09" w:rsidRDefault="00A41E60" w:rsidP="0043316B">
            <w:pPr>
              <w:pStyle w:val="Tabletext"/>
              <w:keepNext w:val="0"/>
              <w:widowControl w:val="0"/>
              <w:rPr>
                <w:b/>
              </w:rPr>
            </w:pPr>
            <w:r w:rsidRPr="00D85E09">
              <w:rPr>
                <w:b/>
              </w:rPr>
              <w:t>Study ID</w:t>
            </w:r>
          </w:p>
        </w:tc>
        <w:tc>
          <w:tcPr>
            <w:tcW w:w="461" w:type="pct"/>
            <w:tcBorders>
              <w:top w:val="single" w:sz="4" w:space="0" w:color="000000"/>
              <w:left w:val="single" w:sz="4" w:space="0" w:color="000000"/>
              <w:bottom w:val="single" w:sz="4" w:space="0" w:color="000000"/>
              <w:right w:val="single" w:sz="4" w:space="0" w:color="000000"/>
            </w:tcBorders>
            <w:hideMark/>
          </w:tcPr>
          <w:p w14:paraId="1C6BCC46" w14:textId="77777777" w:rsidR="00A41E60" w:rsidRPr="00D85E09" w:rsidRDefault="00A41E60" w:rsidP="0043316B">
            <w:pPr>
              <w:pStyle w:val="Tabletext"/>
              <w:keepNext w:val="0"/>
              <w:widowControl w:val="0"/>
              <w:rPr>
                <w:b/>
              </w:rPr>
            </w:pPr>
            <w:r w:rsidRPr="00D85E09">
              <w:rPr>
                <w:b/>
              </w:rPr>
              <w:t>Population</w:t>
            </w:r>
          </w:p>
        </w:tc>
        <w:tc>
          <w:tcPr>
            <w:tcW w:w="457" w:type="pct"/>
            <w:tcBorders>
              <w:top w:val="single" w:sz="4" w:space="0" w:color="000000"/>
              <w:left w:val="single" w:sz="4" w:space="0" w:color="000000"/>
              <w:bottom w:val="single" w:sz="4" w:space="0" w:color="000000"/>
              <w:right w:val="single" w:sz="4" w:space="0" w:color="000000"/>
            </w:tcBorders>
            <w:hideMark/>
          </w:tcPr>
          <w:p w14:paraId="6E885FA3" w14:textId="77777777" w:rsidR="00A41E60" w:rsidRPr="00D85E09" w:rsidRDefault="00A41E60" w:rsidP="0043316B">
            <w:pPr>
              <w:pStyle w:val="Tabletext"/>
              <w:keepNext w:val="0"/>
              <w:widowControl w:val="0"/>
              <w:rPr>
                <w:b/>
              </w:rPr>
            </w:pPr>
            <w:r w:rsidRPr="00D85E09">
              <w:rPr>
                <w:b/>
              </w:rPr>
              <w:t>Time period / location</w:t>
            </w:r>
          </w:p>
        </w:tc>
        <w:tc>
          <w:tcPr>
            <w:tcW w:w="610" w:type="pct"/>
            <w:tcBorders>
              <w:top w:val="single" w:sz="4" w:space="0" w:color="000000"/>
              <w:left w:val="single" w:sz="4" w:space="0" w:color="000000"/>
              <w:bottom w:val="single" w:sz="4" w:space="0" w:color="000000"/>
              <w:right w:val="single" w:sz="4" w:space="0" w:color="000000"/>
            </w:tcBorders>
            <w:hideMark/>
          </w:tcPr>
          <w:p w14:paraId="00C9D1A0" w14:textId="77777777" w:rsidR="00A41E60" w:rsidRPr="00D85E09" w:rsidRDefault="00A41E60" w:rsidP="0043316B">
            <w:pPr>
              <w:pStyle w:val="Tabletext"/>
              <w:keepNext w:val="0"/>
              <w:widowControl w:val="0"/>
              <w:rPr>
                <w:b/>
              </w:rPr>
            </w:pPr>
            <w:r w:rsidRPr="00D85E09">
              <w:rPr>
                <w:b/>
              </w:rPr>
              <w:t>Study design</w:t>
            </w:r>
          </w:p>
          <w:p w14:paraId="597B9FB2" w14:textId="77777777" w:rsidR="00A41E60" w:rsidRPr="00D85E09" w:rsidRDefault="00A41E60" w:rsidP="0043316B">
            <w:pPr>
              <w:pStyle w:val="Tabletext"/>
              <w:keepNext w:val="0"/>
              <w:widowControl w:val="0"/>
              <w:rPr>
                <w:b/>
              </w:rPr>
            </w:pPr>
            <w:r w:rsidRPr="00D85E09">
              <w:rPr>
                <w:b/>
              </w:rPr>
              <w:t>Follow-up</w:t>
            </w:r>
          </w:p>
        </w:tc>
        <w:tc>
          <w:tcPr>
            <w:tcW w:w="2773" w:type="pct"/>
            <w:tcBorders>
              <w:top w:val="single" w:sz="4" w:space="0" w:color="000000"/>
              <w:left w:val="single" w:sz="4" w:space="0" w:color="000000"/>
              <w:bottom w:val="single" w:sz="4" w:space="0" w:color="000000"/>
              <w:right w:val="single" w:sz="4" w:space="0" w:color="000000"/>
            </w:tcBorders>
            <w:hideMark/>
          </w:tcPr>
          <w:p w14:paraId="76AA4ED2" w14:textId="77777777" w:rsidR="00A41E60" w:rsidRPr="00D85E09" w:rsidRDefault="00A41E60" w:rsidP="0043316B">
            <w:pPr>
              <w:pStyle w:val="Tabletext"/>
              <w:keepNext w:val="0"/>
              <w:widowControl w:val="0"/>
              <w:rPr>
                <w:b/>
              </w:rPr>
            </w:pPr>
            <w:r w:rsidRPr="00D85E09">
              <w:rPr>
                <w:b/>
              </w:rPr>
              <w:t>Results</w:t>
            </w:r>
          </w:p>
        </w:tc>
      </w:tr>
      <w:tr w:rsidR="00A41E60" w:rsidRPr="00D85E09" w14:paraId="7CBC96D7" w14:textId="77777777" w:rsidTr="00A41E60">
        <w:trPr>
          <w:trHeight w:val="2529"/>
        </w:trPr>
        <w:tc>
          <w:tcPr>
            <w:tcW w:w="699" w:type="pct"/>
            <w:tcBorders>
              <w:top w:val="single" w:sz="4" w:space="0" w:color="000000"/>
              <w:left w:val="single" w:sz="4" w:space="0" w:color="000000"/>
              <w:bottom w:val="single" w:sz="4" w:space="0" w:color="000000"/>
              <w:right w:val="single" w:sz="4" w:space="0" w:color="000000"/>
            </w:tcBorders>
            <w:hideMark/>
          </w:tcPr>
          <w:p w14:paraId="2D4AAAC3" w14:textId="77777777" w:rsidR="00A41E60" w:rsidRPr="00D85E09" w:rsidRDefault="00A41E60" w:rsidP="0043316B">
            <w:pPr>
              <w:pStyle w:val="Tabletext"/>
              <w:keepNext w:val="0"/>
              <w:widowControl w:val="0"/>
            </w:pPr>
            <w:r w:rsidRPr="00D85E09">
              <w:t>Gensicke et al, 2013</w:t>
            </w:r>
          </w:p>
        </w:tc>
        <w:tc>
          <w:tcPr>
            <w:tcW w:w="461" w:type="pct"/>
            <w:tcBorders>
              <w:top w:val="single" w:sz="4" w:space="0" w:color="000000"/>
              <w:left w:val="single" w:sz="4" w:space="0" w:color="000000"/>
              <w:bottom w:val="single" w:sz="4" w:space="0" w:color="000000"/>
              <w:right w:val="single" w:sz="4" w:space="0" w:color="000000"/>
            </w:tcBorders>
          </w:tcPr>
          <w:p w14:paraId="2485BA9B" w14:textId="787EEC96" w:rsidR="00A41E60" w:rsidRPr="00D85E09" w:rsidRDefault="00A41E60" w:rsidP="0043316B">
            <w:pPr>
              <w:pStyle w:val="Tabletext"/>
              <w:keepNext w:val="0"/>
              <w:widowControl w:val="0"/>
            </w:pPr>
            <w:r w:rsidRPr="00D85E09">
              <w:t>Stroke treated with IV</w:t>
            </w:r>
            <w:r w:rsidR="00D32933" w:rsidRPr="00D85E09">
              <w:t>-</w:t>
            </w:r>
            <w:r w:rsidRPr="00D85E09">
              <w:t>tPA</w:t>
            </w:r>
          </w:p>
          <w:p w14:paraId="395495E4" w14:textId="77777777" w:rsidR="00A41E60" w:rsidRPr="00D85E09" w:rsidRDefault="00A41E60" w:rsidP="0043316B">
            <w:pPr>
              <w:pStyle w:val="Tabletext"/>
              <w:keepNext w:val="0"/>
              <w:widowControl w:val="0"/>
            </w:pPr>
            <w:r w:rsidRPr="00D85E09">
              <w:t>N=257</w:t>
            </w:r>
          </w:p>
          <w:p w14:paraId="7D070D89" w14:textId="77777777" w:rsidR="00A41E60" w:rsidRPr="00D85E09" w:rsidRDefault="00A41E60" w:rsidP="0043316B">
            <w:pPr>
              <w:pStyle w:val="Tabletext"/>
              <w:keepNext w:val="0"/>
              <w:widowControl w:val="0"/>
            </w:pPr>
          </w:p>
        </w:tc>
        <w:tc>
          <w:tcPr>
            <w:tcW w:w="457" w:type="pct"/>
            <w:tcBorders>
              <w:top w:val="single" w:sz="4" w:space="0" w:color="000000"/>
              <w:left w:val="single" w:sz="4" w:space="0" w:color="000000"/>
              <w:bottom w:val="single" w:sz="4" w:space="0" w:color="000000"/>
              <w:right w:val="single" w:sz="4" w:space="0" w:color="000000"/>
            </w:tcBorders>
            <w:hideMark/>
          </w:tcPr>
          <w:p w14:paraId="129F4C70" w14:textId="77777777" w:rsidR="00A41E60" w:rsidRPr="00D85E09" w:rsidRDefault="00A41E60" w:rsidP="0043316B">
            <w:pPr>
              <w:pStyle w:val="Tabletext"/>
              <w:keepNext w:val="0"/>
              <w:widowControl w:val="0"/>
            </w:pPr>
            <w:r w:rsidRPr="00D85E09">
              <w:t>1998-2007</w:t>
            </w:r>
          </w:p>
          <w:p w14:paraId="04442E59" w14:textId="77777777" w:rsidR="00A41E60" w:rsidRPr="00D85E09" w:rsidRDefault="00A41E60" w:rsidP="0043316B">
            <w:pPr>
              <w:pStyle w:val="Tabletext"/>
              <w:keepNext w:val="0"/>
              <w:widowControl w:val="0"/>
            </w:pPr>
            <w:r w:rsidRPr="00D85E09">
              <w:t>Switzerland</w:t>
            </w:r>
          </w:p>
        </w:tc>
        <w:tc>
          <w:tcPr>
            <w:tcW w:w="610" w:type="pct"/>
            <w:tcBorders>
              <w:top w:val="single" w:sz="4" w:space="0" w:color="000000"/>
              <w:left w:val="single" w:sz="4" w:space="0" w:color="000000"/>
              <w:bottom w:val="single" w:sz="4" w:space="0" w:color="000000"/>
              <w:right w:val="single" w:sz="4" w:space="0" w:color="000000"/>
            </w:tcBorders>
            <w:hideMark/>
          </w:tcPr>
          <w:p w14:paraId="46B2AEA6" w14:textId="4085FF45" w:rsidR="00A41E60" w:rsidRPr="00D85E09" w:rsidRDefault="00A41E60" w:rsidP="0043316B">
            <w:pPr>
              <w:pStyle w:val="Tabletext"/>
              <w:keepNext w:val="0"/>
              <w:widowControl w:val="0"/>
            </w:pPr>
            <w:r w:rsidRPr="00D85E09">
              <w:t>Observational study based on IV</w:t>
            </w:r>
            <w:r w:rsidR="00D32933" w:rsidRPr="00D85E09">
              <w:t>-</w:t>
            </w:r>
            <w:r w:rsidRPr="00D85E09">
              <w:t>tPA registry</w:t>
            </w:r>
          </w:p>
          <w:p w14:paraId="4FE2F77C" w14:textId="77777777" w:rsidR="00A41E60" w:rsidRPr="00D85E09" w:rsidRDefault="00A41E60" w:rsidP="0043316B">
            <w:pPr>
              <w:pStyle w:val="Tabletext"/>
              <w:keepNext w:val="0"/>
              <w:widowControl w:val="0"/>
            </w:pPr>
            <w:r w:rsidRPr="00D85E09">
              <w:t>Mean age 72 years</w:t>
            </w:r>
          </w:p>
          <w:p w14:paraId="513D4070" w14:textId="77777777" w:rsidR="00A41E60" w:rsidRPr="00D85E09" w:rsidRDefault="00A41E60" w:rsidP="0043316B">
            <w:pPr>
              <w:pStyle w:val="Tabletext"/>
              <w:keepNext w:val="0"/>
              <w:widowControl w:val="0"/>
            </w:pPr>
            <w:r w:rsidRPr="00D85E09">
              <w:t>Median 3 years (IQR 1-5)</w:t>
            </w:r>
          </w:p>
        </w:tc>
        <w:tc>
          <w:tcPr>
            <w:tcW w:w="2773" w:type="pct"/>
            <w:tcBorders>
              <w:top w:val="single" w:sz="4" w:space="0" w:color="000000"/>
              <w:left w:val="single" w:sz="4" w:space="0" w:color="000000"/>
              <w:bottom w:val="single" w:sz="4" w:space="0" w:color="000000"/>
              <w:right w:val="single" w:sz="4" w:space="0" w:color="000000"/>
            </w:tcBorders>
            <w:hideMark/>
          </w:tcPr>
          <w:p w14:paraId="35DDF436" w14:textId="062A7A3D" w:rsidR="00A41E60" w:rsidRPr="00D85E09" w:rsidRDefault="00A41E60" w:rsidP="0043316B">
            <w:pPr>
              <w:pStyle w:val="Tabletext"/>
              <w:keepNext w:val="0"/>
              <w:widowControl w:val="0"/>
              <w:rPr>
                <w:sz w:val="16"/>
                <w:szCs w:val="16"/>
                <w:lang w:eastAsia="en-AU"/>
              </w:rPr>
            </w:pPr>
            <w:r w:rsidRPr="00D85E09">
              <w:t>Long</w:t>
            </w:r>
            <w:r w:rsidR="00D32933" w:rsidRPr="00D85E09">
              <w:t>-</w:t>
            </w:r>
            <w:r w:rsidRPr="00D85E09">
              <w:t>term outcome at follow</w:t>
            </w:r>
            <w:r w:rsidR="00D32933" w:rsidRPr="00D85E09">
              <w:t>-</w:t>
            </w:r>
            <w:r w:rsidRPr="00D85E09">
              <w:t>up in 257 patient based on mRS score at baseline</w:t>
            </w:r>
          </w:p>
          <w:tbl>
            <w:tblPr>
              <w:tblStyle w:val="TableGrid"/>
              <w:tblW w:w="0" w:type="auto"/>
              <w:tblLook w:val="04A0" w:firstRow="1" w:lastRow="0" w:firstColumn="1" w:lastColumn="0" w:noHBand="0" w:noVBand="1"/>
              <w:tblDescription w:val="Long-term outcome at follow-up in 257 patient based on mRS score at baseline"/>
            </w:tblPr>
            <w:tblGrid>
              <w:gridCol w:w="937"/>
              <w:gridCol w:w="781"/>
              <w:gridCol w:w="782"/>
              <w:gridCol w:w="782"/>
              <w:gridCol w:w="781"/>
              <w:gridCol w:w="782"/>
              <w:gridCol w:w="782"/>
              <w:gridCol w:w="782"/>
              <w:gridCol w:w="958"/>
            </w:tblGrid>
            <w:tr w:rsidR="00A41E60" w:rsidRPr="00D85E09" w14:paraId="501B1017" w14:textId="77777777" w:rsidTr="00BE6331">
              <w:trPr>
                <w:tblHeader/>
              </w:trPr>
              <w:tc>
                <w:tcPr>
                  <w:tcW w:w="937" w:type="dxa"/>
                  <w:vMerge w:val="restart"/>
                  <w:tcBorders>
                    <w:top w:val="single" w:sz="4" w:space="0" w:color="000000"/>
                    <w:left w:val="single" w:sz="4" w:space="0" w:color="000000"/>
                    <w:bottom w:val="single" w:sz="4" w:space="0" w:color="000000"/>
                    <w:right w:val="single" w:sz="4" w:space="0" w:color="000000"/>
                  </w:tcBorders>
                  <w:hideMark/>
                </w:tcPr>
                <w:p w14:paraId="1EEE8832" w14:textId="77777777" w:rsidR="00A41E60" w:rsidRPr="00D85E09" w:rsidRDefault="00A41E60" w:rsidP="0043316B">
                  <w:pPr>
                    <w:pStyle w:val="Tabletext"/>
                    <w:keepNext w:val="0"/>
                    <w:widowControl w:val="0"/>
                    <w:spacing w:before="20" w:after="20"/>
                    <w:rPr>
                      <w:b/>
                    </w:rPr>
                  </w:pPr>
                  <w:r w:rsidRPr="00D85E09">
                    <w:rPr>
                      <w:b/>
                    </w:rPr>
                    <w:t>mRS at 3 months</w:t>
                  </w:r>
                </w:p>
              </w:tc>
              <w:tc>
                <w:tcPr>
                  <w:tcW w:w="6430" w:type="dxa"/>
                  <w:gridSpan w:val="8"/>
                  <w:tcBorders>
                    <w:top w:val="single" w:sz="4" w:space="0" w:color="000000"/>
                    <w:left w:val="single" w:sz="4" w:space="0" w:color="000000"/>
                    <w:bottom w:val="single" w:sz="4" w:space="0" w:color="000000"/>
                    <w:right w:val="single" w:sz="4" w:space="0" w:color="000000"/>
                  </w:tcBorders>
                  <w:vAlign w:val="bottom"/>
                  <w:hideMark/>
                </w:tcPr>
                <w:p w14:paraId="3FEBB211" w14:textId="77777777" w:rsidR="00A41E60" w:rsidRPr="00D85E09" w:rsidRDefault="00A41E60" w:rsidP="0043316B">
                  <w:pPr>
                    <w:pStyle w:val="Tabletext"/>
                    <w:keepNext w:val="0"/>
                    <w:widowControl w:val="0"/>
                    <w:spacing w:before="20" w:after="20"/>
                    <w:rPr>
                      <w:b/>
                    </w:rPr>
                  </w:pPr>
                  <w:r w:rsidRPr="00D85E09">
                    <w:rPr>
                      <w:b/>
                    </w:rPr>
                    <w:t>mRS score at 3 years</w:t>
                  </w:r>
                </w:p>
              </w:tc>
            </w:tr>
            <w:tr w:rsidR="00A41E60" w:rsidRPr="00D85E09" w14:paraId="7A00A4EE" w14:textId="77777777" w:rsidTr="00BE6331">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451AFF"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2B297DE8" w14:textId="77777777" w:rsidR="00A41E60" w:rsidRPr="00D85E09" w:rsidRDefault="00A41E60" w:rsidP="0043316B">
                  <w:pPr>
                    <w:pStyle w:val="Tabletext"/>
                    <w:keepNext w:val="0"/>
                    <w:widowControl w:val="0"/>
                    <w:spacing w:before="20" w:after="20"/>
                    <w:rPr>
                      <w:b/>
                    </w:rPr>
                  </w:pPr>
                  <w:r w:rsidRPr="00D85E09">
                    <w:rPr>
                      <w:b/>
                    </w:rPr>
                    <w:t>mRS 0</w:t>
                  </w:r>
                </w:p>
                <w:p w14:paraId="71CFFBE1"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2FED555" w14:textId="77777777" w:rsidR="00A41E60" w:rsidRPr="00D85E09" w:rsidRDefault="00A41E60" w:rsidP="0043316B">
                  <w:pPr>
                    <w:pStyle w:val="Tabletext"/>
                    <w:keepNext w:val="0"/>
                    <w:widowControl w:val="0"/>
                    <w:spacing w:before="20" w:after="20"/>
                    <w:rPr>
                      <w:b/>
                    </w:rPr>
                  </w:pPr>
                  <w:r w:rsidRPr="00D85E09">
                    <w:rPr>
                      <w:b/>
                    </w:rPr>
                    <w:t>mRS 1</w:t>
                  </w:r>
                </w:p>
                <w:p w14:paraId="154AFB9E"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8A398CA" w14:textId="77777777" w:rsidR="00A41E60" w:rsidRPr="00D85E09" w:rsidRDefault="00A41E60" w:rsidP="0043316B">
                  <w:pPr>
                    <w:pStyle w:val="Tabletext"/>
                    <w:keepNext w:val="0"/>
                    <w:widowControl w:val="0"/>
                    <w:spacing w:before="20" w:after="20"/>
                    <w:rPr>
                      <w:b/>
                    </w:rPr>
                  </w:pPr>
                  <w:r w:rsidRPr="00D85E09">
                    <w:rPr>
                      <w:b/>
                    </w:rPr>
                    <w:t>mRS 2</w:t>
                  </w:r>
                </w:p>
                <w:p w14:paraId="372966A8" w14:textId="77777777" w:rsidR="00A41E60" w:rsidRPr="00D85E09" w:rsidRDefault="00A41E60" w:rsidP="0043316B">
                  <w:pPr>
                    <w:pStyle w:val="Tabletext"/>
                    <w:keepNext w:val="0"/>
                    <w:widowControl w:val="0"/>
                    <w:spacing w:before="20" w:after="20"/>
                    <w:rPr>
                      <w:b/>
                    </w:rPr>
                  </w:pPr>
                  <w:r w:rsidRPr="00D85E09">
                    <w:rPr>
                      <w:b/>
                    </w:rPr>
                    <w:t>n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A541CD0" w14:textId="77777777" w:rsidR="00A41E60" w:rsidRPr="00D85E09" w:rsidRDefault="00A41E60" w:rsidP="0043316B">
                  <w:pPr>
                    <w:pStyle w:val="Tabletext"/>
                    <w:keepNext w:val="0"/>
                    <w:widowControl w:val="0"/>
                    <w:spacing w:before="20" w:after="20"/>
                    <w:rPr>
                      <w:b/>
                    </w:rPr>
                  </w:pPr>
                  <w:r w:rsidRPr="00D85E09">
                    <w:rPr>
                      <w:b/>
                    </w:rPr>
                    <w:t>mRS 3</w:t>
                  </w:r>
                </w:p>
                <w:p w14:paraId="17E232FA"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BCA6B5F" w14:textId="77777777" w:rsidR="00A41E60" w:rsidRPr="00D85E09" w:rsidRDefault="00A41E60" w:rsidP="0043316B">
                  <w:pPr>
                    <w:pStyle w:val="Tabletext"/>
                    <w:keepNext w:val="0"/>
                    <w:widowControl w:val="0"/>
                    <w:spacing w:before="20" w:after="20"/>
                    <w:rPr>
                      <w:b/>
                    </w:rPr>
                  </w:pPr>
                  <w:r w:rsidRPr="00D85E09">
                    <w:rPr>
                      <w:b/>
                    </w:rPr>
                    <w:t>mRS 4</w:t>
                  </w:r>
                </w:p>
                <w:p w14:paraId="7F861172"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5583EDE" w14:textId="77777777" w:rsidR="00A41E60" w:rsidRPr="00D85E09" w:rsidRDefault="00A41E60" w:rsidP="0043316B">
                  <w:pPr>
                    <w:pStyle w:val="Tabletext"/>
                    <w:keepNext w:val="0"/>
                    <w:widowControl w:val="0"/>
                    <w:spacing w:before="20" w:after="20"/>
                    <w:rPr>
                      <w:b/>
                    </w:rPr>
                  </w:pPr>
                  <w:r w:rsidRPr="00D85E09">
                    <w:rPr>
                      <w:b/>
                    </w:rPr>
                    <w:t>mRS 5</w:t>
                  </w:r>
                </w:p>
                <w:p w14:paraId="3570BF9D"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173B244" w14:textId="77777777" w:rsidR="00A41E60" w:rsidRPr="00D85E09" w:rsidRDefault="00A41E60" w:rsidP="0043316B">
                  <w:pPr>
                    <w:pStyle w:val="Tabletext"/>
                    <w:keepNext w:val="0"/>
                    <w:widowControl w:val="0"/>
                    <w:spacing w:before="20" w:after="20"/>
                    <w:rPr>
                      <w:b/>
                    </w:rPr>
                  </w:pPr>
                  <w:r w:rsidRPr="00D85E09">
                    <w:rPr>
                      <w:b/>
                    </w:rPr>
                    <w:t>mRS 6</w:t>
                  </w:r>
                </w:p>
                <w:p w14:paraId="0E8AB871" w14:textId="77777777" w:rsidR="00A41E60" w:rsidRPr="00D85E09" w:rsidRDefault="00A41E60" w:rsidP="0043316B">
                  <w:pPr>
                    <w:pStyle w:val="Tabletext"/>
                    <w:keepNext w:val="0"/>
                    <w:widowControl w:val="0"/>
                    <w:spacing w:before="20" w:after="20"/>
                    <w:rPr>
                      <w:b/>
                    </w:rPr>
                  </w:pPr>
                  <w:r w:rsidRPr="00D85E09">
                    <w:rPr>
                      <w:b/>
                    </w:rPr>
                    <w:t>n (%)</w:t>
                  </w:r>
                </w:p>
              </w:tc>
              <w:tc>
                <w:tcPr>
                  <w:tcW w:w="958" w:type="dxa"/>
                  <w:tcBorders>
                    <w:top w:val="single" w:sz="4" w:space="0" w:color="000000"/>
                    <w:left w:val="single" w:sz="4" w:space="0" w:color="000000"/>
                    <w:bottom w:val="single" w:sz="4" w:space="0" w:color="000000"/>
                    <w:right w:val="single" w:sz="4" w:space="0" w:color="000000"/>
                  </w:tcBorders>
                  <w:vAlign w:val="bottom"/>
                  <w:hideMark/>
                </w:tcPr>
                <w:p w14:paraId="7AD28371" w14:textId="77777777" w:rsidR="00A41E60" w:rsidRPr="00D85E09" w:rsidRDefault="00A41E60" w:rsidP="0043316B">
                  <w:pPr>
                    <w:pStyle w:val="Tabletext"/>
                    <w:keepNext w:val="0"/>
                    <w:widowControl w:val="0"/>
                    <w:spacing w:before="20" w:after="20"/>
                    <w:rPr>
                      <w:b/>
                    </w:rPr>
                  </w:pPr>
                  <w:r w:rsidRPr="00D85E09">
                    <w:rPr>
                      <w:b/>
                    </w:rPr>
                    <w:t>Total</w:t>
                  </w:r>
                </w:p>
                <w:p w14:paraId="79096F52" w14:textId="77777777" w:rsidR="00A41E60" w:rsidRPr="00D85E09" w:rsidRDefault="00A41E60" w:rsidP="0043316B">
                  <w:pPr>
                    <w:pStyle w:val="Tabletext"/>
                    <w:keepNext w:val="0"/>
                    <w:widowControl w:val="0"/>
                    <w:spacing w:before="20" w:after="20"/>
                    <w:rPr>
                      <w:b/>
                    </w:rPr>
                  </w:pPr>
                  <w:r w:rsidRPr="00D85E09">
                    <w:rPr>
                      <w:b/>
                    </w:rPr>
                    <w:t>n (%)</w:t>
                  </w:r>
                </w:p>
              </w:tc>
            </w:tr>
            <w:tr w:rsidR="00A41E60" w:rsidRPr="00D85E09" w14:paraId="3F80A625"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05C44051" w14:textId="77777777" w:rsidR="00A41E60" w:rsidRPr="00D85E09" w:rsidRDefault="00A41E60" w:rsidP="0043316B">
                  <w:pPr>
                    <w:pStyle w:val="Tabletext"/>
                    <w:keepNext w:val="0"/>
                    <w:widowControl w:val="0"/>
                    <w:spacing w:before="20" w:after="20"/>
                  </w:pPr>
                  <w:r w:rsidRPr="00D85E09">
                    <w:t xml:space="preserve">mRS 0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4E40EA9" w14:textId="77777777" w:rsidR="00A41E60" w:rsidRPr="00D85E09" w:rsidRDefault="00A41E60" w:rsidP="0043316B">
                  <w:pPr>
                    <w:pStyle w:val="Tabletext"/>
                    <w:keepNext w:val="0"/>
                    <w:widowControl w:val="0"/>
                    <w:spacing w:before="20" w:after="20"/>
                  </w:pPr>
                  <w:r w:rsidRPr="00D85E09">
                    <w:t>26 (67)</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C133BD1" w14:textId="77777777" w:rsidR="00A41E60" w:rsidRPr="00D85E09" w:rsidRDefault="00A41E60" w:rsidP="0043316B">
                  <w:pPr>
                    <w:pStyle w:val="Tabletext"/>
                    <w:keepNext w:val="0"/>
                    <w:widowControl w:val="0"/>
                    <w:spacing w:before="20" w:after="20"/>
                  </w:pPr>
                  <w:r w:rsidRPr="00D85E09">
                    <w:t>3 (8)</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8EA9346" w14:textId="77777777" w:rsidR="00A41E60" w:rsidRPr="00D85E09" w:rsidRDefault="00A41E60" w:rsidP="0043316B">
                  <w:pPr>
                    <w:pStyle w:val="Tabletext"/>
                    <w:keepNext w:val="0"/>
                    <w:widowControl w:val="0"/>
                    <w:spacing w:before="20" w:after="20"/>
                  </w:pPr>
                  <w:r w:rsidRPr="00D85E09">
                    <w:t>3 (8)</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7A20AFCE"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30567B3" w14:textId="77777777" w:rsidR="00A41E60" w:rsidRPr="00D85E09" w:rsidRDefault="00A41E60" w:rsidP="0043316B">
                  <w:pPr>
                    <w:pStyle w:val="Tabletext"/>
                    <w:keepNext w:val="0"/>
                    <w:widowControl w:val="0"/>
                    <w:spacing w:before="20" w:after="20"/>
                  </w:pPr>
                  <w:r w:rsidRPr="00D85E09">
                    <w:t>2 (5)</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1680D3B"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FD043AF" w14:textId="77777777" w:rsidR="00A41E60" w:rsidRPr="00D85E09" w:rsidRDefault="00A41E60" w:rsidP="0043316B">
                  <w:pPr>
                    <w:pStyle w:val="Tabletext"/>
                    <w:keepNext w:val="0"/>
                    <w:widowControl w:val="0"/>
                    <w:spacing w:before="20" w:after="20"/>
                  </w:pPr>
                  <w:r w:rsidRPr="00D85E09">
                    <w:t>5 (13)</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53C173B4" w14:textId="77777777" w:rsidR="00A41E60" w:rsidRPr="00D85E09" w:rsidRDefault="00A41E60" w:rsidP="0043316B">
                  <w:pPr>
                    <w:pStyle w:val="Tabletext"/>
                    <w:keepNext w:val="0"/>
                    <w:widowControl w:val="0"/>
                    <w:spacing w:before="20" w:after="20"/>
                  </w:pPr>
                  <w:r w:rsidRPr="00D85E09">
                    <w:t>39 (100)</w:t>
                  </w:r>
                </w:p>
              </w:tc>
            </w:tr>
            <w:tr w:rsidR="00A41E60" w:rsidRPr="00D85E09" w14:paraId="12C7C5B8"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4572A68B" w14:textId="77777777" w:rsidR="00A41E60" w:rsidRPr="00D85E09" w:rsidRDefault="00A41E60" w:rsidP="0043316B">
                  <w:pPr>
                    <w:pStyle w:val="Tabletext"/>
                    <w:keepNext w:val="0"/>
                    <w:widowControl w:val="0"/>
                    <w:spacing w:before="20" w:after="20"/>
                  </w:pPr>
                  <w:r w:rsidRPr="00D85E09">
                    <w:t>mRS 1</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A6BF8D0" w14:textId="77777777" w:rsidR="00A41E60" w:rsidRPr="00D85E09" w:rsidRDefault="00A41E60" w:rsidP="0043316B">
                  <w:pPr>
                    <w:pStyle w:val="Tabletext"/>
                    <w:keepNext w:val="0"/>
                    <w:widowControl w:val="0"/>
                    <w:spacing w:before="20" w:after="20"/>
                  </w:pPr>
                  <w:r w:rsidRPr="00D85E09">
                    <w:t>33 (60)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B3526FD" w14:textId="77777777" w:rsidR="00A41E60" w:rsidRPr="00D85E09" w:rsidRDefault="00A41E60" w:rsidP="0043316B">
                  <w:pPr>
                    <w:pStyle w:val="Tabletext"/>
                    <w:keepNext w:val="0"/>
                    <w:widowControl w:val="0"/>
                    <w:spacing w:before="20" w:after="20"/>
                  </w:pPr>
                  <w:r w:rsidRPr="00D85E09">
                    <w:t>4 (7)</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125B989" w14:textId="77777777" w:rsidR="00A41E60" w:rsidRPr="00D85E09" w:rsidRDefault="00A41E60" w:rsidP="0043316B">
                  <w:pPr>
                    <w:pStyle w:val="Tabletext"/>
                    <w:keepNext w:val="0"/>
                    <w:widowControl w:val="0"/>
                    <w:spacing w:before="20" w:after="20"/>
                  </w:pPr>
                  <w:r w:rsidRPr="00D85E09">
                    <w:t>1 (2)</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F4B9FE6" w14:textId="77777777" w:rsidR="00A41E60" w:rsidRPr="00D85E09" w:rsidRDefault="00A41E60" w:rsidP="0043316B">
                  <w:pPr>
                    <w:pStyle w:val="Tabletext"/>
                    <w:keepNext w:val="0"/>
                    <w:widowControl w:val="0"/>
                    <w:spacing w:before="20" w:after="20"/>
                  </w:pPr>
                  <w:r w:rsidRPr="00D85E09">
                    <w:t>3 (5)</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342204E" w14:textId="77777777" w:rsidR="00A41E60" w:rsidRPr="00D85E09" w:rsidRDefault="00A41E60" w:rsidP="0043316B">
                  <w:pPr>
                    <w:pStyle w:val="Tabletext"/>
                    <w:keepNext w:val="0"/>
                    <w:widowControl w:val="0"/>
                    <w:spacing w:before="20" w:after="20"/>
                  </w:pPr>
                  <w:r w:rsidRPr="00D85E09">
                    <w:t>4 (7)</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ADE43CD" w14:textId="77777777" w:rsidR="00A41E60" w:rsidRPr="00D85E09" w:rsidRDefault="00A41E60" w:rsidP="0043316B">
                  <w:pPr>
                    <w:pStyle w:val="Tabletext"/>
                    <w:keepNext w:val="0"/>
                    <w:widowControl w:val="0"/>
                    <w:spacing w:before="20" w:after="20"/>
                  </w:pPr>
                  <w:r w:rsidRPr="00D85E09">
                    <w:t>2 (4)</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BDBE5DD" w14:textId="77777777" w:rsidR="00A41E60" w:rsidRPr="00D85E09" w:rsidRDefault="00A41E60" w:rsidP="0043316B">
                  <w:pPr>
                    <w:pStyle w:val="Tabletext"/>
                    <w:keepNext w:val="0"/>
                    <w:widowControl w:val="0"/>
                    <w:spacing w:before="20" w:after="20"/>
                  </w:pPr>
                  <w:r w:rsidRPr="00D85E09">
                    <w:t>8 (15)</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4E0E39AF" w14:textId="77777777" w:rsidR="00A41E60" w:rsidRPr="00D85E09" w:rsidRDefault="00A41E60" w:rsidP="0043316B">
                  <w:pPr>
                    <w:pStyle w:val="Tabletext"/>
                    <w:keepNext w:val="0"/>
                    <w:widowControl w:val="0"/>
                    <w:spacing w:before="20" w:after="20"/>
                  </w:pPr>
                  <w:r w:rsidRPr="00D85E09">
                    <w:t>55 (100)</w:t>
                  </w:r>
                </w:p>
              </w:tc>
            </w:tr>
            <w:tr w:rsidR="00A41E60" w:rsidRPr="00D85E09" w14:paraId="44877B67"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14F8E0D7" w14:textId="77777777" w:rsidR="00A41E60" w:rsidRPr="00D85E09" w:rsidRDefault="00A41E60" w:rsidP="0043316B">
                  <w:pPr>
                    <w:pStyle w:val="Tabletext"/>
                    <w:keepNext w:val="0"/>
                    <w:widowControl w:val="0"/>
                    <w:spacing w:before="20" w:after="20"/>
                  </w:pPr>
                  <w:r w:rsidRPr="00D85E09">
                    <w:t>mRS 2</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2AD6460A" w14:textId="77777777" w:rsidR="00A41E60" w:rsidRPr="00D85E09" w:rsidRDefault="00A41E60" w:rsidP="0043316B">
                  <w:pPr>
                    <w:pStyle w:val="Tabletext"/>
                    <w:keepNext w:val="0"/>
                    <w:widowControl w:val="0"/>
                    <w:spacing w:before="20" w:after="20"/>
                  </w:pPr>
                  <w:r w:rsidRPr="00D85E09">
                    <w:t>17 (31)</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949AE5E" w14:textId="77777777" w:rsidR="00A41E60" w:rsidRPr="00D85E09" w:rsidRDefault="00A41E60" w:rsidP="0043316B">
                  <w:pPr>
                    <w:pStyle w:val="Tabletext"/>
                    <w:keepNext w:val="0"/>
                    <w:widowControl w:val="0"/>
                    <w:spacing w:before="20" w:after="20"/>
                  </w:pPr>
                  <w:r w:rsidRPr="00D85E09">
                    <w:t>7 (13)</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AB349F5" w14:textId="77777777" w:rsidR="00A41E60" w:rsidRPr="00D85E09" w:rsidRDefault="00A41E60" w:rsidP="0043316B">
                  <w:pPr>
                    <w:pStyle w:val="Tabletext"/>
                    <w:keepNext w:val="0"/>
                    <w:widowControl w:val="0"/>
                    <w:spacing w:before="20" w:after="20"/>
                  </w:pPr>
                  <w:r w:rsidRPr="00D85E09">
                    <w:t>10 (18)</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B28EE94" w14:textId="77777777" w:rsidR="00A41E60" w:rsidRPr="00D85E09" w:rsidRDefault="00A41E60" w:rsidP="0043316B">
                  <w:pPr>
                    <w:pStyle w:val="Tabletext"/>
                    <w:keepNext w:val="0"/>
                    <w:widowControl w:val="0"/>
                    <w:spacing w:before="20" w:after="20"/>
                  </w:pPr>
                  <w:r w:rsidRPr="00D85E09">
                    <w:t>8 (15)</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C5594E9" w14:textId="77777777" w:rsidR="00A41E60" w:rsidRPr="00D85E09" w:rsidRDefault="00A41E60" w:rsidP="0043316B">
                  <w:pPr>
                    <w:pStyle w:val="Tabletext"/>
                    <w:keepNext w:val="0"/>
                    <w:widowControl w:val="0"/>
                    <w:spacing w:before="20" w:after="20"/>
                  </w:pPr>
                  <w:r w:rsidRPr="00D85E09">
                    <w:t>4 (7)</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A3E6CEA" w14:textId="77777777" w:rsidR="00A41E60" w:rsidRPr="00D85E09" w:rsidRDefault="00A41E60" w:rsidP="0043316B">
                  <w:pPr>
                    <w:pStyle w:val="Tabletext"/>
                    <w:keepNext w:val="0"/>
                    <w:widowControl w:val="0"/>
                    <w:spacing w:before="20" w:after="20"/>
                  </w:pPr>
                  <w:r w:rsidRPr="00D85E09">
                    <w:t>2 (4)</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67E4FE4F" w14:textId="77777777" w:rsidR="00A41E60" w:rsidRPr="00D85E09" w:rsidRDefault="00A41E60" w:rsidP="0043316B">
                  <w:pPr>
                    <w:pStyle w:val="Tabletext"/>
                    <w:keepNext w:val="0"/>
                    <w:widowControl w:val="0"/>
                    <w:spacing w:before="20" w:after="20"/>
                  </w:pPr>
                  <w:r w:rsidRPr="00D85E09">
                    <w:t>7 (13)</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56FD0A78" w14:textId="77777777" w:rsidR="00A41E60" w:rsidRPr="00D85E09" w:rsidRDefault="00A41E60" w:rsidP="0043316B">
                  <w:pPr>
                    <w:pStyle w:val="Tabletext"/>
                    <w:keepNext w:val="0"/>
                    <w:widowControl w:val="0"/>
                    <w:spacing w:before="20" w:after="20"/>
                  </w:pPr>
                  <w:r w:rsidRPr="00D85E09">
                    <w:t>55 (100)</w:t>
                  </w:r>
                </w:p>
              </w:tc>
            </w:tr>
            <w:tr w:rsidR="00A41E60" w:rsidRPr="00D85E09" w14:paraId="60805DC2"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1C960825" w14:textId="77777777" w:rsidR="00A41E60" w:rsidRPr="00D85E09" w:rsidRDefault="00A41E60" w:rsidP="0043316B">
                  <w:pPr>
                    <w:pStyle w:val="Tabletext"/>
                    <w:keepNext w:val="0"/>
                    <w:widowControl w:val="0"/>
                    <w:spacing w:before="20" w:after="20"/>
                  </w:pPr>
                  <w:r w:rsidRPr="00D85E09">
                    <w:t>mRS 3</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2C3323B" w14:textId="77777777" w:rsidR="00A41E60" w:rsidRPr="00D85E09" w:rsidRDefault="00A41E60" w:rsidP="0043316B">
                  <w:pPr>
                    <w:pStyle w:val="Tabletext"/>
                    <w:keepNext w:val="0"/>
                    <w:widowControl w:val="0"/>
                    <w:spacing w:before="20" w:after="20"/>
                  </w:pPr>
                  <w:r w:rsidRPr="00D85E09">
                    <w:t>3 (18)</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56AE384" w14:textId="77777777" w:rsidR="00A41E60" w:rsidRPr="00D85E09" w:rsidRDefault="00A41E60" w:rsidP="0043316B">
                  <w:pPr>
                    <w:pStyle w:val="Tabletext"/>
                    <w:keepNext w:val="0"/>
                    <w:widowControl w:val="0"/>
                    <w:spacing w:before="20" w:after="20"/>
                  </w:pPr>
                  <w:r w:rsidRPr="00D85E09">
                    <w:t>2 (12)</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00A70FE1" w14:textId="77777777" w:rsidR="00A41E60" w:rsidRPr="00D85E09" w:rsidRDefault="00A41E60" w:rsidP="0043316B">
                  <w:pPr>
                    <w:pStyle w:val="Tabletext"/>
                    <w:keepNext w:val="0"/>
                    <w:widowControl w:val="0"/>
                    <w:spacing w:before="20" w:after="20"/>
                  </w:pPr>
                  <w:r w:rsidRPr="00D85E09">
                    <w:t>3 (18)</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2418E4CF" w14:textId="77777777" w:rsidR="00A41E60" w:rsidRPr="00D85E09" w:rsidRDefault="00A41E60" w:rsidP="0043316B">
                  <w:pPr>
                    <w:pStyle w:val="Tabletext"/>
                    <w:keepNext w:val="0"/>
                    <w:widowControl w:val="0"/>
                    <w:spacing w:before="20" w:after="20"/>
                  </w:pPr>
                  <w:r w:rsidRPr="00D85E09">
                    <w:t>3 (18)</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6A0EAA45" w14:textId="77777777" w:rsidR="00A41E60" w:rsidRPr="00D85E09" w:rsidRDefault="00A41E60" w:rsidP="0043316B">
                  <w:pPr>
                    <w:pStyle w:val="Tabletext"/>
                    <w:keepNext w:val="0"/>
                    <w:widowControl w:val="0"/>
                    <w:spacing w:before="20" w:after="20"/>
                  </w:pPr>
                  <w:r w:rsidRPr="00D85E09">
                    <w:t>2 (12)</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FA712F0" w14:textId="77777777" w:rsidR="00A41E60" w:rsidRPr="00D85E09" w:rsidRDefault="00A41E60" w:rsidP="0043316B">
                  <w:pPr>
                    <w:pStyle w:val="Tabletext"/>
                    <w:keepNext w:val="0"/>
                    <w:widowControl w:val="0"/>
                    <w:spacing w:before="20" w:after="20"/>
                  </w:pPr>
                  <w:r w:rsidRPr="00D85E09">
                    <w:t>1 (6)</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78E58B4" w14:textId="77777777" w:rsidR="00A41E60" w:rsidRPr="00D85E09" w:rsidRDefault="00A41E60" w:rsidP="0043316B">
                  <w:pPr>
                    <w:pStyle w:val="Tabletext"/>
                    <w:keepNext w:val="0"/>
                    <w:widowControl w:val="0"/>
                    <w:spacing w:before="20" w:after="20"/>
                  </w:pPr>
                  <w:r w:rsidRPr="00D85E09">
                    <w:t>3 (18)</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0AEDD13A" w14:textId="77777777" w:rsidR="00A41E60" w:rsidRPr="00D85E09" w:rsidRDefault="00A41E60" w:rsidP="0043316B">
                  <w:pPr>
                    <w:pStyle w:val="Tabletext"/>
                    <w:keepNext w:val="0"/>
                    <w:widowControl w:val="0"/>
                    <w:spacing w:before="20" w:after="20"/>
                  </w:pPr>
                  <w:r w:rsidRPr="00D85E09">
                    <w:t>17 (100)</w:t>
                  </w:r>
                </w:p>
              </w:tc>
            </w:tr>
            <w:tr w:rsidR="00A41E60" w:rsidRPr="00D85E09" w14:paraId="71EF49B1"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3799C474" w14:textId="77777777" w:rsidR="00A41E60" w:rsidRPr="00D85E09" w:rsidRDefault="00A41E60" w:rsidP="0043316B">
                  <w:pPr>
                    <w:pStyle w:val="Tabletext"/>
                    <w:keepNext w:val="0"/>
                    <w:widowControl w:val="0"/>
                    <w:spacing w:before="20" w:after="20"/>
                  </w:pPr>
                  <w:r w:rsidRPr="00D85E09">
                    <w:t>mRS 4</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21125BFA" w14:textId="77777777" w:rsidR="00A41E60" w:rsidRPr="00D85E09" w:rsidRDefault="00A41E60" w:rsidP="0043316B">
                  <w:pPr>
                    <w:pStyle w:val="Tabletext"/>
                    <w:keepNext w:val="0"/>
                    <w:widowControl w:val="0"/>
                    <w:spacing w:before="20" w:after="20"/>
                  </w:pPr>
                  <w:r w:rsidRPr="00D85E09">
                    <w:t>1 (3)</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85F4462"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9CF5724" w14:textId="77777777" w:rsidR="00A41E60" w:rsidRPr="00D85E09" w:rsidRDefault="00A41E60" w:rsidP="0043316B">
                  <w:pPr>
                    <w:pStyle w:val="Tabletext"/>
                    <w:keepNext w:val="0"/>
                    <w:widowControl w:val="0"/>
                    <w:spacing w:before="20" w:after="20"/>
                  </w:pPr>
                  <w:r w:rsidRPr="00D85E09">
                    <w:t>3 (8)</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024EDD5E" w14:textId="77777777" w:rsidR="00A41E60" w:rsidRPr="00D85E09" w:rsidRDefault="00A41E60" w:rsidP="0043316B">
                  <w:pPr>
                    <w:pStyle w:val="Tabletext"/>
                    <w:keepNext w:val="0"/>
                    <w:widowControl w:val="0"/>
                    <w:spacing w:before="20" w:after="20"/>
                  </w:pPr>
                  <w:r w:rsidRPr="00D85E09">
                    <w:t>4 (10)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268F1819" w14:textId="77777777" w:rsidR="00A41E60" w:rsidRPr="00D85E09" w:rsidRDefault="00A41E60" w:rsidP="0043316B">
                  <w:pPr>
                    <w:pStyle w:val="Tabletext"/>
                    <w:keepNext w:val="0"/>
                    <w:widowControl w:val="0"/>
                    <w:spacing w:before="20" w:after="20"/>
                  </w:pPr>
                  <w:r w:rsidRPr="00D85E09">
                    <w:t>11 (28)</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A9C2C5B" w14:textId="77777777" w:rsidR="00A41E60" w:rsidRPr="00D85E09" w:rsidRDefault="00A41E60" w:rsidP="0043316B">
                  <w:pPr>
                    <w:pStyle w:val="Tabletext"/>
                    <w:keepNext w:val="0"/>
                    <w:widowControl w:val="0"/>
                    <w:spacing w:before="20" w:after="20"/>
                  </w:pPr>
                  <w:r w:rsidRPr="00D85E09">
                    <w:t>15 (38)</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345E9585" w14:textId="77777777" w:rsidR="00A41E60" w:rsidRPr="00D85E09" w:rsidRDefault="00A41E60" w:rsidP="0043316B">
                  <w:pPr>
                    <w:pStyle w:val="Tabletext"/>
                    <w:keepNext w:val="0"/>
                    <w:widowControl w:val="0"/>
                    <w:spacing w:before="20" w:after="20"/>
                  </w:pPr>
                  <w:r w:rsidRPr="00D85E09">
                    <w:t>6 (15)</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2B9AEFD3" w14:textId="77777777" w:rsidR="00A41E60" w:rsidRPr="00D85E09" w:rsidRDefault="00A41E60" w:rsidP="0043316B">
                  <w:pPr>
                    <w:pStyle w:val="Tabletext"/>
                    <w:keepNext w:val="0"/>
                    <w:widowControl w:val="0"/>
                    <w:spacing w:before="20" w:after="20"/>
                  </w:pPr>
                  <w:r w:rsidRPr="00D85E09">
                    <w:t>40 (100)</w:t>
                  </w:r>
                </w:p>
              </w:tc>
            </w:tr>
            <w:tr w:rsidR="00A41E60" w:rsidRPr="00D85E09" w14:paraId="252E2ED6"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03EAF58E" w14:textId="77777777" w:rsidR="00A41E60" w:rsidRPr="00D85E09" w:rsidRDefault="00A41E60" w:rsidP="0043316B">
                  <w:pPr>
                    <w:pStyle w:val="Tabletext"/>
                    <w:keepNext w:val="0"/>
                    <w:widowControl w:val="0"/>
                    <w:spacing w:before="20" w:after="20"/>
                  </w:pPr>
                  <w:r w:rsidRPr="00D85E09">
                    <w:t>mRS 5</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7DAEB93"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48C5FEF"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2849457E"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DFBBB4E"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D4D7294"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F319066" w14:textId="77777777" w:rsidR="00A41E60" w:rsidRPr="00D85E09" w:rsidRDefault="00A41E60" w:rsidP="0043316B">
                  <w:pPr>
                    <w:pStyle w:val="Tabletext"/>
                    <w:keepNext w:val="0"/>
                    <w:widowControl w:val="0"/>
                    <w:spacing w:before="20" w:after="20"/>
                  </w:pPr>
                  <w:r w:rsidRPr="00D85E09">
                    <w:t>5 (31)</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2B7D83D4" w14:textId="77777777" w:rsidR="00A41E60" w:rsidRPr="00D85E09" w:rsidRDefault="00A41E60" w:rsidP="0043316B">
                  <w:pPr>
                    <w:pStyle w:val="Tabletext"/>
                    <w:keepNext w:val="0"/>
                    <w:widowControl w:val="0"/>
                    <w:spacing w:before="20" w:after="20"/>
                  </w:pPr>
                  <w:r w:rsidRPr="00D85E09">
                    <w:t>11 (69)</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09372FB7" w14:textId="77777777" w:rsidR="00A41E60" w:rsidRPr="00D85E09" w:rsidRDefault="00A41E60" w:rsidP="0043316B">
                  <w:pPr>
                    <w:pStyle w:val="Tabletext"/>
                    <w:keepNext w:val="0"/>
                    <w:widowControl w:val="0"/>
                    <w:spacing w:before="20" w:after="20"/>
                  </w:pPr>
                  <w:r w:rsidRPr="00D85E09">
                    <w:t>16 (100)</w:t>
                  </w:r>
                </w:p>
              </w:tc>
            </w:tr>
            <w:tr w:rsidR="00A41E60" w:rsidRPr="00D85E09" w14:paraId="1CF15804"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77C799C9" w14:textId="77777777" w:rsidR="00A41E60" w:rsidRPr="00D85E09" w:rsidRDefault="00A41E60" w:rsidP="0043316B">
                  <w:pPr>
                    <w:pStyle w:val="Tabletext"/>
                    <w:keepNext w:val="0"/>
                    <w:widowControl w:val="0"/>
                    <w:spacing w:before="20" w:after="20"/>
                  </w:pPr>
                  <w:r w:rsidRPr="00D85E09">
                    <w:t>mRS 6</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F63B040"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6E6D6761"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623F629"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CA781E6"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212F29E6"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29673220"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6FAB9BB" w14:textId="77777777" w:rsidR="00A41E60" w:rsidRPr="00D85E09" w:rsidRDefault="00A41E60" w:rsidP="0043316B">
                  <w:pPr>
                    <w:pStyle w:val="Tabletext"/>
                    <w:keepNext w:val="0"/>
                    <w:widowControl w:val="0"/>
                    <w:spacing w:before="20" w:after="20"/>
                  </w:pPr>
                  <w:r w:rsidRPr="00D85E09">
                    <w:t xml:space="preserve">35 </w:t>
                  </w:r>
                  <w:r w:rsidRPr="00D85E09">
                    <w:rPr>
                      <w:sz w:val="16"/>
                      <w:szCs w:val="16"/>
                    </w:rPr>
                    <w:t>(100)</w:t>
                  </w:r>
                </w:p>
              </w:tc>
              <w:tc>
                <w:tcPr>
                  <w:tcW w:w="958" w:type="dxa"/>
                  <w:tcBorders>
                    <w:top w:val="single" w:sz="4" w:space="0" w:color="000000"/>
                    <w:left w:val="single" w:sz="4" w:space="0" w:color="000000"/>
                    <w:bottom w:val="single" w:sz="4" w:space="0" w:color="000000"/>
                    <w:right w:val="single" w:sz="4" w:space="0" w:color="000000"/>
                  </w:tcBorders>
                  <w:vAlign w:val="center"/>
                  <w:hideMark/>
                </w:tcPr>
                <w:p w14:paraId="0BB43F69" w14:textId="77777777" w:rsidR="00A41E60" w:rsidRPr="00D85E09" w:rsidRDefault="00A41E60" w:rsidP="0043316B">
                  <w:pPr>
                    <w:pStyle w:val="Tabletext"/>
                    <w:keepNext w:val="0"/>
                    <w:widowControl w:val="0"/>
                    <w:spacing w:before="20" w:after="20"/>
                  </w:pPr>
                  <w:r w:rsidRPr="00D85E09">
                    <w:t>35 (100)</w:t>
                  </w:r>
                </w:p>
              </w:tc>
            </w:tr>
          </w:tbl>
          <w:p w14:paraId="71CA661F" w14:textId="77777777" w:rsidR="00A41E60" w:rsidRPr="00D85E09" w:rsidRDefault="00A41E60" w:rsidP="0043316B">
            <w:pPr>
              <w:pStyle w:val="Tabletext"/>
              <w:keepNext w:val="0"/>
              <w:widowControl w:val="0"/>
            </w:pPr>
            <w:r w:rsidRPr="00D85E09">
              <w:rPr>
                <w:sz w:val="16"/>
                <w:szCs w:val="16"/>
                <w:lang w:eastAsia="en-AU"/>
              </w:rPr>
              <w:t>Source: Gensicke et al, 2013; Figure A</w:t>
            </w:r>
          </w:p>
        </w:tc>
      </w:tr>
      <w:tr w:rsidR="00A41E60" w:rsidRPr="00D85E09" w14:paraId="3EC17086" w14:textId="77777777" w:rsidTr="00A41E60">
        <w:tc>
          <w:tcPr>
            <w:tcW w:w="699" w:type="pct"/>
            <w:tcBorders>
              <w:top w:val="single" w:sz="4" w:space="0" w:color="000000"/>
              <w:left w:val="single" w:sz="4" w:space="0" w:color="000000"/>
              <w:bottom w:val="single" w:sz="4" w:space="0" w:color="000000"/>
              <w:right w:val="single" w:sz="4" w:space="0" w:color="000000"/>
            </w:tcBorders>
            <w:hideMark/>
          </w:tcPr>
          <w:p w14:paraId="69F39F61" w14:textId="77777777" w:rsidR="00A41E60" w:rsidRPr="00D85E09" w:rsidRDefault="00A41E60" w:rsidP="0043316B">
            <w:pPr>
              <w:pStyle w:val="Tabletext"/>
              <w:keepNext w:val="0"/>
              <w:widowControl w:val="0"/>
            </w:pPr>
            <w:r w:rsidRPr="00D85E09">
              <w:t>Aoki et al, 2016</w:t>
            </w:r>
          </w:p>
        </w:tc>
        <w:tc>
          <w:tcPr>
            <w:tcW w:w="461" w:type="pct"/>
            <w:tcBorders>
              <w:top w:val="single" w:sz="4" w:space="0" w:color="000000"/>
              <w:left w:val="single" w:sz="4" w:space="0" w:color="000000"/>
              <w:bottom w:val="single" w:sz="4" w:space="0" w:color="000000"/>
              <w:right w:val="single" w:sz="4" w:space="0" w:color="000000"/>
            </w:tcBorders>
            <w:hideMark/>
          </w:tcPr>
          <w:p w14:paraId="42362E05" w14:textId="47F7D332" w:rsidR="00A41E60" w:rsidRPr="00D85E09" w:rsidRDefault="00A41E60" w:rsidP="0043316B">
            <w:pPr>
              <w:pStyle w:val="Tabletext"/>
              <w:keepNext w:val="0"/>
              <w:widowControl w:val="0"/>
            </w:pPr>
            <w:r w:rsidRPr="00D85E09">
              <w:t>Patients with acute isch</w:t>
            </w:r>
            <w:r w:rsidR="00E56287" w:rsidRPr="00D85E09">
              <w:t>aemic</w:t>
            </w:r>
            <w:r w:rsidRPr="00D85E09">
              <w:t xml:space="preserve"> stroke who were treated with tPA</w:t>
            </w:r>
          </w:p>
          <w:p w14:paraId="3390513B" w14:textId="77777777" w:rsidR="00A41E60" w:rsidRPr="00D85E09" w:rsidRDefault="00A41E60" w:rsidP="0043316B">
            <w:pPr>
              <w:pStyle w:val="Tabletext"/>
              <w:keepNext w:val="0"/>
              <w:widowControl w:val="0"/>
            </w:pPr>
            <w:r w:rsidRPr="00D85E09">
              <w:t>N=256 (115 included in the analysis)</w:t>
            </w:r>
          </w:p>
        </w:tc>
        <w:tc>
          <w:tcPr>
            <w:tcW w:w="457" w:type="pct"/>
            <w:tcBorders>
              <w:top w:val="single" w:sz="4" w:space="0" w:color="000000"/>
              <w:left w:val="single" w:sz="4" w:space="0" w:color="000000"/>
              <w:bottom w:val="single" w:sz="4" w:space="0" w:color="000000"/>
              <w:right w:val="single" w:sz="4" w:space="0" w:color="000000"/>
            </w:tcBorders>
            <w:hideMark/>
          </w:tcPr>
          <w:p w14:paraId="42890EFD" w14:textId="77777777" w:rsidR="00A41E60" w:rsidRPr="00D85E09" w:rsidRDefault="00A41E60" w:rsidP="0043316B">
            <w:pPr>
              <w:pStyle w:val="Tabletext"/>
              <w:keepNext w:val="0"/>
              <w:widowControl w:val="0"/>
            </w:pPr>
            <w:r w:rsidRPr="00D85E09">
              <w:t>2005 to 2013</w:t>
            </w:r>
          </w:p>
          <w:p w14:paraId="1F10CF7D" w14:textId="77777777" w:rsidR="00A41E60" w:rsidRPr="00D85E09" w:rsidRDefault="00A41E60" w:rsidP="0043316B">
            <w:pPr>
              <w:pStyle w:val="Tabletext"/>
              <w:keepNext w:val="0"/>
              <w:widowControl w:val="0"/>
            </w:pPr>
            <w:r w:rsidRPr="00D85E09">
              <w:t>Japan</w:t>
            </w:r>
          </w:p>
        </w:tc>
        <w:tc>
          <w:tcPr>
            <w:tcW w:w="610" w:type="pct"/>
            <w:tcBorders>
              <w:top w:val="single" w:sz="4" w:space="0" w:color="000000"/>
              <w:left w:val="single" w:sz="4" w:space="0" w:color="000000"/>
              <w:bottom w:val="single" w:sz="4" w:space="0" w:color="000000"/>
              <w:right w:val="single" w:sz="4" w:space="0" w:color="000000"/>
            </w:tcBorders>
            <w:hideMark/>
          </w:tcPr>
          <w:p w14:paraId="62F49E23" w14:textId="6C4FF682" w:rsidR="00A41E60" w:rsidRPr="00D85E09" w:rsidRDefault="00A41E60" w:rsidP="0043316B">
            <w:pPr>
              <w:pStyle w:val="Tabletext"/>
              <w:keepNext w:val="0"/>
              <w:widowControl w:val="0"/>
            </w:pPr>
            <w:r w:rsidRPr="00D85E09">
              <w:t>Prospective registry of consecutive patients</w:t>
            </w:r>
          </w:p>
          <w:p w14:paraId="5D63999A" w14:textId="77777777" w:rsidR="00A41E60" w:rsidRPr="00D85E09" w:rsidRDefault="00A41E60" w:rsidP="0043316B">
            <w:pPr>
              <w:pStyle w:val="Tabletext"/>
              <w:keepNext w:val="0"/>
              <w:widowControl w:val="0"/>
            </w:pPr>
            <w:r w:rsidRPr="00D85E09">
              <w:t>Median age at baseline 79 years (included patients; n=115)</w:t>
            </w:r>
          </w:p>
          <w:p w14:paraId="51089092" w14:textId="0967D332" w:rsidR="00A41E60" w:rsidRPr="00D85E09" w:rsidRDefault="00A41E60" w:rsidP="0043316B">
            <w:pPr>
              <w:pStyle w:val="Tabletext"/>
              <w:keepNext w:val="0"/>
              <w:widowControl w:val="0"/>
            </w:pPr>
            <w:r w:rsidRPr="00D85E09">
              <w:t>5 years follow</w:t>
            </w:r>
            <w:r w:rsidR="00D32933" w:rsidRPr="00D85E09">
              <w:t>-</w:t>
            </w:r>
            <w:r w:rsidRPr="00D85E09">
              <w:t>up</w:t>
            </w:r>
          </w:p>
        </w:tc>
        <w:tc>
          <w:tcPr>
            <w:tcW w:w="2773" w:type="pct"/>
            <w:tcBorders>
              <w:top w:val="single" w:sz="4" w:space="0" w:color="000000"/>
              <w:left w:val="single" w:sz="4" w:space="0" w:color="000000"/>
              <w:bottom w:val="single" w:sz="4" w:space="0" w:color="000000"/>
              <w:right w:val="single" w:sz="4" w:space="0" w:color="000000"/>
            </w:tcBorders>
            <w:hideMark/>
          </w:tcPr>
          <w:p w14:paraId="509F12E5" w14:textId="78D4D609" w:rsidR="00A41E60" w:rsidRPr="00D85E09" w:rsidRDefault="00A41E60" w:rsidP="0043316B">
            <w:pPr>
              <w:pStyle w:val="Tabletext"/>
              <w:keepNext w:val="0"/>
              <w:widowControl w:val="0"/>
              <w:rPr>
                <w:sz w:val="16"/>
                <w:szCs w:val="16"/>
                <w:lang w:eastAsia="en-AU"/>
              </w:rPr>
            </w:pPr>
            <w:r w:rsidRPr="00D85E09">
              <w:t>Long</w:t>
            </w:r>
            <w:r w:rsidR="00D32933" w:rsidRPr="00D85E09">
              <w:t>-</w:t>
            </w:r>
            <w:r w:rsidRPr="00D85E09">
              <w:t>term outcome at 5 years after stroke onset in 115 patient based on mRS score at baseline</w:t>
            </w:r>
          </w:p>
          <w:tbl>
            <w:tblPr>
              <w:tblStyle w:val="TableGrid"/>
              <w:tblW w:w="0" w:type="auto"/>
              <w:tblLook w:val="04A0" w:firstRow="1" w:lastRow="0" w:firstColumn="1" w:lastColumn="0" w:noHBand="0" w:noVBand="1"/>
              <w:tblDescription w:val="Long-term outcome at 5 years stroke onset in 115 patient based on mRS score at baseline"/>
            </w:tblPr>
            <w:tblGrid>
              <w:gridCol w:w="937"/>
              <w:gridCol w:w="781"/>
              <w:gridCol w:w="781"/>
              <w:gridCol w:w="781"/>
              <w:gridCol w:w="782"/>
              <w:gridCol w:w="781"/>
              <w:gridCol w:w="781"/>
              <w:gridCol w:w="782"/>
              <w:gridCol w:w="961"/>
            </w:tblGrid>
            <w:tr w:rsidR="00A41E60" w:rsidRPr="00D85E09" w14:paraId="0E20BFB2" w14:textId="77777777" w:rsidTr="00BE6331">
              <w:trPr>
                <w:tblHeader/>
              </w:trPr>
              <w:tc>
                <w:tcPr>
                  <w:tcW w:w="937" w:type="dxa"/>
                  <w:vMerge w:val="restart"/>
                  <w:tcBorders>
                    <w:top w:val="single" w:sz="4" w:space="0" w:color="000000"/>
                    <w:left w:val="single" w:sz="4" w:space="0" w:color="000000"/>
                    <w:bottom w:val="single" w:sz="4" w:space="0" w:color="000000"/>
                    <w:right w:val="single" w:sz="4" w:space="0" w:color="000000"/>
                  </w:tcBorders>
                  <w:hideMark/>
                </w:tcPr>
                <w:p w14:paraId="01A4BD94" w14:textId="77777777" w:rsidR="00A41E60" w:rsidRPr="00D85E09" w:rsidRDefault="00A41E60" w:rsidP="0043316B">
                  <w:pPr>
                    <w:pStyle w:val="Tabletext"/>
                    <w:keepNext w:val="0"/>
                    <w:widowControl w:val="0"/>
                    <w:spacing w:before="20" w:after="20"/>
                    <w:rPr>
                      <w:b/>
                    </w:rPr>
                  </w:pPr>
                  <w:r w:rsidRPr="00D85E09">
                    <w:rPr>
                      <w:b/>
                    </w:rPr>
                    <w:t xml:space="preserve">mRS at 3 months </w:t>
                  </w:r>
                </w:p>
              </w:tc>
              <w:tc>
                <w:tcPr>
                  <w:tcW w:w="6430" w:type="dxa"/>
                  <w:gridSpan w:val="8"/>
                  <w:tcBorders>
                    <w:top w:val="single" w:sz="4" w:space="0" w:color="000000"/>
                    <w:left w:val="single" w:sz="4" w:space="0" w:color="000000"/>
                    <w:bottom w:val="single" w:sz="4" w:space="0" w:color="000000"/>
                    <w:right w:val="single" w:sz="4" w:space="0" w:color="000000"/>
                  </w:tcBorders>
                  <w:vAlign w:val="bottom"/>
                  <w:hideMark/>
                </w:tcPr>
                <w:p w14:paraId="280976D6" w14:textId="77777777" w:rsidR="00A41E60" w:rsidRPr="00D85E09" w:rsidRDefault="00A41E60" w:rsidP="0043316B">
                  <w:pPr>
                    <w:pStyle w:val="Tabletext"/>
                    <w:keepNext w:val="0"/>
                    <w:widowControl w:val="0"/>
                    <w:spacing w:before="20" w:after="20"/>
                    <w:rPr>
                      <w:b/>
                    </w:rPr>
                  </w:pPr>
                  <w:r w:rsidRPr="00D85E09">
                    <w:rPr>
                      <w:b/>
                    </w:rPr>
                    <w:t>mRS score at 5 years</w:t>
                  </w:r>
                </w:p>
              </w:tc>
            </w:tr>
            <w:tr w:rsidR="00A41E60" w:rsidRPr="00D85E09" w14:paraId="370D1C1C" w14:textId="77777777" w:rsidTr="00BE6331">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66C760"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6FB7672" w14:textId="77777777" w:rsidR="00A41E60" w:rsidRPr="00D85E09" w:rsidRDefault="00A41E60" w:rsidP="0043316B">
                  <w:pPr>
                    <w:pStyle w:val="Tabletext"/>
                    <w:keepNext w:val="0"/>
                    <w:widowControl w:val="0"/>
                    <w:spacing w:before="20" w:after="20"/>
                    <w:rPr>
                      <w:b/>
                    </w:rPr>
                  </w:pPr>
                  <w:r w:rsidRPr="00D85E09">
                    <w:rPr>
                      <w:b/>
                    </w:rPr>
                    <w:t>mRS 0</w:t>
                  </w:r>
                </w:p>
                <w:p w14:paraId="47FBB6F6" w14:textId="77777777" w:rsidR="00A41E60" w:rsidRPr="00D85E09" w:rsidRDefault="00A41E60" w:rsidP="0043316B">
                  <w:pPr>
                    <w:pStyle w:val="Tabletext"/>
                    <w:keepNext w:val="0"/>
                    <w:widowControl w:val="0"/>
                    <w:spacing w:before="20" w:after="20"/>
                    <w:rPr>
                      <w:b/>
                    </w:rPr>
                  </w:pPr>
                  <w:r w:rsidRPr="00D85E09">
                    <w:rPr>
                      <w:b/>
                    </w:rPr>
                    <w:t>n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EA6DEC3" w14:textId="77777777" w:rsidR="00A41E60" w:rsidRPr="00D85E09" w:rsidRDefault="00A41E60" w:rsidP="0043316B">
                  <w:pPr>
                    <w:pStyle w:val="Tabletext"/>
                    <w:keepNext w:val="0"/>
                    <w:widowControl w:val="0"/>
                    <w:spacing w:before="20" w:after="20"/>
                    <w:rPr>
                      <w:b/>
                    </w:rPr>
                  </w:pPr>
                  <w:r w:rsidRPr="00D85E09">
                    <w:rPr>
                      <w:b/>
                    </w:rPr>
                    <w:t>mRS 1</w:t>
                  </w:r>
                </w:p>
                <w:p w14:paraId="02BCA37A" w14:textId="77777777" w:rsidR="00A41E60" w:rsidRPr="00D85E09" w:rsidRDefault="00A41E60" w:rsidP="0043316B">
                  <w:pPr>
                    <w:pStyle w:val="Tabletext"/>
                    <w:keepNext w:val="0"/>
                    <w:widowControl w:val="0"/>
                    <w:spacing w:before="20" w:after="20"/>
                    <w:rPr>
                      <w:b/>
                    </w:rPr>
                  </w:pPr>
                  <w:r w:rsidRPr="00D85E09">
                    <w:rPr>
                      <w:b/>
                    </w:rPr>
                    <w:t>n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9D8417C" w14:textId="77777777" w:rsidR="00A41E60" w:rsidRPr="00D85E09" w:rsidRDefault="00A41E60" w:rsidP="0043316B">
                  <w:pPr>
                    <w:pStyle w:val="Tabletext"/>
                    <w:keepNext w:val="0"/>
                    <w:widowControl w:val="0"/>
                    <w:spacing w:before="20" w:after="20"/>
                    <w:rPr>
                      <w:b/>
                    </w:rPr>
                  </w:pPr>
                  <w:r w:rsidRPr="00D85E09">
                    <w:rPr>
                      <w:b/>
                    </w:rPr>
                    <w:t>mRS 2</w:t>
                  </w:r>
                </w:p>
                <w:p w14:paraId="1854F470"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0E32349F" w14:textId="77777777" w:rsidR="00A41E60" w:rsidRPr="00D85E09" w:rsidRDefault="00A41E60" w:rsidP="0043316B">
                  <w:pPr>
                    <w:pStyle w:val="Tabletext"/>
                    <w:keepNext w:val="0"/>
                    <w:widowControl w:val="0"/>
                    <w:spacing w:before="20" w:after="20"/>
                    <w:rPr>
                      <w:b/>
                    </w:rPr>
                  </w:pPr>
                  <w:r w:rsidRPr="00D85E09">
                    <w:rPr>
                      <w:b/>
                    </w:rPr>
                    <w:t>mRS 3</w:t>
                  </w:r>
                </w:p>
                <w:p w14:paraId="371979A0" w14:textId="77777777" w:rsidR="00A41E60" w:rsidRPr="00D85E09" w:rsidRDefault="00A41E60" w:rsidP="0043316B">
                  <w:pPr>
                    <w:pStyle w:val="Tabletext"/>
                    <w:keepNext w:val="0"/>
                    <w:widowControl w:val="0"/>
                    <w:spacing w:before="20" w:after="20"/>
                    <w:rPr>
                      <w:b/>
                    </w:rPr>
                  </w:pPr>
                  <w:r w:rsidRPr="00D85E09">
                    <w:rPr>
                      <w:b/>
                    </w:rPr>
                    <w:t>n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75BBC00" w14:textId="77777777" w:rsidR="00A41E60" w:rsidRPr="00D85E09" w:rsidRDefault="00A41E60" w:rsidP="0043316B">
                  <w:pPr>
                    <w:pStyle w:val="Tabletext"/>
                    <w:keepNext w:val="0"/>
                    <w:widowControl w:val="0"/>
                    <w:spacing w:before="20" w:after="20"/>
                    <w:rPr>
                      <w:b/>
                    </w:rPr>
                  </w:pPr>
                  <w:r w:rsidRPr="00D85E09">
                    <w:rPr>
                      <w:b/>
                    </w:rPr>
                    <w:t>mRS 4</w:t>
                  </w:r>
                </w:p>
                <w:p w14:paraId="454833C7" w14:textId="77777777" w:rsidR="00A41E60" w:rsidRPr="00D85E09" w:rsidRDefault="00A41E60" w:rsidP="0043316B">
                  <w:pPr>
                    <w:pStyle w:val="Tabletext"/>
                    <w:keepNext w:val="0"/>
                    <w:widowControl w:val="0"/>
                    <w:spacing w:before="20" w:after="20"/>
                    <w:rPr>
                      <w:b/>
                    </w:rPr>
                  </w:pPr>
                  <w:r w:rsidRPr="00D85E09">
                    <w:rPr>
                      <w:b/>
                    </w:rPr>
                    <w:t>n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7DF722B8" w14:textId="77777777" w:rsidR="00A41E60" w:rsidRPr="00D85E09" w:rsidRDefault="00A41E60" w:rsidP="0043316B">
                  <w:pPr>
                    <w:pStyle w:val="Tabletext"/>
                    <w:keepNext w:val="0"/>
                    <w:widowControl w:val="0"/>
                    <w:spacing w:before="20" w:after="20"/>
                    <w:rPr>
                      <w:b/>
                    </w:rPr>
                  </w:pPr>
                  <w:r w:rsidRPr="00D85E09">
                    <w:rPr>
                      <w:b/>
                    </w:rPr>
                    <w:t>mRS 5</w:t>
                  </w:r>
                </w:p>
                <w:p w14:paraId="0CFBED59" w14:textId="77777777" w:rsidR="00A41E60" w:rsidRPr="00D85E09" w:rsidRDefault="00A41E60" w:rsidP="0043316B">
                  <w:pPr>
                    <w:pStyle w:val="Tabletext"/>
                    <w:keepNext w:val="0"/>
                    <w:widowControl w:val="0"/>
                    <w:spacing w:before="20" w:after="20"/>
                    <w:rPr>
                      <w:b/>
                    </w:rPr>
                  </w:pPr>
                  <w:r w:rsidRPr="00D85E09">
                    <w:rPr>
                      <w:b/>
                    </w:rPr>
                    <w:t>n (%)</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37CD3697" w14:textId="77777777" w:rsidR="00A41E60" w:rsidRPr="00D85E09" w:rsidRDefault="00A41E60" w:rsidP="0043316B">
                  <w:pPr>
                    <w:pStyle w:val="Tabletext"/>
                    <w:keepNext w:val="0"/>
                    <w:widowControl w:val="0"/>
                    <w:spacing w:before="20" w:after="20"/>
                    <w:rPr>
                      <w:b/>
                    </w:rPr>
                  </w:pPr>
                  <w:r w:rsidRPr="00D85E09">
                    <w:rPr>
                      <w:b/>
                    </w:rPr>
                    <w:t>mRS 6</w:t>
                  </w:r>
                </w:p>
                <w:p w14:paraId="56B40EBA" w14:textId="77777777" w:rsidR="00A41E60" w:rsidRPr="00D85E09" w:rsidRDefault="00A41E60" w:rsidP="0043316B">
                  <w:pPr>
                    <w:pStyle w:val="Tabletext"/>
                    <w:keepNext w:val="0"/>
                    <w:widowControl w:val="0"/>
                    <w:spacing w:before="20" w:after="20"/>
                    <w:rPr>
                      <w:b/>
                    </w:rPr>
                  </w:pPr>
                  <w:r w:rsidRPr="00D85E09">
                    <w:rPr>
                      <w:b/>
                    </w:rPr>
                    <w:t>n (%)</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54A5E789" w14:textId="77777777" w:rsidR="00A41E60" w:rsidRPr="00D85E09" w:rsidRDefault="00A41E60" w:rsidP="0043316B">
                  <w:pPr>
                    <w:pStyle w:val="Tabletext"/>
                    <w:keepNext w:val="0"/>
                    <w:widowControl w:val="0"/>
                    <w:spacing w:before="20" w:after="20"/>
                    <w:rPr>
                      <w:b/>
                    </w:rPr>
                  </w:pPr>
                  <w:r w:rsidRPr="00D85E09">
                    <w:rPr>
                      <w:b/>
                    </w:rPr>
                    <w:t>Total</w:t>
                  </w:r>
                </w:p>
                <w:p w14:paraId="7BB0572C" w14:textId="77777777" w:rsidR="00A41E60" w:rsidRPr="00D85E09" w:rsidRDefault="00A41E60" w:rsidP="0043316B">
                  <w:pPr>
                    <w:pStyle w:val="Tabletext"/>
                    <w:keepNext w:val="0"/>
                    <w:widowControl w:val="0"/>
                    <w:spacing w:before="20" w:after="20"/>
                    <w:rPr>
                      <w:b/>
                    </w:rPr>
                  </w:pPr>
                  <w:r w:rsidRPr="00D85E09">
                    <w:rPr>
                      <w:b/>
                    </w:rPr>
                    <w:t>n (%)</w:t>
                  </w:r>
                </w:p>
              </w:tc>
            </w:tr>
            <w:tr w:rsidR="00A41E60" w:rsidRPr="00D85E09" w14:paraId="2DD13084"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0CFC3205" w14:textId="77777777" w:rsidR="00A41E60" w:rsidRPr="00D85E09" w:rsidRDefault="00A41E60" w:rsidP="0043316B">
                  <w:pPr>
                    <w:pStyle w:val="Tabletext"/>
                    <w:keepNext w:val="0"/>
                    <w:widowControl w:val="0"/>
                    <w:spacing w:before="20" w:after="20"/>
                  </w:pPr>
                  <w:r w:rsidRPr="00D85E09">
                    <w:t xml:space="preserve">mRS 0 </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217A71C" w14:textId="77777777" w:rsidR="00A41E60" w:rsidRPr="00D85E09" w:rsidRDefault="00A41E60" w:rsidP="0043316B">
                  <w:pPr>
                    <w:pStyle w:val="Tabletext"/>
                    <w:keepNext w:val="0"/>
                    <w:widowControl w:val="0"/>
                    <w:spacing w:before="20" w:after="20"/>
                  </w:pPr>
                  <w:r w:rsidRPr="00D85E09">
                    <w:t>11 (52)</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2072A6FA" w14:textId="77777777" w:rsidR="00A41E60" w:rsidRPr="00D85E09" w:rsidRDefault="00A41E60" w:rsidP="0043316B">
                  <w:pPr>
                    <w:pStyle w:val="Tabletext"/>
                    <w:keepNext w:val="0"/>
                    <w:widowControl w:val="0"/>
                    <w:spacing w:before="20" w:after="20"/>
                  </w:pPr>
                  <w:r w:rsidRPr="00D85E09">
                    <w:t>3 (14)</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97C9B6F"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6C63F0A0"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1131B44" w14:textId="77777777" w:rsidR="00A41E60" w:rsidRPr="00D85E09" w:rsidRDefault="00A41E60" w:rsidP="0043316B">
                  <w:pPr>
                    <w:pStyle w:val="Tabletext"/>
                    <w:keepNext w:val="0"/>
                    <w:widowControl w:val="0"/>
                    <w:spacing w:before="20" w:after="20"/>
                  </w:pPr>
                  <w:r w:rsidRPr="00D85E09">
                    <w:t>1 (5)</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509E454"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4789688B" w14:textId="77777777" w:rsidR="00A41E60" w:rsidRPr="00D85E09" w:rsidRDefault="00A41E60" w:rsidP="0043316B">
                  <w:pPr>
                    <w:pStyle w:val="Tabletext"/>
                    <w:keepNext w:val="0"/>
                    <w:widowControl w:val="0"/>
                    <w:spacing w:before="20" w:after="20"/>
                  </w:pPr>
                  <w:r w:rsidRPr="00D85E09">
                    <w:t>6 (29)</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7D7C8A43" w14:textId="77777777" w:rsidR="00A41E60" w:rsidRPr="00D85E09" w:rsidRDefault="00A41E60" w:rsidP="0043316B">
                  <w:pPr>
                    <w:pStyle w:val="Tabletext"/>
                    <w:keepNext w:val="0"/>
                    <w:widowControl w:val="0"/>
                    <w:spacing w:before="20" w:after="20"/>
                  </w:pPr>
                  <w:r w:rsidRPr="00D85E09">
                    <w:t>21 (100)</w:t>
                  </w:r>
                </w:p>
              </w:tc>
            </w:tr>
            <w:tr w:rsidR="00A41E60" w:rsidRPr="00D85E09" w14:paraId="1A137FA4"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4D3EFB50" w14:textId="77777777" w:rsidR="00A41E60" w:rsidRPr="00D85E09" w:rsidRDefault="00A41E60" w:rsidP="0043316B">
                  <w:pPr>
                    <w:pStyle w:val="Tabletext"/>
                    <w:keepNext w:val="0"/>
                    <w:widowControl w:val="0"/>
                    <w:spacing w:before="20" w:after="20"/>
                  </w:pPr>
                  <w:r w:rsidRPr="00D85E09">
                    <w:t>mRS 1</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043C1138" w14:textId="77777777" w:rsidR="00A41E60" w:rsidRPr="00D85E09" w:rsidRDefault="00A41E60" w:rsidP="0043316B">
                  <w:pPr>
                    <w:pStyle w:val="Tabletext"/>
                    <w:keepNext w:val="0"/>
                    <w:widowControl w:val="0"/>
                    <w:spacing w:before="20" w:after="20"/>
                  </w:pPr>
                  <w:r w:rsidRPr="00D85E09">
                    <w:t>3 (60)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0F6D4D11"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F322FBC"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735E1FBA"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7CF41A14"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B9966AE"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0704ECF8" w14:textId="77777777" w:rsidR="00A41E60" w:rsidRPr="00D85E09" w:rsidRDefault="00A41E60" w:rsidP="0043316B">
                  <w:pPr>
                    <w:pStyle w:val="Tabletext"/>
                    <w:keepNext w:val="0"/>
                    <w:widowControl w:val="0"/>
                    <w:spacing w:before="20" w:after="20"/>
                  </w:pPr>
                  <w:r w:rsidRPr="00D85E09">
                    <w:t>2 (40)</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63038BB5" w14:textId="77777777" w:rsidR="00A41E60" w:rsidRPr="00D85E09" w:rsidRDefault="00A41E60" w:rsidP="0043316B">
                  <w:pPr>
                    <w:pStyle w:val="Tabletext"/>
                    <w:keepNext w:val="0"/>
                    <w:widowControl w:val="0"/>
                    <w:spacing w:before="20" w:after="20"/>
                  </w:pPr>
                  <w:r w:rsidRPr="00D85E09">
                    <w:t>5 (100)</w:t>
                  </w:r>
                </w:p>
              </w:tc>
            </w:tr>
            <w:tr w:rsidR="00A41E60" w:rsidRPr="00D85E09" w14:paraId="7C4264AD"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791464BB" w14:textId="77777777" w:rsidR="00A41E60" w:rsidRPr="00D85E09" w:rsidRDefault="00A41E60" w:rsidP="0043316B">
                  <w:pPr>
                    <w:pStyle w:val="Tabletext"/>
                    <w:keepNext w:val="0"/>
                    <w:widowControl w:val="0"/>
                    <w:spacing w:before="20" w:after="20"/>
                  </w:pPr>
                  <w:r w:rsidRPr="00D85E09">
                    <w:t>mRS 2</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E6955F1" w14:textId="77777777" w:rsidR="00A41E60" w:rsidRPr="00D85E09" w:rsidRDefault="00A41E60" w:rsidP="0043316B">
                  <w:pPr>
                    <w:pStyle w:val="Tabletext"/>
                    <w:keepNext w:val="0"/>
                    <w:widowControl w:val="0"/>
                    <w:spacing w:before="20" w:after="20"/>
                  </w:pPr>
                  <w:r w:rsidRPr="00D85E09">
                    <w:t>1 (14)</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A12C9B4" w14:textId="77777777" w:rsidR="00A41E60" w:rsidRPr="00D85E09" w:rsidRDefault="00A41E60" w:rsidP="0043316B">
                  <w:pPr>
                    <w:pStyle w:val="Tabletext"/>
                    <w:keepNext w:val="0"/>
                    <w:widowControl w:val="0"/>
                    <w:spacing w:before="20" w:after="20"/>
                  </w:pPr>
                  <w:r w:rsidRPr="00D85E09">
                    <w:t>1 (14)</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DD0DF59" w14:textId="77777777" w:rsidR="00A41E60" w:rsidRPr="00D85E09" w:rsidRDefault="00A41E60" w:rsidP="0043316B">
                  <w:pPr>
                    <w:pStyle w:val="Tabletext"/>
                    <w:keepNext w:val="0"/>
                    <w:widowControl w:val="0"/>
                    <w:spacing w:before="20" w:after="20"/>
                  </w:pPr>
                  <w:r w:rsidRPr="00D85E09">
                    <w:t>4 (57)</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611534D1" w14:textId="77777777" w:rsidR="00A41E60" w:rsidRPr="00D85E09" w:rsidRDefault="00A41E60" w:rsidP="0043316B">
                  <w:pPr>
                    <w:pStyle w:val="Tabletext"/>
                    <w:keepNext w:val="0"/>
                    <w:widowControl w:val="0"/>
                    <w:spacing w:before="20" w:after="20"/>
                  </w:pPr>
                  <w:r w:rsidRPr="00D85E09">
                    <w:t>1 (14)</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05982DD1"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A225004"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1647FEB" w14:textId="77777777" w:rsidR="00A41E60" w:rsidRPr="00D85E09" w:rsidRDefault="00A41E60" w:rsidP="0043316B">
                  <w:pPr>
                    <w:pStyle w:val="Tabletext"/>
                    <w:keepNext w:val="0"/>
                    <w:widowControl w:val="0"/>
                    <w:spacing w:before="20" w:after="20"/>
                  </w:pPr>
                  <w:r w:rsidRPr="00D85E09">
                    <w:t>0 (0)</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178C4BBE" w14:textId="77777777" w:rsidR="00A41E60" w:rsidRPr="00D85E09" w:rsidRDefault="00A41E60" w:rsidP="0043316B">
                  <w:pPr>
                    <w:pStyle w:val="Tabletext"/>
                    <w:keepNext w:val="0"/>
                    <w:widowControl w:val="0"/>
                    <w:spacing w:before="20" w:after="20"/>
                  </w:pPr>
                  <w:r w:rsidRPr="00D85E09">
                    <w:t>7 (100)</w:t>
                  </w:r>
                </w:p>
              </w:tc>
            </w:tr>
            <w:tr w:rsidR="00A41E60" w:rsidRPr="00D85E09" w14:paraId="533484C1"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1A1D4AF1" w14:textId="77777777" w:rsidR="00A41E60" w:rsidRPr="00D85E09" w:rsidRDefault="00A41E60" w:rsidP="0043316B">
                  <w:pPr>
                    <w:pStyle w:val="Tabletext"/>
                    <w:keepNext w:val="0"/>
                    <w:widowControl w:val="0"/>
                    <w:spacing w:before="20" w:after="20"/>
                  </w:pPr>
                  <w:r w:rsidRPr="00D85E09">
                    <w:t>mRS 3</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70D0D065"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5D7B286" w14:textId="77777777" w:rsidR="00A41E60" w:rsidRPr="00D85E09" w:rsidRDefault="00A41E60" w:rsidP="0043316B">
                  <w:pPr>
                    <w:pStyle w:val="Tabletext"/>
                    <w:keepNext w:val="0"/>
                    <w:widowControl w:val="0"/>
                    <w:spacing w:before="20" w:after="20"/>
                  </w:pPr>
                  <w:r w:rsidRPr="00D85E09">
                    <w:t>3 (30)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0EE86DAA" w14:textId="77777777" w:rsidR="00A41E60" w:rsidRPr="00D85E09" w:rsidRDefault="00A41E60" w:rsidP="0043316B">
                  <w:pPr>
                    <w:pStyle w:val="Tabletext"/>
                    <w:keepNext w:val="0"/>
                    <w:widowControl w:val="0"/>
                    <w:spacing w:before="20" w:after="20"/>
                  </w:pPr>
                  <w:r w:rsidRPr="00D85E09">
                    <w:t>3 (30)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05C3C1F7"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1F4E4D7" w14:textId="77777777" w:rsidR="00A41E60" w:rsidRPr="00D85E09" w:rsidRDefault="00A41E60" w:rsidP="0043316B">
                  <w:pPr>
                    <w:pStyle w:val="Tabletext"/>
                    <w:keepNext w:val="0"/>
                    <w:widowControl w:val="0"/>
                    <w:spacing w:before="20" w:after="20"/>
                  </w:pPr>
                  <w:r w:rsidRPr="00D85E09">
                    <w:t>1 (10)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AFBEA37"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5D551F36" w14:textId="77777777" w:rsidR="00A41E60" w:rsidRPr="00D85E09" w:rsidRDefault="00A41E60" w:rsidP="0043316B">
                  <w:pPr>
                    <w:pStyle w:val="Tabletext"/>
                    <w:keepNext w:val="0"/>
                    <w:widowControl w:val="0"/>
                    <w:spacing w:before="20" w:after="20"/>
                  </w:pPr>
                  <w:r w:rsidRPr="00D85E09">
                    <w:t>3 (30)</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259B55BA" w14:textId="77777777" w:rsidR="00A41E60" w:rsidRPr="00D85E09" w:rsidRDefault="00A41E60" w:rsidP="0043316B">
                  <w:pPr>
                    <w:pStyle w:val="Tabletext"/>
                    <w:keepNext w:val="0"/>
                    <w:widowControl w:val="0"/>
                    <w:spacing w:before="20" w:after="20"/>
                  </w:pPr>
                  <w:r w:rsidRPr="00D85E09">
                    <w:t>10 (100)</w:t>
                  </w:r>
                </w:p>
              </w:tc>
            </w:tr>
            <w:tr w:rsidR="00A41E60" w:rsidRPr="00D85E09" w14:paraId="566F3A05"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20D5C532" w14:textId="77777777" w:rsidR="00A41E60" w:rsidRPr="00D85E09" w:rsidRDefault="00A41E60" w:rsidP="0043316B">
                  <w:pPr>
                    <w:pStyle w:val="Tabletext"/>
                    <w:keepNext w:val="0"/>
                    <w:widowControl w:val="0"/>
                    <w:spacing w:before="20" w:after="20"/>
                  </w:pPr>
                  <w:r w:rsidRPr="00D85E09">
                    <w:t>mRS 4</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3FAC3EA" w14:textId="77777777" w:rsidR="00A41E60" w:rsidRPr="00D85E09" w:rsidRDefault="00A41E60" w:rsidP="0043316B">
                  <w:pPr>
                    <w:pStyle w:val="Tabletext"/>
                    <w:keepNext w:val="0"/>
                    <w:widowControl w:val="0"/>
                    <w:spacing w:before="20" w:after="20"/>
                  </w:pPr>
                  <w:r w:rsidRPr="00D85E09">
                    <w:t>1 (9)</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063ABD0E"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6737BC9"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67607C40" w14:textId="77777777" w:rsidR="00A41E60" w:rsidRPr="00D85E09" w:rsidRDefault="00A41E60" w:rsidP="0043316B">
                  <w:pPr>
                    <w:pStyle w:val="Tabletext"/>
                    <w:keepNext w:val="0"/>
                    <w:widowControl w:val="0"/>
                    <w:spacing w:before="20" w:after="20"/>
                  </w:pPr>
                  <w:r w:rsidRPr="00D85E09">
                    <w:t>1 (9)</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7B8B7FDC"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1B5083E" w14:textId="77777777" w:rsidR="00A41E60" w:rsidRPr="00D85E09" w:rsidRDefault="00A41E60" w:rsidP="0043316B">
                  <w:pPr>
                    <w:pStyle w:val="Tabletext"/>
                    <w:keepNext w:val="0"/>
                    <w:widowControl w:val="0"/>
                    <w:spacing w:before="20" w:after="20"/>
                  </w:pPr>
                  <w:r w:rsidRPr="00D85E09">
                    <w:t>2 (18)</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090A0CF7" w14:textId="77777777" w:rsidR="00A41E60" w:rsidRPr="00D85E09" w:rsidRDefault="00A41E60" w:rsidP="0043316B">
                  <w:pPr>
                    <w:pStyle w:val="Tabletext"/>
                    <w:keepNext w:val="0"/>
                    <w:widowControl w:val="0"/>
                    <w:spacing w:before="20" w:after="20"/>
                  </w:pPr>
                  <w:r w:rsidRPr="00D85E09">
                    <w:t>7 (64)</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61A01C6C" w14:textId="77777777" w:rsidR="00A41E60" w:rsidRPr="00D85E09" w:rsidRDefault="00A41E60" w:rsidP="0043316B">
                  <w:pPr>
                    <w:pStyle w:val="Tabletext"/>
                    <w:keepNext w:val="0"/>
                    <w:widowControl w:val="0"/>
                    <w:spacing w:before="20" w:after="20"/>
                  </w:pPr>
                  <w:r w:rsidRPr="00D85E09">
                    <w:t>11 (100)</w:t>
                  </w:r>
                </w:p>
              </w:tc>
            </w:tr>
            <w:tr w:rsidR="00A41E60" w:rsidRPr="00D85E09" w14:paraId="13260B0A"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0411A30B" w14:textId="77777777" w:rsidR="00A41E60" w:rsidRPr="00D85E09" w:rsidRDefault="00A41E60" w:rsidP="0043316B">
                  <w:pPr>
                    <w:pStyle w:val="Tabletext"/>
                    <w:keepNext w:val="0"/>
                    <w:widowControl w:val="0"/>
                    <w:spacing w:before="20" w:after="20"/>
                  </w:pPr>
                  <w:r w:rsidRPr="00D85E09">
                    <w:t>mRS 5</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3A88C94"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425CA5A" w14:textId="77777777" w:rsidR="00A41E60" w:rsidRPr="00D85E09" w:rsidRDefault="00A41E60" w:rsidP="0043316B">
                  <w:pPr>
                    <w:pStyle w:val="Tabletext"/>
                    <w:keepNext w:val="0"/>
                    <w:widowControl w:val="0"/>
                    <w:spacing w:before="20" w:after="20"/>
                  </w:pPr>
                  <w:r w:rsidRPr="00D85E09">
                    <w:t>1 (3)</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18D0CE91"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D914B6C"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6A07314B"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0FAF9E4" w14:textId="77777777" w:rsidR="00A41E60" w:rsidRPr="00D85E09" w:rsidRDefault="00A41E60" w:rsidP="0043316B">
                  <w:pPr>
                    <w:pStyle w:val="Tabletext"/>
                    <w:keepNext w:val="0"/>
                    <w:widowControl w:val="0"/>
                    <w:spacing w:before="20" w:after="20"/>
                  </w:pPr>
                  <w:r w:rsidRPr="00D85E09">
                    <w:t>4 (12)</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27516C08" w14:textId="77777777" w:rsidR="00A41E60" w:rsidRPr="00D85E09" w:rsidRDefault="00A41E60" w:rsidP="0043316B">
                  <w:pPr>
                    <w:pStyle w:val="Tabletext"/>
                    <w:keepNext w:val="0"/>
                    <w:widowControl w:val="0"/>
                    <w:spacing w:before="20" w:after="20"/>
                  </w:pPr>
                  <w:r w:rsidRPr="00D85E09">
                    <w:t>28 (85)</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79AA3E54" w14:textId="77777777" w:rsidR="00A41E60" w:rsidRPr="00D85E09" w:rsidRDefault="00A41E60" w:rsidP="0043316B">
                  <w:pPr>
                    <w:pStyle w:val="Tabletext"/>
                    <w:keepNext w:val="0"/>
                    <w:widowControl w:val="0"/>
                    <w:spacing w:before="20" w:after="20"/>
                  </w:pPr>
                  <w:r w:rsidRPr="00D85E09">
                    <w:t>33 (100)</w:t>
                  </w:r>
                </w:p>
              </w:tc>
            </w:tr>
            <w:tr w:rsidR="00A41E60" w:rsidRPr="00D85E09" w14:paraId="7A4D7954" w14:textId="77777777">
              <w:tc>
                <w:tcPr>
                  <w:tcW w:w="937" w:type="dxa"/>
                  <w:tcBorders>
                    <w:top w:val="single" w:sz="4" w:space="0" w:color="000000"/>
                    <w:left w:val="single" w:sz="4" w:space="0" w:color="000000"/>
                    <w:bottom w:val="single" w:sz="4" w:space="0" w:color="000000"/>
                    <w:right w:val="single" w:sz="4" w:space="0" w:color="000000"/>
                  </w:tcBorders>
                  <w:vAlign w:val="bottom"/>
                  <w:hideMark/>
                </w:tcPr>
                <w:p w14:paraId="35822F1D" w14:textId="77777777" w:rsidR="00A41E60" w:rsidRPr="00D85E09" w:rsidRDefault="00A41E60" w:rsidP="0043316B">
                  <w:pPr>
                    <w:pStyle w:val="Tabletext"/>
                    <w:keepNext w:val="0"/>
                    <w:widowControl w:val="0"/>
                    <w:spacing w:before="20" w:after="20"/>
                  </w:pPr>
                  <w:r w:rsidRPr="00D85E09">
                    <w:t>mRS 6</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E563304"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2BF0053C"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32058E0A"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1A26D4CD"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5EBE74AB" w14:textId="77777777" w:rsidR="00A41E60" w:rsidRPr="00D85E09" w:rsidRDefault="00A41E60" w:rsidP="0043316B">
                  <w:pPr>
                    <w:pStyle w:val="Tabletext"/>
                    <w:keepNext w:val="0"/>
                    <w:widowControl w:val="0"/>
                    <w:spacing w:before="20" w:after="20"/>
                  </w:pPr>
                  <w:r w:rsidRPr="00D85E09">
                    <w:t>0 (0)</w:t>
                  </w:r>
                </w:p>
              </w:tc>
              <w:tc>
                <w:tcPr>
                  <w:tcW w:w="781" w:type="dxa"/>
                  <w:tcBorders>
                    <w:top w:val="single" w:sz="4" w:space="0" w:color="000000"/>
                    <w:left w:val="single" w:sz="4" w:space="0" w:color="000000"/>
                    <w:bottom w:val="single" w:sz="4" w:space="0" w:color="000000"/>
                    <w:right w:val="single" w:sz="4" w:space="0" w:color="000000"/>
                  </w:tcBorders>
                  <w:vAlign w:val="bottom"/>
                  <w:hideMark/>
                </w:tcPr>
                <w:p w14:paraId="4B8EA6CD" w14:textId="77777777" w:rsidR="00A41E60" w:rsidRPr="00D85E09" w:rsidRDefault="00A41E60" w:rsidP="0043316B">
                  <w:pPr>
                    <w:pStyle w:val="Tabletext"/>
                    <w:keepNext w:val="0"/>
                    <w:widowControl w:val="0"/>
                    <w:spacing w:before="20" w:after="20"/>
                  </w:pPr>
                  <w:r w:rsidRPr="00D85E09">
                    <w:t>0 (0)</w:t>
                  </w:r>
                </w:p>
              </w:tc>
              <w:tc>
                <w:tcPr>
                  <w:tcW w:w="782" w:type="dxa"/>
                  <w:tcBorders>
                    <w:top w:val="single" w:sz="4" w:space="0" w:color="000000"/>
                    <w:left w:val="single" w:sz="4" w:space="0" w:color="000000"/>
                    <w:bottom w:val="single" w:sz="4" w:space="0" w:color="000000"/>
                    <w:right w:val="single" w:sz="4" w:space="0" w:color="000000"/>
                  </w:tcBorders>
                  <w:vAlign w:val="bottom"/>
                  <w:hideMark/>
                </w:tcPr>
                <w:p w14:paraId="3AA1E8C7" w14:textId="77777777" w:rsidR="00A41E60" w:rsidRPr="00D85E09" w:rsidRDefault="00A41E60" w:rsidP="0043316B">
                  <w:pPr>
                    <w:pStyle w:val="Tabletext"/>
                    <w:keepNext w:val="0"/>
                    <w:widowControl w:val="0"/>
                    <w:spacing w:before="20" w:after="20"/>
                  </w:pPr>
                  <w:r w:rsidRPr="00D85E09">
                    <w:t xml:space="preserve">28 </w:t>
                  </w:r>
                  <w:r w:rsidRPr="00D85E09">
                    <w:rPr>
                      <w:sz w:val="16"/>
                      <w:szCs w:val="16"/>
                    </w:rPr>
                    <w:t>(100)</w:t>
                  </w:r>
                </w:p>
              </w:tc>
              <w:tc>
                <w:tcPr>
                  <w:tcW w:w="961" w:type="dxa"/>
                  <w:tcBorders>
                    <w:top w:val="single" w:sz="4" w:space="0" w:color="000000"/>
                    <w:left w:val="single" w:sz="4" w:space="0" w:color="000000"/>
                    <w:bottom w:val="single" w:sz="4" w:space="0" w:color="000000"/>
                    <w:right w:val="single" w:sz="4" w:space="0" w:color="000000"/>
                  </w:tcBorders>
                  <w:vAlign w:val="bottom"/>
                  <w:hideMark/>
                </w:tcPr>
                <w:p w14:paraId="706C001E" w14:textId="77777777" w:rsidR="00A41E60" w:rsidRPr="00D85E09" w:rsidRDefault="00A41E60" w:rsidP="0043316B">
                  <w:pPr>
                    <w:pStyle w:val="Tabletext"/>
                    <w:keepNext w:val="0"/>
                    <w:widowControl w:val="0"/>
                    <w:spacing w:before="20" w:after="20"/>
                  </w:pPr>
                  <w:r w:rsidRPr="00D85E09">
                    <w:t>28 (100)</w:t>
                  </w:r>
                </w:p>
              </w:tc>
            </w:tr>
          </w:tbl>
          <w:p w14:paraId="0934843B" w14:textId="77777777" w:rsidR="00A41E60" w:rsidRPr="00D85E09" w:rsidRDefault="00A41E60" w:rsidP="0043316B">
            <w:pPr>
              <w:pStyle w:val="Tabletext"/>
              <w:keepNext w:val="0"/>
              <w:widowControl w:val="0"/>
              <w:rPr>
                <w:sz w:val="16"/>
                <w:szCs w:val="16"/>
                <w:lang w:eastAsia="en-AU"/>
              </w:rPr>
            </w:pPr>
            <w:r w:rsidRPr="00D85E09">
              <w:rPr>
                <w:sz w:val="16"/>
                <w:szCs w:val="16"/>
                <w:lang w:eastAsia="en-AU"/>
              </w:rPr>
              <w:t>Source: Aoki et al, 2016; Figure 1B</w:t>
            </w:r>
          </w:p>
        </w:tc>
      </w:tr>
      <w:tr w:rsidR="00A41E60" w:rsidRPr="00D85E09" w14:paraId="38F306EE" w14:textId="77777777" w:rsidTr="00A41E60">
        <w:trPr>
          <w:trHeight w:val="2529"/>
        </w:trPr>
        <w:tc>
          <w:tcPr>
            <w:tcW w:w="699" w:type="pct"/>
            <w:tcBorders>
              <w:top w:val="single" w:sz="4" w:space="0" w:color="000000"/>
              <w:left w:val="single" w:sz="4" w:space="0" w:color="000000"/>
              <w:bottom w:val="single" w:sz="4" w:space="0" w:color="000000"/>
              <w:right w:val="single" w:sz="4" w:space="0" w:color="000000"/>
            </w:tcBorders>
            <w:hideMark/>
          </w:tcPr>
          <w:p w14:paraId="1E069B26" w14:textId="3609CC26" w:rsidR="00A41E60" w:rsidRPr="00D85E09" w:rsidRDefault="00A41E60" w:rsidP="0043316B">
            <w:pPr>
              <w:pStyle w:val="Tabletext"/>
              <w:keepNext w:val="0"/>
              <w:widowControl w:val="0"/>
            </w:pPr>
            <w:r w:rsidRPr="00D85E09">
              <w:lastRenderedPageBreak/>
              <w:t>Magalh</w:t>
            </w:r>
            <w:r w:rsidR="00582C35" w:rsidRPr="00D85E09">
              <w:t>a</w:t>
            </w:r>
            <w:r w:rsidRPr="00D85E09">
              <w:t>es et al, 2014</w:t>
            </w:r>
          </w:p>
        </w:tc>
        <w:tc>
          <w:tcPr>
            <w:tcW w:w="461" w:type="pct"/>
            <w:tcBorders>
              <w:top w:val="single" w:sz="4" w:space="0" w:color="000000"/>
              <w:left w:val="single" w:sz="4" w:space="0" w:color="000000"/>
              <w:bottom w:val="single" w:sz="4" w:space="0" w:color="000000"/>
              <w:right w:val="single" w:sz="4" w:space="0" w:color="000000"/>
            </w:tcBorders>
            <w:hideMark/>
          </w:tcPr>
          <w:p w14:paraId="7E7ACBCE" w14:textId="119371CF" w:rsidR="00A41E60" w:rsidRPr="00D85E09" w:rsidRDefault="00A41E60" w:rsidP="0043316B">
            <w:pPr>
              <w:pStyle w:val="Tabletext"/>
              <w:keepNext w:val="0"/>
              <w:widowControl w:val="0"/>
            </w:pPr>
            <w:r w:rsidRPr="00D85E09">
              <w:t>First</w:t>
            </w:r>
            <w:r w:rsidR="00D32933" w:rsidRPr="00D85E09">
              <w:t>-</w:t>
            </w:r>
            <w:r w:rsidRPr="00D85E09">
              <w:t>ever ischaemic stroke</w:t>
            </w:r>
          </w:p>
          <w:p w14:paraId="47E99738" w14:textId="77777777" w:rsidR="00A41E60" w:rsidRPr="00D85E09" w:rsidRDefault="00A41E60" w:rsidP="0043316B">
            <w:pPr>
              <w:pStyle w:val="Tabletext"/>
              <w:keepNext w:val="0"/>
              <w:widowControl w:val="0"/>
            </w:pPr>
            <w:r w:rsidRPr="00D85E09">
              <w:t>N=380</w:t>
            </w:r>
          </w:p>
        </w:tc>
        <w:tc>
          <w:tcPr>
            <w:tcW w:w="457" w:type="pct"/>
            <w:tcBorders>
              <w:top w:val="single" w:sz="4" w:space="0" w:color="000000"/>
              <w:left w:val="single" w:sz="4" w:space="0" w:color="000000"/>
              <w:bottom w:val="single" w:sz="4" w:space="0" w:color="000000"/>
              <w:right w:val="single" w:sz="4" w:space="0" w:color="000000"/>
            </w:tcBorders>
            <w:hideMark/>
          </w:tcPr>
          <w:p w14:paraId="675B2312" w14:textId="77777777" w:rsidR="00A41E60" w:rsidRPr="00D85E09" w:rsidRDefault="00A41E60" w:rsidP="0043316B">
            <w:pPr>
              <w:pStyle w:val="Tabletext"/>
              <w:keepNext w:val="0"/>
              <w:widowControl w:val="0"/>
            </w:pPr>
            <w:r w:rsidRPr="00D85E09">
              <w:t>October 1998 to September 2000</w:t>
            </w:r>
          </w:p>
          <w:p w14:paraId="2E5D60AD" w14:textId="77777777" w:rsidR="00A41E60" w:rsidRPr="00D85E09" w:rsidRDefault="00A41E60" w:rsidP="0043316B">
            <w:pPr>
              <w:pStyle w:val="Tabletext"/>
              <w:keepNext w:val="0"/>
              <w:widowControl w:val="0"/>
            </w:pPr>
            <w:r w:rsidRPr="00D85E09">
              <w:t>Portugal</w:t>
            </w:r>
          </w:p>
        </w:tc>
        <w:tc>
          <w:tcPr>
            <w:tcW w:w="610" w:type="pct"/>
            <w:tcBorders>
              <w:top w:val="single" w:sz="4" w:space="0" w:color="000000"/>
              <w:left w:val="single" w:sz="4" w:space="0" w:color="000000"/>
              <w:bottom w:val="single" w:sz="4" w:space="0" w:color="000000"/>
              <w:right w:val="single" w:sz="4" w:space="0" w:color="000000"/>
            </w:tcBorders>
            <w:hideMark/>
          </w:tcPr>
          <w:p w14:paraId="4F529F58" w14:textId="52990C80" w:rsidR="00A41E60" w:rsidRPr="00D85E09" w:rsidRDefault="00A41E60" w:rsidP="0043316B">
            <w:pPr>
              <w:pStyle w:val="Tabletext"/>
              <w:keepNext w:val="0"/>
              <w:widowControl w:val="0"/>
            </w:pPr>
            <w:r w:rsidRPr="00D85E09">
              <w:t>Prospective community-based study.</w:t>
            </w:r>
          </w:p>
          <w:p w14:paraId="2FB7CC49" w14:textId="44CED9B4" w:rsidR="00A41E60" w:rsidRPr="00D85E09" w:rsidRDefault="00A41E60" w:rsidP="0043316B">
            <w:pPr>
              <w:pStyle w:val="Tabletext"/>
              <w:keepNext w:val="0"/>
              <w:widowControl w:val="0"/>
            </w:pPr>
            <w:r w:rsidRPr="00D85E09">
              <w:t>Median age at baseline 73 years</w:t>
            </w:r>
          </w:p>
          <w:p w14:paraId="3924D3C7" w14:textId="6571CFBE" w:rsidR="00A41E60" w:rsidRPr="00D85E09" w:rsidRDefault="00A41E60" w:rsidP="0043316B">
            <w:pPr>
              <w:pStyle w:val="Tabletext"/>
              <w:keepNext w:val="0"/>
              <w:widowControl w:val="0"/>
            </w:pPr>
            <w:r w:rsidRPr="00D85E09">
              <w:t>7 years follow</w:t>
            </w:r>
            <w:r w:rsidR="00D32933" w:rsidRPr="00D85E09">
              <w:t>-</w:t>
            </w:r>
            <w:r w:rsidRPr="00D85E09">
              <w:t>up</w:t>
            </w:r>
          </w:p>
        </w:tc>
        <w:tc>
          <w:tcPr>
            <w:tcW w:w="2773" w:type="pct"/>
            <w:tcBorders>
              <w:top w:val="single" w:sz="4" w:space="0" w:color="000000"/>
              <w:left w:val="single" w:sz="4" w:space="0" w:color="000000"/>
              <w:bottom w:val="single" w:sz="4" w:space="0" w:color="000000"/>
              <w:right w:val="single" w:sz="4" w:space="0" w:color="000000"/>
            </w:tcBorders>
            <w:hideMark/>
          </w:tcPr>
          <w:p w14:paraId="54DD492A" w14:textId="77777777" w:rsidR="00A41E60" w:rsidRPr="00D85E09" w:rsidRDefault="00A41E60" w:rsidP="0043316B">
            <w:pPr>
              <w:pStyle w:val="Tabletext"/>
              <w:keepNext w:val="0"/>
              <w:widowControl w:val="0"/>
            </w:pPr>
            <w:r w:rsidRPr="00D85E09">
              <w:t>Distribution of status at 7 years for 3-month survivors</w:t>
            </w:r>
          </w:p>
          <w:tbl>
            <w:tblPr>
              <w:tblStyle w:val="TableGrid"/>
              <w:tblW w:w="0" w:type="auto"/>
              <w:tblLook w:val="04A0" w:firstRow="1" w:lastRow="0" w:firstColumn="1" w:lastColumn="0" w:noHBand="0" w:noVBand="1"/>
              <w:tblDescription w:val="Distribution of status at 7 years for 3-month survivors"/>
            </w:tblPr>
            <w:tblGrid>
              <w:gridCol w:w="966"/>
              <w:gridCol w:w="1208"/>
              <w:gridCol w:w="1209"/>
              <w:gridCol w:w="1209"/>
              <w:gridCol w:w="1209"/>
            </w:tblGrid>
            <w:tr w:rsidR="00A41E60" w:rsidRPr="00D85E09" w14:paraId="4DD2C04C" w14:textId="77777777" w:rsidTr="00BE6331">
              <w:trPr>
                <w:tblHeader/>
              </w:trPr>
              <w:tc>
                <w:tcPr>
                  <w:tcW w:w="966" w:type="dxa"/>
                  <w:vMerge w:val="restart"/>
                  <w:tcBorders>
                    <w:top w:val="single" w:sz="4" w:space="0" w:color="000000"/>
                    <w:left w:val="single" w:sz="4" w:space="0" w:color="000000"/>
                    <w:bottom w:val="single" w:sz="4" w:space="0" w:color="000000"/>
                    <w:right w:val="single" w:sz="4" w:space="0" w:color="000000"/>
                  </w:tcBorders>
                  <w:hideMark/>
                </w:tcPr>
                <w:p w14:paraId="484CC239" w14:textId="77777777" w:rsidR="00A41E60" w:rsidRPr="00D85E09" w:rsidRDefault="00A41E60" w:rsidP="0043316B">
                  <w:pPr>
                    <w:pStyle w:val="Tabletext"/>
                    <w:keepNext w:val="0"/>
                    <w:widowControl w:val="0"/>
                    <w:spacing w:before="20" w:after="20"/>
                    <w:rPr>
                      <w:b/>
                    </w:rPr>
                  </w:pPr>
                  <w:r w:rsidRPr="00D85E09">
                    <w:rPr>
                      <w:b/>
                    </w:rPr>
                    <w:t>mRS at 3 months</w:t>
                  </w:r>
                </w:p>
              </w:tc>
              <w:tc>
                <w:tcPr>
                  <w:tcW w:w="4835" w:type="dxa"/>
                  <w:gridSpan w:val="4"/>
                  <w:tcBorders>
                    <w:top w:val="single" w:sz="4" w:space="0" w:color="000000"/>
                    <w:left w:val="single" w:sz="4" w:space="0" w:color="000000"/>
                    <w:bottom w:val="single" w:sz="4" w:space="0" w:color="000000"/>
                    <w:right w:val="single" w:sz="4" w:space="0" w:color="000000"/>
                  </w:tcBorders>
                  <w:hideMark/>
                </w:tcPr>
                <w:p w14:paraId="43C3E91C" w14:textId="77777777" w:rsidR="00A41E60" w:rsidRPr="00D85E09" w:rsidRDefault="00A41E60" w:rsidP="0043316B">
                  <w:pPr>
                    <w:pStyle w:val="Tabletext"/>
                    <w:keepNext w:val="0"/>
                    <w:widowControl w:val="0"/>
                    <w:spacing w:before="20" w:after="20"/>
                    <w:rPr>
                      <w:b/>
                    </w:rPr>
                  </w:pPr>
                  <w:r w:rsidRPr="00D85E09">
                    <w:rPr>
                      <w:b/>
                    </w:rPr>
                    <w:t>Status at 7 years</w:t>
                  </w:r>
                </w:p>
              </w:tc>
            </w:tr>
            <w:tr w:rsidR="00A41E60" w:rsidRPr="00D85E09" w14:paraId="41C6AB78" w14:textId="77777777" w:rsidTr="00BE6331">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27F762"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1208" w:type="dxa"/>
                  <w:tcBorders>
                    <w:top w:val="single" w:sz="4" w:space="0" w:color="000000"/>
                    <w:left w:val="single" w:sz="4" w:space="0" w:color="000000"/>
                    <w:bottom w:val="single" w:sz="4" w:space="0" w:color="000000"/>
                    <w:right w:val="single" w:sz="4" w:space="0" w:color="000000"/>
                  </w:tcBorders>
                  <w:hideMark/>
                </w:tcPr>
                <w:p w14:paraId="7D4A20EC" w14:textId="77777777" w:rsidR="00A41E60" w:rsidRPr="00D85E09" w:rsidRDefault="00A41E60" w:rsidP="0043316B">
                  <w:pPr>
                    <w:pStyle w:val="Tabletext"/>
                    <w:keepNext w:val="0"/>
                    <w:widowControl w:val="0"/>
                    <w:spacing w:before="20" w:after="20"/>
                    <w:rPr>
                      <w:b/>
                    </w:rPr>
                  </w:pPr>
                  <w:r w:rsidRPr="00D85E09">
                    <w:rPr>
                      <w:b/>
                    </w:rPr>
                    <w:t>mRS 0-1</w:t>
                  </w:r>
                </w:p>
                <w:p w14:paraId="1FDDF206" w14:textId="77777777" w:rsidR="00A41E60" w:rsidRPr="00D85E09" w:rsidRDefault="00A41E60" w:rsidP="0043316B">
                  <w:pPr>
                    <w:pStyle w:val="Tabletext"/>
                    <w:keepNext w:val="0"/>
                    <w:widowControl w:val="0"/>
                    <w:spacing w:before="20" w:after="20"/>
                    <w:rPr>
                      <w:b/>
                    </w:rPr>
                  </w:pPr>
                  <w:r w:rsidRPr="00D85E09">
                    <w:rPr>
                      <w:b/>
                    </w:rPr>
                    <w:t>n (%)</w:t>
                  </w:r>
                </w:p>
              </w:tc>
              <w:tc>
                <w:tcPr>
                  <w:tcW w:w="1209" w:type="dxa"/>
                  <w:tcBorders>
                    <w:top w:val="single" w:sz="4" w:space="0" w:color="000000"/>
                    <w:left w:val="single" w:sz="4" w:space="0" w:color="000000"/>
                    <w:bottom w:val="single" w:sz="4" w:space="0" w:color="000000"/>
                    <w:right w:val="single" w:sz="4" w:space="0" w:color="000000"/>
                  </w:tcBorders>
                  <w:hideMark/>
                </w:tcPr>
                <w:p w14:paraId="209AA66D" w14:textId="77777777" w:rsidR="00A41E60" w:rsidRPr="00D85E09" w:rsidRDefault="00A41E60" w:rsidP="0043316B">
                  <w:pPr>
                    <w:pStyle w:val="Tabletext"/>
                    <w:keepNext w:val="0"/>
                    <w:widowControl w:val="0"/>
                    <w:spacing w:before="20" w:after="20"/>
                    <w:rPr>
                      <w:b/>
                    </w:rPr>
                  </w:pPr>
                  <w:r w:rsidRPr="00D85E09">
                    <w:rPr>
                      <w:b/>
                    </w:rPr>
                    <w:t>mRS 2-3</w:t>
                  </w:r>
                </w:p>
                <w:p w14:paraId="67EF59B2" w14:textId="77777777" w:rsidR="00A41E60" w:rsidRPr="00D85E09" w:rsidRDefault="00A41E60" w:rsidP="0043316B">
                  <w:pPr>
                    <w:pStyle w:val="Tabletext"/>
                    <w:keepNext w:val="0"/>
                    <w:widowControl w:val="0"/>
                    <w:spacing w:before="20" w:after="20"/>
                    <w:rPr>
                      <w:b/>
                    </w:rPr>
                  </w:pPr>
                  <w:r w:rsidRPr="00D85E09">
                    <w:rPr>
                      <w:b/>
                    </w:rPr>
                    <w:t>n (%)</w:t>
                  </w:r>
                </w:p>
              </w:tc>
              <w:tc>
                <w:tcPr>
                  <w:tcW w:w="1209" w:type="dxa"/>
                  <w:tcBorders>
                    <w:top w:val="single" w:sz="4" w:space="0" w:color="000000"/>
                    <w:left w:val="single" w:sz="4" w:space="0" w:color="000000"/>
                    <w:bottom w:val="single" w:sz="4" w:space="0" w:color="000000"/>
                    <w:right w:val="single" w:sz="4" w:space="0" w:color="000000"/>
                  </w:tcBorders>
                  <w:hideMark/>
                </w:tcPr>
                <w:p w14:paraId="6450E10C" w14:textId="77777777" w:rsidR="00A41E60" w:rsidRPr="00D85E09" w:rsidRDefault="00A41E60" w:rsidP="0043316B">
                  <w:pPr>
                    <w:pStyle w:val="Tabletext"/>
                    <w:keepNext w:val="0"/>
                    <w:widowControl w:val="0"/>
                    <w:spacing w:before="20" w:after="20"/>
                    <w:rPr>
                      <w:b/>
                    </w:rPr>
                  </w:pPr>
                  <w:r w:rsidRPr="00D85E09">
                    <w:rPr>
                      <w:b/>
                    </w:rPr>
                    <w:t>mRS 4-5</w:t>
                  </w:r>
                </w:p>
                <w:p w14:paraId="0DD66BF8" w14:textId="77777777" w:rsidR="00A41E60" w:rsidRPr="00D85E09" w:rsidRDefault="00A41E60" w:rsidP="0043316B">
                  <w:pPr>
                    <w:pStyle w:val="Tabletext"/>
                    <w:keepNext w:val="0"/>
                    <w:widowControl w:val="0"/>
                    <w:spacing w:before="20" w:after="20"/>
                    <w:rPr>
                      <w:b/>
                    </w:rPr>
                  </w:pPr>
                  <w:r w:rsidRPr="00D85E09">
                    <w:rPr>
                      <w:b/>
                    </w:rPr>
                    <w:t>n (%)</w:t>
                  </w:r>
                </w:p>
              </w:tc>
              <w:tc>
                <w:tcPr>
                  <w:tcW w:w="1209" w:type="dxa"/>
                  <w:tcBorders>
                    <w:top w:val="single" w:sz="4" w:space="0" w:color="000000"/>
                    <w:left w:val="single" w:sz="4" w:space="0" w:color="000000"/>
                    <w:bottom w:val="single" w:sz="4" w:space="0" w:color="000000"/>
                    <w:right w:val="single" w:sz="4" w:space="0" w:color="000000"/>
                  </w:tcBorders>
                  <w:hideMark/>
                </w:tcPr>
                <w:p w14:paraId="75F8BE11" w14:textId="77777777" w:rsidR="00A41E60" w:rsidRPr="00D85E09" w:rsidRDefault="00A41E60" w:rsidP="0043316B">
                  <w:pPr>
                    <w:pStyle w:val="Tabletext"/>
                    <w:keepNext w:val="0"/>
                    <w:widowControl w:val="0"/>
                    <w:spacing w:before="20" w:after="20"/>
                    <w:rPr>
                      <w:b/>
                    </w:rPr>
                  </w:pPr>
                  <w:r w:rsidRPr="00D85E09">
                    <w:rPr>
                      <w:b/>
                    </w:rPr>
                    <w:t>mRS 6</w:t>
                  </w:r>
                </w:p>
                <w:p w14:paraId="62A07C1F" w14:textId="77777777" w:rsidR="00A41E60" w:rsidRPr="00D85E09" w:rsidRDefault="00A41E60" w:rsidP="0043316B">
                  <w:pPr>
                    <w:pStyle w:val="Tabletext"/>
                    <w:keepNext w:val="0"/>
                    <w:widowControl w:val="0"/>
                    <w:spacing w:before="20" w:after="20"/>
                    <w:rPr>
                      <w:b/>
                    </w:rPr>
                  </w:pPr>
                  <w:r w:rsidRPr="00D85E09">
                    <w:rPr>
                      <w:b/>
                    </w:rPr>
                    <w:t>n (%)</w:t>
                  </w:r>
                </w:p>
              </w:tc>
            </w:tr>
            <w:tr w:rsidR="00A41E60" w:rsidRPr="00D85E09" w14:paraId="0A54BA9B" w14:textId="77777777">
              <w:tc>
                <w:tcPr>
                  <w:tcW w:w="966" w:type="dxa"/>
                  <w:tcBorders>
                    <w:top w:val="single" w:sz="4" w:space="0" w:color="000000"/>
                    <w:left w:val="single" w:sz="4" w:space="0" w:color="000000"/>
                    <w:bottom w:val="single" w:sz="4" w:space="0" w:color="000000"/>
                    <w:right w:val="single" w:sz="4" w:space="0" w:color="000000"/>
                  </w:tcBorders>
                  <w:hideMark/>
                </w:tcPr>
                <w:p w14:paraId="7DACFE3F" w14:textId="77777777" w:rsidR="00A41E60" w:rsidRPr="00D85E09" w:rsidRDefault="00A41E60" w:rsidP="0043316B">
                  <w:pPr>
                    <w:pStyle w:val="Tabletext"/>
                    <w:keepNext w:val="0"/>
                    <w:widowControl w:val="0"/>
                    <w:spacing w:before="20" w:after="20"/>
                  </w:pPr>
                  <w:r w:rsidRPr="00D85E09">
                    <w:t>mRS 0-1</w:t>
                  </w:r>
                </w:p>
              </w:tc>
              <w:tc>
                <w:tcPr>
                  <w:tcW w:w="1208" w:type="dxa"/>
                  <w:tcBorders>
                    <w:top w:val="single" w:sz="4" w:space="0" w:color="000000"/>
                    <w:left w:val="single" w:sz="4" w:space="0" w:color="000000"/>
                    <w:bottom w:val="single" w:sz="4" w:space="0" w:color="000000"/>
                    <w:right w:val="single" w:sz="4" w:space="0" w:color="000000"/>
                  </w:tcBorders>
                  <w:hideMark/>
                </w:tcPr>
                <w:p w14:paraId="70A2A70D" w14:textId="77777777" w:rsidR="00A41E60" w:rsidRPr="00D85E09" w:rsidRDefault="00A41E60" w:rsidP="0043316B">
                  <w:pPr>
                    <w:pStyle w:val="Tabletext"/>
                    <w:keepNext w:val="0"/>
                    <w:widowControl w:val="0"/>
                    <w:spacing w:before="20" w:after="20"/>
                  </w:pPr>
                  <w:r w:rsidRPr="00D85E09">
                    <w:t>45 (37)</w:t>
                  </w:r>
                </w:p>
              </w:tc>
              <w:tc>
                <w:tcPr>
                  <w:tcW w:w="1209" w:type="dxa"/>
                  <w:tcBorders>
                    <w:top w:val="single" w:sz="4" w:space="0" w:color="000000"/>
                    <w:left w:val="single" w:sz="4" w:space="0" w:color="000000"/>
                    <w:bottom w:val="single" w:sz="4" w:space="0" w:color="000000"/>
                    <w:right w:val="single" w:sz="4" w:space="0" w:color="000000"/>
                  </w:tcBorders>
                  <w:hideMark/>
                </w:tcPr>
                <w:p w14:paraId="2AEF9AC8" w14:textId="77777777" w:rsidR="00A41E60" w:rsidRPr="00D85E09" w:rsidRDefault="00A41E60" w:rsidP="0043316B">
                  <w:pPr>
                    <w:pStyle w:val="Tabletext"/>
                    <w:keepNext w:val="0"/>
                    <w:widowControl w:val="0"/>
                    <w:spacing w:before="20" w:after="20"/>
                  </w:pPr>
                  <w:r w:rsidRPr="00D85E09">
                    <w:t>22 (18)</w:t>
                  </w:r>
                </w:p>
              </w:tc>
              <w:tc>
                <w:tcPr>
                  <w:tcW w:w="1209" w:type="dxa"/>
                  <w:tcBorders>
                    <w:top w:val="single" w:sz="4" w:space="0" w:color="000000"/>
                    <w:left w:val="single" w:sz="4" w:space="0" w:color="000000"/>
                    <w:bottom w:val="single" w:sz="4" w:space="0" w:color="000000"/>
                    <w:right w:val="single" w:sz="4" w:space="0" w:color="000000"/>
                  </w:tcBorders>
                  <w:hideMark/>
                </w:tcPr>
                <w:p w14:paraId="4511A447" w14:textId="77777777" w:rsidR="00A41E60" w:rsidRPr="00D85E09" w:rsidRDefault="00A41E60" w:rsidP="0043316B">
                  <w:pPr>
                    <w:pStyle w:val="Tabletext"/>
                    <w:keepNext w:val="0"/>
                    <w:widowControl w:val="0"/>
                    <w:spacing w:before="20" w:after="20"/>
                  </w:pPr>
                  <w:r w:rsidRPr="00D85E09">
                    <w:t>10 (8)</w:t>
                  </w:r>
                </w:p>
              </w:tc>
              <w:tc>
                <w:tcPr>
                  <w:tcW w:w="1209" w:type="dxa"/>
                  <w:tcBorders>
                    <w:top w:val="single" w:sz="4" w:space="0" w:color="000000"/>
                    <w:left w:val="single" w:sz="4" w:space="0" w:color="000000"/>
                    <w:bottom w:val="single" w:sz="4" w:space="0" w:color="000000"/>
                    <w:right w:val="single" w:sz="4" w:space="0" w:color="000000"/>
                  </w:tcBorders>
                  <w:hideMark/>
                </w:tcPr>
                <w:p w14:paraId="50D8056B" w14:textId="77777777" w:rsidR="00A41E60" w:rsidRPr="00D85E09" w:rsidRDefault="00A41E60" w:rsidP="0043316B">
                  <w:pPr>
                    <w:pStyle w:val="Tabletext"/>
                    <w:keepNext w:val="0"/>
                    <w:widowControl w:val="0"/>
                    <w:spacing w:before="20" w:after="20"/>
                  </w:pPr>
                  <w:r w:rsidRPr="00D85E09">
                    <w:t>46 (37)</w:t>
                  </w:r>
                </w:p>
              </w:tc>
            </w:tr>
            <w:tr w:rsidR="00A41E60" w:rsidRPr="00D85E09" w14:paraId="246BD36F" w14:textId="77777777">
              <w:tc>
                <w:tcPr>
                  <w:tcW w:w="966" w:type="dxa"/>
                  <w:tcBorders>
                    <w:top w:val="single" w:sz="4" w:space="0" w:color="000000"/>
                    <w:left w:val="single" w:sz="4" w:space="0" w:color="000000"/>
                    <w:bottom w:val="single" w:sz="4" w:space="0" w:color="000000"/>
                    <w:right w:val="single" w:sz="4" w:space="0" w:color="000000"/>
                  </w:tcBorders>
                  <w:hideMark/>
                </w:tcPr>
                <w:p w14:paraId="6F8792E3" w14:textId="77777777" w:rsidR="00A41E60" w:rsidRPr="00D85E09" w:rsidRDefault="00A41E60" w:rsidP="0043316B">
                  <w:pPr>
                    <w:pStyle w:val="Tabletext"/>
                    <w:keepNext w:val="0"/>
                    <w:widowControl w:val="0"/>
                    <w:spacing w:before="20" w:after="20"/>
                  </w:pPr>
                  <w:r w:rsidRPr="00D85E09">
                    <w:t>mRS 2-3</w:t>
                  </w:r>
                </w:p>
              </w:tc>
              <w:tc>
                <w:tcPr>
                  <w:tcW w:w="1208" w:type="dxa"/>
                  <w:tcBorders>
                    <w:top w:val="single" w:sz="4" w:space="0" w:color="000000"/>
                    <w:left w:val="single" w:sz="4" w:space="0" w:color="000000"/>
                    <w:bottom w:val="single" w:sz="4" w:space="0" w:color="000000"/>
                    <w:right w:val="single" w:sz="4" w:space="0" w:color="000000"/>
                  </w:tcBorders>
                  <w:hideMark/>
                </w:tcPr>
                <w:p w14:paraId="3F1B12B7" w14:textId="77777777" w:rsidR="00A41E60" w:rsidRPr="00D85E09" w:rsidRDefault="00A41E60" w:rsidP="0043316B">
                  <w:pPr>
                    <w:pStyle w:val="Tabletext"/>
                    <w:keepNext w:val="0"/>
                    <w:widowControl w:val="0"/>
                    <w:spacing w:before="20" w:after="20"/>
                  </w:pPr>
                  <w:r w:rsidRPr="00D85E09">
                    <w:t>15 (14)</w:t>
                  </w:r>
                </w:p>
              </w:tc>
              <w:tc>
                <w:tcPr>
                  <w:tcW w:w="1209" w:type="dxa"/>
                  <w:tcBorders>
                    <w:top w:val="single" w:sz="4" w:space="0" w:color="000000"/>
                    <w:left w:val="single" w:sz="4" w:space="0" w:color="000000"/>
                    <w:bottom w:val="single" w:sz="4" w:space="0" w:color="000000"/>
                    <w:right w:val="single" w:sz="4" w:space="0" w:color="000000"/>
                  </w:tcBorders>
                  <w:hideMark/>
                </w:tcPr>
                <w:p w14:paraId="0CA9C0E3" w14:textId="77777777" w:rsidR="00A41E60" w:rsidRPr="00D85E09" w:rsidRDefault="00A41E60" w:rsidP="0043316B">
                  <w:pPr>
                    <w:pStyle w:val="Tabletext"/>
                    <w:keepNext w:val="0"/>
                    <w:widowControl w:val="0"/>
                    <w:spacing w:before="20" w:after="20"/>
                  </w:pPr>
                  <w:r w:rsidRPr="00D85E09">
                    <w:t>25 (23)</w:t>
                  </w:r>
                </w:p>
              </w:tc>
              <w:tc>
                <w:tcPr>
                  <w:tcW w:w="1209" w:type="dxa"/>
                  <w:tcBorders>
                    <w:top w:val="single" w:sz="4" w:space="0" w:color="000000"/>
                    <w:left w:val="single" w:sz="4" w:space="0" w:color="000000"/>
                    <w:bottom w:val="single" w:sz="4" w:space="0" w:color="000000"/>
                    <w:right w:val="single" w:sz="4" w:space="0" w:color="000000"/>
                  </w:tcBorders>
                  <w:hideMark/>
                </w:tcPr>
                <w:p w14:paraId="6759861A" w14:textId="77777777" w:rsidR="00A41E60" w:rsidRPr="00D85E09" w:rsidRDefault="00A41E60" w:rsidP="0043316B">
                  <w:pPr>
                    <w:pStyle w:val="Tabletext"/>
                    <w:keepNext w:val="0"/>
                    <w:widowControl w:val="0"/>
                    <w:spacing w:before="20" w:after="20"/>
                  </w:pPr>
                  <w:r w:rsidRPr="00D85E09">
                    <w:t>10 (9)</w:t>
                  </w:r>
                </w:p>
              </w:tc>
              <w:tc>
                <w:tcPr>
                  <w:tcW w:w="1209" w:type="dxa"/>
                  <w:tcBorders>
                    <w:top w:val="single" w:sz="4" w:space="0" w:color="000000"/>
                    <w:left w:val="single" w:sz="4" w:space="0" w:color="000000"/>
                    <w:bottom w:val="single" w:sz="4" w:space="0" w:color="000000"/>
                    <w:right w:val="single" w:sz="4" w:space="0" w:color="000000"/>
                  </w:tcBorders>
                  <w:hideMark/>
                </w:tcPr>
                <w:p w14:paraId="707A71C7" w14:textId="77777777" w:rsidR="00A41E60" w:rsidRPr="00D85E09" w:rsidRDefault="00A41E60" w:rsidP="0043316B">
                  <w:pPr>
                    <w:pStyle w:val="Tabletext"/>
                    <w:keepNext w:val="0"/>
                    <w:widowControl w:val="0"/>
                    <w:spacing w:before="20" w:after="20"/>
                  </w:pPr>
                  <w:r w:rsidRPr="00D85E09">
                    <w:t>58 (54)</w:t>
                  </w:r>
                </w:p>
              </w:tc>
            </w:tr>
            <w:tr w:rsidR="00A41E60" w:rsidRPr="00D85E09" w14:paraId="47F4227C" w14:textId="77777777">
              <w:tc>
                <w:tcPr>
                  <w:tcW w:w="966" w:type="dxa"/>
                  <w:tcBorders>
                    <w:top w:val="single" w:sz="4" w:space="0" w:color="000000"/>
                    <w:left w:val="single" w:sz="4" w:space="0" w:color="000000"/>
                    <w:bottom w:val="single" w:sz="4" w:space="0" w:color="000000"/>
                    <w:right w:val="single" w:sz="4" w:space="0" w:color="000000"/>
                  </w:tcBorders>
                  <w:hideMark/>
                </w:tcPr>
                <w:p w14:paraId="579B11C7" w14:textId="77777777" w:rsidR="00A41E60" w:rsidRPr="00D85E09" w:rsidRDefault="00A41E60" w:rsidP="0043316B">
                  <w:pPr>
                    <w:pStyle w:val="Tabletext"/>
                    <w:keepNext w:val="0"/>
                    <w:widowControl w:val="0"/>
                    <w:spacing w:before="20" w:after="20"/>
                  </w:pPr>
                  <w:r w:rsidRPr="00D85E09">
                    <w:t>mRS 4-5</w:t>
                  </w:r>
                </w:p>
              </w:tc>
              <w:tc>
                <w:tcPr>
                  <w:tcW w:w="1208" w:type="dxa"/>
                  <w:tcBorders>
                    <w:top w:val="single" w:sz="4" w:space="0" w:color="000000"/>
                    <w:left w:val="single" w:sz="4" w:space="0" w:color="000000"/>
                    <w:bottom w:val="single" w:sz="4" w:space="0" w:color="000000"/>
                    <w:right w:val="single" w:sz="4" w:space="0" w:color="000000"/>
                  </w:tcBorders>
                  <w:hideMark/>
                </w:tcPr>
                <w:p w14:paraId="7305F1EE" w14:textId="77777777" w:rsidR="00A41E60" w:rsidRPr="00D85E09" w:rsidRDefault="00A41E60" w:rsidP="0043316B">
                  <w:pPr>
                    <w:pStyle w:val="Tabletext"/>
                    <w:keepNext w:val="0"/>
                    <w:widowControl w:val="0"/>
                    <w:spacing w:before="20" w:after="20"/>
                  </w:pPr>
                  <w:r w:rsidRPr="00D85E09">
                    <w:t>0 (0)</w:t>
                  </w:r>
                </w:p>
              </w:tc>
              <w:tc>
                <w:tcPr>
                  <w:tcW w:w="1209" w:type="dxa"/>
                  <w:tcBorders>
                    <w:top w:val="single" w:sz="4" w:space="0" w:color="000000"/>
                    <w:left w:val="single" w:sz="4" w:space="0" w:color="000000"/>
                    <w:bottom w:val="single" w:sz="4" w:space="0" w:color="000000"/>
                    <w:right w:val="single" w:sz="4" w:space="0" w:color="000000"/>
                  </w:tcBorders>
                  <w:hideMark/>
                </w:tcPr>
                <w:p w14:paraId="461F3437" w14:textId="77777777" w:rsidR="00A41E60" w:rsidRPr="00D85E09" w:rsidRDefault="00A41E60" w:rsidP="0043316B">
                  <w:pPr>
                    <w:pStyle w:val="Tabletext"/>
                    <w:keepNext w:val="0"/>
                    <w:widowControl w:val="0"/>
                    <w:spacing w:before="20" w:after="20"/>
                  </w:pPr>
                  <w:r w:rsidRPr="00D85E09">
                    <w:t>3 (4)</w:t>
                  </w:r>
                </w:p>
              </w:tc>
              <w:tc>
                <w:tcPr>
                  <w:tcW w:w="1209" w:type="dxa"/>
                  <w:tcBorders>
                    <w:top w:val="single" w:sz="4" w:space="0" w:color="000000"/>
                    <w:left w:val="single" w:sz="4" w:space="0" w:color="000000"/>
                    <w:bottom w:val="single" w:sz="4" w:space="0" w:color="000000"/>
                    <w:right w:val="single" w:sz="4" w:space="0" w:color="000000"/>
                  </w:tcBorders>
                  <w:hideMark/>
                </w:tcPr>
                <w:p w14:paraId="36230C74" w14:textId="77777777" w:rsidR="00A41E60" w:rsidRPr="00D85E09" w:rsidRDefault="00A41E60" w:rsidP="0043316B">
                  <w:pPr>
                    <w:pStyle w:val="Tabletext"/>
                    <w:keepNext w:val="0"/>
                    <w:widowControl w:val="0"/>
                    <w:spacing w:before="20" w:after="20"/>
                  </w:pPr>
                  <w:r w:rsidRPr="00D85E09">
                    <w:t>12 (18)</w:t>
                  </w:r>
                </w:p>
              </w:tc>
              <w:tc>
                <w:tcPr>
                  <w:tcW w:w="1209" w:type="dxa"/>
                  <w:tcBorders>
                    <w:top w:val="single" w:sz="4" w:space="0" w:color="000000"/>
                    <w:left w:val="single" w:sz="4" w:space="0" w:color="000000"/>
                    <w:bottom w:val="single" w:sz="4" w:space="0" w:color="000000"/>
                    <w:right w:val="single" w:sz="4" w:space="0" w:color="000000"/>
                  </w:tcBorders>
                  <w:hideMark/>
                </w:tcPr>
                <w:p w14:paraId="79A19C3F" w14:textId="77777777" w:rsidR="00A41E60" w:rsidRPr="00D85E09" w:rsidRDefault="00A41E60" w:rsidP="0043316B">
                  <w:pPr>
                    <w:pStyle w:val="Tabletext"/>
                    <w:keepNext w:val="0"/>
                    <w:widowControl w:val="0"/>
                    <w:spacing w:before="20" w:after="20"/>
                  </w:pPr>
                  <w:r w:rsidRPr="00D85E09">
                    <w:t>53 (78)</w:t>
                  </w:r>
                </w:p>
              </w:tc>
            </w:tr>
          </w:tbl>
          <w:p w14:paraId="7BDBC3CA" w14:textId="77777777" w:rsidR="00A41E60" w:rsidRPr="00D85E09" w:rsidRDefault="00A41E60" w:rsidP="0043316B">
            <w:pPr>
              <w:pStyle w:val="Tabletext"/>
              <w:keepNext w:val="0"/>
              <w:widowControl w:val="0"/>
            </w:pPr>
            <w:r w:rsidRPr="00D85E09">
              <w:rPr>
                <w:sz w:val="16"/>
                <w:szCs w:val="16"/>
                <w:lang w:eastAsia="en-AU"/>
              </w:rPr>
              <w:t>Source: Magalhaes et al, 2014; Table 2</w:t>
            </w:r>
          </w:p>
        </w:tc>
      </w:tr>
    </w:tbl>
    <w:p w14:paraId="5E5DBDB0" w14:textId="045DE39E" w:rsidR="00A41E60" w:rsidRPr="00D85E09" w:rsidRDefault="00A41E60" w:rsidP="0043316B">
      <w:pPr>
        <w:pStyle w:val="Tablefootnote"/>
        <w:widowControl w:val="0"/>
        <w:spacing w:after="360"/>
        <w:rPr>
          <w:lang w:val="en-AU"/>
        </w:rPr>
      </w:pPr>
      <w:r w:rsidRPr="00D85E09">
        <w:rPr>
          <w:lang w:val="en-AU"/>
        </w:rPr>
        <w:t>Abbreviations: ICH, intra</w:t>
      </w:r>
      <w:r w:rsidR="00300BB6" w:rsidRPr="00D85E09">
        <w:rPr>
          <w:lang w:val="en-AU"/>
        </w:rPr>
        <w:t>-cranial</w:t>
      </w:r>
      <w:r w:rsidRPr="00D85E09">
        <w:rPr>
          <w:lang w:val="en-AU"/>
        </w:rPr>
        <w:t xml:space="preserve"> haemorrhage; mRS, modified Rankin Scale; </w:t>
      </w:r>
      <w:r w:rsidR="005B7DCE">
        <w:rPr>
          <w:lang w:val="en-AU"/>
        </w:rPr>
        <w:t>tPA</w:t>
      </w:r>
      <w:r w:rsidRPr="00D85E09">
        <w:rPr>
          <w:lang w:val="en-AU"/>
        </w:rPr>
        <w:t>, tissue plasminogen activator; IQR, interquartile range.</w:t>
      </w:r>
    </w:p>
    <w:p w14:paraId="4D42F1FD" w14:textId="77777777" w:rsidR="00A41E60" w:rsidRPr="00D85E09" w:rsidRDefault="00A41E60" w:rsidP="0043316B">
      <w:pPr>
        <w:widowControl w:val="0"/>
        <w:spacing w:after="0" w:line="240" w:lineRule="auto"/>
        <w:rPr>
          <w:rFonts w:ascii="Arial Narrow" w:hAnsi="Arial Narrow" w:cs="Arial Narrow"/>
          <w:sz w:val="16"/>
          <w:szCs w:val="16"/>
          <w:lang w:eastAsia="en-AU"/>
        </w:rPr>
        <w:sectPr w:rsidR="00A41E60" w:rsidRPr="00D85E09">
          <w:pgSz w:w="16840" w:h="11907" w:orient="landscape"/>
          <w:pgMar w:top="1701" w:right="1701" w:bottom="1418" w:left="1418" w:header="709" w:footer="709" w:gutter="0"/>
          <w:cols w:space="720"/>
        </w:sectPr>
      </w:pPr>
    </w:p>
    <w:p w14:paraId="1C4A43B7" w14:textId="172CDDBF" w:rsidR="00A41E60" w:rsidRPr="00D85E09" w:rsidRDefault="00A41E60" w:rsidP="0043316B">
      <w:pPr>
        <w:widowControl w:val="0"/>
      </w:pPr>
      <w:r w:rsidRPr="00D85E09">
        <w:lastRenderedPageBreak/>
        <w:t>The study reported by Gensicke et al (2013) was observational study is based on a registry of patients receiving thrombolytic therapy the University Hospital Basel. The study included 257 patients treated with IV</w:t>
      </w:r>
      <w:r w:rsidR="00D32933" w:rsidRPr="00D85E09">
        <w:t>-</w:t>
      </w:r>
      <w:r w:rsidRPr="00D85E09">
        <w:t>tPA for stroke. The median time of follow-up was 3.0 years. The analysis of functional status at follow-up by 3-month mRS score suggests that patients with mRS scores of 0-1 are likely to improve or retain the same functional status. Patients with mRS 3 may have a good chance of improving (48%), but some deteriorate (18%) or die (18%), whilst patients with mRS 4 are more likely to remain or deteriorate (28% or 38%, respectively) or die (15%) over the 3-year follow</w:t>
      </w:r>
      <w:r w:rsidR="00D32933" w:rsidRPr="00D85E09">
        <w:t>-</w:t>
      </w:r>
      <w:r w:rsidRPr="00D85E09">
        <w:t>up. No patients with mRS 5 showed any improvement and remained bedridden (31%) or have died (69%).</w:t>
      </w:r>
    </w:p>
    <w:p w14:paraId="68147DEC" w14:textId="64FA6379" w:rsidR="00A41E60" w:rsidRPr="00D85E09" w:rsidRDefault="00A41E60" w:rsidP="0043316B">
      <w:pPr>
        <w:widowControl w:val="0"/>
      </w:pPr>
      <w:r w:rsidRPr="00D85E09">
        <w:t>Aoki et al (2016) retrospectively reviewed data from a registry of consecutive patients with AIS receiving IV</w:t>
      </w:r>
      <w:r w:rsidR="00D32933" w:rsidRPr="00D85E09">
        <w:t>-</w:t>
      </w:r>
      <w:r w:rsidRPr="00D85E09">
        <w:t>tPA at a Japanese stroke centre between 2005 and 2013. This study showed that after 5 years, the majority of patients with mRS 0 at three months retained their functional status (52%), a small proportion deteriorated by one mRS point (14%) and about a third died (29%). A large proportion of patients with mRS 1 had improved to mRS 0 by 5 years (60%), whilst the remainder died (40%). As also observed in Gensicke et al (2013), patients with severe mRS scores (4-5) rarely improved, with the majority having died by 5 years (64% and 85%, respectively).</w:t>
      </w:r>
    </w:p>
    <w:p w14:paraId="752FBAA5" w14:textId="26F65062" w:rsidR="00A41E60" w:rsidRPr="00D85E09" w:rsidRDefault="00A41E60" w:rsidP="0043316B">
      <w:pPr>
        <w:widowControl w:val="0"/>
      </w:pPr>
      <w:r w:rsidRPr="00D85E09">
        <w:t>Similar results were observed in the study by Magalhaes et al (2014). This was a prospective community-based study in Northern Portugal run between October 1998 to September 2000, in patients experiencing first-ever isch</w:t>
      </w:r>
      <w:r w:rsidR="00E56287" w:rsidRPr="00D85E09">
        <w:t>aemic</w:t>
      </w:r>
      <w:r w:rsidRPr="00D85E09">
        <w:t xml:space="preserve"> strokes. Participants were examined at baseline and followed-up at three months, one and seven years. The study included 380 patients with ischaemic stroke, of whom 67 (17.6%) had died at three months. For patients with a relatively good functional status at 3 months (mRS 0-1), there was some deterioration in functional status over the 7-year study duration; however, 37% remained in the mRS 0-1 category, while 37% died after 7 years. For patients with mRS scores 2-3 after 3 months, 14% improved to the mRS category 0-1 after 7 years, 23% remained in the same category and the remainder deteriorated in functional status (9%) or died (54%). Patients with mRS scores 4-5 at 3 months had an extremely high mortality rate of 78% at 7 years. Again, a very small proportion (4.4%) improved in functional status if they were in mRS scores 4-5 at 3 months.</w:t>
      </w:r>
    </w:p>
    <w:p w14:paraId="43184C12" w14:textId="77777777" w:rsidR="00A41E60" w:rsidRPr="00D85E09" w:rsidRDefault="00A41E60" w:rsidP="0043316B">
      <w:pPr>
        <w:pStyle w:val="Heading3"/>
        <w:keepNext w:val="0"/>
        <w:widowControl w:val="0"/>
        <w:tabs>
          <w:tab w:val="left" w:pos="720"/>
        </w:tabs>
        <w:autoSpaceDE/>
        <w:adjustRightInd/>
        <w:ind w:left="907" w:hanging="907"/>
        <w:rPr>
          <w:lang w:val="en-AU"/>
        </w:rPr>
      </w:pPr>
      <w:bookmarkStart w:id="462" w:name="_Ref452113564"/>
      <w:bookmarkStart w:id="463" w:name="_Toc453065302"/>
      <w:r w:rsidRPr="00D85E09">
        <w:rPr>
          <w:lang w:val="en-AU"/>
        </w:rPr>
        <w:t>Relationship of the pre-modelling study to the economic model</w:t>
      </w:r>
      <w:bookmarkEnd w:id="462"/>
      <w:bookmarkEnd w:id="463"/>
    </w:p>
    <w:p w14:paraId="162B1965" w14:textId="2A437C90" w:rsidR="00A41E60" w:rsidRDefault="00A41E60" w:rsidP="0043316B">
      <w:pPr>
        <w:widowControl w:val="0"/>
      </w:pPr>
      <w:r w:rsidRPr="00D85E09">
        <w:t>Overall, the data show that patients with poorer functional status (i.e., mRS 4-5) are very unlikely to exhibit any improvement in their functional status, while patients with favourable status are likely to experience “rehabilitation” effects over time or maintain their functional ability.</w:t>
      </w:r>
    </w:p>
    <w:p w14:paraId="7A0E6817" w14:textId="62CF4DAD" w:rsidR="00F0687D" w:rsidRPr="00D85E09" w:rsidRDefault="00F0687D" w:rsidP="0043316B">
      <w:pPr>
        <w:widowControl w:val="0"/>
      </w:pPr>
      <w:r w:rsidRPr="006D1F85">
        <w:lastRenderedPageBreak/>
        <w:t>Accounting for these rehabilitation effects may be conservative in light of recently released long-term REVASCAT data (unpublished). The 12-month follow up data suggested that the Day 90 functional benefits offered by MT were maintained to 12 months; suggesting there were no clear convergence between the two arms in terms of mRS scores. The common odds ratio of the distribution of mRS scores at 12 months was 1.80 (95% CI 1.10-2.99), similar to the finding at 90 days (common OR 1.71; 95% CI 1.05-2.81). Similarly, the proportion of patients with an mRS score of 0 to 2, indicating functional independence, was higher in the thrombectomy group (43.7% vs 30.1%; adjusted OR 2.14; 95% CI 1.15-3.97), corresponding to a number needed to treat of 7. The finding was similar when looking at Barthel Index scores of 95 to 100.</w:t>
      </w:r>
      <w:r w:rsidR="003C2219" w:rsidRPr="006D1F85">
        <w:rPr>
          <w:rStyle w:val="FootnoteReference"/>
        </w:rPr>
        <w:footnoteReference w:id="12"/>
      </w:r>
    </w:p>
    <w:p w14:paraId="0E79FCC7" w14:textId="432ED5EF" w:rsidR="00A41E60" w:rsidRPr="00D85E09" w:rsidRDefault="00A41E60" w:rsidP="0043316B">
      <w:pPr>
        <w:widowControl w:val="0"/>
      </w:pPr>
      <w:r w:rsidRPr="00D85E09">
        <w:t>It should be noted that none of these analyses are adjusted for baseline characteristics, and it is therefore possible that some of the differences in long</w:t>
      </w:r>
      <w:r w:rsidR="00D32933" w:rsidRPr="00D85E09">
        <w:t>-</w:t>
      </w:r>
      <w:r w:rsidRPr="00D85E09">
        <w:t>term functional outcomes are related to confounding factors such as age or co</w:t>
      </w:r>
      <w:r w:rsidR="00300BB6" w:rsidRPr="00D85E09">
        <w:t>morbidities</w:t>
      </w:r>
      <w:r w:rsidRPr="00D85E09">
        <w:t xml:space="preserve"> prior to stroke. Having acknowledged this, in terms of generalisability to the modelled patient population, Gensicke et al (2013) appears to be preferred over other studies. Aoki et al (2016) included patients considerably older than Gensicke et al (2013); likely explaining greater rates of death observed in this study. Also, this study had a relatively small sample size of 115 patients (more prone to the possible confounding noted above), which made the reported results difficult to interpret and likely unreliable after stratification into 6 mRS groups (e.g., data for patients with mRS 2 at 3 months; see </w:t>
      </w:r>
      <w:r w:rsidRPr="00D85E09">
        <w:fldChar w:fldCharType="begin"/>
      </w:r>
      <w:r w:rsidRPr="00D85E09">
        <w:instrText xml:space="preserve"> REF _Ref450648402 \h </w:instrText>
      </w:r>
      <w:r w:rsidRPr="00D85E09">
        <w:fldChar w:fldCharType="separate"/>
      </w:r>
      <w:r w:rsidR="00A456ED" w:rsidRPr="00D85E09">
        <w:t xml:space="preserve">Table </w:t>
      </w:r>
      <w:r w:rsidR="00A456ED">
        <w:rPr>
          <w:noProof/>
        </w:rPr>
        <w:t>70</w:t>
      </w:r>
      <w:r w:rsidRPr="00D85E09">
        <w:fldChar w:fldCharType="end"/>
      </w:r>
      <w:r w:rsidRPr="00D85E09">
        <w:t>). Magalh</w:t>
      </w:r>
      <w:r w:rsidR="00582C35" w:rsidRPr="00D85E09">
        <w:t>a</w:t>
      </w:r>
      <w:r w:rsidRPr="00D85E09">
        <w:t>es et al (2014) was considered as outdated; unlikely to reflect the stroke care currently provided to stroke survivors. Also, it did not provide granularity in terms of mRS transitions that is necessary for the economic model.</w:t>
      </w:r>
    </w:p>
    <w:p w14:paraId="78E323E6" w14:textId="77777777" w:rsidR="00A41E60" w:rsidRPr="00D85E09" w:rsidRDefault="00A41E60" w:rsidP="0043316B">
      <w:pPr>
        <w:pStyle w:val="Heading5"/>
        <w:widowControl w:val="0"/>
        <w:rPr>
          <w:lang w:val="en-AU"/>
        </w:rPr>
      </w:pPr>
      <w:r w:rsidRPr="00D85E09">
        <w:rPr>
          <w:lang w:val="en-AU"/>
        </w:rPr>
        <w:t>Technical issues of incorporating recurrent stroke and 3-year post-stroke transition</w:t>
      </w:r>
    </w:p>
    <w:p w14:paraId="3CE524F1" w14:textId="2CE11609" w:rsidR="00A41E60" w:rsidRPr="00D85E09" w:rsidRDefault="00A41E60" w:rsidP="0043316B">
      <w:pPr>
        <w:widowControl w:val="0"/>
      </w:pPr>
      <w:r w:rsidRPr="00D85E09">
        <w:t>As demonstrated above, the only available data for the modelling of mRS transitions post 90 days are based on observational studies with follow-up periods ranging from 3 (Gensicke et al 2013; applied in the base case analysis) to 7 years (Magalh</w:t>
      </w:r>
      <w:r w:rsidR="00582C35" w:rsidRPr="00D85E09">
        <w:t>a</w:t>
      </w:r>
      <w:r w:rsidRPr="00D85E09">
        <w:t>es et al 2014). Under the Markov cohort design (thus “memoryless”) with 1 year cycle during the post-acute/mid-term phase (see Section D for further details), the modelling of stroke recurrence as well as subsequent modelling of mRS changes based on these data is hence technically demanding.</w:t>
      </w:r>
    </w:p>
    <w:p w14:paraId="3DC70B17" w14:textId="1EC46A32" w:rsidR="00A41E60" w:rsidRPr="00D85E09" w:rsidRDefault="00A41E60" w:rsidP="0043316B">
      <w:pPr>
        <w:widowControl w:val="0"/>
      </w:pPr>
      <w:r w:rsidRPr="00D85E09">
        <w:t xml:space="preserve">To retain an otherwise readily understood, pragmatic model design (i.e., the model in principle simply follows post-stroke mRS changes of the modelled cohort over time) and, </w:t>
      </w:r>
      <w:r w:rsidRPr="00D85E09">
        <w:lastRenderedPageBreak/>
        <w:t xml:space="preserve">more importantly, to provide transparency, </w:t>
      </w:r>
      <w:r w:rsidRPr="00D85E09">
        <w:rPr>
          <w:i/>
        </w:rPr>
        <w:t>it is assumed that the reported 3-year mRS transitions are to be absorbed by 12 months.</w:t>
      </w:r>
      <w:r w:rsidRPr="00D85E09">
        <w:t xml:space="preserve"> This assumption should be reasonable because the majority of mRS changes would generally occur during the mid-term phase (i.e, Day 90 to Day 365).</w:t>
      </w:r>
    </w:p>
    <w:p w14:paraId="18014D85" w14:textId="7DF013B9" w:rsidR="00A41E60" w:rsidRPr="00D85E09" w:rsidRDefault="00A41E60" w:rsidP="0043316B">
      <w:pPr>
        <w:widowControl w:val="0"/>
      </w:pPr>
      <w:r w:rsidRPr="00D85E09">
        <w:t>Based on the above assumption, the derivation of Day 365 mRS distribution is performed through matrix multiplications in order to account for the improvement / deterioration of mRS post 90 days, as demonstrated below.</w:t>
      </w:r>
    </w:p>
    <w:p w14:paraId="0507AAD5" w14:textId="478B3E16" w:rsidR="00A41E60" w:rsidRPr="00D85E09" w:rsidRDefault="00A41E60" w:rsidP="0043316B">
      <w:pPr>
        <w:widowControl w:val="0"/>
      </w:pPr>
      <w:r w:rsidRPr="00D85E09">
        <w:fldChar w:fldCharType="begin"/>
      </w:r>
      <w:r w:rsidRPr="00D85E09">
        <w:instrText xml:space="preserve"> REF _Ref451420965 \h </w:instrText>
      </w:r>
      <w:r w:rsidRPr="00D85E09">
        <w:fldChar w:fldCharType="separate"/>
      </w:r>
      <w:r w:rsidR="00A456ED" w:rsidRPr="00D85E09">
        <w:t xml:space="preserve">Table </w:t>
      </w:r>
      <w:r w:rsidR="00A456ED">
        <w:rPr>
          <w:noProof/>
        </w:rPr>
        <w:t>71</w:t>
      </w:r>
      <w:r w:rsidRPr="00D85E09">
        <w:fldChar w:fldCharType="end"/>
      </w:r>
      <w:r w:rsidRPr="00D85E09">
        <w:t xml:space="preserve"> presents the Day 90 mRS distribution applied for the base case analysis, as informed by the published meta-analysis by Goyal et al (2016). </w:t>
      </w:r>
      <w:r w:rsidRPr="00D85E09">
        <w:fldChar w:fldCharType="begin"/>
      </w:r>
      <w:r w:rsidRPr="00D85E09">
        <w:instrText xml:space="preserve"> REF _Ref451420966 \h </w:instrText>
      </w:r>
      <w:r w:rsidRPr="00D85E09">
        <w:fldChar w:fldCharType="separate"/>
      </w:r>
      <w:r w:rsidR="00A456ED" w:rsidRPr="00D85E09">
        <w:t xml:space="preserve">Table </w:t>
      </w:r>
      <w:r w:rsidR="00A456ED">
        <w:rPr>
          <w:noProof/>
        </w:rPr>
        <w:t>72</w:t>
      </w:r>
      <w:r w:rsidRPr="00D85E09">
        <w:fldChar w:fldCharType="end"/>
      </w:r>
      <w:r w:rsidRPr="00D85E09">
        <w:t xml:space="preserve"> presents the post Day 90 mRS changes to 3 years as reported by Gensicke et al (2013). </w:t>
      </w:r>
      <w:r w:rsidRPr="00D85E09">
        <w:rPr>
          <w:i/>
        </w:rPr>
        <w:t>By assuming these mRS changes to have absorbed by 12 months</w:t>
      </w:r>
      <w:r w:rsidRPr="00D85E09">
        <w:t xml:space="preserve">, a Day 365 mRS distribution can be determined, as shown in </w:t>
      </w:r>
      <w:r w:rsidRPr="00D85E09">
        <w:fldChar w:fldCharType="begin"/>
      </w:r>
      <w:r w:rsidRPr="00D85E09">
        <w:instrText xml:space="preserve"> REF _Ref451421543 \h </w:instrText>
      </w:r>
      <w:r w:rsidRPr="00D85E09">
        <w:fldChar w:fldCharType="separate"/>
      </w:r>
      <w:r w:rsidR="00A456ED" w:rsidRPr="00D85E09">
        <w:t xml:space="preserve">Table </w:t>
      </w:r>
      <w:r w:rsidR="00A456ED">
        <w:rPr>
          <w:noProof/>
        </w:rPr>
        <w:t>73</w:t>
      </w:r>
      <w:r w:rsidRPr="00D85E09">
        <w:fldChar w:fldCharType="end"/>
      </w:r>
      <w:r w:rsidRPr="00D85E09">
        <w:t xml:space="preserve"> below. Importantly, the patient cohort in each treatment arm of the model is affected by the same probabilities of mRS improvement /deterioration after Day 90 (thus no recurring treatment effects).</w:t>
      </w:r>
    </w:p>
    <w:p w14:paraId="123153BF" w14:textId="56F3AF37" w:rsidR="00A41E60" w:rsidRPr="00D85E09" w:rsidRDefault="00A41E60" w:rsidP="0043316B">
      <w:pPr>
        <w:widowControl w:val="0"/>
      </w:pPr>
      <w:r w:rsidRPr="00D85E09">
        <w:t>Changes in mRS after stroke recurrence are also similarly performed by assuming that all mRS changes occur within 12 months (to be discussed further in Section D).</w:t>
      </w:r>
    </w:p>
    <w:p w14:paraId="096679DE" w14:textId="07D2A03F" w:rsidR="00A41E60" w:rsidRPr="00D85E09" w:rsidRDefault="00A41E60" w:rsidP="0043316B">
      <w:pPr>
        <w:pStyle w:val="Caption"/>
        <w:keepNext w:val="0"/>
        <w:widowControl w:val="0"/>
        <w:rPr>
          <w:lang w:val="en-AU"/>
        </w:rPr>
      </w:pPr>
      <w:bookmarkStart w:id="464" w:name="_Ref451420965"/>
      <w:bookmarkStart w:id="465" w:name="_Toc45306540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71</w:t>
      </w:r>
      <w:r w:rsidRPr="00D85E09">
        <w:rPr>
          <w:lang w:val="en-AU"/>
        </w:rPr>
        <w:fldChar w:fldCharType="end"/>
      </w:r>
      <w:bookmarkEnd w:id="464"/>
      <w:r w:rsidRPr="00D85E09">
        <w:rPr>
          <w:lang w:val="en-AU"/>
        </w:rPr>
        <w:tab/>
        <w:t>Expected distribution across mRS health states at Day 90 – the base case Section D model assumption</w:t>
      </w:r>
      <w:bookmarkEnd w:id="4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71 Expected distribution across mRS health states at Day 90 – the base case Section D model assumption"/>
      </w:tblPr>
      <w:tblGrid>
        <w:gridCol w:w="3174"/>
        <w:gridCol w:w="875"/>
        <w:gridCol w:w="875"/>
        <w:gridCol w:w="875"/>
        <w:gridCol w:w="875"/>
        <w:gridCol w:w="875"/>
        <w:gridCol w:w="875"/>
        <w:gridCol w:w="864"/>
      </w:tblGrid>
      <w:tr w:rsidR="00A41E60" w:rsidRPr="00D85E09" w14:paraId="74C20D95" w14:textId="77777777" w:rsidTr="00A41E60">
        <w:trPr>
          <w:trHeight w:val="329"/>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3B5DE4F5" w14:textId="77777777" w:rsidR="00A41E60" w:rsidRPr="00D85E09" w:rsidRDefault="00A41E60" w:rsidP="0043316B">
            <w:pPr>
              <w:pStyle w:val="Tabletext"/>
              <w:keepNext w:val="0"/>
              <w:widowControl w:val="0"/>
              <w:rPr>
                <w:b/>
              </w:rPr>
            </w:pPr>
            <w:r w:rsidRPr="00D85E09">
              <w:rPr>
                <w:b/>
              </w:rPr>
              <w:t>mRS</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1C256465" w14:textId="77777777" w:rsidR="00A41E60" w:rsidRPr="00D85E09" w:rsidRDefault="00A41E60" w:rsidP="0043316B">
            <w:pPr>
              <w:pStyle w:val="Tabletext"/>
              <w:keepNext w:val="0"/>
              <w:widowControl w:val="0"/>
              <w:rPr>
                <w:b/>
              </w:rPr>
            </w:pPr>
            <w:r w:rsidRPr="00D85E09">
              <w:rPr>
                <w:b/>
              </w:rPr>
              <w:t>mRS 0</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618944EA" w14:textId="77777777" w:rsidR="00A41E60" w:rsidRPr="00D85E09" w:rsidRDefault="00A41E60" w:rsidP="0043316B">
            <w:pPr>
              <w:pStyle w:val="Tabletext"/>
              <w:keepNext w:val="0"/>
              <w:widowControl w:val="0"/>
              <w:rPr>
                <w:b/>
              </w:rPr>
            </w:pPr>
            <w:r w:rsidRPr="00D85E09">
              <w:rPr>
                <w:b/>
              </w:rPr>
              <w:t>mRS 1</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6A25B71F" w14:textId="77777777" w:rsidR="00A41E60" w:rsidRPr="00D85E09" w:rsidRDefault="00A41E60" w:rsidP="0043316B">
            <w:pPr>
              <w:pStyle w:val="Tabletext"/>
              <w:keepNext w:val="0"/>
              <w:widowControl w:val="0"/>
              <w:rPr>
                <w:b/>
              </w:rPr>
            </w:pPr>
            <w:r w:rsidRPr="00D85E09">
              <w:rPr>
                <w:b/>
              </w:rPr>
              <w:t>mRS 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43EF129A" w14:textId="77777777" w:rsidR="00A41E60" w:rsidRPr="00D85E09" w:rsidRDefault="00A41E60" w:rsidP="0043316B">
            <w:pPr>
              <w:pStyle w:val="Tabletext"/>
              <w:keepNext w:val="0"/>
              <w:widowControl w:val="0"/>
              <w:rPr>
                <w:b/>
              </w:rPr>
            </w:pPr>
            <w:r w:rsidRPr="00D85E09">
              <w:rPr>
                <w:b/>
              </w:rPr>
              <w:t>mRS 3</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45A97ED4" w14:textId="77777777" w:rsidR="00A41E60" w:rsidRPr="00D85E09" w:rsidRDefault="00A41E60" w:rsidP="0043316B">
            <w:pPr>
              <w:pStyle w:val="Tabletext"/>
              <w:keepNext w:val="0"/>
              <w:widowControl w:val="0"/>
              <w:rPr>
                <w:b/>
              </w:rPr>
            </w:pPr>
            <w:r w:rsidRPr="00D85E09">
              <w:rPr>
                <w:b/>
              </w:rPr>
              <w:t>mRS 4</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12735F8A" w14:textId="77777777" w:rsidR="00A41E60" w:rsidRPr="00D85E09" w:rsidRDefault="00A41E60" w:rsidP="0043316B">
            <w:pPr>
              <w:pStyle w:val="Tabletext"/>
              <w:keepNext w:val="0"/>
              <w:widowControl w:val="0"/>
              <w:rPr>
                <w:b/>
              </w:rPr>
            </w:pPr>
            <w:r w:rsidRPr="00D85E09">
              <w:rPr>
                <w:b/>
              </w:rPr>
              <w:t>mRS 5</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6F24E069" w14:textId="77777777" w:rsidR="00A41E60" w:rsidRPr="00D85E09" w:rsidRDefault="00A41E60" w:rsidP="0043316B">
            <w:pPr>
              <w:pStyle w:val="Tabletext"/>
              <w:keepNext w:val="0"/>
              <w:widowControl w:val="0"/>
              <w:rPr>
                <w:b/>
              </w:rPr>
            </w:pPr>
            <w:r w:rsidRPr="00D85E09">
              <w:rPr>
                <w:b/>
              </w:rPr>
              <w:t>Dead</w:t>
            </w:r>
          </w:p>
        </w:tc>
      </w:tr>
      <w:tr w:rsidR="00A41E60" w:rsidRPr="00D85E09" w14:paraId="20F322FF" w14:textId="77777777" w:rsidTr="00A41E60">
        <w:trPr>
          <w:trHeight w:val="330"/>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53900DA1" w14:textId="77777777" w:rsidR="00A41E60" w:rsidRPr="00D85E09" w:rsidRDefault="00A41E60" w:rsidP="0043316B">
            <w:pPr>
              <w:pStyle w:val="Tabletext"/>
              <w:keepNext w:val="0"/>
              <w:widowControl w:val="0"/>
            </w:pPr>
            <w:r w:rsidRPr="00D85E09">
              <w:t>At Day 90</w:t>
            </w:r>
          </w:p>
        </w:tc>
        <w:tc>
          <w:tcPr>
            <w:tcW w:w="471" w:type="pct"/>
            <w:tcBorders>
              <w:top w:val="single" w:sz="4" w:space="0" w:color="auto"/>
              <w:left w:val="single" w:sz="4" w:space="0" w:color="auto"/>
              <w:bottom w:val="single" w:sz="4" w:space="0" w:color="auto"/>
              <w:right w:val="single" w:sz="4" w:space="0" w:color="auto"/>
            </w:tcBorders>
            <w:noWrap/>
            <w:vAlign w:val="center"/>
          </w:tcPr>
          <w:p w14:paraId="5867C71B"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204E4D0C"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76EE90F6"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393C11C6"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50829BB1"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3D9BA912" w14:textId="77777777" w:rsidR="00A41E60" w:rsidRPr="00D85E09" w:rsidRDefault="00A41E60" w:rsidP="0043316B">
            <w:pPr>
              <w:pStyle w:val="Tabletext"/>
              <w:keepNext w:val="0"/>
              <w:widowControl w:val="0"/>
            </w:pPr>
          </w:p>
        </w:tc>
        <w:tc>
          <w:tcPr>
            <w:tcW w:w="466" w:type="pct"/>
            <w:tcBorders>
              <w:top w:val="single" w:sz="4" w:space="0" w:color="auto"/>
              <w:left w:val="single" w:sz="4" w:space="0" w:color="auto"/>
              <w:bottom w:val="single" w:sz="4" w:space="0" w:color="auto"/>
              <w:right w:val="single" w:sz="4" w:space="0" w:color="auto"/>
            </w:tcBorders>
            <w:noWrap/>
            <w:vAlign w:val="center"/>
          </w:tcPr>
          <w:p w14:paraId="17B1F43A" w14:textId="77777777" w:rsidR="00A41E60" w:rsidRPr="00D85E09" w:rsidRDefault="00A41E60" w:rsidP="0043316B">
            <w:pPr>
              <w:pStyle w:val="Tabletext"/>
              <w:keepNext w:val="0"/>
              <w:widowControl w:val="0"/>
            </w:pPr>
          </w:p>
        </w:tc>
      </w:tr>
      <w:tr w:rsidR="00A41E60" w:rsidRPr="00D85E09" w14:paraId="6F9183E0" w14:textId="77777777" w:rsidTr="00A41E60">
        <w:trPr>
          <w:trHeight w:val="329"/>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2A9266E1" w14:textId="77777777" w:rsidR="00A41E60" w:rsidRPr="00D85E09" w:rsidRDefault="00A41E60" w:rsidP="0043316B">
            <w:pPr>
              <w:pStyle w:val="Tabletext"/>
              <w:keepNext w:val="0"/>
              <w:widowControl w:val="0"/>
            </w:pPr>
            <w:r w:rsidRPr="00D85E09">
              <w:t>Mechanical thrombectomy + usual care</w:t>
            </w:r>
          </w:p>
        </w:tc>
        <w:tc>
          <w:tcPr>
            <w:tcW w:w="471" w:type="pct"/>
            <w:tcBorders>
              <w:top w:val="single" w:sz="4" w:space="0" w:color="auto"/>
              <w:left w:val="single" w:sz="4" w:space="0" w:color="auto"/>
              <w:bottom w:val="single" w:sz="4" w:space="0" w:color="auto"/>
              <w:right w:val="single" w:sz="4" w:space="0" w:color="auto"/>
            </w:tcBorders>
            <w:noWrap/>
            <w:hideMark/>
          </w:tcPr>
          <w:p w14:paraId="4D81A233" w14:textId="77777777" w:rsidR="00A41E60" w:rsidRPr="00D85E09" w:rsidRDefault="00A41E60" w:rsidP="0043316B">
            <w:pPr>
              <w:pStyle w:val="Tabletext"/>
              <w:keepNext w:val="0"/>
              <w:widowControl w:val="0"/>
            </w:pPr>
            <w:r w:rsidRPr="00D85E09">
              <w:t>10.0%</w:t>
            </w:r>
          </w:p>
        </w:tc>
        <w:tc>
          <w:tcPr>
            <w:tcW w:w="471" w:type="pct"/>
            <w:tcBorders>
              <w:top w:val="single" w:sz="4" w:space="0" w:color="auto"/>
              <w:left w:val="single" w:sz="4" w:space="0" w:color="auto"/>
              <w:bottom w:val="single" w:sz="4" w:space="0" w:color="auto"/>
              <w:right w:val="single" w:sz="4" w:space="0" w:color="auto"/>
            </w:tcBorders>
            <w:noWrap/>
            <w:hideMark/>
          </w:tcPr>
          <w:p w14:paraId="01385DEA" w14:textId="77777777" w:rsidR="00A41E60" w:rsidRPr="00D85E09" w:rsidRDefault="00A41E60" w:rsidP="0043316B">
            <w:pPr>
              <w:pStyle w:val="Tabletext"/>
              <w:keepNext w:val="0"/>
              <w:widowControl w:val="0"/>
            </w:pPr>
            <w:r w:rsidRPr="00D85E09">
              <w:t>16.9%</w:t>
            </w:r>
          </w:p>
        </w:tc>
        <w:tc>
          <w:tcPr>
            <w:tcW w:w="471" w:type="pct"/>
            <w:tcBorders>
              <w:top w:val="single" w:sz="4" w:space="0" w:color="auto"/>
              <w:left w:val="single" w:sz="4" w:space="0" w:color="auto"/>
              <w:bottom w:val="single" w:sz="4" w:space="0" w:color="auto"/>
              <w:right w:val="single" w:sz="4" w:space="0" w:color="auto"/>
            </w:tcBorders>
            <w:noWrap/>
            <w:hideMark/>
          </w:tcPr>
          <w:p w14:paraId="6A77963F" w14:textId="77777777" w:rsidR="00A41E60" w:rsidRPr="00D85E09" w:rsidRDefault="00A41E60" w:rsidP="0043316B">
            <w:pPr>
              <w:pStyle w:val="Tabletext"/>
              <w:keepNext w:val="0"/>
              <w:widowControl w:val="0"/>
            </w:pPr>
            <w:r w:rsidRPr="00D85E09">
              <w:t>19.1%</w:t>
            </w:r>
          </w:p>
        </w:tc>
        <w:tc>
          <w:tcPr>
            <w:tcW w:w="471" w:type="pct"/>
            <w:tcBorders>
              <w:top w:val="single" w:sz="4" w:space="0" w:color="auto"/>
              <w:left w:val="single" w:sz="4" w:space="0" w:color="auto"/>
              <w:bottom w:val="single" w:sz="4" w:space="0" w:color="auto"/>
              <w:right w:val="single" w:sz="4" w:space="0" w:color="auto"/>
            </w:tcBorders>
            <w:noWrap/>
            <w:hideMark/>
          </w:tcPr>
          <w:p w14:paraId="08CBF098" w14:textId="77777777" w:rsidR="00A41E60" w:rsidRPr="00D85E09" w:rsidRDefault="00A41E60" w:rsidP="0043316B">
            <w:pPr>
              <w:pStyle w:val="Tabletext"/>
              <w:keepNext w:val="0"/>
              <w:widowControl w:val="0"/>
            </w:pPr>
            <w:r w:rsidRPr="00D85E09">
              <w:t>16.9%</w:t>
            </w:r>
          </w:p>
        </w:tc>
        <w:tc>
          <w:tcPr>
            <w:tcW w:w="471" w:type="pct"/>
            <w:tcBorders>
              <w:top w:val="single" w:sz="4" w:space="0" w:color="auto"/>
              <w:left w:val="single" w:sz="4" w:space="0" w:color="auto"/>
              <w:bottom w:val="single" w:sz="4" w:space="0" w:color="auto"/>
              <w:right w:val="single" w:sz="4" w:space="0" w:color="auto"/>
            </w:tcBorders>
            <w:noWrap/>
            <w:hideMark/>
          </w:tcPr>
          <w:p w14:paraId="12D99FE8" w14:textId="77777777" w:rsidR="00A41E60" w:rsidRPr="00D85E09" w:rsidRDefault="00A41E60" w:rsidP="0043316B">
            <w:pPr>
              <w:pStyle w:val="Tabletext"/>
              <w:keepNext w:val="0"/>
              <w:widowControl w:val="0"/>
            </w:pPr>
            <w:r w:rsidRPr="00D85E09">
              <w:t>15.6%</w:t>
            </w:r>
          </w:p>
        </w:tc>
        <w:tc>
          <w:tcPr>
            <w:tcW w:w="471" w:type="pct"/>
            <w:tcBorders>
              <w:top w:val="single" w:sz="4" w:space="0" w:color="auto"/>
              <w:left w:val="single" w:sz="4" w:space="0" w:color="auto"/>
              <w:bottom w:val="single" w:sz="4" w:space="0" w:color="auto"/>
              <w:right w:val="single" w:sz="4" w:space="0" w:color="auto"/>
            </w:tcBorders>
            <w:noWrap/>
            <w:hideMark/>
          </w:tcPr>
          <w:p w14:paraId="41D852F6" w14:textId="77777777" w:rsidR="00A41E60" w:rsidRPr="00D85E09" w:rsidRDefault="00A41E60" w:rsidP="0043316B">
            <w:pPr>
              <w:pStyle w:val="Tabletext"/>
              <w:keepNext w:val="0"/>
              <w:widowControl w:val="0"/>
            </w:pPr>
            <w:r w:rsidRPr="00D85E09">
              <w:t>6.2%</w:t>
            </w:r>
          </w:p>
        </w:tc>
        <w:tc>
          <w:tcPr>
            <w:tcW w:w="466" w:type="pct"/>
            <w:tcBorders>
              <w:top w:val="single" w:sz="4" w:space="0" w:color="auto"/>
              <w:left w:val="single" w:sz="4" w:space="0" w:color="auto"/>
              <w:bottom w:val="single" w:sz="4" w:space="0" w:color="auto"/>
              <w:right w:val="single" w:sz="4" w:space="0" w:color="auto"/>
            </w:tcBorders>
            <w:noWrap/>
            <w:hideMark/>
          </w:tcPr>
          <w:p w14:paraId="22F36C61" w14:textId="77777777" w:rsidR="00A41E60" w:rsidRPr="00D85E09" w:rsidRDefault="00A41E60" w:rsidP="0043316B">
            <w:pPr>
              <w:pStyle w:val="Tabletext"/>
              <w:keepNext w:val="0"/>
              <w:widowControl w:val="0"/>
            </w:pPr>
            <w:r w:rsidRPr="00D85E09">
              <w:t>15.3%</w:t>
            </w:r>
          </w:p>
        </w:tc>
      </w:tr>
      <w:tr w:rsidR="00A41E60" w:rsidRPr="00D85E09" w14:paraId="29F35D89" w14:textId="77777777" w:rsidTr="00A41E60">
        <w:trPr>
          <w:trHeight w:val="330"/>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3C7D22E2" w14:textId="77777777" w:rsidR="00A41E60" w:rsidRPr="00D85E09" w:rsidRDefault="00A41E60" w:rsidP="0043316B">
            <w:pPr>
              <w:pStyle w:val="Tabletext"/>
              <w:keepNext w:val="0"/>
              <w:widowControl w:val="0"/>
            </w:pPr>
            <w:r w:rsidRPr="00D85E09">
              <w:t>Usual care</w:t>
            </w:r>
          </w:p>
        </w:tc>
        <w:tc>
          <w:tcPr>
            <w:tcW w:w="471" w:type="pct"/>
            <w:tcBorders>
              <w:top w:val="single" w:sz="4" w:space="0" w:color="auto"/>
              <w:left w:val="single" w:sz="4" w:space="0" w:color="auto"/>
              <w:bottom w:val="single" w:sz="4" w:space="0" w:color="auto"/>
              <w:right w:val="single" w:sz="4" w:space="0" w:color="auto"/>
            </w:tcBorders>
            <w:noWrap/>
            <w:hideMark/>
          </w:tcPr>
          <w:p w14:paraId="27B01158" w14:textId="77777777" w:rsidR="00A41E60" w:rsidRPr="00D85E09" w:rsidRDefault="00A41E60" w:rsidP="0043316B">
            <w:pPr>
              <w:pStyle w:val="Tabletext"/>
              <w:keepNext w:val="0"/>
              <w:widowControl w:val="0"/>
            </w:pPr>
            <w:r w:rsidRPr="00D85E09">
              <w:t>5.0%</w:t>
            </w:r>
          </w:p>
        </w:tc>
        <w:tc>
          <w:tcPr>
            <w:tcW w:w="471" w:type="pct"/>
            <w:tcBorders>
              <w:top w:val="single" w:sz="4" w:space="0" w:color="auto"/>
              <w:left w:val="single" w:sz="4" w:space="0" w:color="auto"/>
              <w:bottom w:val="single" w:sz="4" w:space="0" w:color="auto"/>
              <w:right w:val="single" w:sz="4" w:space="0" w:color="auto"/>
            </w:tcBorders>
            <w:noWrap/>
            <w:hideMark/>
          </w:tcPr>
          <w:p w14:paraId="28961D42" w14:textId="77777777" w:rsidR="00A41E60" w:rsidRPr="00D85E09" w:rsidRDefault="00A41E60" w:rsidP="0043316B">
            <w:pPr>
              <w:pStyle w:val="Tabletext"/>
              <w:keepNext w:val="0"/>
              <w:widowControl w:val="0"/>
            </w:pPr>
            <w:r w:rsidRPr="00D85E09">
              <w:t>7.9%</w:t>
            </w:r>
          </w:p>
        </w:tc>
        <w:tc>
          <w:tcPr>
            <w:tcW w:w="471" w:type="pct"/>
            <w:tcBorders>
              <w:top w:val="single" w:sz="4" w:space="0" w:color="auto"/>
              <w:left w:val="single" w:sz="4" w:space="0" w:color="auto"/>
              <w:bottom w:val="single" w:sz="4" w:space="0" w:color="auto"/>
              <w:right w:val="single" w:sz="4" w:space="0" w:color="auto"/>
            </w:tcBorders>
            <w:noWrap/>
            <w:hideMark/>
          </w:tcPr>
          <w:p w14:paraId="21ED40F9" w14:textId="77777777" w:rsidR="00A41E60" w:rsidRPr="00D85E09" w:rsidRDefault="00A41E60" w:rsidP="0043316B">
            <w:pPr>
              <w:pStyle w:val="Tabletext"/>
              <w:keepNext w:val="0"/>
              <w:widowControl w:val="0"/>
            </w:pPr>
            <w:r w:rsidRPr="00D85E09">
              <w:t>13.6%</w:t>
            </w:r>
          </w:p>
        </w:tc>
        <w:tc>
          <w:tcPr>
            <w:tcW w:w="471" w:type="pct"/>
            <w:tcBorders>
              <w:top w:val="single" w:sz="4" w:space="0" w:color="auto"/>
              <w:left w:val="single" w:sz="4" w:space="0" w:color="auto"/>
              <w:bottom w:val="single" w:sz="4" w:space="0" w:color="auto"/>
              <w:right w:val="single" w:sz="4" w:space="0" w:color="auto"/>
            </w:tcBorders>
            <w:noWrap/>
            <w:hideMark/>
          </w:tcPr>
          <w:p w14:paraId="25E25BB0" w14:textId="77777777" w:rsidR="00A41E60" w:rsidRPr="00D85E09" w:rsidRDefault="00A41E60" w:rsidP="0043316B">
            <w:pPr>
              <w:pStyle w:val="Tabletext"/>
              <w:keepNext w:val="0"/>
              <w:widowControl w:val="0"/>
            </w:pPr>
            <w:r w:rsidRPr="00D85E09">
              <w:t>16.4%</w:t>
            </w:r>
          </w:p>
        </w:tc>
        <w:tc>
          <w:tcPr>
            <w:tcW w:w="471" w:type="pct"/>
            <w:tcBorders>
              <w:top w:val="single" w:sz="4" w:space="0" w:color="auto"/>
              <w:left w:val="single" w:sz="4" w:space="0" w:color="auto"/>
              <w:bottom w:val="single" w:sz="4" w:space="0" w:color="auto"/>
              <w:right w:val="single" w:sz="4" w:space="0" w:color="auto"/>
            </w:tcBorders>
            <w:noWrap/>
            <w:hideMark/>
          </w:tcPr>
          <w:p w14:paraId="77E4307F" w14:textId="77777777" w:rsidR="00A41E60" w:rsidRPr="00D85E09" w:rsidRDefault="00A41E60" w:rsidP="0043316B">
            <w:pPr>
              <w:pStyle w:val="Tabletext"/>
              <w:keepNext w:val="0"/>
              <w:widowControl w:val="0"/>
            </w:pPr>
            <w:r w:rsidRPr="00D85E09">
              <w:t>24.7%</w:t>
            </w:r>
          </w:p>
        </w:tc>
        <w:tc>
          <w:tcPr>
            <w:tcW w:w="471" w:type="pct"/>
            <w:tcBorders>
              <w:top w:val="single" w:sz="4" w:space="0" w:color="auto"/>
              <w:left w:val="single" w:sz="4" w:space="0" w:color="auto"/>
              <w:bottom w:val="single" w:sz="4" w:space="0" w:color="auto"/>
              <w:right w:val="single" w:sz="4" w:space="0" w:color="auto"/>
            </w:tcBorders>
            <w:noWrap/>
            <w:hideMark/>
          </w:tcPr>
          <w:p w14:paraId="082575DF" w14:textId="77777777" w:rsidR="00A41E60" w:rsidRPr="00D85E09" w:rsidRDefault="00A41E60" w:rsidP="0043316B">
            <w:pPr>
              <w:pStyle w:val="Tabletext"/>
              <w:keepNext w:val="0"/>
              <w:widowControl w:val="0"/>
            </w:pPr>
            <w:r w:rsidRPr="00D85E09">
              <w:t>13.5%</w:t>
            </w:r>
          </w:p>
        </w:tc>
        <w:tc>
          <w:tcPr>
            <w:tcW w:w="466" w:type="pct"/>
            <w:tcBorders>
              <w:top w:val="single" w:sz="4" w:space="0" w:color="auto"/>
              <w:left w:val="single" w:sz="4" w:space="0" w:color="auto"/>
              <w:bottom w:val="single" w:sz="4" w:space="0" w:color="auto"/>
              <w:right w:val="single" w:sz="4" w:space="0" w:color="auto"/>
            </w:tcBorders>
            <w:noWrap/>
            <w:hideMark/>
          </w:tcPr>
          <w:p w14:paraId="202797B2" w14:textId="77777777" w:rsidR="00A41E60" w:rsidRPr="00D85E09" w:rsidRDefault="00A41E60" w:rsidP="0043316B">
            <w:pPr>
              <w:pStyle w:val="Tabletext"/>
              <w:keepNext w:val="0"/>
              <w:widowControl w:val="0"/>
            </w:pPr>
            <w:r w:rsidRPr="00D85E09">
              <w:t>18.9%</w:t>
            </w:r>
          </w:p>
        </w:tc>
      </w:tr>
    </w:tbl>
    <w:p w14:paraId="78580A63" w14:textId="1225EA98" w:rsidR="00A41E60" w:rsidRPr="00D85E09" w:rsidRDefault="00A41E60" w:rsidP="0043316B">
      <w:pPr>
        <w:pStyle w:val="Tablefootnote"/>
        <w:widowControl w:val="0"/>
        <w:rPr>
          <w:lang w:val="en-AU"/>
        </w:rPr>
      </w:pPr>
      <w:r w:rsidRPr="00D85E09">
        <w:rPr>
          <w:lang w:val="en-AU"/>
        </w:rPr>
        <w:t xml:space="preserve">Abbreviations: mRS, modified Rankin </w:t>
      </w:r>
      <w:r w:rsidR="00F67AF7" w:rsidRPr="00D85E09">
        <w:rPr>
          <w:lang w:val="en-AU"/>
        </w:rPr>
        <w:t>s</w:t>
      </w:r>
      <w:r w:rsidRPr="00D85E09">
        <w:rPr>
          <w:lang w:val="en-AU"/>
        </w:rPr>
        <w:t>core</w:t>
      </w:r>
      <w:r w:rsidRPr="00D85E09">
        <w:rPr>
          <w:lang w:val="en-AU"/>
        </w:rPr>
        <w:br/>
        <w:t xml:space="preserve">Source: Meta-analysed ITT data from the Highly Effective Reperfusion evaluated in Multiple Endovascular Stroke Trials (HERMES) collaboration (Goyal et al, 2016); discussed in Section </w:t>
      </w:r>
      <w:r w:rsidRPr="00D85E09">
        <w:rPr>
          <w:lang w:val="en-AU"/>
        </w:rPr>
        <w:fldChar w:fldCharType="begin"/>
      </w:r>
      <w:r w:rsidRPr="00D85E09">
        <w:rPr>
          <w:lang w:val="en-AU"/>
        </w:rPr>
        <w:instrText xml:space="preserve"> REF _Ref450641779 \r \h </w:instrText>
      </w:r>
      <w:r w:rsidRPr="00D85E09">
        <w:rPr>
          <w:lang w:val="en-AU"/>
        </w:rPr>
      </w:r>
      <w:r w:rsidRPr="00D85E09">
        <w:rPr>
          <w:lang w:val="en-AU"/>
        </w:rPr>
        <w:fldChar w:fldCharType="separate"/>
      </w:r>
      <w:r w:rsidR="00A456ED">
        <w:rPr>
          <w:lang w:val="en-AU"/>
        </w:rPr>
        <w:t>C.3</w:t>
      </w:r>
      <w:r w:rsidRPr="00D85E09">
        <w:rPr>
          <w:lang w:val="en-AU"/>
        </w:rPr>
        <w:fldChar w:fldCharType="end"/>
      </w:r>
      <w:r w:rsidRPr="00D85E09">
        <w:rPr>
          <w:lang w:val="en-AU"/>
        </w:rPr>
        <w:t xml:space="preserve"> above.</w:t>
      </w:r>
    </w:p>
    <w:p w14:paraId="64936BF4" w14:textId="77777777" w:rsidR="00A41E60" w:rsidRPr="00D85E09" w:rsidRDefault="00A41E60" w:rsidP="0043316B">
      <w:pPr>
        <w:widowControl w:val="0"/>
      </w:pPr>
    </w:p>
    <w:p w14:paraId="06A15060" w14:textId="6A2C73ED" w:rsidR="00A41E60" w:rsidRPr="00D85E09" w:rsidRDefault="00A41E60" w:rsidP="0043316B">
      <w:pPr>
        <w:pStyle w:val="Caption"/>
        <w:keepNext w:val="0"/>
        <w:widowControl w:val="0"/>
        <w:rPr>
          <w:lang w:val="en-AU"/>
        </w:rPr>
      </w:pPr>
      <w:bookmarkStart w:id="466" w:name="_Ref451420966"/>
      <w:bookmarkStart w:id="467" w:name="_Toc45306540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72</w:t>
      </w:r>
      <w:r w:rsidRPr="00D85E09">
        <w:rPr>
          <w:lang w:val="en-AU"/>
        </w:rPr>
        <w:fldChar w:fldCharType="end"/>
      </w:r>
      <w:bookmarkEnd w:id="466"/>
      <w:r w:rsidRPr="00D85E09">
        <w:rPr>
          <w:lang w:val="en-AU"/>
        </w:rPr>
        <w:tab/>
        <w:t>Transition matrix depicting mRS changes from Day 90 to 3 years as reported by Gensicke 2013 – the base case Section D model assumption</w:t>
      </w:r>
      <w:bookmarkEnd w:id="467"/>
    </w:p>
    <w:tbl>
      <w:tblPr>
        <w:tblStyle w:val="TableGrid"/>
        <w:tblW w:w="0" w:type="auto"/>
        <w:tblLook w:val="04A0" w:firstRow="1" w:lastRow="0" w:firstColumn="1" w:lastColumn="0" w:noHBand="0" w:noVBand="1"/>
        <w:tblDescription w:val="Table 72 Transition matrix depicting mRS changes from Day 90 to 3 years as reported by Gensicke 2013 – the base case Section D model assumption"/>
      </w:tblPr>
      <w:tblGrid>
        <w:gridCol w:w="562"/>
        <w:gridCol w:w="993"/>
        <w:gridCol w:w="1031"/>
        <w:gridCol w:w="1032"/>
        <w:gridCol w:w="1032"/>
        <w:gridCol w:w="1032"/>
        <w:gridCol w:w="1032"/>
        <w:gridCol w:w="1032"/>
        <w:gridCol w:w="1032"/>
      </w:tblGrid>
      <w:tr w:rsidR="00A41E60" w:rsidRPr="00D85E09" w14:paraId="45420F02" w14:textId="77777777" w:rsidTr="00BE6331">
        <w:trPr>
          <w:cantSplit/>
          <w:trHeight w:val="123"/>
          <w:tblHeader/>
        </w:trPr>
        <w:tc>
          <w:tcPr>
            <w:tcW w:w="562" w:type="dxa"/>
            <w:tcBorders>
              <w:top w:val="single" w:sz="4" w:space="0" w:color="000000"/>
              <w:left w:val="single" w:sz="4" w:space="0" w:color="000000"/>
              <w:bottom w:val="nil"/>
              <w:right w:val="nil"/>
            </w:tcBorders>
          </w:tcPr>
          <w:p w14:paraId="75953974" w14:textId="77777777" w:rsidR="00A41E60" w:rsidRPr="00D85E09" w:rsidRDefault="00A41E60" w:rsidP="0043316B">
            <w:pPr>
              <w:pStyle w:val="Tabletext"/>
              <w:keepNext w:val="0"/>
              <w:widowControl w:val="0"/>
            </w:pPr>
          </w:p>
        </w:tc>
        <w:tc>
          <w:tcPr>
            <w:tcW w:w="993" w:type="dxa"/>
            <w:tcBorders>
              <w:top w:val="single" w:sz="4" w:space="0" w:color="000000"/>
              <w:left w:val="nil"/>
              <w:bottom w:val="nil"/>
              <w:right w:val="single" w:sz="4" w:space="0" w:color="000000"/>
            </w:tcBorders>
          </w:tcPr>
          <w:p w14:paraId="78CA1B63" w14:textId="77777777" w:rsidR="00A41E60" w:rsidRPr="00D85E09" w:rsidRDefault="00A41E60" w:rsidP="0043316B">
            <w:pPr>
              <w:pStyle w:val="Tabletext"/>
              <w:keepNext w:val="0"/>
              <w:widowControl w:val="0"/>
            </w:pPr>
          </w:p>
        </w:tc>
        <w:tc>
          <w:tcPr>
            <w:tcW w:w="7223" w:type="dxa"/>
            <w:gridSpan w:val="7"/>
            <w:tcBorders>
              <w:top w:val="single" w:sz="4" w:space="0" w:color="000000"/>
              <w:left w:val="single" w:sz="4" w:space="0" w:color="000000"/>
              <w:bottom w:val="single" w:sz="4" w:space="0" w:color="000000"/>
              <w:right w:val="single" w:sz="4" w:space="0" w:color="000000"/>
            </w:tcBorders>
            <w:hideMark/>
          </w:tcPr>
          <w:p w14:paraId="7C8995BB" w14:textId="77777777" w:rsidR="00A41E60" w:rsidRPr="00D85E09" w:rsidRDefault="00A41E60" w:rsidP="0043316B">
            <w:pPr>
              <w:pStyle w:val="Tabletext"/>
              <w:keepNext w:val="0"/>
              <w:widowControl w:val="0"/>
              <w:jc w:val="center"/>
              <w:rPr>
                <w:b/>
              </w:rPr>
            </w:pPr>
            <w:r w:rsidRPr="00D85E09">
              <w:rPr>
                <w:b/>
              </w:rPr>
              <w:t>At 3 years (taken as at 12 months in the model)</w:t>
            </w:r>
          </w:p>
        </w:tc>
      </w:tr>
      <w:tr w:rsidR="00A41E60" w:rsidRPr="00D85E09" w14:paraId="656A661F" w14:textId="77777777" w:rsidTr="00A41E60">
        <w:tc>
          <w:tcPr>
            <w:tcW w:w="562" w:type="dxa"/>
            <w:tcBorders>
              <w:top w:val="nil"/>
              <w:left w:val="single" w:sz="4" w:space="0" w:color="000000"/>
              <w:bottom w:val="single" w:sz="4" w:space="0" w:color="000000"/>
              <w:right w:val="nil"/>
            </w:tcBorders>
          </w:tcPr>
          <w:p w14:paraId="1246A51C" w14:textId="77777777" w:rsidR="00A41E60" w:rsidRPr="00D85E09" w:rsidRDefault="00A41E60" w:rsidP="0043316B">
            <w:pPr>
              <w:pStyle w:val="Tabletext"/>
              <w:keepNext w:val="0"/>
              <w:widowControl w:val="0"/>
            </w:pPr>
          </w:p>
        </w:tc>
        <w:tc>
          <w:tcPr>
            <w:tcW w:w="993" w:type="dxa"/>
            <w:tcBorders>
              <w:top w:val="nil"/>
              <w:left w:val="nil"/>
              <w:bottom w:val="single" w:sz="4" w:space="0" w:color="000000"/>
              <w:right w:val="single" w:sz="4" w:space="0" w:color="000000"/>
            </w:tcBorders>
          </w:tcPr>
          <w:p w14:paraId="3B38CD6F" w14:textId="77777777" w:rsidR="00A41E60" w:rsidRPr="00D85E09" w:rsidRDefault="00A41E60" w:rsidP="0043316B">
            <w:pPr>
              <w:pStyle w:val="Tabletext"/>
              <w:keepNext w:val="0"/>
              <w:widowControl w:val="0"/>
            </w:pP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0D2DDFE3" w14:textId="77777777" w:rsidR="00A41E60" w:rsidRPr="00D85E09" w:rsidRDefault="00A41E60" w:rsidP="0043316B">
            <w:pPr>
              <w:pStyle w:val="Tabletext"/>
              <w:keepNext w:val="0"/>
              <w:widowControl w:val="0"/>
              <w:jc w:val="center"/>
              <w:rPr>
                <w:b/>
              </w:rPr>
            </w:pPr>
            <w:r w:rsidRPr="00D85E09">
              <w:rPr>
                <w:b/>
              </w:rPr>
              <w:t>mRS 0</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33F2C2A9" w14:textId="77777777" w:rsidR="00A41E60" w:rsidRPr="00D85E09" w:rsidRDefault="00A41E60" w:rsidP="0043316B">
            <w:pPr>
              <w:pStyle w:val="Tabletext"/>
              <w:keepNext w:val="0"/>
              <w:widowControl w:val="0"/>
              <w:jc w:val="center"/>
              <w:rPr>
                <w:b/>
              </w:rPr>
            </w:pPr>
            <w:r w:rsidRPr="00D85E09">
              <w:rPr>
                <w:b/>
              </w:rPr>
              <w:t>mRS 1</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032293E8" w14:textId="77777777" w:rsidR="00A41E60" w:rsidRPr="00D85E09" w:rsidRDefault="00A41E60" w:rsidP="0043316B">
            <w:pPr>
              <w:pStyle w:val="Tabletext"/>
              <w:keepNext w:val="0"/>
              <w:widowControl w:val="0"/>
              <w:jc w:val="center"/>
              <w:rPr>
                <w:b/>
              </w:rPr>
            </w:pPr>
            <w:r w:rsidRPr="00D85E09">
              <w:rPr>
                <w:b/>
              </w:rPr>
              <w:t>mRS 2</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6090DBD5" w14:textId="77777777" w:rsidR="00A41E60" w:rsidRPr="00D85E09" w:rsidRDefault="00A41E60" w:rsidP="0043316B">
            <w:pPr>
              <w:pStyle w:val="Tabletext"/>
              <w:keepNext w:val="0"/>
              <w:widowControl w:val="0"/>
              <w:jc w:val="center"/>
              <w:rPr>
                <w:b/>
              </w:rPr>
            </w:pPr>
            <w:r w:rsidRPr="00D85E09">
              <w:rPr>
                <w:b/>
              </w:rPr>
              <w:t>mRS 3</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304E6F32" w14:textId="77777777" w:rsidR="00A41E60" w:rsidRPr="00D85E09" w:rsidRDefault="00A41E60" w:rsidP="0043316B">
            <w:pPr>
              <w:pStyle w:val="Tabletext"/>
              <w:keepNext w:val="0"/>
              <w:widowControl w:val="0"/>
              <w:jc w:val="center"/>
              <w:rPr>
                <w:b/>
              </w:rPr>
            </w:pPr>
            <w:r w:rsidRPr="00D85E09">
              <w:rPr>
                <w:b/>
              </w:rPr>
              <w:t>mRS 4</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4C0CA276" w14:textId="77777777" w:rsidR="00A41E60" w:rsidRPr="00D85E09" w:rsidRDefault="00A41E60" w:rsidP="0043316B">
            <w:pPr>
              <w:pStyle w:val="Tabletext"/>
              <w:keepNext w:val="0"/>
              <w:widowControl w:val="0"/>
              <w:jc w:val="center"/>
              <w:rPr>
                <w:b/>
              </w:rPr>
            </w:pPr>
            <w:r w:rsidRPr="00D85E09">
              <w:rPr>
                <w:b/>
              </w:rPr>
              <w:t>mRS 5</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BC165C8" w14:textId="77777777" w:rsidR="00A41E60" w:rsidRPr="00D85E09" w:rsidRDefault="00A41E60" w:rsidP="0043316B">
            <w:pPr>
              <w:pStyle w:val="Tabletext"/>
              <w:keepNext w:val="0"/>
              <w:widowControl w:val="0"/>
              <w:jc w:val="center"/>
              <w:rPr>
                <w:b/>
              </w:rPr>
            </w:pPr>
            <w:r w:rsidRPr="00D85E09">
              <w:rPr>
                <w:b/>
              </w:rPr>
              <w:t>mRS 6</w:t>
            </w:r>
          </w:p>
        </w:tc>
      </w:tr>
      <w:tr w:rsidR="00A41E60" w:rsidRPr="00D85E09" w14:paraId="65EC7C84" w14:textId="77777777" w:rsidTr="00A41E60">
        <w:tc>
          <w:tcPr>
            <w:tcW w:w="562" w:type="dxa"/>
            <w:vMerge w:val="restart"/>
            <w:tcBorders>
              <w:top w:val="single" w:sz="4" w:space="0" w:color="000000"/>
              <w:left w:val="single" w:sz="4" w:space="0" w:color="000000"/>
              <w:bottom w:val="single" w:sz="4" w:space="0" w:color="000000"/>
              <w:right w:val="single" w:sz="4" w:space="0" w:color="000000"/>
            </w:tcBorders>
            <w:textDirection w:val="btLr"/>
            <w:hideMark/>
          </w:tcPr>
          <w:p w14:paraId="3DDCA381" w14:textId="77777777" w:rsidR="00A41E60" w:rsidRPr="00D85E09" w:rsidRDefault="00A41E60" w:rsidP="0043316B">
            <w:pPr>
              <w:pStyle w:val="Tabletext"/>
              <w:keepNext w:val="0"/>
              <w:widowControl w:val="0"/>
              <w:ind w:left="113" w:right="113"/>
              <w:jc w:val="center"/>
              <w:rPr>
                <w:b/>
              </w:rPr>
            </w:pPr>
            <w:r w:rsidRPr="00D85E09">
              <w:rPr>
                <w:b/>
              </w:rPr>
              <w:t>At Day 90</w:t>
            </w:r>
          </w:p>
        </w:tc>
        <w:tc>
          <w:tcPr>
            <w:tcW w:w="993" w:type="dxa"/>
            <w:tcBorders>
              <w:top w:val="single" w:sz="4" w:space="0" w:color="000000"/>
              <w:left w:val="single" w:sz="4" w:space="0" w:color="000000"/>
              <w:bottom w:val="single" w:sz="4" w:space="0" w:color="000000"/>
              <w:right w:val="single" w:sz="4" w:space="0" w:color="000000"/>
            </w:tcBorders>
            <w:hideMark/>
          </w:tcPr>
          <w:p w14:paraId="54796973" w14:textId="77777777" w:rsidR="00A41E60" w:rsidRPr="00D85E09" w:rsidRDefault="00A41E60" w:rsidP="0043316B">
            <w:pPr>
              <w:pStyle w:val="Tabletext"/>
              <w:keepNext w:val="0"/>
              <w:widowControl w:val="0"/>
              <w:rPr>
                <w:b/>
              </w:rPr>
            </w:pPr>
            <w:r w:rsidRPr="00D85E09">
              <w:rPr>
                <w:b/>
              </w:rPr>
              <w:t>mRS 0</w:t>
            </w:r>
          </w:p>
        </w:tc>
        <w:tc>
          <w:tcPr>
            <w:tcW w:w="1031" w:type="dxa"/>
            <w:tcBorders>
              <w:top w:val="single" w:sz="4" w:space="0" w:color="000000"/>
              <w:left w:val="single" w:sz="4" w:space="0" w:color="000000"/>
              <w:bottom w:val="single" w:sz="4" w:space="0" w:color="000000"/>
              <w:right w:val="single" w:sz="4" w:space="0" w:color="000000"/>
            </w:tcBorders>
            <w:hideMark/>
          </w:tcPr>
          <w:p w14:paraId="50CF3598" w14:textId="77777777" w:rsidR="00A41E60" w:rsidRPr="00D85E09" w:rsidRDefault="00A41E60" w:rsidP="0043316B">
            <w:pPr>
              <w:pStyle w:val="Tabletext"/>
              <w:keepNext w:val="0"/>
              <w:widowControl w:val="0"/>
              <w:jc w:val="center"/>
            </w:pPr>
            <w:r w:rsidRPr="00D85E09">
              <w:t>66.7%</w:t>
            </w:r>
          </w:p>
        </w:tc>
        <w:tc>
          <w:tcPr>
            <w:tcW w:w="1032" w:type="dxa"/>
            <w:tcBorders>
              <w:top w:val="single" w:sz="4" w:space="0" w:color="000000"/>
              <w:left w:val="single" w:sz="4" w:space="0" w:color="000000"/>
              <w:bottom w:val="single" w:sz="4" w:space="0" w:color="000000"/>
              <w:right w:val="single" w:sz="4" w:space="0" w:color="000000"/>
            </w:tcBorders>
            <w:hideMark/>
          </w:tcPr>
          <w:p w14:paraId="3847F9BC" w14:textId="77777777" w:rsidR="00A41E60" w:rsidRPr="00D85E09" w:rsidRDefault="00A41E60" w:rsidP="0043316B">
            <w:pPr>
              <w:pStyle w:val="Tabletext"/>
              <w:keepNext w:val="0"/>
              <w:widowControl w:val="0"/>
              <w:jc w:val="center"/>
            </w:pPr>
            <w:r w:rsidRPr="00D85E09">
              <w:t>7.7%</w:t>
            </w:r>
          </w:p>
        </w:tc>
        <w:tc>
          <w:tcPr>
            <w:tcW w:w="1032" w:type="dxa"/>
            <w:tcBorders>
              <w:top w:val="single" w:sz="4" w:space="0" w:color="000000"/>
              <w:left w:val="single" w:sz="4" w:space="0" w:color="000000"/>
              <w:bottom w:val="single" w:sz="4" w:space="0" w:color="000000"/>
              <w:right w:val="single" w:sz="4" w:space="0" w:color="000000"/>
            </w:tcBorders>
            <w:hideMark/>
          </w:tcPr>
          <w:p w14:paraId="3C448241" w14:textId="77777777" w:rsidR="00A41E60" w:rsidRPr="00D85E09" w:rsidRDefault="00A41E60" w:rsidP="0043316B">
            <w:pPr>
              <w:pStyle w:val="Tabletext"/>
              <w:keepNext w:val="0"/>
              <w:widowControl w:val="0"/>
              <w:jc w:val="center"/>
            </w:pPr>
            <w:r w:rsidRPr="00D85E09">
              <w:t>7.7%</w:t>
            </w:r>
          </w:p>
        </w:tc>
        <w:tc>
          <w:tcPr>
            <w:tcW w:w="1032" w:type="dxa"/>
            <w:tcBorders>
              <w:top w:val="single" w:sz="4" w:space="0" w:color="000000"/>
              <w:left w:val="single" w:sz="4" w:space="0" w:color="000000"/>
              <w:bottom w:val="single" w:sz="4" w:space="0" w:color="000000"/>
              <w:right w:val="single" w:sz="4" w:space="0" w:color="000000"/>
            </w:tcBorders>
            <w:hideMark/>
          </w:tcPr>
          <w:p w14:paraId="2B45D31A"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30C05DF8" w14:textId="77777777" w:rsidR="00A41E60" w:rsidRPr="00D85E09" w:rsidRDefault="00A41E60" w:rsidP="0043316B">
            <w:pPr>
              <w:pStyle w:val="Tabletext"/>
              <w:keepNext w:val="0"/>
              <w:widowControl w:val="0"/>
              <w:jc w:val="center"/>
            </w:pPr>
            <w:r w:rsidRPr="00D85E09">
              <w:t>5.1%</w:t>
            </w:r>
          </w:p>
        </w:tc>
        <w:tc>
          <w:tcPr>
            <w:tcW w:w="1032" w:type="dxa"/>
            <w:tcBorders>
              <w:top w:val="single" w:sz="4" w:space="0" w:color="000000"/>
              <w:left w:val="single" w:sz="4" w:space="0" w:color="000000"/>
              <w:bottom w:val="single" w:sz="4" w:space="0" w:color="000000"/>
              <w:right w:val="single" w:sz="4" w:space="0" w:color="000000"/>
            </w:tcBorders>
            <w:hideMark/>
          </w:tcPr>
          <w:p w14:paraId="5EE1BE8C"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1557D754" w14:textId="77777777" w:rsidR="00A41E60" w:rsidRPr="00D85E09" w:rsidRDefault="00A41E60" w:rsidP="0043316B">
            <w:pPr>
              <w:pStyle w:val="Tabletext"/>
              <w:keepNext w:val="0"/>
              <w:widowControl w:val="0"/>
              <w:jc w:val="center"/>
            </w:pPr>
            <w:r w:rsidRPr="00D85E09">
              <w:t>12.8%</w:t>
            </w:r>
          </w:p>
        </w:tc>
      </w:tr>
      <w:tr w:rsidR="00A41E60" w:rsidRPr="00D85E09" w14:paraId="16F46B3F"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71CD56"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74DF3FF8" w14:textId="77777777" w:rsidR="00A41E60" w:rsidRPr="00D85E09" w:rsidRDefault="00A41E60" w:rsidP="0043316B">
            <w:pPr>
              <w:pStyle w:val="Tabletext"/>
              <w:keepNext w:val="0"/>
              <w:widowControl w:val="0"/>
              <w:rPr>
                <w:b/>
              </w:rPr>
            </w:pPr>
            <w:r w:rsidRPr="00D85E09">
              <w:rPr>
                <w:b/>
              </w:rPr>
              <w:t>mRS 1</w:t>
            </w:r>
          </w:p>
        </w:tc>
        <w:tc>
          <w:tcPr>
            <w:tcW w:w="1031" w:type="dxa"/>
            <w:tcBorders>
              <w:top w:val="single" w:sz="4" w:space="0" w:color="000000"/>
              <w:left w:val="single" w:sz="4" w:space="0" w:color="000000"/>
              <w:bottom w:val="single" w:sz="4" w:space="0" w:color="000000"/>
              <w:right w:val="single" w:sz="4" w:space="0" w:color="000000"/>
            </w:tcBorders>
            <w:hideMark/>
          </w:tcPr>
          <w:p w14:paraId="33A6043B" w14:textId="77777777" w:rsidR="00A41E60" w:rsidRPr="00D85E09" w:rsidRDefault="00A41E60" w:rsidP="0043316B">
            <w:pPr>
              <w:pStyle w:val="Tabletext"/>
              <w:keepNext w:val="0"/>
              <w:widowControl w:val="0"/>
              <w:jc w:val="center"/>
            </w:pPr>
            <w:r w:rsidRPr="00D85E09">
              <w:t>60.0%</w:t>
            </w:r>
          </w:p>
        </w:tc>
        <w:tc>
          <w:tcPr>
            <w:tcW w:w="1032" w:type="dxa"/>
            <w:tcBorders>
              <w:top w:val="single" w:sz="4" w:space="0" w:color="000000"/>
              <w:left w:val="single" w:sz="4" w:space="0" w:color="000000"/>
              <w:bottom w:val="single" w:sz="4" w:space="0" w:color="000000"/>
              <w:right w:val="single" w:sz="4" w:space="0" w:color="000000"/>
            </w:tcBorders>
            <w:hideMark/>
          </w:tcPr>
          <w:p w14:paraId="02FD1E15" w14:textId="77777777" w:rsidR="00A41E60" w:rsidRPr="00D85E09" w:rsidRDefault="00A41E60" w:rsidP="0043316B">
            <w:pPr>
              <w:pStyle w:val="Tabletext"/>
              <w:keepNext w:val="0"/>
              <w:widowControl w:val="0"/>
              <w:jc w:val="center"/>
            </w:pPr>
            <w:r w:rsidRPr="00D85E09">
              <w:t>7.3%</w:t>
            </w:r>
          </w:p>
        </w:tc>
        <w:tc>
          <w:tcPr>
            <w:tcW w:w="1032" w:type="dxa"/>
            <w:tcBorders>
              <w:top w:val="single" w:sz="4" w:space="0" w:color="000000"/>
              <w:left w:val="single" w:sz="4" w:space="0" w:color="000000"/>
              <w:bottom w:val="single" w:sz="4" w:space="0" w:color="000000"/>
              <w:right w:val="single" w:sz="4" w:space="0" w:color="000000"/>
            </w:tcBorders>
            <w:hideMark/>
          </w:tcPr>
          <w:p w14:paraId="4377CC84" w14:textId="77777777" w:rsidR="00A41E60" w:rsidRPr="00D85E09" w:rsidRDefault="00A41E60" w:rsidP="0043316B">
            <w:pPr>
              <w:pStyle w:val="Tabletext"/>
              <w:keepNext w:val="0"/>
              <w:widowControl w:val="0"/>
              <w:jc w:val="center"/>
            </w:pPr>
            <w:r w:rsidRPr="00D85E09">
              <w:t>1.8%</w:t>
            </w:r>
          </w:p>
        </w:tc>
        <w:tc>
          <w:tcPr>
            <w:tcW w:w="1032" w:type="dxa"/>
            <w:tcBorders>
              <w:top w:val="single" w:sz="4" w:space="0" w:color="000000"/>
              <w:left w:val="single" w:sz="4" w:space="0" w:color="000000"/>
              <w:bottom w:val="single" w:sz="4" w:space="0" w:color="000000"/>
              <w:right w:val="single" w:sz="4" w:space="0" w:color="000000"/>
            </w:tcBorders>
            <w:hideMark/>
          </w:tcPr>
          <w:p w14:paraId="65EDC955" w14:textId="77777777" w:rsidR="00A41E60" w:rsidRPr="00D85E09" w:rsidRDefault="00A41E60" w:rsidP="0043316B">
            <w:pPr>
              <w:pStyle w:val="Tabletext"/>
              <w:keepNext w:val="0"/>
              <w:widowControl w:val="0"/>
              <w:jc w:val="center"/>
            </w:pPr>
            <w:r w:rsidRPr="00D85E09">
              <w:t>5.5%</w:t>
            </w:r>
          </w:p>
        </w:tc>
        <w:tc>
          <w:tcPr>
            <w:tcW w:w="1032" w:type="dxa"/>
            <w:tcBorders>
              <w:top w:val="single" w:sz="4" w:space="0" w:color="000000"/>
              <w:left w:val="single" w:sz="4" w:space="0" w:color="000000"/>
              <w:bottom w:val="single" w:sz="4" w:space="0" w:color="000000"/>
              <w:right w:val="single" w:sz="4" w:space="0" w:color="000000"/>
            </w:tcBorders>
            <w:hideMark/>
          </w:tcPr>
          <w:p w14:paraId="6E51A981" w14:textId="77777777" w:rsidR="00A41E60" w:rsidRPr="00D85E09" w:rsidRDefault="00A41E60" w:rsidP="0043316B">
            <w:pPr>
              <w:pStyle w:val="Tabletext"/>
              <w:keepNext w:val="0"/>
              <w:widowControl w:val="0"/>
              <w:jc w:val="center"/>
            </w:pPr>
            <w:r w:rsidRPr="00D85E09">
              <w:t>7.3%</w:t>
            </w:r>
          </w:p>
        </w:tc>
        <w:tc>
          <w:tcPr>
            <w:tcW w:w="1032" w:type="dxa"/>
            <w:tcBorders>
              <w:top w:val="single" w:sz="4" w:space="0" w:color="000000"/>
              <w:left w:val="single" w:sz="4" w:space="0" w:color="000000"/>
              <w:bottom w:val="single" w:sz="4" w:space="0" w:color="000000"/>
              <w:right w:val="single" w:sz="4" w:space="0" w:color="000000"/>
            </w:tcBorders>
            <w:hideMark/>
          </w:tcPr>
          <w:p w14:paraId="4DE09BB8" w14:textId="77777777" w:rsidR="00A41E60" w:rsidRPr="00D85E09" w:rsidRDefault="00A41E60" w:rsidP="0043316B">
            <w:pPr>
              <w:pStyle w:val="Tabletext"/>
              <w:keepNext w:val="0"/>
              <w:widowControl w:val="0"/>
              <w:jc w:val="center"/>
            </w:pPr>
            <w:r w:rsidRPr="00D85E09">
              <w:t>3.6%</w:t>
            </w:r>
          </w:p>
        </w:tc>
        <w:tc>
          <w:tcPr>
            <w:tcW w:w="1032" w:type="dxa"/>
            <w:tcBorders>
              <w:top w:val="single" w:sz="4" w:space="0" w:color="000000"/>
              <w:left w:val="single" w:sz="4" w:space="0" w:color="000000"/>
              <w:bottom w:val="single" w:sz="4" w:space="0" w:color="000000"/>
              <w:right w:val="single" w:sz="4" w:space="0" w:color="000000"/>
            </w:tcBorders>
            <w:hideMark/>
          </w:tcPr>
          <w:p w14:paraId="3CC2C460" w14:textId="77777777" w:rsidR="00A41E60" w:rsidRPr="00D85E09" w:rsidRDefault="00A41E60" w:rsidP="0043316B">
            <w:pPr>
              <w:pStyle w:val="Tabletext"/>
              <w:keepNext w:val="0"/>
              <w:widowControl w:val="0"/>
              <w:jc w:val="center"/>
            </w:pPr>
            <w:r w:rsidRPr="00D85E09">
              <w:t>14.5%</w:t>
            </w:r>
          </w:p>
        </w:tc>
      </w:tr>
      <w:tr w:rsidR="00A41E60" w:rsidRPr="00D85E09" w14:paraId="648A90C2"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C31798"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0C6CF58B" w14:textId="77777777" w:rsidR="00A41E60" w:rsidRPr="00D85E09" w:rsidRDefault="00A41E60" w:rsidP="0043316B">
            <w:pPr>
              <w:pStyle w:val="Tabletext"/>
              <w:keepNext w:val="0"/>
              <w:widowControl w:val="0"/>
              <w:rPr>
                <w:b/>
              </w:rPr>
            </w:pPr>
            <w:r w:rsidRPr="00D85E09">
              <w:rPr>
                <w:b/>
              </w:rPr>
              <w:t>mRS 2</w:t>
            </w:r>
          </w:p>
        </w:tc>
        <w:tc>
          <w:tcPr>
            <w:tcW w:w="1031" w:type="dxa"/>
            <w:tcBorders>
              <w:top w:val="single" w:sz="4" w:space="0" w:color="000000"/>
              <w:left w:val="single" w:sz="4" w:space="0" w:color="000000"/>
              <w:bottom w:val="single" w:sz="4" w:space="0" w:color="000000"/>
              <w:right w:val="single" w:sz="4" w:space="0" w:color="000000"/>
            </w:tcBorders>
            <w:hideMark/>
          </w:tcPr>
          <w:p w14:paraId="4B14885F" w14:textId="77777777" w:rsidR="00A41E60" w:rsidRPr="00D85E09" w:rsidRDefault="00A41E60" w:rsidP="0043316B">
            <w:pPr>
              <w:pStyle w:val="Tabletext"/>
              <w:keepNext w:val="0"/>
              <w:widowControl w:val="0"/>
              <w:jc w:val="center"/>
            </w:pPr>
            <w:r w:rsidRPr="00D85E09">
              <w:t>30.9%</w:t>
            </w:r>
          </w:p>
        </w:tc>
        <w:tc>
          <w:tcPr>
            <w:tcW w:w="1032" w:type="dxa"/>
            <w:tcBorders>
              <w:top w:val="single" w:sz="4" w:space="0" w:color="000000"/>
              <w:left w:val="single" w:sz="4" w:space="0" w:color="000000"/>
              <w:bottom w:val="single" w:sz="4" w:space="0" w:color="000000"/>
              <w:right w:val="single" w:sz="4" w:space="0" w:color="000000"/>
            </w:tcBorders>
            <w:hideMark/>
          </w:tcPr>
          <w:p w14:paraId="6DC08B29" w14:textId="77777777" w:rsidR="00A41E60" w:rsidRPr="00D85E09" w:rsidRDefault="00A41E60" w:rsidP="0043316B">
            <w:pPr>
              <w:pStyle w:val="Tabletext"/>
              <w:keepNext w:val="0"/>
              <w:widowControl w:val="0"/>
              <w:jc w:val="center"/>
            </w:pPr>
            <w:r w:rsidRPr="00D85E09">
              <w:t>12.7%</w:t>
            </w:r>
          </w:p>
        </w:tc>
        <w:tc>
          <w:tcPr>
            <w:tcW w:w="1032" w:type="dxa"/>
            <w:tcBorders>
              <w:top w:val="single" w:sz="4" w:space="0" w:color="000000"/>
              <w:left w:val="single" w:sz="4" w:space="0" w:color="000000"/>
              <w:bottom w:val="single" w:sz="4" w:space="0" w:color="000000"/>
              <w:right w:val="single" w:sz="4" w:space="0" w:color="000000"/>
            </w:tcBorders>
            <w:hideMark/>
          </w:tcPr>
          <w:p w14:paraId="0EA79E41" w14:textId="77777777" w:rsidR="00A41E60" w:rsidRPr="00D85E09" w:rsidRDefault="00A41E60" w:rsidP="0043316B">
            <w:pPr>
              <w:pStyle w:val="Tabletext"/>
              <w:keepNext w:val="0"/>
              <w:widowControl w:val="0"/>
              <w:jc w:val="center"/>
            </w:pPr>
            <w:r w:rsidRPr="00D85E09">
              <w:t>18.2%</w:t>
            </w:r>
          </w:p>
        </w:tc>
        <w:tc>
          <w:tcPr>
            <w:tcW w:w="1032" w:type="dxa"/>
            <w:tcBorders>
              <w:top w:val="single" w:sz="4" w:space="0" w:color="000000"/>
              <w:left w:val="single" w:sz="4" w:space="0" w:color="000000"/>
              <w:bottom w:val="single" w:sz="4" w:space="0" w:color="000000"/>
              <w:right w:val="single" w:sz="4" w:space="0" w:color="000000"/>
            </w:tcBorders>
            <w:hideMark/>
          </w:tcPr>
          <w:p w14:paraId="4F6EEEEA" w14:textId="77777777" w:rsidR="00A41E60" w:rsidRPr="00D85E09" w:rsidRDefault="00A41E60" w:rsidP="0043316B">
            <w:pPr>
              <w:pStyle w:val="Tabletext"/>
              <w:keepNext w:val="0"/>
              <w:widowControl w:val="0"/>
              <w:jc w:val="center"/>
            </w:pPr>
            <w:r w:rsidRPr="00D85E09">
              <w:t>14.5%</w:t>
            </w:r>
          </w:p>
        </w:tc>
        <w:tc>
          <w:tcPr>
            <w:tcW w:w="1032" w:type="dxa"/>
            <w:tcBorders>
              <w:top w:val="single" w:sz="4" w:space="0" w:color="000000"/>
              <w:left w:val="single" w:sz="4" w:space="0" w:color="000000"/>
              <w:bottom w:val="single" w:sz="4" w:space="0" w:color="000000"/>
              <w:right w:val="single" w:sz="4" w:space="0" w:color="000000"/>
            </w:tcBorders>
            <w:hideMark/>
          </w:tcPr>
          <w:p w14:paraId="6DD075E6" w14:textId="77777777" w:rsidR="00A41E60" w:rsidRPr="00D85E09" w:rsidRDefault="00A41E60" w:rsidP="0043316B">
            <w:pPr>
              <w:pStyle w:val="Tabletext"/>
              <w:keepNext w:val="0"/>
              <w:widowControl w:val="0"/>
              <w:jc w:val="center"/>
            </w:pPr>
            <w:r w:rsidRPr="00D85E09">
              <w:t>7.3%</w:t>
            </w:r>
          </w:p>
        </w:tc>
        <w:tc>
          <w:tcPr>
            <w:tcW w:w="1032" w:type="dxa"/>
            <w:tcBorders>
              <w:top w:val="single" w:sz="4" w:space="0" w:color="000000"/>
              <w:left w:val="single" w:sz="4" w:space="0" w:color="000000"/>
              <w:bottom w:val="single" w:sz="4" w:space="0" w:color="000000"/>
              <w:right w:val="single" w:sz="4" w:space="0" w:color="000000"/>
            </w:tcBorders>
            <w:hideMark/>
          </w:tcPr>
          <w:p w14:paraId="7147F229" w14:textId="77777777" w:rsidR="00A41E60" w:rsidRPr="00D85E09" w:rsidRDefault="00A41E60" w:rsidP="0043316B">
            <w:pPr>
              <w:pStyle w:val="Tabletext"/>
              <w:keepNext w:val="0"/>
              <w:widowControl w:val="0"/>
              <w:jc w:val="center"/>
            </w:pPr>
            <w:r w:rsidRPr="00D85E09">
              <w:t>3.6%</w:t>
            </w:r>
          </w:p>
        </w:tc>
        <w:tc>
          <w:tcPr>
            <w:tcW w:w="1032" w:type="dxa"/>
            <w:tcBorders>
              <w:top w:val="single" w:sz="4" w:space="0" w:color="000000"/>
              <w:left w:val="single" w:sz="4" w:space="0" w:color="000000"/>
              <w:bottom w:val="single" w:sz="4" w:space="0" w:color="000000"/>
              <w:right w:val="single" w:sz="4" w:space="0" w:color="000000"/>
            </w:tcBorders>
            <w:hideMark/>
          </w:tcPr>
          <w:p w14:paraId="7022079A" w14:textId="77777777" w:rsidR="00A41E60" w:rsidRPr="00D85E09" w:rsidRDefault="00A41E60" w:rsidP="0043316B">
            <w:pPr>
              <w:pStyle w:val="Tabletext"/>
              <w:keepNext w:val="0"/>
              <w:widowControl w:val="0"/>
              <w:jc w:val="center"/>
            </w:pPr>
            <w:r w:rsidRPr="00D85E09">
              <w:t>12.7%</w:t>
            </w:r>
          </w:p>
        </w:tc>
      </w:tr>
      <w:tr w:rsidR="00A41E60" w:rsidRPr="00D85E09" w14:paraId="075AF50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E05F62"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64B80492" w14:textId="77777777" w:rsidR="00A41E60" w:rsidRPr="00D85E09" w:rsidRDefault="00A41E60" w:rsidP="0043316B">
            <w:pPr>
              <w:pStyle w:val="Tabletext"/>
              <w:keepNext w:val="0"/>
              <w:widowControl w:val="0"/>
              <w:rPr>
                <w:b/>
              </w:rPr>
            </w:pPr>
            <w:r w:rsidRPr="00D85E09">
              <w:rPr>
                <w:b/>
              </w:rPr>
              <w:t>mRS 3</w:t>
            </w:r>
          </w:p>
        </w:tc>
        <w:tc>
          <w:tcPr>
            <w:tcW w:w="1031" w:type="dxa"/>
            <w:tcBorders>
              <w:top w:val="single" w:sz="4" w:space="0" w:color="000000"/>
              <w:left w:val="single" w:sz="4" w:space="0" w:color="000000"/>
              <w:bottom w:val="single" w:sz="4" w:space="0" w:color="000000"/>
              <w:right w:val="single" w:sz="4" w:space="0" w:color="000000"/>
            </w:tcBorders>
            <w:hideMark/>
          </w:tcPr>
          <w:p w14:paraId="02944A4E" w14:textId="77777777" w:rsidR="00A41E60" w:rsidRPr="00D85E09" w:rsidRDefault="00A41E60" w:rsidP="0043316B">
            <w:pPr>
              <w:pStyle w:val="Tabletext"/>
              <w:keepNext w:val="0"/>
              <w:widowControl w:val="0"/>
              <w:jc w:val="center"/>
            </w:pPr>
            <w:r w:rsidRPr="00D85E09">
              <w:t>17.6%</w:t>
            </w:r>
          </w:p>
        </w:tc>
        <w:tc>
          <w:tcPr>
            <w:tcW w:w="1032" w:type="dxa"/>
            <w:tcBorders>
              <w:top w:val="single" w:sz="4" w:space="0" w:color="000000"/>
              <w:left w:val="single" w:sz="4" w:space="0" w:color="000000"/>
              <w:bottom w:val="single" w:sz="4" w:space="0" w:color="000000"/>
              <w:right w:val="single" w:sz="4" w:space="0" w:color="000000"/>
            </w:tcBorders>
            <w:hideMark/>
          </w:tcPr>
          <w:p w14:paraId="0DF35015" w14:textId="77777777" w:rsidR="00A41E60" w:rsidRPr="00D85E09" w:rsidRDefault="00A41E60" w:rsidP="0043316B">
            <w:pPr>
              <w:pStyle w:val="Tabletext"/>
              <w:keepNext w:val="0"/>
              <w:widowControl w:val="0"/>
              <w:jc w:val="center"/>
            </w:pPr>
            <w:r w:rsidRPr="00D85E09">
              <w:t>11.8%</w:t>
            </w:r>
          </w:p>
        </w:tc>
        <w:tc>
          <w:tcPr>
            <w:tcW w:w="1032" w:type="dxa"/>
            <w:tcBorders>
              <w:top w:val="single" w:sz="4" w:space="0" w:color="000000"/>
              <w:left w:val="single" w:sz="4" w:space="0" w:color="000000"/>
              <w:bottom w:val="single" w:sz="4" w:space="0" w:color="000000"/>
              <w:right w:val="single" w:sz="4" w:space="0" w:color="000000"/>
            </w:tcBorders>
            <w:hideMark/>
          </w:tcPr>
          <w:p w14:paraId="4A53DC85" w14:textId="77777777" w:rsidR="00A41E60" w:rsidRPr="00D85E09" w:rsidRDefault="00A41E60" w:rsidP="0043316B">
            <w:pPr>
              <w:pStyle w:val="Tabletext"/>
              <w:keepNext w:val="0"/>
              <w:widowControl w:val="0"/>
              <w:jc w:val="center"/>
            </w:pPr>
            <w:r w:rsidRPr="00D85E09">
              <w:t>17.6%</w:t>
            </w:r>
          </w:p>
        </w:tc>
        <w:tc>
          <w:tcPr>
            <w:tcW w:w="1032" w:type="dxa"/>
            <w:tcBorders>
              <w:top w:val="single" w:sz="4" w:space="0" w:color="000000"/>
              <w:left w:val="single" w:sz="4" w:space="0" w:color="000000"/>
              <w:bottom w:val="single" w:sz="4" w:space="0" w:color="000000"/>
              <w:right w:val="single" w:sz="4" w:space="0" w:color="000000"/>
            </w:tcBorders>
            <w:hideMark/>
          </w:tcPr>
          <w:p w14:paraId="0E3FAF37" w14:textId="77777777" w:rsidR="00A41E60" w:rsidRPr="00D85E09" w:rsidRDefault="00A41E60" w:rsidP="0043316B">
            <w:pPr>
              <w:pStyle w:val="Tabletext"/>
              <w:keepNext w:val="0"/>
              <w:widowControl w:val="0"/>
              <w:jc w:val="center"/>
            </w:pPr>
            <w:r w:rsidRPr="00D85E09">
              <w:t>17.6%</w:t>
            </w:r>
          </w:p>
        </w:tc>
        <w:tc>
          <w:tcPr>
            <w:tcW w:w="1032" w:type="dxa"/>
            <w:tcBorders>
              <w:top w:val="single" w:sz="4" w:space="0" w:color="000000"/>
              <w:left w:val="single" w:sz="4" w:space="0" w:color="000000"/>
              <w:bottom w:val="single" w:sz="4" w:space="0" w:color="000000"/>
              <w:right w:val="single" w:sz="4" w:space="0" w:color="000000"/>
            </w:tcBorders>
            <w:hideMark/>
          </w:tcPr>
          <w:p w14:paraId="3C317CBD" w14:textId="77777777" w:rsidR="00A41E60" w:rsidRPr="00D85E09" w:rsidRDefault="00A41E60" w:rsidP="0043316B">
            <w:pPr>
              <w:pStyle w:val="Tabletext"/>
              <w:keepNext w:val="0"/>
              <w:widowControl w:val="0"/>
              <w:jc w:val="center"/>
            </w:pPr>
            <w:r w:rsidRPr="00D85E09">
              <w:t>11.8%</w:t>
            </w:r>
          </w:p>
        </w:tc>
        <w:tc>
          <w:tcPr>
            <w:tcW w:w="1032" w:type="dxa"/>
            <w:tcBorders>
              <w:top w:val="single" w:sz="4" w:space="0" w:color="000000"/>
              <w:left w:val="single" w:sz="4" w:space="0" w:color="000000"/>
              <w:bottom w:val="single" w:sz="4" w:space="0" w:color="000000"/>
              <w:right w:val="single" w:sz="4" w:space="0" w:color="000000"/>
            </w:tcBorders>
            <w:hideMark/>
          </w:tcPr>
          <w:p w14:paraId="518B3B7F" w14:textId="77777777" w:rsidR="00A41E60" w:rsidRPr="00D85E09" w:rsidRDefault="00A41E60" w:rsidP="0043316B">
            <w:pPr>
              <w:pStyle w:val="Tabletext"/>
              <w:keepNext w:val="0"/>
              <w:widowControl w:val="0"/>
              <w:jc w:val="center"/>
            </w:pPr>
            <w:r w:rsidRPr="00D85E09">
              <w:t>5.9%</w:t>
            </w:r>
          </w:p>
        </w:tc>
        <w:tc>
          <w:tcPr>
            <w:tcW w:w="1032" w:type="dxa"/>
            <w:tcBorders>
              <w:top w:val="single" w:sz="4" w:space="0" w:color="000000"/>
              <w:left w:val="single" w:sz="4" w:space="0" w:color="000000"/>
              <w:bottom w:val="single" w:sz="4" w:space="0" w:color="000000"/>
              <w:right w:val="single" w:sz="4" w:space="0" w:color="000000"/>
            </w:tcBorders>
            <w:hideMark/>
          </w:tcPr>
          <w:p w14:paraId="657652FF" w14:textId="77777777" w:rsidR="00A41E60" w:rsidRPr="00D85E09" w:rsidRDefault="00A41E60" w:rsidP="0043316B">
            <w:pPr>
              <w:pStyle w:val="Tabletext"/>
              <w:keepNext w:val="0"/>
              <w:widowControl w:val="0"/>
              <w:jc w:val="center"/>
            </w:pPr>
            <w:r w:rsidRPr="00D85E09">
              <w:t>17.6%</w:t>
            </w:r>
          </w:p>
        </w:tc>
      </w:tr>
      <w:tr w:rsidR="00A41E60" w:rsidRPr="00D85E09" w14:paraId="4506194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5DE36"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0FDA95F6" w14:textId="77777777" w:rsidR="00A41E60" w:rsidRPr="00D85E09" w:rsidRDefault="00A41E60" w:rsidP="0043316B">
            <w:pPr>
              <w:pStyle w:val="Tabletext"/>
              <w:keepNext w:val="0"/>
              <w:widowControl w:val="0"/>
              <w:rPr>
                <w:b/>
              </w:rPr>
            </w:pPr>
            <w:r w:rsidRPr="00D85E09">
              <w:rPr>
                <w:b/>
              </w:rPr>
              <w:t>mRS 4</w:t>
            </w:r>
          </w:p>
        </w:tc>
        <w:tc>
          <w:tcPr>
            <w:tcW w:w="1031" w:type="dxa"/>
            <w:tcBorders>
              <w:top w:val="single" w:sz="4" w:space="0" w:color="000000"/>
              <w:left w:val="single" w:sz="4" w:space="0" w:color="000000"/>
              <w:bottom w:val="single" w:sz="4" w:space="0" w:color="000000"/>
              <w:right w:val="single" w:sz="4" w:space="0" w:color="000000"/>
            </w:tcBorders>
            <w:hideMark/>
          </w:tcPr>
          <w:p w14:paraId="4FB7B7C3" w14:textId="77777777" w:rsidR="00A41E60" w:rsidRPr="00D85E09" w:rsidRDefault="00A41E60" w:rsidP="0043316B">
            <w:pPr>
              <w:pStyle w:val="Tabletext"/>
              <w:keepNext w:val="0"/>
              <w:widowControl w:val="0"/>
              <w:jc w:val="center"/>
            </w:pPr>
            <w:r w:rsidRPr="00D85E09">
              <w:t>2.5%</w:t>
            </w:r>
          </w:p>
        </w:tc>
        <w:tc>
          <w:tcPr>
            <w:tcW w:w="1032" w:type="dxa"/>
            <w:tcBorders>
              <w:top w:val="single" w:sz="4" w:space="0" w:color="000000"/>
              <w:left w:val="single" w:sz="4" w:space="0" w:color="000000"/>
              <w:bottom w:val="single" w:sz="4" w:space="0" w:color="000000"/>
              <w:right w:val="single" w:sz="4" w:space="0" w:color="000000"/>
            </w:tcBorders>
            <w:hideMark/>
          </w:tcPr>
          <w:p w14:paraId="561192EC"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7B3E54D4" w14:textId="77777777" w:rsidR="00A41E60" w:rsidRPr="00D85E09" w:rsidRDefault="00A41E60" w:rsidP="0043316B">
            <w:pPr>
              <w:pStyle w:val="Tabletext"/>
              <w:keepNext w:val="0"/>
              <w:widowControl w:val="0"/>
              <w:jc w:val="center"/>
            </w:pPr>
            <w:r w:rsidRPr="00D85E09">
              <w:t>7.5%</w:t>
            </w:r>
          </w:p>
        </w:tc>
        <w:tc>
          <w:tcPr>
            <w:tcW w:w="1032" w:type="dxa"/>
            <w:tcBorders>
              <w:top w:val="single" w:sz="4" w:space="0" w:color="000000"/>
              <w:left w:val="single" w:sz="4" w:space="0" w:color="000000"/>
              <w:bottom w:val="single" w:sz="4" w:space="0" w:color="000000"/>
              <w:right w:val="single" w:sz="4" w:space="0" w:color="000000"/>
            </w:tcBorders>
            <w:hideMark/>
          </w:tcPr>
          <w:p w14:paraId="214934D7" w14:textId="77777777" w:rsidR="00A41E60" w:rsidRPr="00D85E09" w:rsidRDefault="00A41E60" w:rsidP="0043316B">
            <w:pPr>
              <w:pStyle w:val="Tabletext"/>
              <w:keepNext w:val="0"/>
              <w:widowControl w:val="0"/>
              <w:jc w:val="center"/>
            </w:pPr>
            <w:r w:rsidRPr="00D85E09">
              <w:t>10.0%</w:t>
            </w:r>
          </w:p>
        </w:tc>
        <w:tc>
          <w:tcPr>
            <w:tcW w:w="1032" w:type="dxa"/>
            <w:tcBorders>
              <w:top w:val="single" w:sz="4" w:space="0" w:color="000000"/>
              <w:left w:val="single" w:sz="4" w:space="0" w:color="000000"/>
              <w:bottom w:val="single" w:sz="4" w:space="0" w:color="000000"/>
              <w:right w:val="single" w:sz="4" w:space="0" w:color="000000"/>
            </w:tcBorders>
            <w:hideMark/>
          </w:tcPr>
          <w:p w14:paraId="107CDE45" w14:textId="77777777" w:rsidR="00A41E60" w:rsidRPr="00D85E09" w:rsidRDefault="00A41E60" w:rsidP="0043316B">
            <w:pPr>
              <w:pStyle w:val="Tabletext"/>
              <w:keepNext w:val="0"/>
              <w:widowControl w:val="0"/>
              <w:jc w:val="center"/>
            </w:pPr>
            <w:r w:rsidRPr="00D85E09">
              <w:t>27.5%</w:t>
            </w:r>
          </w:p>
        </w:tc>
        <w:tc>
          <w:tcPr>
            <w:tcW w:w="1032" w:type="dxa"/>
            <w:tcBorders>
              <w:top w:val="single" w:sz="4" w:space="0" w:color="000000"/>
              <w:left w:val="single" w:sz="4" w:space="0" w:color="000000"/>
              <w:bottom w:val="single" w:sz="4" w:space="0" w:color="000000"/>
              <w:right w:val="single" w:sz="4" w:space="0" w:color="000000"/>
            </w:tcBorders>
            <w:hideMark/>
          </w:tcPr>
          <w:p w14:paraId="2167BF74" w14:textId="77777777" w:rsidR="00A41E60" w:rsidRPr="00D85E09" w:rsidRDefault="00A41E60" w:rsidP="0043316B">
            <w:pPr>
              <w:pStyle w:val="Tabletext"/>
              <w:keepNext w:val="0"/>
              <w:widowControl w:val="0"/>
              <w:jc w:val="center"/>
            </w:pPr>
            <w:r w:rsidRPr="00D85E09">
              <w:t>37.5%</w:t>
            </w:r>
          </w:p>
        </w:tc>
        <w:tc>
          <w:tcPr>
            <w:tcW w:w="1032" w:type="dxa"/>
            <w:tcBorders>
              <w:top w:val="single" w:sz="4" w:space="0" w:color="000000"/>
              <w:left w:val="single" w:sz="4" w:space="0" w:color="000000"/>
              <w:bottom w:val="single" w:sz="4" w:space="0" w:color="000000"/>
              <w:right w:val="single" w:sz="4" w:space="0" w:color="000000"/>
            </w:tcBorders>
            <w:hideMark/>
          </w:tcPr>
          <w:p w14:paraId="24289C6F" w14:textId="77777777" w:rsidR="00A41E60" w:rsidRPr="00D85E09" w:rsidRDefault="00A41E60" w:rsidP="0043316B">
            <w:pPr>
              <w:pStyle w:val="Tabletext"/>
              <w:keepNext w:val="0"/>
              <w:widowControl w:val="0"/>
              <w:jc w:val="center"/>
            </w:pPr>
            <w:r w:rsidRPr="00D85E09">
              <w:t>15.0%</w:t>
            </w:r>
          </w:p>
        </w:tc>
      </w:tr>
      <w:tr w:rsidR="00A41E60" w:rsidRPr="00D85E09" w14:paraId="63BC7980"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039EAB" w14:textId="77777777" w:rsidR="00A41E60" w:rsidRPr="00D85E09" w:rsidRDefault="00A41E60" w:rsidP="0043316B">
            <w:pPr>
              <w:widowControl w:val="0"/>
              <w:spacing w:after="0" w:line="240" w:lineRule="auto"/>
              <w:rPr>
                <w:rFonts w:ascii="Arial Narrow" w:hAnsi="Arial Narrow" w:cs="Times New Roman"/>
                <w:b/>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23EAC79C" w14:textId="77777777" w:rsidR="00A41E60" w:rsidRPr="00D85E09" w:rsidRDefault="00A41E60" w:rsidP="0043316B">
            <w:pPr>
              <w:pStyle w:val="Tabletext"/>
              <w:keepNext w:val="0"/>
              <w:widowControl w:val="0"/>
              <w:rPr>
                <w:b/>
              </w:rPr>
            </w:pPr>
            <w:r w:rsidRPr="00D85E09">
              <w:rPr>
                <w:b/>
              </w:rPr>
              <w:t>mRS 5</w:t>
            </w:r>
          </w:p>
        </w:tc>
        <w:tc>
          <w:tcPr>
            <w:tcW w:w="1031" w:type="dxa"/>
            <w:tcBorders>
              <w:top w:val="single" w:sz="4" w:space="0" w:color="000000"/>
              <w:left w:val="single" w:sz="4" w:space="0" w:color="000000"/>
              <w:bottom w:val="single" w:sz="4" w:space="0" w:color="000000"/>
              <w:right w:val="single" w:sz="4" w:space="0" w:color="000000"/>
            </w:tcBorders>
            <w:hideMark/>
          </w:tcPr>
          <w:p w14:paraId="00F87C13"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57BC948E"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789BF981"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12BFC114"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615ECF71"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0D48FE37" w14:textId="77777777" w:rsidR="00A41E60" w:rsidRPr="00D85E09" w:rsidRDefault="00A41E60" w:rsidP="0043316B">
            <w:pPr>
              <w:pStyle w:val="Tabletext"/>
              <w:keepNext w:val="0"/>
              <w:widowControl w:val="0"/>
              <w:jc w:val="center"/>
            </w:pPr>
            <w:r w:rsidRPr="00D85E09">
              <w:t>31.3%</w:t>
            </w:r>
          </w:p>
        </w:tc>
        <w:tc>
          <w:tcPr>
            <w:tcW w:w="1032" w:type="dxa"/>
            <w:tcBorders>
              <w:top w:val="single" w:sz="4" w:space="0" w:color="000000"/>
              <w:left w:val="single" w:sz="4" w:space="0" w:color="000000"/>
              <w:bottom w:val="single" w:sz="4" w:space="0" w:color="000000"/>
              <w:right w:val="single" w:sz="4" w:space="0" w:color="000000"/>
            </w:tcBorders>
            <w:hideMark/>
          </w:tcPr>
          <w:p w14:paraId="444D477E" w14:textId="77777777" w:rsidR="00A41E60" w:rsidRPr="00D85E09" w:rsidRDefault="00A41E60" w:rsidP="0043316B">
            <w:pPr>
              <w:pStyle w:val="Tabletext"/>
              <w:keepNext w:val="0"/>
              <w:widowControl w:val="0"/>
              <w:jc w:val="center"/>
            </w:pPr>
            <w:r w:rsidRPr="00D85E09">
              <w:t>68.8%</w:t>
            </w:r>
          </w:p>
        </w:tc>
      </w:tr>
    </w:tbl>
    <w:p w14:paraId="508DFD57" w14:textId="3399115F" w:rsidR="00A41E60" w:rsidRPr="00D85E09" w:rsidRDefault="00A41E60" w:rsidP="0043316B">
      <w:pPr>
        <w:pStyle w:val="Tablefooter"/>
        <w:widowControl w:val="0"/>
      </w:pPr>
      <w:r w:rsidRPr="00D85E09">
        <w:t>Abbreviations: mRS, modified Rankin Score</w:t>
      </w:r>
      <w:r w:rsidRPr="00D85E09">
        <w:br/>
        <w:t xml:space="preserve">Source: Gensicke et al 2013 (see </w:t>
      </w:r>
      <w:r w:rsidRPr="00D85E09">
        <w:fldChar w:fldCharType="begin"/>
      </w:r>
      <w:r w:rsidRPr="00D85E09">
        <w:instrText xml:space="preserve"> REF _Ref450648402 \h  \* MERGEFORMAT </w:instrText>
      </w:r>
      <w:r w:rsidRPr="00D85E09">
        <w:fldChar w:fldCharType="separate"/>
      </w:r>
      <w:r w:rsidR="00A456ED" w:rsidRPr="00D85E09">
        <w:t xml:space="preserve">Table </w:t>
      </w:r>
      <w:r w:rsidR="00A456ED">
        <w:t>70</w:t>
      </w:r>
      <w:r w:rsidRPr="00D85E09">
        <w:fldChar w:fldCharType="end"/>
      </w:r>
      <w:r w:rsidRPr="00D85E09">
        <w:t>)</w:t>
      </w:r>
    </w:p>
    <w:p w14:paraId="723CC446" w14:textId="33DA9241" w:rsidR="00C13682" w:rsidRDefault="00C13682" w:rsidP="0043316B">
      <w:pPr>
        <w:widowControl w:val="0"/>
        <w:spacing w:line="240" w:lineRule="auto"/>
      </w:pPr>
      <w:r>
        <w:br w:type="page"/>
      </w:r>
    </w:p>
    <w:p w14:paraId="63299B28" w14:textId="77777777" w:rsidR="00A41E60" w:rsidRPr="00D85E09" w:rsidRDefault="00A41E60" w:rsidP="0043316B">
      <w:pPr>
        <w:widowControl w:val="0"/>
        <w:spacing w:line="240" w:lineRule="auto"/>
      </w:pPr>
    </w:p>
    <w:p w14:paraId="2042B12F" w14:textId="40DF110E" w:rsidR="00A41E60" w:rsidRPr="00D85E09" w:rsidRDefault="00A41E60" w:rsidP="0043316B">
      <w:pPr>
        <w:pStyle w:val="Caption"/>
        <w:keepNext w:val="0"/>
        <w:widowControl w:val="0"/>
        <w:rPr>
          <w:lang w:val="en-AU"/>
        </w:rPr>
      </w:pPr>
      <w:bookmarkStart w:id="468" w:name="_Ref451421543"/>
      <w:bookmarkStart w:id="469" w:name="_Toc45306540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73</w:t>
      </w:r>
      <w:r w:rsidRPr="00D85E09">
        <w:rPr>
          <w:lang w:val="en-AU"/>
        </w:rPr>
        <w:fldChar w:fldCharType="end"/>
      </w:r>
      <w:bookmarkEnd w:id="468"/>
      <w:r w:rsidRPr="00D85E09">
        <w:rPr>
          <w:lang w:val="en-AU"/>
        </w:rPr>
        <w:tab/>
        <w:t>Calculated mRS distribution at Day 365 after rehabilitation effects – the base case Section D model assumption</w:t>
      </w:r>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73 Calculated mRS distribution at Day 365 after rehabilitation effects – the base case Section D model assumption"/>
      </w:tblPr>
      <w:tblGrid>
        <w:gridCol w:w="3175"/>
        <w:gridCol w:w="873"/>
        <w:gridCol w:w="873"/>
        <w:gridCol w:w="875"/>
        <w:gridCol w:w="875"/>
        <w:gridCol w:w="875"/>
        <w:gridCol w:w="875"/>
        <w:gridCol w:w="867"/>
      </w:tblGrid>
      <w:tr w:rsidR="00A41E60" w:rsidRPr="00D85E09" w14:paraId="44150A76" w14:textId="77777777" w:rsidTr="00A41E60">
        <w:trPr>
          <w:trHeight w:val="329"/>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39942660" w14:textId="77777777" w:rsidR="00A41E60" w:rsidRPr="00D85E09" w:rsidRDefault="00A41E60" w:rsidP="0043316B">
            <w:pPr>
              <w:pStyle w:val="Tabletext"/>
              <w:keepNext w:val="0"/>
              <w:widowControl w:val="0"/>
              <w:rPr>
                <w:b/>
              </w:rPr>
            </w:pPr>
            <w:r w:rsidRPr="00D85E09">
              <w:rPr>
                <w:b/>
              </w:rPr>
              <w:t>mRS</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0391039A" w14:textId="77777777" w:rsidR="00A41E60" w:rsidRPr="00D85E09" w:rsidRDefault="00A41E60" w:rsidP="0043316B">
            <w:pPr>
              <w:pStyle w:val="Tabletext"/>
              <w:keepNext w:val="0"/>
              <w:widowControl w:val="0"/>
              <w:rPr>
                <w:b/>
              </w:rPr>
            </w:pPr>
            <w:r w:rsidRPr="00D85E09">
              <w:rPr>
                <w:b/>
              </w:rPr>
              <w:t>mRS 0</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6D43CC70" w14:textId="77777777" w:rsidR="00A41E60" w:rsidRPr="00D85E09" w:rsidRDefault="00A41E60" w:rsidP="0043316B">
            <w:pPr>
              <w:pStyle w:val="Tabletext"/>
              <w:keepNext w:val="0"/>
              <w:widowControl w:val="0"/>
              <w:rPr>
                <w:b/>
              </w:rPr>
            </w:pPr>
            <w:r w:rsidRPr="00D85E09">
              <w:rPr>
                <w:b/>
              </w:rPr>
              <w:t>mRS 1</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5D06C5F1" w14:textId="77777777" w:rsidR="00A41E60" w:rsidRPr="00D85E09" w:rsidRDefault="00A41E60" w:rsidP="0043316B">
            <w:pPr>
              <w:pStyle w:val="Tabletext"/>
              <w:keepNext w:val="0"/>
              <w:widowControl w:val="0"/>
              <w:rPr>
                <w:b/>
              </w:rPr>
            </w:pPr>
            <w:r w:rsidRPr="00D85E09">
              <w:rPr>
                <w:b/>
              </w:rPr>
              <w:t>mRS 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67E4A60F" w14:textId="77777777" w:rsidR="00A41E60" w:rsidRPr="00D85E09" w:rsidRDefault="00A41E60" w:rsidP="0043316B">
            <w:pPr>
              <w:pStyle w:val="Tabletext"/>
              <w:keepNext w:val="0"/>
              <w:widowControl w:val="0"/>
              <w:rPr>
                <w:b/>
              </w:rPr>
            </w:pPr>
            <w:r w:rsidRPr="00D85E09">
              <w:rPr>
                <w:b/>
              </w:rPr>
              <w:t>mRS 3</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49C382C9" w14:textId="77777777" w:rsidR="00A41E60" w:rsidRPr="00D85E09" w:rsidRDefault="00A41E60" w:rsidP="0043316B">
            <w:pPr>
              <w:pStyle w:val="Tabletext"/>
              <w:keepNext w:val="0"/>
              <w:widowControl w:val="0"/>
              <w:rPr>
                <w:b/>
              </w:rPr>
            </w:pPr>
            <w:r w:rsidRPr="00D85E09">
              <w:rPr>
                <w:b/>
              </w:rPr>
              <w:t>mRS 4</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6C7D4417" w14:textId="77777777" w:rsidR="00A41E60" w:rsidRPr="00D85E09" w:rsidRDefault="00A41E60" w:rsidP="0043316B">
            <w:pPr>
              <w:pStyle w:val="Tabletext"/>
              <w:keepNext w:val="0"/>
              <w:widowControl w:val="0"/>
              <w:rPr>
                <w:b/>
              </w:rPr>
            </w:pPr>
            <w:r w:rsidRPr="00D85E09">
              <w:rPr>
                <w:b/>
              </w:rPr>
              <w:t>mRS 5</w:t>
            </w:r>
          </w:p>
        </w:tc>
        <w:tc>
          <w:tcPr>
            <w:tcW w:w="468" w:type="pct"/>
            <w:tcBorders>
              <w:top w:val="single" w:sz="4" w:space="0" w:color="auto"/>
              <w:left w:val="single" w:sz="4" w:space="0" w:color="auto"/>
              <w:bottom w:val="single" w:sz="4" w:space="0" w:color="auto"/>
              <w:right w:val="single" w:sz="4" w:space="0" w:color="auto"/>
            </w:tcBorders>
            <w:noWrap/>
            <w:vAlign w:val="center"/>
            <w:hideMark/>
          </w:tcPr>
          <w:p w14:paraId="1CAA15DA" w14:textId="77777777" w:rsidR="00A41E60" w:rsidRPr="00D85E09" w:rsidRDefault="00A41E60" w:rsidP="0043316B">
            <w:pPr>
              <w:pStyle w:val="Tabletext"/>
              <w:keepNext w:val="0"/>
              <w:widowControl w:val="0"/>
              <w:rPr>
                <w:b/>
              </w:rPr>
            </w:pPr>
            <w:r w:rsidRPr="00D85E09">
              <w:rPr>
                <w:b/>
              </w:rPr>
              <w:t>Dead</w:t>
            </w:r>
          </w:p>
        </w:tc>
      </w:tr>
      <w:tr w:rsidR="00A41E60" w:rsidRPr="00D85E09" w14:paraId="4AF89CF1" w14:textId="77777777" w:rsidTr="00A41E60">
        <w:trPr>
          <w:trHeight w:val="330"/>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763F2888" w14:textId="77777777" w:rsidR="00A41E60" w:rsidRPr="00D85E09" w:rsidRDefault="00A41E60" w:rsidP="0043316B">
            <w:pPr>
              <w:pStyle w:val="Tabletext"/>
              <w:keepNext w:val="0"/>
              <w:widowControl w:val="0"/>
            </w:pPr>
            <w:r w:rsidRPr="00D85E09">
              <w:t>At Day 365</w:t>
            </w:r>
          </w:p>
        </w:tc>
        <w:tc>
          <w:tcPr>
            <w:tcW w:w="470" w:type="pct"/>
            <w:tcBorders>
              <w:top w:val="single" w:sz="4" w:space="0" w:color="auto"/>
              <w:left w:val="single" w:sz="4" w:space="0" w:color="auto"/>
              <w:bottom w:val="single" w:sz="4" w:space="0" w:color="auto"/>
              <w:right w:val="single" w:sz="4" w:space="0" w:color="auto"/>
            </w:tcBorders>
            <w:noWrap/>
          </w:tcPr>
          <w:p w14:paraId="7002D72C" w14:textId="77777777" w:rsidR="00A41E60" w:rsidRPr="00D85E09" w:rsidRDefault="00A41E60" w:rsidP="0043316B">
            <w:pPr>
              <w:pStyle w:val="Tabletext"/>
              <w:keepNext w:val="0"/>
              <w:widowControl w:val="0"/>
            </w:pPr>
          </w:p>
        </w:tc>
        <w:tc>
          <w:tcPr>
            <w:tcW w:w="470" w:type="pct"/>
            <w:tcBorders>
              <w:top w:val="single" w:sz="4" w:space="0" w:color="auto"/>
              <w:left w:val="single" w:sz="4" w:space="0" w:color="auto"/>
              <w:bottom w:val="single" w:sz="4" w:space="0" w:color="auto"/>
              <w:right w:val="single" w:sz="4" w:space="0" w:color="auto"/>
            </w:tcBorders>
            <w:noWrap/>
          </w:tcPr>
          <w:p w14:paraId="3805B73C"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tcPr>
          <w:p w14:paraId="4E534333"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tcPr>
          <w:p w14:paraId="6B45E387"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tcPr>
          <w:p w14:paraId="73369060"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tcPr>
          <w:p w14:paraId="0F4DA718" w14:textId="77777777" w:rsidR="00A41E60" w:rsidRPr="00D85E09" w:rsidRDefault="00A41E60" w:rsidP="0043316B">
            <w:pPr>
              <w:pStyle w:val="Tabletext"/>
              <w:keepNext w:val="0"/>
              <w:widowControl w:val="0"/>
            </w:pPr>
          </w:p>
        </w:tc>
        <w:tc>
          <w:tcPr>
            <w:tcW w:w="468" w:type="pct"/>
            <w:tcBorders>
              <w:top w:val="single" w:sz="4" w:space="0" w:color="auto"/>
              <w:left w:val="single" w:sz="4" w:space="0" w:color="auto"/>
              <w:bottom w:val="single" w:sz="4" w:space="0" w:color="auto"/>
              <w:right w:val="single" w:sz="4" w:space="0" w:color="auto"/>
            </w:tcBorders>
            <w:noWrap/>
          </w:tcPr>
          <w:p w14:paraId="310FECB5" w14:textId="77777777" w:rsidR="00A41E60" w:rsidRPr="00D85E09" w:rsidRDefault="00A41E60" w:rsidP="0043316B">
            <w:pPr>
              <w:pStyle w:val="Tabletext"/>
              <w:keepNext w:val="0"/>
              <w:widowControl w:val="0"/>
            </w:pPr>
          </w:p>
        </w:tc>
      </w:tr>
      <w:tr w:rsidR="00A41E60" w:rsidRPr="00D85E09" w14:paraId="376F77A3" w14:textId="77777777" w:rsidTr="00A41E60">
        <w:trPr>
          <w:trHeight w:val="330"/>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3EA9A470" w14:textId="77777777" w:rsidR="00A41E60" w:rsidRPr="00D85E09" w:rsidRDefault="00A41E60" w:rsidP="0043316B">
            <w:pPr>
              <w:pStyle w:val="Tabletext"/>
              <w:keepNext w:val="0"/>
              <w:widowControl w:val="0"/>
            </w:pPr>
            <w:r w:rsidRPr="00D85E09">
              <w:t>Mechanical thrombectomy + usual care</w:t>
            </w:r>
          </w:p>
        </w:tc>
        <w:tc>
          <w:tcPr>
            <w:tcW w:w="470" w:type="pct"/>
            <w:tcBorders>
              <w:top w:val="single" w:sz="4" w:space="0" w:color="auto"/>
              <w:left w:val="single" w:sz="4" w:space="0" w:color="auto"/>
              <w:bottom w:val="single" w:sz="4" w:space="0" w:color="auto"/>
              <w:right w:val="single" w:sz="4" w:space="0" w:color="auto"/>
            </w:tcBorders>
            <w:noWrap/>
            <w:hideMark/>
          </w:tcPr>
          <w:p w14:paraId="0D164331" w14:textId="77777777" w:rsidR="00A41E60" w:rsidRPr="00D85E09" w:rsidRDefault="00A41E60" w:rsidP="0043316B">
            <w:pPr>
              <w:pStyle w:val="Tabletext"/>
              <w:keepNext w:val="0"/>
              <w:widowControl w:val="0"/>
            </w:pPr>
            <w:r w:rsidRPr="00D85E09">
              <w:t>26.1%</w:t>
            </w:r>
          </w:p>
        </w:tc>
        <w:tc>
          <w:tcPr>
            <w:tcW w:w="470" w:type="pct"/>
            <w:tcBorders>
              <w:top w:val="single" w:sz="4" w:space="0" w:color="auto"/>
              <w:left w:val="single" w:sz="4" w:space="0" w:color="auto"/>
              <w:bottom w:val="single" w:sz="4" w:space="0" w:color="auto"/>
              <w:right w:val="single" w:sz="4" w:space="0" w:color="auto"/>
            </w:tcBorders>
            <w:noWrap/>
            <w:hideMark/>
          </w:tcPr>
          <w:p w14:paraId="2A1C74DC" w14:textId="77777777" w:rsidR="00A41E60" w:rsidRPr="00D85E09" w:rsidRDefault="00A41E60" w:rsidP="0043316B">
            <w:pPr>
              <w:pStyle w:val="Tabletext"/>
              <w:keepNext w:val="0"/>
              <w:widowControl w:val="0"/>
            </w:pPr>
            <w:r w:rsidRPr="00D85E09">
              <w:t>6.4%</w:t>
            </w:r>
          </w:p>
        </w:tc>
        <w:tc>
          <w:tcPr>
            <w:tcW w:w="471" w:type="pct"/>
            <w:tcBorders>
              <w:top w:val="single" w:sz="4" w:space="0" w:color="auto"/>
              <w:left w:val="single" w:sz="4" w:space="0" w:color="auto"/>
              <w:bottom w:val="single" w:sz="4" w:space="0" w:color="auto"/>
              <w:right w:val="single" w:sz="4" w:space="0" w:color="auto"/>
            </w:tcBorders>
            <w:noWrap/>
            <w:hideMark/>
          </w:tcPr>
          <w:p w14:paraId="20BBEF65" w14:textId="77777777" w:rsidR="00A41E60" w:rsidRPr="00D85E09" w:rsidRDefault="00A41E60" w:rsidP="0043316B">
            <w:pPr>
              <w:pStyle w:val="Tabletext"/>
              <w:keepNext w:val="0"/>
              <w:widowControl w:val="0"/>
            </w:pPr>
            <w:r w:rsidRPr="00D85E09">
              <w:t>8.7%</w:t>
            </w:r>
          </w:p>
        </w:tc>
        <w:tc>
          <w:tcPr>
            <w:tcW w:w="471" w:type="pct"/>
            <w:tcBorders>
              <w:top w:val="single" w:sz="4" w:space="0" w:color="auto"/>
              <w:left w:val="single" w:sz="4" w:space="0" w:color="auto"/>
              <w:bottom w:val="single" w:sz="4" w:space="0" w:color="auto"/>
              <w:right w:val="single" w:sz="4" w:space="0" w:color="auto"/>
            </w:tcBorders>
            <w:noWrap/>
            <w:hideMark/>
          </w:tcPr>
          <w:p w14:paraId="64DBB681" w14:textId="77777777" w:rsidR="00A41E60" w:rsidRPr="00D85E09" w:rsidRDefault="00A41E60" w:rsidP="0043316B">
            <w:pPr>
              <w:pStyle w:val="Tabletext"/>
              <w:keepNext w:val="0"/>
              <w:widowControl w:val="0"/>
            </w:pPr>
            <w:r w:rsidRPr="00D85E09">
              <w:t>8.2%</w:t>
            </w:r>
          </w:p>
        </w:tc>
        <w:tc>
          <w:tcPr>
            <w:tcW w:w="471" w:type="pct"/>
            <w:tcBorders>
              <w:top w:val="single" w:sz="4" w:space="0" w:color="auto"/>
              <w:left w:val="single" w:sz="4" w:space="0" w:color="auto"/>
              <w:bottom w:val="single" w:sz="4" w:space="0" w:color="auto"/>
              <w:right w:val="single" w:sz="4" w:space="0" w:color="auto"/>
            </w:tcBorders>
            <w:noWrap/>
            <w:hideMark/>
          </w:tcPr>
          <w:p w14:paraId="5BF55146" w14:textId="77777777" w:rsidR="00A41E60" w:rsidRPr="00D85E09" w:rsidRDefault="00A41E60" w:rsidP="0043316B">
            <w:pPr>
              <w:pStyle w:val="Tabletext"/>
              <w:keepNext w:val="0"/>
              <w:widowControl w:val="0"/>
            </w:pPr>
            <w:r w:rsidRPr="00D85E09">
              <w:t>9.4%</w:t>
            </w:r>
          </w:p>
        </w:tc>
        <w:tc>
          <w:tcPr>
            <w:tcW w:w="471" w:type="pct"/>
            <w:tcBorders>
              <w:top w:val="single" w:sz="4" w:space="0" w:color="auto"/>
              <w:left w:val="single" w:sz="4" w:space="0" w:color="auto"/>
              <w:bottom w:val="single" w:sz="4" w:space="0" w:color="auto"/>
              <w:right w:val="single" w:sz="4" w:space="0" w:color="auto"/>
            </w:tcBorders>
            <w:noWrap/>
            <w:hideMark/>
          </w:tcPr>
          <w:p w14:paraId="6D3BBF2C" w14:textId="77777777" w:rsidR="00A41E60" w:rsidRPr="00D85E09" w:rsidRDefault="00A41E60" w:rsidP="0043316B">
            <w:pPr>
              <w:pStyle w:val="Tabletext"/>
              <w:keepNext w:val="0"/>
              <w:widowControl w:val="0"/>
            </w:pPr>
            <w:r w:rsidRPr="00D85E09">
              <w:t>10.1%</w:t>
            </w:r>
          </w:p>
        </w:tc>
        <w:tc>
          <w:tcPr>
            <w:tcW w:w="468" w:type="pct"/>
            <w:tcBorders>
              <w:top w:val="single" w:sz="4" w:space="0" w:color="auto"/>
              <w:left w:val="single" w:sz="4" w:space="0" w:color="auto"/>
              <w:bottom w:val="single" w:sz="4" w:space="0" w:color="auto"/>
              <w:right w:val="single" w:sz="4" w:space="0" w:color="auto"/>
            </w:tcBorders>
            <w:noWrap/>
            <w:hideMark/>
          </w:tcPr>
          <w:p w14:paraId="2821E589" w14:textId="77777777" w:rsidR="00A41E60" w:rsidRPr="00D85E09" w:rsidRDefault="00A41E60" w:rsidP="0043316B">
            <w:pPr>
              <w:pStyle w:val="Tabletext"/>
              <w:keepNext w:val="0"/>
              <w:widowControl w:val="0"/>
            </w:pPr>
            <w:r w:rsidRPr="00D85E09">
              <w:t>31.1%</w:t>
            </w:r>
          </w:p>
        </w:tc>
      </w:tr>
      <w:tr w:rsidR="00A41E60" w:rsidRPr="00D85E09" w14:paraId="0F41FFB4" w14:textId="77777777" w:rsidTr="00A41E60">
        <w:trPr>
          <w:trHeight w:val="329"/>
        </w:trPr>
        <w:tc>
          <w:tcPr>
            <w:tcW w:w="1709" w:type="pct"/>
            <w:tcBorders>
              <w:top w:val="single" w:sz="4" w:space="0" w:color="auto"/>
              <w:left w:val="single" w:sz="4" w:space="0" w:color="auto"/>
              <w:bottom w:val="single" w:sz="4" w:space="0" w:color="auto"/>
              <w:right w:val="single" w:sz="4" w:space="0" w:color="auto"/>
            </w:tcBorders>
            <w:noWrap/>
            <w:vAlign w:val="center"/>
            <w:hideMark/>
          </w:tcPr>
          <w:p w14:paraId="4A4D6AE7" w14:textId="77777777" w:rsidR="00A41E60" w:rsidRPr="00D85E09" w:rsidRDefault="00A41E60" w:rsidP="0043316B">
            <w:pPr>
              <w:pStyle w:val="Tabletext"/>
              <w:keepNext w:val="0"/>
              <w:widowControl w:val="0"/>
            </w:pPr>
            <w:r w:rsidRPr="00D85E09">
              <w:t>Usual care alone</w:t>
            </w:r>
          </w:p>
        </w:tc>
        <w:tc>
          <w:tcPr>
            <w:tcW w:w="470" w:type="pct"/>
            <w:tcBorders>
              <w:top w:val="single" w:sz="4" w:space="0" w:color="auto"/>
              <w:left w:val="single" w:sz="4" w:space="0" w:color="auto"/>
              <w:bottom w:val="single" w:sz="4" w:space="0" w:color="auto"/>
              <w:right w:val="single" w:sz="4" w:space="0" w:color="auto"/>
            </w:tcBorders>
            <w:noWrap/>
            <w:hideMark/>
          </w:tcPr>
          <w:p w14:paraId="170AECB9" w14:textId="77777777" w:rsidR="00A41E60" w:rsidRPr="00D85E09" w:rsidRDefault="00A41E60" w:rsidP="0043316B">
            <w:pPr>
              <w:pStyle w:val="Tabletext"/>
              <w:keepNext w:val="0"/>
              <w:widowControl w:val="0"/>
            </w:pPr>
            <w:r w:rsidRPr="00D85E09">
              <w:t>15.8%</w:t>
            </w:r>
          </w:p>
        </w:tc>
        <w:tc>
          <w:tcPr>
            <w:tcW w:w="470" w:type="pct"/>
            <w:tcBorders>
              <w:top w:val="single" w:sz="4" w:space="0" w:color="auto"/>
              <w:left w:val="single" w:sz="4" w:space="0" w:color="auto"/>
              <w:bottom w:val="single" w:sz="4" w:space="0" w:color="auto"/>
              <w:right w:val="single" w:sz="4" w:space="0" w:color="auto"/>
            </w:tcBorders>
            <w:noWrap/>
            <w:hideMark/>
          </w:tcPr>
          <w:p w14:paraId="19282FA7" w14:textId="77777777" w:rsidR="00A41E60" w:rsidRPr="00D85E09" w:rsidRDefault="00A41E60" w:rsidP="0043316B">
            <w:pPr>
              <w:pStyle w:val="Tabletext"/>
              <w:keepNext w:val="0"/>
              <w:widowControl w:val="0"/>
            </w:pPr>
            <w:r w:rsidRPr="00D85E09">
              <w:t>4.6%</w:t>
            </w:r>
          </w:p>
        </w:tc>
        <w:tc>
          <w:tcPr>
            <w:tcW w:w="471" w:type="pct"/>
            <w:tcBorders>
              <w:top w:val="single" w:sz="4" w:space="0" w:color="auto"/>
              <w:left w:val="single" w:sz="4" w:space="0" w:color="auto"/>
              <w:bottom w:val="single" w:sz="4" w:space="0" w:color="auto"/>
              <w:right w:val="single" w:sz="4" w:space="0" w:color="auto"/>
            </w:tcBorders>
            <w:noWrap/>
            <w:hideMark/>
          </w:tcPr>
          <w:p w14:paraId="35B8E738" w14:textId="77777777" w:rsidR="00A41E60" w:rsidRPr="00D85E09" w:rsidRDefault="00A41E60" w:rsidP="0043316B">
            <w:pPr>
              <w:pStyle w:val="Tabletext"/>
              <w:keepNext w:val="0"/>
              <w:widowControl w:val="0"/>
            </w:pPr>
            <w:r w:rsidRPr="00D85E09">
              <w:t>7.7%</w:t>
            </w:r>
          </w:p>
        </w:tc>
        <w:tc>
          <w:tcPr>
            <w:tcW w:w="471" w:type="pct"/>
            <w:tcBorders>
              <w:top w:val="single" w:sz="4" w:space="0" w:color="auto"/>
              <w:left w:val="single" w:sz="4" w:space="0" w:color="auto"/>
              <w:bottom w:val="single" w:sz="4" w:space="0" w:color="auto"/>
              <w:right w:val="single" w:sz="4" w:space="0" w:color="auto"/>
            </w:tcBorders>
            <w:noWrap/>
            <w:hideMark/>
          </w:tcPr>
          <w:p w14:paraId="118B291C" w14:textId="77777777" w:rsidR="00A41E60" w:rsidRPr="00D85E09" w:rsidRDefault="00A41E60" w:rsidP="0043316B">
            <w:pPr>
              <w:pStyle w:val="Tabletext"/>
              <w:keepNext w:val="0"/>
              <w:widowControl w:val="0"/>
            </w:pPr>
            <w:r w:rsidRPr="00D85E09">
              <w:t>7.8%</w:t>
            </w:r>
          </w:p>
        </w:tc>
        <w:tc>
          <w:tcPr>
            <w:tcW w:w="471" w:type="pct"/>
            <w:tcBorders>
              <w:top w:val="single" w:sz="4" w:space="0" w:color="auto"/>
              <w:left w:val="single" w:sz="4" w:space="0" w:color="auto"/>
              <w:bottom w:val="single" w:sz="4" w:space="0" w:color="auto"/>
              <w:right w:val="single" w:sz="4" w:space="0" w:color="auto"/>
            </w:tcBorders>
            <w:noWrap/>
            <w:hideMark/>
          </w:tcPr>
          <w:p w14:paraId="22B4E1E1" w14:textId="77777777" w:rsidR="00A41E60" w:rsidRPr="00D85E09" w:rsidRDefault="00A41E60" w:rsidP="0043316B">
            <w:pPr>
              <w:pStyle w:val="Tabletext"/>
              <w:keepNext w:val="0"/>
              <w:widowControl w:val="0"/>
            </w:pPr>
            <w:r w:rsidRPr="00D85E09">
              <w:t>10.5%</w:t>
            </w:r>
          </w:p>
        </w:tc>
        <w:tc>
          <w:tcPr>
            <w:tcW w:w="471" w:type="pct"/>
            <w:tcBorders>
              <w:top w:val="single" w:sz="4" w:space="0" w:color="auto"/>
              <w:left w:val="single" w:sz="4" w:space="0" w:color="auto"/>
              <w:bottom w:val="single" w:sz="4" w:space="0" w:color="auto"/>
              <w:right w:val="single" w:sz="4" w:space="0" w:color="auto"/>
            </w:tcBorders>
            <w:noWrap/>
            <w:hideMark/>
          </w:tcPr>
          <w:p w14:paraId="104A2BE4" w14:textId="77777777" w:rsidR="00A41E60" w:rsidRPr="00D85E09" w:rsidRDefault="00A41E60" w:rsidP="0043316B">
            <w:pPr>
              <w:pStyle w:val="Tabletext"/>
              <w:keepNext w:val="0"/>
              <w:widowControl w:val="0"/>
            </w:pPr>
            <w:r w:rsidRPr="00D85E09">
              <w:t>15.2%</w:t>
            </w:r>
          </w:p>
        </w:tc>
        <w:tc>
          <w:tcPr>
            <w:tcW w:w="468" w:type="pct"/>
            <w:tcBorders>
              <w:top w:val="single" w:sz="4" w:space="0" w:color="auto"/>
              <w:left w:val="single" w:sz="4" w:space="0" w:color="auto"/>
              <w:bottom w:val="single" w:sz="4" w:space="0" w:color="auto"/>
              <w:right w:val="single" w:sz="4" w:space="0" w:color="auto"/>
            </w:tcBorders>
            <w:noWrap/>
            <w:hideMark/>
          </w:tcPr>
          <w:p w14:paraId="08827152" w14:textId="77777777" w:rsidR="00A41E60" w:rsidRPr="00D85E09" w:rsidRDefault="00A41E60" w:rsidP="0043316B">
            <w:pPr>
              <w:pStyle w:val="Tabletext"/>
              <w:keepNext w:val="0"/>
              <w:widowControl w:val="0"/>
            </w:pPr>
            <w:r w:rsidRPr="00D85E09">
              <w:t>38.3%</w:t>
            </w:r>
          </w:p>
        </w:tc>
      </w:tr>
    </w:tbl>
    <w:p w14:paraId="71FB569B" w14:textId="683E903C" w:rsidR="00A41E60" w:rsidRPr="00D85E09" w:rsidRDefault="00A41E60" w:rsidP="0043316B">
      <w:pPr>
        <w:pStyle w:val="Tablefooter"/>
        <w:widowControl w:val="0"/>
      </w:pPr>
      <w:r w:rsidRPr="00D85E09">
        <w:t xml:space="preserve">Abbreviations: mRS, modified Rankin </w:t>
      </w:r>
      <w:r w:rsidR="00F67AF7" w:rsidRPr="00D85E09">
        <w:t>s</w:t>
      </w:r>
      <w:r w:rsidRPr="00D85E09">
        <w:t>core</w:t>
      </w:r>
      <w:r w:rsidRPr="00D85E09">
        <w:br/>
        <w:t>Note: These distributions relate to patients who do not experience stroke recurrence between Day 90 and Day 365.</w:t>
      </w:r>
    </w:p>
    <w:p w14:paraId="52367DAE" w14:textId="77777777" w:rsidR="00A41E60" w:rsidRPr="00D85E09" w:rsidRDefault="00A41E60" w:rsidP="0043316B">
      <w:pPr>
        <w:widowControl w:val="0"/>
      </w:pPr>
    </w:p>
    <w:p w14:paraId="0F806257" w14:textId="2889D811" w:rsidR="00A41E60" w:rsidRPr="00D85E09" w:rsidRDefault="00A41E60" w:rsidP="0043316B">
      <w:pPr>
        <w:widowControl w:val="0"/>
      </w:pPr>
      <w:r w:rsidRPr="00D85E09">
        <w:t xml:space="preserve">The Applicant acknowledges that the above approach is a simplification. Also, the Applicant is aware of a potential double counting of mRS changes because while the modelling of stroke recurrence is explicitly incorporated in the Section D model (see Section </w:t>
      </w:r>
      <w:r w:rsidRPr="00D85E09">
        <w:fldChar w:fldCharType="begin"/>
      </w:r>
      <w:r w:rsidRPr="00D85E09">
        <w:instrText xml:space="preserve"> REF _Ref451421814 \r \h  \* MERGEFORMAT </w:instrText>
      </w:r>
      <w:r w:rsidRPr="00D85E09">
        <w:fldChar w:fldCharType="separate"/>
      </w:r>
      <w:r w:rsidR="00A456ED">
        <w:t>C.6</w:t>
      </w:r>
      <w:r w:rsidRPr="00D85E09">
        <w:fldChar w:fldCharType="end"/>
      </w:r>
      <w:r w:rsidRPr="00D85E09">
        <w:t>), these 3-year mRS changes would also already account for recurrence-related mRS changes.</w:t>
      </w:r>
    </w:p>
    <w:p w14:paraId="4B496D2F" w14:textId="744C0CDF" w:rsidR="00A41E60" w:rsidRPr="00D85E09" w:rsidRDefault="00A41E60" w:rsidP="0043316B">
      <w:pPr>
        <w:widowControl w:val="0"/>
      </w:pPr>
      <w:r w:rsidRPr="00D85E09">
        <w:rPr>
          <w:i/>
        </w:rPr>
        <w:t xml:space="preserve">To this end, sensitivity analysis will present a separate model which omits the explicit modelling of stroke recurrence. </w:t>
      </w:r>
      <w:r w:rsidRPr="00D85E09">
        <w:t xml:space="preserve">As discussed in Section </w:t>
      </w:r>
      <w:r w:rsidRPr="00D85E09">
        <w:fldChar w:fldCharType="begin"/>
      </w:r>
      <w:r w:rsidRPr="00D85E09">
        <w:instrText xml:space="preserve"> REF _Ref451421814 \r \h </w:instrText>
      </w:r>
      <w:r w:rsidRPr="00D85E09">
        <w:fldChar w:fldCharType="separate"/>
      </w:r>
      <w:r w:rsidR="00A456ED">
        <w:t>C.6</w:t>
      </w:r>
      <w:r w:rsidRPr="00D85E09">
        <w:fldChar w:fldCharType="end"/>
      </w:r>
      <w:r w:rsidRPr="00D85E09">
        <w:t>, this alternative model will also address considerable model complexities necessary to capture the mRS transitions caused by stroke recurrence; of note, this model will demonstrate that stroke recurrence has minimal implicati</w:t>
      </w:r>
      <w:r w:rsidR="00166C2D" w:rsidRPr="00D85E09">
        <w:t>ons to the ICER (see Section D.5.3</w:t>
      </w:r>
      <w:r w:rsidRPr="00D85E09">
        <w:t>).</w:t>
      </w:r>
      <w:r w:rsidRPr="00D85E09">
        <w:rPr>
          <w:rStyle w:val="FootnoteReference"/>
        </w:rPr>
        <w:footnoteReference w:id="13"/>
      </w:r>
    </w:p>
    <w:p w14:paraId="5AEE8C26" w14:textId="1EC3C105" w:rsidR="00A41E60" w:rsidRPr="00D85E09" w:rsidRDefault="00A41E60" w:rsidP="0043316B">
      <w:pPr>
        <w:widowControl w:val="0"/>
      </w:pPr>
      <w:r w:rsidRPr="00D85E09">
        <w:t>In addition, the Applicant is also aware that the assumption of having all mRS changes absorbed by 12 months affects the way discounting is performed by the model, in particular, the calculation of life years over the model time horizon (life years in the base case).</w:t>
      </w:r>
    </w:p>
    <w:p w14:paraId="0C83731C" w14:textId="46F99B18" w:rsidR="00A41E60" w:rsidRPr="00D85E09" w:rsidRDefault="00A41E60" w:rsidP="0043316B">
      <w:pPr>
        <w:widowControl w:val="0"/>
        <w:rPr>
          <w:i/>
        </w:rPr>
      </w:pPr>
      <w:r w:rsidRPr="00D85E09">
        <w:rPr>
          <w:i/>
        </w:rPr>
        <w:t>To this end, sensitivity analysis will present another model which omits the explicit modelling of stroke recurrence and also applies annualised mortality rates based on the 3-year rates (instead of assuming these deaths to occur by 12 months). Transitions among mRS 0 to 5 are still assumed to be absorbed by 12 months in this alternative model.</w:t>
      </w:r>
    </w:p>
    <w:p w14:paraId="29E3C2D4" w14:textId="1A9B65D5" w:rsidR="00A41E60" w:rsidRPr="00D85E09" w:rsidRDefault="00A41E60" w:rsidP="0043316B">
      <w:pPr>
        <w:widowControl w:val="0"/>
      </w:pPr>
      <w:r w:rsidRPr="00D85E09">
        <w:fldChar w:fldCharType="begin"/>
      </w:r>
      <w:r w:rsidRPr="00D85E09">
        <w:instrText xml:space="preserve"> REF _Ref451424328 \h </w:instrText>
      </w:r>
      <w:r w:rsidRPr="00D85E09">
        <w:fldChar w:fldCharType="separate"/>
      </w:r>
      <w:r w:rsidR="00A456ED" w:rsidRPr="00D85E09">
        <w:t xml:space="preserve">Table </w:t>
      </w:r>
      <w:r w:rsidR="00A456ED">
        <w:rPr>
          <w:noProof/>
        </w:rPr>
        <w:t>74</w:t>
      </w:r>
      <w:r w:rsidRPr="00D85E09">
        <w:fldChar w:fldCharType="end"/>
      </w:r>
      <w:r w:rsidRPr="00D85E09">
        <w:t xml:space="preserve"> below summarises the post Day 90 mortality rates (or transition rates to mRS 6) employed in this alternative model. It can be seen that the mortality rates for patients with mRS 0 to 4 at Day 90 are relatively similar to each other with a mean annualised value of 5.11%, while the rate for patients with mRS 5 at Day 90 is considerably higher. Given the memoryless nature of the Markov cohort model methodology, it is technically complex to allocate a mortality rate according to the patient’s mRS at Day 90 over time. To this end, the mean value is employed to model mortality for patients in mRS 0-4 over time. For patients in mRS 5, the higher reported rate of 32.14% per annum is applied; note that, as discussed </w:t>
      </w:r>
      <w:r w:rsidRPr="00D85E09">
        <w:lastRenderedPageBreak/>
        <w:t xml:space="preserve">above, patients with severe disability at Day 90 (like mRS5) generally stay at the same compromised functional level (see </w:t>
      </w:r>
      <w:r w:rsidRPr="00D85E09">
        <w:fldChar w:fldCharType="begin"/>
      </w:r>
      <w:r w:rsidRPr="00D85E09">
        <w:instrText xml:space="preserve"> REF _Ref450648402 \h </w:instrText>
      </w:r>
      <w:r w:rsidRPr="00D85E09">
        <w:fldChar w:fldCharType="separate"/>
      </w:r>
      <w:r w:rsidR="00A456ED" w:rsidRPr="00D85E09">
        <w:t xml:space="preserve">Table </w:t>
      </w:r>
      <w:r w:rsidR="00A456ED">
        <w:rPr>
          <w:noProof/>
        </w:rPr>
        <w:t>70</w:t>
      </w:r>
      <w:r w:rsidRPr="00D85E09">
        <w:fldChar w:fldCharType="end"/>
      </w:r>
      <w:r w:rsidRPr="00D85E09">
        <w:t xml:space="preserve"> above), providing support to this approach. The model also assumes that these mortality rates are applicable beyond 3 years to the model end.</w:t>
      </w:r>
    </w:p>
    <w:p w14:paraId="21B607B3" w14:textId="06F019D4" w:rsidR="00A41E60" w:rsidRPr="00D85E09" w:rsidRDefault="00A41E60" w:rsidP="0043316B">
      <w:pPr>
        <w:pStyle w:val="Caption"/>
        <w:keepNext w:val="0"/>
        <w:widowControl w:val="0"/>
        <w:rPr>
          <w:lang w:val="en-AU"/>
        </w:rPr>
      </w:pPr>
      <w:r w:rsidRPr="00D85E09">
        <w:rPr>
          <w:i/>
          <w:lang w:val="en-AU"/>
        </w:rPr>
        <w:t xml:space="preserve"> </w:t>
      </w:r>
      <w:bookmarkStart w:id="470" w:name="_Ref451424328"/>
      <w:bookmarkStart w:id="471" w:name="_Toc45306541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74</w:t>
      </w:r>
      <w:r w:rsidRPr="00D85E09">
        <w:rPr>
          <w:lang w:val="en-AU"/>
        </w:rPr>
        <w:fldChar w:fldCharType="end"/>
      </w:r>
      <w:bookmarkEnd w:id="470"/>
      <w:r w:rsidRPr="00D85E09">
        <w:rPr>
          <w:lang w:val="en-AU"/>
        </w:rPr>
        <w:tab/>
        <w:t>Rates of mortality from Day 90 to 3 years as reported by Gensicke 2013 – explored in an alternative model for sensitivity analysis</w:t>
      </w:r>
      <w:bookmarkEnd w:id="47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Table 74 Rates of mortality from Day 90 to 3 years as reported by Gensicke 2013 – explored in an alternative model for sensitivity analysis"/>
      </w:tblPr>
      <w:tblGrid>
        <w:gridCol w:w="986"/>
        <w:gridCol w:w="1170"/>
        <w:gridCol w:w="1313"/>
        <w:gridCol w:w="1468"/>
        <w:gridCol w:w="1462"/>
        <w:gridCol w:w="2889"/>
      </w:tblGrid>
      <w:tr w:rsidR="00A41E60" w:rsidRPr="00D85E09" w14:paraId="2D4AEC27" w14:textId="77777777" w:rsidTr="00BE6331">
        <w:trPr>
          <w:trHeight w:val="85"/>
          <w:tblHeader/>
        </w:trPr>
        <w:tc>
          <w:tcPr>
            <w:tcW w:w="531" w:type="pct"/>
            <w:vMerge w:val="restart"/>
            <w:tcBorders>
              <w:top w:val="single" w:sz="4" w:space="0" w:color="auto"/>
              <w:left w:val="single" w:sz="4" w:space="0" w:color="auto"/>
              <w:bottom w:val="single" w:sz="4" w:space="0" w:color="auto"/>
              <w:right w:val="single" w:sz="4" w:space="0" w:color="auto"/>
            </w:tcBorders>
            <w:hideMark/>
          </w:tcPr>
          <w:p w14:paraId="5F5218D8" w14:textId="77777777" w:rsidR="00A41E60" w:rsidRPr="00D85E09" w:rsidRDefault="00A41E60" w:rsidP="0043316B">
            <w:pPr>
              <w:pStyle w:val="Tabletext"/>
              <w:keepNext w:val="0"/>
              <w:widowControl w:val="0"/>
            </w:pPr>
            <w:r w:rsidRPr="00D85E09">
              <w:t>mRS at 3 months</w:t>
            </w:r>
          </w:p>
        </w:tc>
        <w:tc>
          <w:tcPr>
            <w:tcW w:w="630" w:type="pct"/>
            <w:vMerge w:val="restart"/>
            <w:tcBorders>
              <w:top w:val="single" w:sz="4" w:space="0" w:color="auto"/>
              <w:left w:val="single" w:sz="4" w:space="0" w:color="auto"/>
              <w:bottom w:val="single" w:sz="4" w:space="0" w:color="auto"/>
              <w:right w:val="single" w:sz="4" w:space="0" w:color="auto"/>
            </w:tcBorders>
            <w:vAlign w:val="center"/>
            <w:hideMark/>
          </w:tcPr>
          <w:p w14:paraId="6B9006DC" w14:textId="77777777" w:rsidR="00A41E60" w:rsidRPr="00D85E09" w:rsidRDefault="00A41E60" w:rsidP="0043316B">
            <w:pPr>
              <w:pStyle w:val="Tabletext"/>
              <w:keepNext w:val="0"/>
              <w:widowControl w:val="0"/>
              <w:jc w:val="center"/>
            </w:pPr>
            <w:r w:rsidRPr="00D85E09">
              <w:t>% transiting to mRS 6 by 3 years</w:t>
            </w:r>
          </w:p>
        </w:tc>
        <w:tc>
          <w:tcPr>
            <w:tcW w:w="707" w:type="pct"/>
            <w:vMerge w:val="restart"/>
            <w:tcBorders>
              <w:top w:val="single" w:sz="4" w:space="0" w:color="auto"/>
              <w:left w:val="single" w:sz="4" w:space="0" w:color="auto"/>
              <w:bottom w:val="single" w:sz="4" w:space="0" w:color="auto"/>
              <w:right w:val="single" w:sz="4" w:space="0" w:color="auto"/>
            </w:tcBorders>
            <w:hideMark/>
          </w:tcPr>
          <w:p w14:paraId="0F641173" w14:textId="77777777" w:rsidR="00A41E60" w:rsidRPr="00D85E09" w:rsidRDefault="00A41E60" w:rsidP="0043316B">
            <w:pPr>
              <w:pStyle w:val="Tabletext"/>
              <w:keepNext w:val="0"/>
              <w:widowControl w:val="0"/>
              <w:jc w:val="center"/>
            </w:pPr>
            <w:r w:rsidRPr="00D85E09">
              <w:t>Annualised mortality (transition to mRS6)</w:t>
            </w:r>
          </w:p>
        </w:tc>
        <w:tc>
          <w:tcPr>
            <w:tcW w:w="1577" w:type="pct"/>
            <w:gridSpan w:val="2"/>
            <w:tcBorders>
              <w:top w:val="single" w:sz="4" w:space="0" w:color="auto"/>
              <w:left w:val="single" w:sz="4" w:space="0" w:color="auto"/>
              <w:bottom w:val="single" w:sz="4" w:space="0" w:color="auto"/>
              <w:right w:val="single" w:sz="4" w:space="0" w:color="auto"/>
            </w:tcBorders>
            <w:hideMark/>
          </w:tcPr>
          <w:p w14:paraId="0CFE0F12" w14:textId="77777777" w:rsidR="00A41E60" w:rsidRPr="00D85E09" w:rsidRDefault="00A41E60" w:rsidP="0043316B">
            <w:pPr>
              <w:pStyle w:val="Tabletext"/>
              <w:keepNext w:val="0"/>
              <w:widowControl w:val="0"/>
              <w:jc w:val="center"/>
            </w:pPr>
            <w:r w:rsidRPr="00D85E09">
              <w:t>Applied in the model</w:t>
            </w:r>
          </w:p>
        </w:tc>
        <w:tc>
          <w:tcPr>
            <w:tcW w:w="1555" w:type="pct"/>
            <w:vMerge w:val="restart"/>
            <w:tcBorders>
              <w:top w:val="single" w:sz="4" w:space="0" w:color="auto"/>
              <w:left w:val="single" w:sz="4" w:space="0" w:color="auto"/>
              <w:bottom w:val="single" w:sz="4" w:space="0" w:color="auto"/>
              <w:right w:val="single" w:sz="4" w:space="0" w:color="auto"/>
            </w:tcBorders>
            <w:hideMark/>
          </w:tcPr>
          <w:p w14:paraId="0994D20D" w14:textId="77777777" w:rsidR="00A41E60" w:rsidRPr="00D85E09" w:rsidRDefault="00A41E60" w:rsidP="0043316B">
            <w:pPr>
              <w:pStyle w:val="Tabletext"/>
              <w:keepNext w:val="0"/>
              <w:widowControl w:val="0"/>
              <w:jc w:val="center"/>
            </w:pPr>
            <w:r w:rsidRPr="00D85E09">
              <w:t>Note</w:t>
            </w:r>
          </w:p>
        </w:tc>
      </w:tr>
      <w:tr w:rsidR="00A41E60" w:rsidRPr="00D85E09" w14:paraId="0EAD8EA3" w14:textId="77777777" w:rsidTr="00BE6331">
        <w:trPr>
          <w:trHeight w:val="77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26D2F"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375D3"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BD9A5"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790" w:type="pct"/>
            <w:tcBorders>
              <w:top w:val="single" w:sz="4" w:space="0" w:color="auto"/>
              <w:left w:val="single" w:sz="4" w:space="0" w:color="auto"/>
              <w:bottom w:val="single" w:sz="4" w:space="0" w:color="auto"/>
              <w:right w:val="single" w:sz="4" w:space="0" w:color="auto"/>
            </w:tcBorders>
            <w:hideMark/>
          </w:tcPr>
          <w:p w14:paraId="43197F69" w14:textId="77777777" w:rsidR="00A41E60" w:rsidRPr="00D85E09" w:rsidRDefault="00A41E60" w:rsidP="0043316B">
            <w:pPr>
              <w:pStyle w:val="Tabletext"/>
              <w:keepNext w:val="0"/>
              <w:widowControl w:val="0"/>
              <w:jc w:val="center"/>
            </w:pPr>
            <w:r w:rsidRPr="00D85E09">
              <w:t>Adjusted for Day 90 to Day 365 (i.e., 275 day risk)</w:t>
            </w:r>
          </w:p>
        </w:tc>
        <w:tc>
          <w:tcPr>
            <w:tcW w:w="787" w:type="pct"/>
            <w:tcBorders>
              <w:top w:val="single" w:sz="4" w:space="0" w:color="auto"/>
              <w:left w:val="single" w:sz="4" w:space="0" w:color="auto"/>
              <w:bottom w:val="single" w:sz="4" w:space="0" w:color="auto"/>
              <w:right w:val="single" w:sz="4" w:space="0" w:color="auto"/>
            </w:tcBorders>
            <w:hideMark/>
          </w:tcPr>
          <w:p w14:paraId="4439AB59" w14:textId="77777777" w:rsidR="00A41E60" w:rsidRPr="00D85E09" w:rsidRDefault="00A41E60" w:rsidP="0043316B">
            <w:pPr>
              <w:pStyle w:val="Tabletext"/>
              <w:keepNext w:val="0"/>
              <w:widowControl w:val="0"/>
              <w:jc w:val="center"/>
            </w:pPr>
            <w:r w:rsidRPr="00D85E09">
              <w:t>Average mRS 0-5, annualised (post Day 365)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F44C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915C401" w14:textId="77777777" w:rsidTr="00A41E60">
        <w:tc>
          <w:tcPr>
            <w:tcW w:w="531" w:type="pct"/>
            <w:tcBorders>
              <w:top w:val="single" w:sz="4" w:space="0" w:color="auto"/>
              <w:left w:val="single" w:sz="4" w:space="0" w:color="auto"/>
              <w:bottom w:val="single" w:sz="4" w:space="0" w:color="auto"/>
              <w:right w:val="single" w:sz="4" w:space="0" w:color="auto"/>
            </w:tcBorders>
            <w:hideMark/>
          </w:tcPr>
          <w:p w14:paraId="3345B3B2" w14:textId="77777777" w:rsidR="00A41E60" w:rsidRPr="00D85E09" w:rsidRDefault="00A41E60" w:rsidP="0043316B">
            <w:pPr>
              <w:pStyle w:val="Tabletext"/>
              <w:keepNext w:val="0"/>
              <w:widowControl w:val="0"/>
            </w:pPr>
            <w:r w:rsidRPr="00D85E09">
              <w:t>mRS 0</w:t>
            </w:r>
          </w:p>
        </w:tc>
        <w:tc>
          <w:tcPr>
            <w:tcW w:w="630" w:type="pct"/>
            <w:tcBorders>
              <w:top w:val="single" w:sz="4" w:space="0" w:color="auto"/>
              <w:left w:val="single" w:sz="4" w:space="0" w:color="auto"/>
              <w:bottom w:val="single" w:sz="4" w:space="0" w:color="auto"/>
              <w:right w:val="single" w:sz="4" w:space="0" w:color="auto"/>
            </w:tcBorders>
            <w:hideMark/>
          </w:tcPr>
          <w:p w14:paraId="140B7B26" w14:textId="77777777" w:rsidR="00A41E60" w:rsidRPr="00D85E09" w:rsidRDefault="00A41E60" w:rsidP="0043316B">
            <w:pPr>
              <w:pStyle w:val="Tabletext"/>
              <w:keepNext w:val="0"/>
              <w:widowControl w:val="0"/>
              <w:jc w:val="center"/>
            </w:pPr>
            <w:r w:rsidRPr="00D85E09">
              <w:t>12.8%</w:t>
            </w:r>
          </w:p>
        </w:tc>
        <w:tc>
          <w:tcPr>
            <w:tcW w:w="707" w:type="pct"/>
            <w:tcBorders>
              <w:top w:val="single" w:sz="4" w:space="0" w:color="auto"/>
              <w:left w:val="single" w:sz="4" w:space="0" w:color="auto"/>
              <w:bottom w:val="single" w:sz="4" w:space="0" w:color="auto"/>
              <w:right w:val="single" w:sz="4" w:space="0" w:color="auto"/>
            </w:tcBorders>
            <w:hideMark/>
          </w:tcPr>
          <w:p w14:paraId="17801F39" w14:textId="77777777" w:rsidR="00A41E60" w:rsidRPr="00D85E09" w:rsidRDefault="00A41E60" w:rsidP="0043316B">
            <w:pPr>
              <w:pStyle w:val="Tabletext"/>
              <w:keepNext w:val="0"/>
              <w:widowControl w:val="0"/>
              <w:jc w:val="center"/>
            </w:pPr>
            <w:r w:rsidRPr="00D85E09">
              <w:t>4.47%</w:t>
            </w:r>
          </w:p>
        </w:tc>
        <w:tc>
          <w:tcPr>
            <w:tcW w:w="790" w:type="pct"/>
            <w:tcBorders>
              <w:top w:val="single" w:sz="4" w:space="0" w:color="auto"/>
              <w:left w:val="single" w:sz="4" w:space="0" w:color="auto"/>
              <w:bottom w:val="single" w:sz="4" w:space="0" w:color="auto"/>
              <w:right w:val="single" w:sz="4" w:space="0" w:color="auto"/>
            </w:tcBorders>
            <w:hideMark/>
          </w:tcPr>
          <w:p w14:paraId="293A8CF3" w14:textId="77777777" w:rsidR="00A41E60" w:rsidRPr="00D85E09" w:rsidRDefault="00A41E60" w:rsidP="0043316B">
            <w:pPr>
              <w:pStyle w:val="Tabletext"/>
              <w:keepNext w:val="0"/>
              <w:widowControl w:val="0"/>
              <w:jc w:val="center"/>
            </w:pPr>
            <w:r w:rsidRPr="00D85E09">
              <w:t>3.37%</w:t>
            </w:r>
          </w:p>
        </w:tc>
        <w:tc>
          <w:tcPr>
            <w:tcW w:w="787" w:type="pct"/>
            <w:tcBorders>
              <w:top w:val="single" w:sz="4" w:space="0" w:color="auto"/>
              <w:left w:val="single" w:sz="4" w:space="0" w:color="auto"/>
              <w:bottom w:val="single" w:sz="4" w:space="0" w:color="auto"/>
              <w:right w:val="single" w:sz="4" w:space="0" w:color="auto"/>
            </w:tcBorders>
            <w:hideMark/>
          </w:tcPr>
          <w:p w14:paraId="463E0571" w14:textId="77777777" w:rsidR="00A41E60" w:rsidRPr="00D85E09" w:rsidRDefault="00A41E60" w:rsidP="0043316B">
            <w:pPr>
              <w:pStyle w:val="Tabletext"/>
              <w:keepNext w:val="0"/>
              <w:widowControl w:val="0"/>
              <w:jc w:val="center"/>
            </w:pPr>
            <w:r w:rsidRPr="00D85E09">
              <w:t>5.11%</w:t>
            </w:r>
          </w:p>
        </w:tc>
        <w:tc>
          <w:tcPr>
            <w:tcW w:w="1555" w:type="pct"/>
            <w:vMerge w:val="restart"/>
            <w:tcBorders>
              <w:top w:val="single" w:sz="4" w:space="0" w:color="auto"/>
              <w:left w:val="single" w:sz="4" w:space="0" w:color="auto"/>
              <w:bottom w:val="single" w:sz="4" w:space="0" w:color="auto"/>
              <w:right w:val="single" w:sz="4" w:space="0" w:color="auto"/>
            </w:tcBorders>
            <w:hideMark/>
          </w:tcPr>
          <w:p w14:paraId="54639E9C" w14:textId="39A56DFD" w:rsidR="00A41E60" w:rsidRPr="00D85E09" w:rsidRDefault="00A41E60" w:rsidP="0043316B">
            <w:pPr>
              <w:pStyle w:val="Tabletext"/>
              <w:keepNext w:val="0"/>
              <w:widowControl w:val="0"/>
            </w:pPr>
            <w:r w:rsidRPr="00D85E09">
              <w:t>The annualised mean value applied post +1 year phase (continue to be applicable till the model end).</w:t>
            </w:r>
          </w:p>
          <w:p w14:paraId="0CC8A95B" w14:textId="7F0F28B4" w:rsidR="00A41E60" w:rsidRPr="00D85E09" w:rsidRDefault="00A41E60" w:rsidP="0043316B">
            <w:pPr>
              <w:pStyle w:val="Tabletext"/>
              <w:keepNext w:val="0"/>
              <w:widowControl w:val="0"/>
            </w:pPr>
            <w:r w:rsidRPr="00D85E09">
              <w:t xml:space="preserve">The Day 90-365 values used to calculate the Day 365 mRS distribution in </w:t>
            </w:r>
            <w:r w:rsidRPr="00D85E09">
              <w:fldChar w:fldCharType="begin"/>
            </w:r>
            <w:r w:rsidRPr="00D85E09">
              <w:instrText xml:space="preserve"> REF _Ref451429337 \h </w:instrText>
            </w:r>
            <w:r w:rsidRPr="00D85E09">
              <w:fldChar w:fldCharType="separate"/>
            </w:r>
            <w:r w:rsidR="00A456ED" w:rsidRPr="00D85E09">
              <w:rPr>
                <w:lang w:val="en-AU"/>
              </w:rPr>
              <w:t xml:space="preserve">Table </w:t>
            </w:r>
            <w:r w:rsidR="00A456ED">
              <w:rPr>
                <w:noProof/>
                <w:lang w:val="en-AU"/>
              </w:rPr>
              <w:t>76</w:t>
            </w:r>
            <w:r w:rsidRPr="00D85E09">
              <w:fldChar w:fldCharType="end"/>
            </w:r>
            <w:r w:rsidRPr="00D85E09">
              <w:t xml:space="preserve"> below). </w:t>
            </w:r>
          </w:p>
        </w:tc>
      </w:tr>
      <w:tr w:rsidR="00A41E60" w:rsidRPr="00D85E09" w14:paraId="25032B1B" w14:textId="77777777" w:rsidTr="00A41E60">
        <w:tc>
          <w:tcPr>
            <w:tcW w:w="531" w:type="pct"/>
            <w:tcBorders>
              <w:top w:val="single" w:sz="4" w:space="0" w:color="auto"/>
              <w:left w:val="single" w:sz="4" w:space="0" w:color="auto"/>
              <w:bottom w:val="single" w:sz="4" w:space="0" w:color="auto"/>
              <w:right w:val="single" w:sz="4" w:space="0" w:color="auto"/>
            </w:tcBorders>
            <w:hideMark/>
          </w:tcPr>
          <w:p w14:paraId="230D19D4" w14:textId="77777777" w:rsidR="00A41E60" w:rsidRPr="00D85E09" w:rsidRDefault="00A41E60" w:rsidP="0043316B">
            <w:pPr>
              <w:pStyle w:val="Tabletext"/>
              <w:keepNext w:val="0"/>
              <w:widowControl w:val="0"/>
            </w:pPr>
            <w:r w:rsidRPr="00D85E09">
              <w:t>mRS 1</w:t>
            </w:r>
          </w:p>
        </w:tc>
        <w:tc>
          <w:tcPr>
            <w:tcW w:w="630" w:type="pct"/>
            <w:tcBorders>
              <w:top w:val="single" w:sz="4" w:space="0" w:color="auto"/>
              <w:left w:val="single" w:sz="4" w:space="0" w:color="auto"/>
              <w:bottom w:val="single" w:sz="4" w:space="0" w:color="auto"/>
              <w:right w:val="single" w:sz="4" w:space="0" w:color="auto"/>
            </w:tcBorders>
            <w:hideMark/>
          </w:tcPr>
          <w:p w14:paraId="48A4AE16" w14:textId="77777777" w:rsidR="00A41E60" w:rsidRPr="00D85E09" w:rsidRDefault="00A41E60" w:rsidP="0043316B">
            <w:pPr>
              <w:pStyle w:val="Tabletext"/>
              <w:keepNext w:val="0"/>
              <w:widowControl w:val="0"/>
              <w:jc w:val="center"/>
            </w:pPr>
            <w:r w:rsidRPr="00D85E09">
              <w:t>14.5%</w:t>
            </w:r>
          </w:p>
        </w:tc>
        <w:tc>
          <w:tcPr>
            <w:tcW w:w="707" w:type="pct"/>
            <w:tcBorders>
              <w:top w:val="single" w:sz="4" w:space="0" w:color="auto"/>
              <w:left w:val="single" w:sz="4" w:space="0" w:color="auto"/>
              <w:bottom w:val="single" w:sz="4" w:space="0" w:color="auto"/>
              <w:right w:val="single" w:sz="4" w:space="0" w:color="auto"/>
            </w:tcBorders>
            <w:hideMark/>
          </w:tcPr>
          <w:p w14:paraId="70B75430" w14:textId="77777777" w:rsidR="00A41E60" w:rsidRPr="00D85E09" w:rsidRDefault="00A41E60" w:rsidP="0043316B">
            <w:pPr>
              <w:pStyle w:val="Tabletext"/>
              <w:keepNext w:val="0"/>
              <w:widowControl w:val="0"/>
              <w:jc w:val="center"/>
            </w:pPr>
            <w:r w:rsidRPr="00D85E09">
              <w:t>5.10%</w:t>
            </w:r>
          </w:p>
        </w:tc>
        <w:tc>
          <w:tcPr>
            <w:tcW w:w="790" w:type="pct"/>
            <w:tcBorders>
              <w:top w:val="single" w:sz="4" w:space="0" w:color="auto"/>
              <w:left w:val="single" w:sz="4" w:space="0" w:color="auto"/>
              <w:bottom w:val="single" w:sz="4" w:space="0" w:color="auto"/>
              <w:right w:val="single" w:sz="4" w:space="0" w:color="auto"/>
            </w:tcBorders>
            <w:hideMark/>
          </w:tcPr>
          <w:p w14:paraId="4425993E" w14:textId="77777777" w:rsidR="00A41E60" w:rsidRPr="00D85E09" w:rsidRDefault="00A41E60" w:rsidP="0043316B">
            <w:pPr>
              <w:pStyle w:val="Tabletext"/>
              <w:keepNext w:val="0"/>
              <w:widowControl w:val="0"/>
              <w:jc w:val="center"/>
            </w:pPr>
            <w:r w:rsidRPr="00D85E09">
              <w:t>3.85%</w:t>
            </w:r>
          </w:p>
        </w:tc>
        <w:tc>
          <w:tcPr>
            <w:tcW w:w="787" w:type="pct"/>
            <w:tcBorders>
              <w:top w:val="single" w:sz="4" w:space="0" w:color="auto"/>
              <w:left w:val="single" w:sz="4" w:space="0" w:color="auto"/>
              <w:bottom w:val="single" w:sz="4" w:space="0" w:color="auto"/>
              <w:right w:val="single" w:sz="4" w:space="0" w:color="auto"/>
            </w:tcBorders>
            <w:hideMark/>
          </w:tcPr>
          <w:p w14:paraId="7174B743" w14:textId="77777777" w:rsidR="00A41E60" w:rsidRPr="00D85E09" w:rsidRDefault="00A41E60" w:rsidP="0043316B">
            <w:pPr>
              <w:pStyle w:val="Tabletext"/>
              <w:keepNext w:val="0"/>
              <w:widowControl w:val="0"/>
              <w:jc w:val="center"/>
            </w:pPr>
            <w:r w:rsidRPr="00D85E09">
              <w:t>5.11%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77A14"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E000B9F" w14:textId="77777777" w:rsidTr="00A41E60">
        <w:tc>
          <w:tcPr>
            <w:tcW w:w="531" w:type="pct"/>
            <w:tcBorders>
              <w:top w:val="single" w:sz="4" w:space="0" w:color="auto"/>
              <w:left w:val="single" w:sz="4" w:space="0" w:color="auto"/>
              <w:bottom w:val="single" w:sz="4" w:space="0" w:color="auto"/>
              <w:right w:val="single" w:sz="4" w:space="0" w:color="auto"/>
            </w:tcBorders>
            <w:hideMark/>
          </w:tcPr>
          <w:p w14:paraId="05997C7C" w14:textId="77777777" w:rsidR="00A41E60" w:rsidRPr="00D85E09" w:rsidRDefault="00A41E60" w:rsidP="0043316B">
            <w:pPr>
              <w:pStyle w:val="Tabletext"/>
              <w:keepNext w:val="0"/>
              <w:widowControl w:val="0"/>
            </w:pPr>
            <w:r w:rsidRPr="00D85E09">
              <w:t>mRS 2</w:t>
            </w:r>
          </w:p>
        </w:tc>
        <w:tc>
          <w:tcPr>
            <w:tcW w:w="630" w:type="pct"/>
            <w:tcBorders>
              <w:top w:val="single" w:sz="4" w:space="0" w:color="auto"/>
              <w:left w:val="single" w:sz="4" w:space="0" w:color="auto"/>
              <w:bottom w:val="single" w:sz="4" w:space="0" w:color="auto"/>
              <w:right w:val="single" w:sz="4" w:space="0" w:color="auto"/>
            </w:tcBorders>
            <w:hideMark/>
          </w:tcPr>
          <w:p w14:paraId="6C495412" w14:textId="77777777" w:rsidR="00A41E60" w:rsidRPr="00D85E09" w:rsidRDefault="00A41E60" w:rsidP="0043316B">
            <w:pPr>
              <w:pStyle w:val="Tabletext"/>
              <w:keepNext w:val="0"/>
              <w:widowControl w:val="0"/>
              <w:jc w:val="center"/>
            </w:pPr>
            <w:r w:rsidRPr="00D85E09">
              <w:t>12.7%</w:t>
            </w:r>
          </w:p>
        </w:tc>
        <w:tc>
          <w:tcPr>
            <w:tcW w:w="707" w:type="pct"/>
            <w:tcBorders>
              <w:top w:val="single" w:sz="4" w:space="0" w:color="auto"/>
              <w:left w:val="single" w:sz="4" w:space="0" w:color="auto"/>
              <w:bottom w:val="single" w:sz="4" w:space="0" w:color="auto"/>
              <w:right w:val="single" w:sz="4" w:space="0" w:color="auto"/>
            </w:tcBorders>
            <w:hideMark/>
          </w:tcPr>
          <w:p w14:paraId="542B2B20" w14:textId="77777777" w:rsidR="00A41E60" w:rsidRPr="00D85E09" w:rsidRDefault="00A41E60" w:rsidP="0043316B">
            <w:pPr>
              <w:pStyle w:val="Tabletext"/>
              <w:keepNext w:val="0"/>
              <w:widowControl w:val="0"/>
              <w:jc w:val="center"/>
            </w:pPr>
            <w:r w:rsidRPr="00D85E09">
              <w:t>4.44%</w:t>
            </w:r>
          </w:p>
        </w:tc>
        <w:tc>
          <w:tcPr>
            <w:tcW w:w="790" w:type="pct"/>
            <w:tcBorders>
              <w:top w:val="single" w:sz="4" w:space="0" w:color="auto"/>
              <w:left w:val="single" w:sz="4" w:space="0" w:color="auto"/>
              <w:bottom w:val="single" w:sz="4" w:space="0" w:color="auto"/>
              <w:right w:val="single" w:sz="4" w:space="0" w:color="auto"/>
            </w:tcBorders>
            <w:hideMark/>
          </w:tcPr>
          <w:p w14:paraId="17225CBE" w14:textId="77777777" w:rsidR="00A41E60" w:rsidRPr="00D85E09" w:rsidRDefault="00A41E60" w:rsidP="0043316B">
            <w:pPr>
              <w:pStyle w:val="Tabletext"/>
              <w:keepNext w:val="0"/>
              <w:widowControl w:val="0"/>
              <w:jc w:val="center"/>
            </w:pPr>
            <w:r w:rsidRPr="00D85E09">
              <w:t>3.35%</w:t>
            </w:r>
          </w:p>
        </w:tc>
        <w:tc>
          <w:tcPr>
            <w:tcW w:w="787" w:type="pct"/>
            <w:tcBorders>
              <w:top w:val="single" w:sz="4" w:space="0" w:color="auto"/>
              <w:left w:val="single" w:sz="4" w:space="0" w:color="auto"/>
              <w:bottom w:val="single" w:sz="4" w:space="0" w:color="auto"/>
              <w:right w:val="single" w:sz="4" w:space="0" w:color="auto"/>
            </w:tcBorders>
            <w:hideMark/>
          </w:tcPr>
          <w:p w14:paraId="1C4CB101" w14:textId="77777777" w:rsidR="00A41E60" w:rsidRPr="00D85E09" w:rsidRDefault="00A41E60" w:rsidP="0043316B">
            <w:pPr>
              <w:pStyle w:val="Tabletext"/>
              <w:keepNext w:val="0"/>
              <w:widowControl w:val="0"/>
              <w:jc w:val="center"/>
            </w:pPr>
            <w:r w:rsidRPr="00D85E09">
              <w:t>5.11%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F2DE2"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552FAC9" w14:textId="77777777" w:rsidTr="00A41E60">
        <w:tc>
          <w:tcPr>
            <w:tcW w:w="531" w:type="pct"/>
            <w:tcBorders>
              <w:top w:val="single" w:sz="4" w:space="0" w:color="auto"/>
              <w:left w:val="single" w:sz="4" w:space="0" w:color="auto"/>
              <w:bottom w:val="single" w:sz="4" w:space="0" w:color="auto"/>
              <w:right w:val="single" w:sz="4" w:space="0" w:color="auto"/>
            </w:tcBorders>
            <w:hideMark/>
          </w:tcPr>
          <w:p w14:paraId="22CAA868" w14:textId="77777777" w:rsidR="00A41E60" w:rsidRPr="00D85E09" w:rsidRDefault="00A41E60" w:rsidP="0043316B">
            <w:pPr>
              <w:pStyle w:val="Tabletext"/>
              <w:keepNext w:val="0"/>
              <w:widowControl w:val="0"/>
            </w:pPr>
            <w:r w:rsidRPr="00D85E09">
              <w:t>mRS 3</w:t>
            </w:r>
          </w:p>
        </w:tc>
        <w:tc>
          <w:tcPr>
            <w:tcW w:w="630" w:type="pct"/>
            <w:tcBorders>
              <w:top w:val="single" w:sz="4" w:space="0" w:color="auto"/>
              <w:left w:val="single" w:sz="4" w:space="0" w:color="auto"/>
              <w:bottom w:val="single" w:sz="4" w:space="0" w:color="auto"/>
              <w:right w:val="single" w:sz="4" w:space="0" w:color="auto"/>
            </w:tcBorders>
            <w:hideMark/>
          </w:tcPr>
          <w:p w14:paraId="53AB68DC" w14:textId="77777777" w:rsidR="00A41E60" w:rsidRPr="00D85E09" w:rsidRDefault="00A41E60" w:rsidP="0043316B">
            <w:pPr>
              <w:pStyle w:val="Tabletext"/>
              <w:keepNext w:val="0"/>
              <w:widowControl w:val="0"/>
              <w:jc w:val="center"/>
            </w:pPr>
            <w:r w:rsidRPr="00D85E09">
              <w:t>17.6%</w:t>
            </w:r>
          </w:p>
        </w:tc>
        <w:tc>
          <w:tcPr>
            <w:tcW w:w="707" w:type="pct"/>
            <w:tcBorders>
              <w:top w:val="single" w:sz="4" w:space="0" w:color="auto"/>
              <w:left w:val="single" w:sz="4" w:space="0" w:color="auto"/>
              <w:bottom w:val="single" w:sz="4" w:space="0" w:color="auto"/>
              <w:right w:val="single" w:sz="4" w:space="0" w:color="auto"/>
            </w:tcBorders>
            <w:hideMark/>
          </w:tcPr>
          <w:p w14:paraId="71E299E8" w14:textId="77777777" w:rsidR="00A41E60" w:rsidRPr="00D85E09" w:rsidRDefault="00A41E60" w:rsidP="0043316B">
            <w:pPr>
              <w:pStyle w:val="Tabletext"/>
              <w:keepNext w:val="0"/>
              <w:widowControl w:val="0"/>
              <w:jc w:val="center"/>
            </w:pPr>
            <w:r w:rsidRPr="00D85E09">
              <w:t>6.27%</w:t>
            </w:r>
          </w:p>
        </w:tc>
        <w:tc>
          <w:tcPr>
            <w:tcW w:w="790" w:type="pct"/>
            <w:tcBorders>
              <w:top w:val="single" w:sz="4" w:space="0" w:color="auto"/>
              <w:left w:val="single" w:sz="4" w:space="0" w:color="auto"/>
              <w:bottom w:val="single" w:sz="4" w:space="0" w:color="auto"/>
              <w:right w:val="single" w:sz="4" w:space="0" w:color="auto"/>
            </w:tcBorders>
            <w:hideMark/>
          </w:tcPr>
          <w:p w14:paraId="1D375F41" w14:textId="77777777" w:rsidR="00A41E60" w:rsidRPr="00D85E09" w:rsidRDefault="00A41E60" w:rsidP="0043316B">
            <w:pPr>
              <w:pStyle w:val="Tabletext"/>
              <w:keepNext w:val="0"/>
              <w:widowControl w:val="0"/>
              <w:jc w:val="center"/>
            </w:pPr>
            <w:r w:rsidRPr="00D85E09">
              <w:t>4.74%</w:t>
            </w:r>
          </w:p>
        </w:tc>
        <w:tc>
          <w:tcPr>
            <w:tcW w:w="787" w:type="pct"/>
            <w:tcBorders>
              <w:top w:val="single" w:sz="4" w:space="0" w:color="auto"/>
              <w:left w:val="single" w:sz="4" w:space="0" w:color="auto"/>
              <w:bottom w:val="single" w:sz="4" w:space="0" w:color="auto"/>
              <w:right w:val="single" w:sz="4" w:space="0" w:color="auto"/>
            </w:tcBorders>
            <w:hideMark/>
          </w:tcPr>
          <w:p w14:paraId="704E11C2" w14:textId="77777777" w:rsidR="00A41E60" w:rsidRPr="00D85E09" w:rsidRDefault="00A41E60" w:rsidP="0043316B">
            <w:pPr>
              <w:pStyle w:val="Tabletext"/>
              <w:keepNext w:val="0"/>
              <w:widowControl w:val="0"/>
              <w:jc w:val="center"/>
            </w:pPr>
            <w:r w:rsidRPr="00D85E09">
              <w:t>5.11%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C34D0"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BA2DB70" w14:textId="77777777" w:rsidTr="00A41E60">
        <w:tc>
          <w:tcPr>
            <w:tcW w:w="531" w:type="pct"/>
            <w:tcBorders>
              <w:top w:val="single" w:sz="4" w:space="0" w:color="auto"/>
              <w:left w:val="single" w:sz="4" w:space="0" w:color="auto"/>
              <w:bottom w:val="single" w:sz="4" w:space="0" w:color="auto"/>
              <w:right w:val="single" w:sz="4" w:space="0" w:color="auto"/>
            </w:tcBorders>
            <w:hideMark/>
          </w:tcPr>
          <w:p w14:paraId="4B6BC829" w14:textId="77777777" w:rsidR="00A41E60" w:rsidRPr="00D85E09" w:rsidRDefault="00A41E60" w:rsidP="0043316B">
            <w:pPr>
              <w:pStyle w:val="Tabletext"/>
              <w:keepNext w:val="0"/>
              <w:widowControl w:val="0"/>
            </w:pPr>
            <w:r w:rsidRPr="00D85E09">
              <w:t>mRS 4</w:t>
            </w:r>
          </w:p>
        </w:tc>
        <w:tc>
          <w:tcPr>
            <w:tcW w:w="630" w:type="pct"/>
            <w:tcBorders>
              <w:top w:val="single" w:sz="4" w:space="0" w:color="auto"/>
              <w:left w:val="single" w:sz="4" w:space="0" w:color="auto"/>
              <w:bottom w:val="single" w:sz="4" w:space="0" w:color="auto"/>
              <w:right w:val="single" w:sz="4" w:space="0" w:color="auto"/>
            </w:tcBorders>
            <w:hideMark/>
          </w:tcPr>
          <w:p w14:paraId="00EAB041" w14:textId="77777777" w:rsidR="00A41E60" w:rsidRPr="00D85E09" w:rsidRDefault="00A41E60" w:rsidP="0043316B">
            <w:pPr>
              <w:pStyle w:val="Tabletext"/>
              <w:keepNext w:val="0"/>
              <w:widowControl w:val="0"/>
              <w:jc w:val="center"/>
            </w:pPr>
            <w:r w:rsidRPr="00D85E09">
              <w:t>15.0%</w:t>
            </w:r>
          </w:p>
        </w:tc>
        <w:tc>
          <w:tcPr>
            <w:tcW w:w="707" w:type="pct"/>
            <w:tcBorders>
              <w:top w:val="single" w:sz="4" w:space="0" w:color="auto"/>
              <w:left w:val="single" w:sz="4" w:space="0" w:color="auto"/>
              <w:bottom w:val="single" w:sz="4" w:space="0" w:color="auto"/>
              <w:right w:val="single" w:sz="4" w:space="0" w:color="auto"/>
            </w:tcBorders>
            <w:hideMark/>
          </w:tcPr>
          <w:p w14:paraId="46785B8B" w14:textId="77777777" w:rsidR="00A41E60" w:rsidRPr="00D85E09" w:rsidRDefault="00A41E60" w:rsidP="0043316B">
            <w:pPr>
              <w:pStyle w:val="Tabletext"/>
              <w:keepNext w:val="0"/>
              <w:widowControl w:val="0"/>
              <w:jc w:val="center"/>
            </w:pPr>
            <w:r w:rsidRPr="00D85E09">
              <w:t>5.27%</w:t>
            </w:r>
          </w:p>
        </w:tc>
        <w:tc>
          <w:tcPr>
            <w:tcW w:w="790" w:type="pct"/>
            <w:tcBorders>
              <w:top w:val="single" w:sz="4" w:space="0" w:color="auto"/>
              <w:left w:val="single" w:sz="4" w:space="0" w:color="auto"/>
              <w:bottom w:val="single" w:sz="4" w:space="0" w:color="auto"/>
              <w:right w:val="single" w:sz="4" w:space="0" w:color="auto"/>
            </w:tcBorders>
            <w:hideMark/>
          </w:tcPr>
          <w:p w14:paraId="125CCA9A" w14:textId="77777777" w:rsidR="00A41E60" w:rsidRPr="00D85E09" w:rsidRDefault="00A41E60" w:rsidP="0043316B">
            <w:pPr>
              <w:pStyle w:val="Tabletext"/>
              <w:keepNext w:val="0"/>
              <w:widowControl w:val="0"/>
              <w:jc w:val="center"/>
            </w:pPr>
            <w:r w:rsidRPr="00D85E09">
              <w:t>3.98%</w:t>
            </w:r>
          </w:p>
        </w:tc>
        <w:tc>
          <w:tcPr>
            <w:tcW w:w="787" w:type="pct"/>
            <w:tcBorders>
              <w:top w:val="single" w:sz="4" w:space="0" w:color="auto"/>
              <w:left w:val="single" w:sz="4" w:space="0" w:color="auto"/>
              <w:bottom w:val="single" w:sz="4" w:space="0" w:color="auto"/>
              <w:right w:val="single" w:sz="4" w:space="0" w:color="auto"/>
            </w:tcBorders>
            <w:hideMark/>
          </w:tcPr>
          <w:p w14:paraId="0CD5327E" w14:textId="77777777" w:rsidR="00A41E60" w:rsidRPr="00D85E09" w:rsidRDefault="00A41E60" w:rsidP="0043316B">
            <w:pPr>
              <w:pStyle w:val="Tabletext"/>
              <w:keepNext w:val="0"/>
              <w:widowControl w:val="0"/>
              <w:jc w:val="center"/>
            </w:pPr>
            <w:r w:rsidRPr="00D85E09">
              <w:t>5.11%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EB64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22B996D8" w14:textId="77777777" w:rsidTr="00A41E60">
        <w:tc>
          <w:tcPr>
            <w:tcW w:w="531" w:type="pct"/>
            <w:tcBorders>
              <w:top w:val="single" w:sz="4" w:space="0" w:color="auto"/>
              <w:left w:val="single" w:sz="4" w:space="0" w:color="auto"/>
              <w:bottom w:val="single" w:sz="4" w:space="0" w:color="auto"/>
              <w:right w:val="single" w:sz="4" w:space="0" w:color="auto"/>
            </w:tcBorders>
            <w:hideMark/>
          </w:tcPr>
          <w:p w14:paraId="61C9533E" w14:textId="77777777" w:rsidR="00A41E60" w:rsidRPr="00D85E09" w:rsidRDefault="00A41E60" w:rsidP="0043316B">
            <w:pPr>
              <w:pStyle w:val="Tabletext"/>
              <w:keepNext w:val="0"/>
              <w:widowControl w:val="0"/>
            </w:pPr>
            <w:r w:rsidRPr="00D85E09">
              <w:t>mRS 5</w:t>
            </w:r>
          </w:p>
        </w:tc>
        <w:tc>
          <w:tcPr>
            <w:tcW w:w="630" w:type="pct"/>
            <w:tcBorders>
              <w:top w:val="single" w:sz="4" w:space="0" w:color="auto"/>
              <w:left w:val="single" w:sz="4" w:space="0" w:color="auto"/>
              <w:bottom w:val="single" w:sz="4" w:space="0" w:color="auto"/>
              <w:right w:val="single" w:sz="4" w:space="0" w:color="auto"/>
            </w:tcBorders>
            <w:hideMark/>
          </w:tcPr>
          <w:p w14:paraId="038B5F99" w14:textId="77777777" w:rsidR="00A41E60" w:rsidRPr="00D85E09" w:rsidRDefault="00A41E60" w:rsidP="0043316B">
            <w:pPr>
              <w:pStyle w:val="Tabletext"/>
              <w:keepNext w:val="0"/>
              <w:widowControl w:val="0"/>
              <w:jc w:val="center"/>
            </w:pPr>
            <w:r w:rsidRPr="00D85E09">
              <w:t>68.8%</w:t>
            </w:r>
          </w:p>
        </w:tc>
        <w:tc>
          <w:tcPr>
            <w:tcW w:w="707" w:type="pct"/>
            <w:tcBorders>
              <w:top w:val="single" w:sz="4" w:space="0" w:color="auto"/>
              <w:left w:val="single" w:sz="4" w:space="0" w:color="auto"/>
              <w:bottom w:val="single" w:sz="4" w:space="0" w:color="auto"/>
              <w:right w:val="single" w:sz="4" w:space="0" w:color="auto"/>
            </w:tcBorders>
            <w:hideMark/>
          </w:tcPr>
          <w:p w14:paraId="14DF1D8B" w14:textId="77777777" w:rsidR="00A41E60" w:rsidRPr="00D85E09" w:rsidRDefault="00A41E60" w:rsidP="0043316B">
            <w:pPr>
              <w:pStyle w:val="Tabletext"/>
              <w:keepNext w:val="0"/>
              <w:widowControl w:val="0"/>
              <w:jc w:val="center"/>
            </w:pPr>
            <w:r w:rsidRPr="00D85E09">
              <w:t>32.14%</w:t>
            </w:r>
          </w:p>
        </w:tc>
        <w:tc>
          <w:tcPr>
            <w:tcW w:w="790" w:type="pct"/>
            <w:tcBorders>
              <w:top w:val="single" w:sz="4" w:space="0" w:color="auto"/>
              <w:left w:val="single" w:sz="4" w:space="0" w:color="auto"/>
              <w:bottom w:val="single" w:sz="4" w:space="0" w:color="auto"/>
              <w:right w:val="single" w:sz="4" w:space="0" w:color="auto"/>
            </w:tcBorders>
            <w:hideMark/>
          </w:tcPr>
          <w:p w14:paraId="4E7D105F" w14:textId="77777777" w:rsidR="00A41E60" w:rsidRPr="00D85E09" w:rsidRDefault="00A41E60" w:rsidP="0043316B">
            <w:pPr>
              <w:pStyle w:val="Tabletext"/>
              <w:keepNext w:val="0"/>
              <w:widowControl w:val="0"/>
              <w:jc w:val="center"/>
            </w:pPr>
            <w:r w:rsidRPr="00D85E09">
              <w:t>25.23%</w:t>
            </w:r>
          </w:p>
        </w:tc>
        <w:tc>
          <w:tcPr>
            <w:tcW w:w="787" w:type="pct"/>
            <w:tcBorders>
              <w:top w:val="single" w:sz="4" w:space="0" w:color="auto"/>
              <w:left w:val="single" w:sz="4" w:space="0" w:color="auto"/>
              <w:bottom w:val="single" w:sz="4" w:space="0" w:color="auto"/>
              <w:right w:val="single" w:sz="4" w:space="0" w:color="auto"/>
            </w:tcBorders>
            <w:hideMark/>
          </w:tcPr>
          <w:p w14:paraId="2EE9F32A" w14:textId="77777777" w:rsidR="00A41E60" w:rsidRPr="00D85E09" w:rsidRDefault="00A41E60" w:rsidP="0043316B">
            <w:pPr>
              <w:pStyle w:val="Tabletext"/>
              <w:keepNext w:val="0"/>
              <w:widowControl w:val="0"/>
              <w:jc w:val="center"/>
            </w:pPr>
            <w:r w:rsidRPr="00D85E09">
              <w:t>32.14%</w:t>
            </w:r>
          </w:p>
        </w:tc>
        <w:tc>
          <w:tcPr>
            <w:tcW w:w="1555" w:type="pct"/>
            <w:tcBorders>
              <w:top w:val="single" w:sz="4" w:space="0" w:color="auto"/>
              <w:left w:val="single" w:sz="4" w:space="0" w:color="auto"/>
              <w:bottom w:val="single" w:sz="4" w:space="0" w:color="auto"/>
              <w:right w:val="single" w:sz="4" w:space="0" w:color="auto"/>
            </w:tcBorders>
            <w:hideMark/>
          </w:tcPr>
          <w:p w14:paraId="60226640" w14:textId="77777777" w:rsidR="00A41E60" w:rsidRPr="00D85E09" w:rsidRDefault="00A41E60" w:rsidP="0043316B">
            <w:pPr>
              <w:pStyle w:val="Tabletext"/>
              <w:keepNext w:val="0"/>
              <w:widowControl w:val="0"/>
            </w:pPr>
            <w:r w:rsidRPr="00D85E09">
              <w:t xml:space="preserve">Applied post +1 year phase (continue to be applicable till the model end). </w:t>
            </w:r>
          </w:p>
        </w:tc>
      </w:tr>
    </w:tbl>
    <w:p w14:paraId="44DC9E08" w14:textId="3721F74C" w:rsidR="00A41E60" w:rsidRPr="00D85E09" w:rsidRDefault="00A41E60" w:rsidP="0043316B">
      <w:pPr>
        <w:pStyle w:val="Tablefooter"/>
        <w:widowControl w:val="0"/>
      </w:pPr>
      <w:r w:rsidRPr="00D85E09">
        <w:t>Abbreviations: mRS, modified Rankin Score</w:t>
      </w:r>
      <w:r w:rsidRPr="00D85E09">
        <w:br/>
        <w:t xml:space="preserve">Source: Gensicke et al 2013 (see </w:t>
      </w:r>
      <w:r w:rsidRPr="00D85E09">
        <w:fldChar w:fldCharType="begin"/>
      </w:r>
      <w:r w:rsidRPr="00D85E09">
        <w:instrText xml:space="preserve"> REF _Ref450648402 \h  \* MERGEFORMAT </w:instrText>
      </w:r>
      <w:r w:rsidRPr="00D85E09">
        <w:fldChar w:fldCharType="separate"/>
      </w:r>
      <w:r w:rsidR="00A456ED" w:rsidRPr="00D85E09">
        <w:t xml:space="preserve">Table </w:t>
      </w:r>
      <w:r w:rsidR="00A456ED">
        <w:t>70</w:t>
      </w:r>
      <w:r w:rsidRPr="00D85E09">
        <w:fldChar w:fldCharType="end"/>
      </w:r>
      <w:r w:rsidRPr="00D85E09">
        <w:t>)</w:t>
      </w:r>
    </w:p>
    <w:p w14:paraId="5EA77045" w14:textId="77777777" w:rsidR="00A41E60" w:rsidRPr="00D85E09" w:rsidRDefault="00A41E60" w:rsidP="0043316B">
      <w:pPr>
        <w:widowControl w:val="0"/>
      </w:pPr>
    </w:p>
    <w:p w14:paraId="588AFF53" w14:textId="792D768A" w:rsidR="00A41E60" w:rsidRPr="00D85E09" w:rsidRDefault="00A41E60" w:rsidP="0043316B">
      <w:pPr>
        <w:widowControl w:val="0"/>
      </w:pPr>
      <w:r w:rsidRPr="00D85E09">
        <w:t xml:space="preserve">The above approach effectively reduces the proportion of patients who die by Day 365 for each mRS from 1 to 5. The transition matrix in </w:t>
      </w:r>
      <w:r w:rsidRPr="00D85E09">
        <w:fldChar w:fldCharType="begin"/>
      </w:r>
      <w:r w:rsidRPr="00D85E09">
        <w:instrText xml:space="preserve"> REF _Ref451420966 \h </w:instrText>
      </w:r>
      <w:r w:rsidRPr="00D85E09">
        <w:fldChar w:fldCharType="separate"/>
      </w:r>
      <w:r w:rsidR="00A456ED" w:rsidRPr="00D85E09">
        <w:t xml:space="preserve">Table </w:t>
      </w:r>
      <w:r w:rsidR="00A456ED">
        <w:rPr>
          <w:noProof/>
        </w:rPr>
        <w:t>72</w:t>
      </w:r>
      <w:r w:rsidRPr="00D85E09">
        <w:fldChar w:fldCharType="end"/>
      </w:r>
      <w:r w:rsidRPr="00D85E09">
        <w:t xml:space="preserve"> has to be re</w:t>
      </w:r>
      <w:r w:rsidR="00300BB6" w:rsidRPr="00D85E09">
        <w:t>calibrated</w:t>
      </w:r>
      <w:r w:rsidRPr="00D85E09">
        <w:t xml:space="preserve"> to account for this, as shown in </w:t>
      </w:r>
      <w:r w:rsidRPr="00D85E09">
        <w:fldChar w:fldCharType="begin"/>
      </w:r>
      <w:r w:rsidRPr="00D85E09">
        <w:instrText xml:space="preserve"> REF _Ref451424328 \h </w:instrText>
      </w:r>
      <w:r w:rsidRPr="00D85E09">
        <w:fldChar w:fldCharType="separate"/>
      </w:r>
      <w:r w:rsidR="00A456ED" w:rsidRPr="00D85E09">
        <w:t xml:space="preserve">Table </w:t>
      </w:r>
      <w:r w:rsidR="00A456ED">
        <w:rPr>
          <w:noProof/>
        </w:rPr>
        <w:t>74</w:t>
      </w:r>
      <w:r w:rsidRPr="00D85E09">
        <w:fldChar w:fldCharType="end"/>
      </w:r>
      <w:r w:rsidRPr="00D85E09">
        <w:t xml:space="preserve">. The resulting Day 365 mRS distribution is shown in </w:t>
      </w:r>
      <w:r w:rsidRPr="00D85E09">
        <w:fldChar w:fldCharType="begin"/>
      </w:r>
      <w:r w:rsidRPr="00D85E09">
        <w:instrText xml:space="preserve"> REF _Ref451429337 \h </w:instrText>
      </w:r>
      <w:r w:rsidRPr="00D85E09">
        <w:fldChar w:fldCharType="separate"/>
      </w:r>
      <w:r w:rsidR="00A456ED" w:rsidRPr="00D85E09">
        <w:t xml:space="preserve">Table </w:t>
      </w:r>
      <w:r w:rsidR="00A456ED">
        <w:rPr>
          <w:noProof/>
        </w:rPr>
        <w:t>76</w:t>
      </w:r>
      <w:r w:rsidRPr="00D85E09">
        <w:fldChar w:fldCharType="end"/>
      </w:r>
      <w:r w:rsidRPr="00D85E09">
        <w:t xml:space="preserve"> below.</w:t>
      </w:r>
    </w:p>
    <w:p w14:paraId="67720172" w14:textId="48706295" w:rsidR="00A41E60" w:rsidRPr="00D85E09" w:rsidRDefault="00A41E60" w:rsidP="0043316B">
      <w:pPr>
        <w:pStyle w:val="Caption"/>
        <w:keepNext w:val="0"/>
        <w:widowControl w:val="0"/>
        <w:rPr>
          <w:lang w:val="en-AU"/>
        </w:rPr>
      </w:pPr>
      <w:bookmarkStart w:id="472" w:name="_Toc45306541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75</w:t>
      </w:r>
      <w:r w:rsidRPr="00D85E09">
        <w:rPr>
          <w:lang w:val="en-AU"/>
        </w:rPr>
        <w:fldChar w:fldCharType="end"/>
      </w:r>
      <w:r w:rsidRPr="00D85E09">
        <w:rPr>
          <w:lang w:val="en-AU"/>
        </w:rPr>
        <w:tab/>
        <w:t>Transition matrix depicting mRS changes from Day 90 to 3 years as reported by Gensicke 2013, recalibrated to adjust for rates of mortality over time – explored in an alternative model for sensitivity analysis</w:t>
      </w:r>
      <w:bookmarkEnd w:id="472"/>
    </w:p>
    <w:tbl>
      <w:tblPr>
        <w:tblStyle w:val="TableGrid"/>
        <w:tblW w:w="0" w:type="auto"/>
        <w:tblLook w:val="04A0" w:firstRow="1" w:lastRow="0" w:firstColumn="1" w:lastColumn="0" w:noHBand="0" w:noVBand="1"/>
        <w:tblDescription w:val="Table 75 Transition matrix depicting mRS changes from Day 90 to 3 years as reported by Gensicke 2013, recalibrated to adjust for rates of mortality over time – explored in an alternative model for sensitivity analysis"/>
      </w:tblPr>
      <w:tblGrid>
        <w:gridCol w:w="562"/>
        <w:gridCol w:w="993"/>
        <w:gridCol w:w="1031"/>
        <w:gridCol w:w="1032"/>
        <w:gridCol w:w="1032"/>
        <w:gridCol w:w="1032"/>
        <w:gridCol w:w="1032"/>
        <w:gridCol w:w="1032"/>
        <w:gridCol w:w="1032"/>
      </w:tblGrid>
      <w:tr w:rsidR="00A41E60" w:rsidRPr="00D85E09" w14:paraId="6AF6A7CC" w14:textId="77777777" w:rsidTr="00BE6331">
        <w:trPr>
          <w:cantSplit/>
          <w:trHeight w:val="123"/>
          <w:tblHeader/>
        </w:trPr>
        <w:tc>
          <w:tcPr>
            <w:tcW w:w="562" w:type="dxa"/>
            <w:tcBorders>
              <w:top w:val="single" w:sz="4" w:space="0" w:color="000000"/>
              <w:left w:val="single" w:sz="4" w:space="0" w:color="000000"/>
              <w:bottom w:val="nil"/>
              <w:right w:val="nil"/>
            </w:tcBorders>
          </w:tcPr>
          <w:p w14:paraId="1BAE5AA4" w14:textId="77777777" w:rsidR="00A41E60" w:rsidRPr="00D85E09" w:rsidRDefault="00A41E60" w:rsidP="0043316B">
            <w:pPr>
              <w:pStyle w:val="Tabletext"/>
              <w:keepNext w:val="0"/>
              <w:widowControl w:val="0"/>
            </w:pPr>
          </w:p>
        </w:tc>
        <w:tc>
          <w:tcPr>
            <w:tcW w:w="993" w:type="dxa"/>
            <w:tcBorders>
              <w:top w:val="single" w:sz="4" w:space="0" w:color="000000"/>
              <w:left w:val="nil"/>
              <w:bottom w:val="nil"/>
              <w:right w:val="single" w:sz="4" w:space="0" w:color="000000"/>
            </w:tcBorders>
          </w:tcPr>
          <w:p w14:paraId="0AD81275" w14:textId="77777777" w:rsidR="00A41E60" w:rsidRPr="00D85E09" w:rsidRDefault="00A41E60" w:rsidP="0043316B">
            <w:pPr>
              <w:pStyle w:val="Tabletext"/>
              <w:keepNext w:val="0"/>
              <w:widowControl w:val="0"/>
            </w:pPr>
          </w:p>
        </w:tc>
        <w:tc>
          <w:tcPr>
            <w:tcW w:w="7223" w:type="dxa"/>
            <w:gridSpan w:val="7"/>
            <w:tcBorders>
              <w:top w:val="single" w:sz="4" w:space="0" w:color="000000"/>
              <w:left w:val="single" w:sz="4" w:space="0" w:color="000000"/>
              <w:bottom w:val="single" w:sz="4" w:space="0" w:color="000000"/>
              <w:right w:val="single" w:sz="4" w:space="0" w:color="000000"/>
            </w:tcBorders>
            <w:hideMark/>
          </w:tcPr>
          <w:p w14:paraId="1E48D3EB" w14:textId="77777777" w:rsidR="00A41E60" w:rsidRPr="00D85E09" w:rsidRDefault="00A41E60" w:rsidP="0043316B">
            <w:pPr>
              <w:pStyle w:val="Tabletext"/>
              <w:keepNext w:val="0"/>
              <w:widowControl w:val="0"/>
              <w:jc w:val="center"/>
            </w:pPr>
            <w:r w:rsidRPr="00D85E09">
              <w:t>At 12 months</w:t>
            </w:r>
          </w:p>
        </w:tc>
      </w:tr>
      <w:tr w:rsidR="00A41E60" w:rsidRPr="00D85E09" w14:paraId="762FDC6F" w14:textId="77777777" w:rsidTr="00A41E60">
        <w:tc>
          <w:tcPr>
            <w:tcW w:w="562" w:type="dxa"/>
            <w:tcBorders>
              <w:top w:val="nil"/>
              <w:left w:val="single" w:sz="4" w:space="0" w:color="000000"/>
              <w:bottom w:val="single" w:sz="4" w:space="0" w:color="000000"/>
              <w:right w:val="nil"/>
            </w:tcBorders>
          </w:tcPr>
          <w:p w14:paraId="13903D9D" w14:textId="77777777" w:rsidR="00A41E60" w:rsidRPr="00D85E09" w:rsidRDefault="00A41E60" w:rsidP="0043316B">
            <w:pPr>
              <w:pStyle w:val="Tabletext"/>
              <w:keepNext w:val="0"/>
              <w:widowControl w:val="0"/>
            </w:pPr>
          </w:p>
        </w:tc>
        <w:tc>
          <w:tcPr>
            <w:tcW w:w="993" w:type="dxa"/>
            <w:tcBorders>
              <w:top w:val="nil"/>
              <w:left w:val="nil"/>
              <w:bottom w:val="single" w:sz="4" w:space="0" w:color="000000"/>
              <w:right w:val="single" w:sz="4" w:space="0" w:color="000000"/>
            </w:tcBorders>
          </w:tcPr>
          <w:p w14:paraId="1F98774B" w14:textId="77777777" w:rsidR="00A41E60" w:rsidRPr="00D85E09" w:rsidRDefault="00A41E60" w:rsidP="0043316B">
            <w:pPr>
              <w:pStyle w:val="Tabletext"/>
              <w:keepNext w:val="0"/>
              <w:widowControl w:val="0"/>
            </w:pP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3725481F" w14:textId="77777777" w:rsidR="00A41E60" w:rsidRPr="00D85E09" w:rsidRDefault="00A41E60" w:rsidP="0043316B">
            <w:pPr>
              <w:pStyle w:val="Tabletext"/>
              <w:keepNext w:val="0"/>
              <w:widowControl w:val="0"/>
              <w:jc w:val="center"/>
            </w:pPr>
            <w:r w:rsidRPr="00D85E09">
              <w:t>mRS 0</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2C4C98DE" w14:textId="77777777" w:rsidR="00A41E60" w:rsidRPr="00D85E09" w:rsidRDefault="00A41E60" w:rsidP="0043316B">
            <w:pPr>
              <w:pStyle w:val="Tabletext"/>
              <w:keepNext w:val="0"/>
              <w:widowControl w:val="0"/>
              <w:jc w:val="center"/>
            </w:pPr>
            <w:r w:rsidRPr="00D85E09">
              <w:t>mRS 1</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1913AB1" w14:textId="77777777" w:rsidR="00A41E60" w:rsidRPr="00D85E09" w:rsidRDefault="00A41E60" w:rsidP="0043316B">
            <w:pPr>
              <w:pStyle w:val="Tabletext"/>
              <w:keepNext w:val="0"/>
              <w:widowControl w:val="0"/>
              <w:jc w:val="center"/>
            </w:pPr>
            <w:r w:rsidRPr="00D85E09">
              <w:t>mRS 2</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0B855B11" w14:textId="77777777" w:rsidR="00A41E60" w:rsidRPr="00D85E09" w:rsidRDefault="00A41E60" w:rsidP="0043316B">
            <w:pPr>
              <w:pStyle w:val="Tabletext"/>
              <w:keepNext w:val="0"/>
              <w:widowControl w:val="0"/>
              <w:jc w:val="center"/>
            </w:pPr>
            <w:r w:rsidRPr="00D85E09">
              <w:t>mRS 3</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6034896" w14:textId="77777777" w:rsidR="00A41E60" w:rsidRPr="00D85E09" w:rsidRDefault="00A41E60" w:rsidP="0043316B">
            <w:pPr>
              <w:pStyle w:val="Tabletext"/>
              <w:keepNext w:val="0"/>
              <w:widowControl w:val="0"/>
              <w:jc w:val="center"/>
            </w:pPr>
            <w:r w:rsidRPr="00D85E09">
              <w:t>mRS 4</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70458D1" w14:textId="77777777" w:rsidR="00A41E60" w:rsidRPr="00D85E09" w:rsidRDefault="00A41E60" w:rsidP="0043316B">
            <w:pPr>
              <w:pStyle w:val="Tabletext"/>
              <w:keepNext w:val="0"/>
              <w:widowControl w:val="0"/>
              <w:jc w:val="center"/>
            </w:pPr>
            <w:r w:rsidRPr="00D85E09">
              <w:t>mRS 5</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CD017DB" w14:textId="77777777" w:rsidR="00A41E60" w:rsidRPr="00D85E09" w:rsidRDefault="00A41E60" w:rsidP="0043316B">
            <w:pPr>
              <w:pStyle w:val="Tabletext"/>
              <w:keepNext w:val="0"/>
              <w:widowControl w:val="0"/>
              <w:jc w:val="center"/>
            </w:pPr>
            <w:r w:rsidRPr="00D85E09">
              <w:t>mRS 6</w:t>
            </w:r>
          </w:p>
        </w:tc>
      </w:tr>
      <w:tr w:rsidR="00A41E60" w:rsidRPr="00D85E09" w14:paraId="09808C5D" w14:textId="77777777" w:rsidTr="00A41E60">
        <w:tc>
          <w:tcPr>
            <w:tcW w:w="562" w:type="dxa"/>
            <w:vMerge w:val="restart"/>
            <w:tcBorders>
              <w:top w:val="single" w:sz="4" w:space="0" w:color="000000"/>
              <w:left w:val="single" w:sz="4" w:space="0" w:color="000000"/>
              <w:bottom w:val="single" w:sz="4" w:space="0" w:color="000000"/>
              <w:right w:val="single" w:sz="4" w:space="0" w:color="000000"/>
            </w:tcBorders>
            <w:textDirection w:val="btLr"/>
            <w:hideMark/>
          </w:tcPr>
          <w:p w14:paraId="25289127" w14:textId="77777777" w:rsidR="00A41E60" w:rsidRPr="00D85E09" w:rsidRDefault="00A41E60" w:rsidP="0043316B">
            <w:pPr>
              <w:pStyle w:val="Tabletext"/>
              <w:keepNext w:val="0"/>
              <w:widowControl w:val="0"/>
              <w:ind w:left="113" w:right="113"/>
              <w:jc w:val="center"/>
            </w:pPr>
            <w:r w:rsidRPr="00D85E09">
              <w:t>At Day 90</w:t>
            </w:r>
          </w:p>
        </w:tc>
        <w:tc>
          <w:tcPr>
            <w:tcW w:w="993" w:type="dxa"/>
            <w:tcBorders>
              <w:top w:val="single" w:sz="4" w:space="0" w:color="000000"/>
              <w:left w:val="single" w:sz="4" w:space="0" w:color="000000"/>
              <w:bottom w:val="single" w:sz="4" w:space="0" w:color="000000"/>
              <w:right w:val="single" w:sz="4" w:space="0" w:color="000000"/>
            </w:tcBorders>
            <w:hideMark/>
          </w:tcPr>
          <w:p w14:paraId="20553E57" w14:textId="77777777" w:rsidR="00A41E60" w:rsidRPr="00D85E09" w:rsidRDefault="00A41E60" w:rsidP="0043316B">
            <w:pPr>
              <w:pStyle w:val="Tabletext"/>
              <w:keepNext w:val="0"/>
              <w:widowControl w:val="0"/>
            </w:pPr>
            <w:r w:rsidRPr="00D85E09">
              <w:t>mRS 0</w:t>
            </w:r>
          </w:p>
        </w:tc>
        <w:tc>
          <w:tcPr>
            <w:tcW w:w="1031" w:type="dxa"/>
            <w:tcBorders>
              <w:top w:val="single" w:sz="4" w:space="0" w:color="000000"/>
              <w:left w:val="single" w:sz="4" w:space="0" w:color="000000"/>
              <w:bottom w:val="single" w:sz="4" w:space="0" w:color="000000"/>
              <w:right w:val="single" w:sz="4" w:space="0" w:color="000000"/>
            </w:tcBorders>
            <w:hideMark/>
          </w:tcPr>
          <w:p w14:paraId="014559CA" w14:textId="77777777" w:rsidR="00A41E60" w:rsidRPr="00D85E09" w:rsidRDefault="00A41E60" w:rsidP="0043316B">
            <w:pPr>
              <w:pStyle w:val="Tabletext"/>
              <w:keepNext w:val="0"/>
              <w:widowControl w:val="0"/>
              <w:jc w:val="center"/>
            </w:pPr>
            <w:r w:rsidRPr="00D85E09">
              <w:t>73.9%</w:t>
            </w:r>
          </w:p>
        </w:tc>
        <w:tc>
          <w:tcPr>
            <w:tcW w:w="1032" w:type="dxa"/>
            <w:tcBorders>
              <w:top w:val="single" w:sz="4" w:space="0" w:color="000000"/>
              <w:left w:val="single" w:sz="4" w:space="0" w:color="000000"/>
              <w:bottom w:val="single" w:sz="4" w:space="0" w:color="000000"/>
              <w:right w:val="single" w:sz="4" w:space="0" w:color="000000"/>
            </w:tcBorders>
            <w:hideMark/>
          </w:tcPr>
          <w:p w14:paraId="5C92471D" w14:textId="77777777" w:rsidR="00A41E60" w:rsidRPr="00D85E09" w:rsidRDefault="00A41E60" w:rsidP="0043316B">
            <w:pPr>
              <w:pStyle w:val="Tabletext"/>
              <w:keepNext w:val="0"/>
              <w:widowControl w:val="0"/>
              <w:jc w:val="center"/>
            </w:pPr>
            <w:r w:rsidRPr="00D85E09">
              <w:t>8.5%</w:t>
            </w:r>
          </w:p>
        </w:tc>
        <w:tc>
          <w:tcPr>
            <w:tcW w:w="1032" w:type="dxa"/>
            <w:tcBorders>
              <w:top w:val="single" w:sz="4" w:space="0" w:color="000000"/>
              <w:left w:val="single" w:sz="4" w:space="0" w:color="000000"/>
              <w:bottom w:val="single" w:sz="4" w:space="0" w:color="000000"/>
              <w:right w:val="single" w:sz="4" w:space="0" w:color="000000"/>
            </w:tcBorders>
            <w:hideMark/>
          </w:tcPr>
          <w:p w14:paraId="72BF0E3B" w14:textId="77777777" w:rsidR="00A41E60" w:rsidRPr="00D85E09" w:rsidRDefault="00A41E60" w:rsidP="0043316B">
            <w:pPr>
              <w:pStyle w:val="Tabletext"/>
              <w:keepNext w:val="0"/>
              <w:widowControl w:val="0"/>
              <w:jc w:val="center"/>
            </w:pPr>
            <w:r w:rsidRPr="00D85E09">
              <w:t>8.5%</w:t>
            </w:r>
          </w:p>
        </w:tc>
        <w:tc>
          <w:tcPr>
            <w:tcW w:w="1032" w:type="dxa"/>
            <w:tcBorders>
              <w:top w:val="single" w:sz="4" w:space="0" w:color="000000"/>
              <w:left w:val="single" w:sz="4" w:space="0" w:color="000000"/>
              <w:bottom w:val="single" w:sz="4" w:space="0" w:color="000000"/>
              <w:right w:val="single" w:sz="4" w:space="0" w:color="000000"/>
            </w:tcBorders>
            <w:hideMark/>
          </w:tcPr>
          <w:p w14:paraId="2691EBEA"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47143ADC" w14:textId="77777777" w:rsidR="00A41E60" w:rsidRPr="00D85E09" w:rsidRDefault="00A41E60" w:rsidP="0043316B">
            <w:pPr>
              <w:pStyle w:val="Tabletext"/>
              <w:keepNext w:val="0"/>
              <w:widowControl w:val="0"/>
              <w:jc w:val="center"/>
            </w:pPr>
            <w:r w:rsidRPr="00D85E09">
              <w:t>5.7%</w:t>
            </w:r>
          </w:p>
        </w:tc>
        <w:tc>
          <w:tcPr>
            <w:tcW w:w="1032" w:type="dxa"/>
            <w:tcBorders>
              <w:top w:val="single" w:sz="4" w:space="0" w:color="000000"/>
              <w:left w:val="single" w:sz="4" w:space="0" w:color="000000"/>
              <w:bottom w:val="single" w:sz="4" w:space="0" w:color="000000"/>
              <w:right w:val="single" w:sz="4" w:space="0" w:color="000000"/>
            </w:tcBorders>
            <w:hideMark/>
          </w:tcPr>
          <w:p w14:paraId="6E22F55E"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4E2C031F" w14:textId="77777777" w:rsidR="00A41E60" w:rsidRPr="00D85E09" w:rsidRDefault="00A41E60" w:rsidP="0043316B">
            <w:pPr>
              <w:pStyle w:val="Tabletext"/>
              <w:keepNext w:val="0"/>
              <w:widowControl w:val="0"/>
              <w:jc w:val="center"/>
            </w:pPr>
            <w:r w:rsidRPr="00D85E09">
              <w:t>3.4%</w:t>
            </w:r>
          </w:p>
        </w:tc>
      </w:tr>
      <w:tr w:rsidR="00A41E60" w:rsidRPr="00D85E09" w14:paraId="1D6CE622"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9585EE"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3A3FD381" w14:textId="77777777" w:rsidR="00A41E60" w:rsidRPr="00D85E09" w:rsidRDefault="00A41E60" w:rsidP="0043316B">
            <w:pPr>
              <w:pStyle w:val="Tabletext"/>
              <w:keepNext w:val="0"/>
              <w:widowControl w:val="0"/>
            </w:pPr>
            <w:r w:rsidRPr="00D85E09">
              <w:t>mRS 1</w:t>
            </w:r>
          </w:p>
        </w:tc>
        <w:tc>
          <w:tcPr>
            <w:tcW w:w="1031" w:type="dxa"/>
            <w:tcBorders>
              <w:top w:val="single" w:sz="4" w:space="0" w:color="000000"/>
              <w:left w:val="single" w:sz="4" w:space="0" w:color="000000"/>
              <w:bottom w:val="single" w:sz="4" w:space="0" w:color="000000"/>
              <w:right w:val="single" w:sz="4" w:space="0" w:color="000000"/>
            </w:tcBorders>
            <w:hideMark/>
          </w:tcPr>
          <w:p w14:paraId="3DA1BFC0" w14:textId="77777777" w:rsidR="00A41E60" w:rsidRPr="00D85E09" w:rsidRDefault="00A41E60" w:rsidP="0043316B">
            <w:pPr>
              <w:pStyle w:val="Tabletext"/>
              <w:keepNext w:val="0"/>
              <w:widowControl w:val="0"/>
              <w:jc w:val="center"/>
            </w:pPr>
            <w:r w:rsidRPr="00D85E09">
              <w:t>67.5%</w:t>
            </w:r>
          </w:p>
        </w:tc>
        <w:tc>
          <w:tcPr>
            <w:tcW w:w="1032" w:type="dxa"/>
            <w:tcBorders>
              <w:top w:val="single" w:sz="4" w:space="0" w:color="000000"/>
              <w:left w:val="single" w:sz="4" w:space="0" w:color="000000"/>
              <w:bottom w:val="single" w:sz="4" w:space="0" w:color="000000"/>
              <w:right w:val="single" w:sz="4" w:space="0" w:color="000000"/>
            </w:tcBorders>
            <w:hideMark/>
          </w:tcPr>
          <w:p w14:paraId="0145F1F6" w14:textId="77777777" w:rsidR="00A41E60" w:rsidRPr="00D85E09" w:rsidRDefault="00A41E60" w:rsidP="0043316B">
            <w:pPr>
              <w:pStyle w:val="Tabletext"/>
              <w:keepNext w:val="0"/>
              <w:widowControl w:val="0"/>
              <w:jc w:val="center"/>
            </w:pPr>
            <w:r w:rsidRPr="00D85E09">
              <w:t>8.2%</w:t>
            </w:r>
          </w:p>
        </w:tc>
        <w:tc>
          <w:tcPr>
            <w:tcW w:w="1032" w:type="dxa"/>
            <w:tcBorders>
              <w:top w:val="single" w:sz="4" w:space="0" w:color="000000"/>
              <w:left w:val="single" w:sz="4" w:space="0" w:color="000000"/>
              <w:bottom w:val="single" w:sz="4" w:space="0" w:color="000000"/>
              <w:right w:val="single" w:sz="4" w:space="0" w:color="000000"/>
            </w:tcBorders>
            <w:hideMark/>
          </w:tcPr>
          <w:p w14:paraId="7360093C" w14:textId="77777777" w:rsidR="00A41E60" w:rsidRPr="00D85E09" w:rsidRDefault="00A41E60" w:rsidP="0043316B">
            <w:pPr>
              <w:pStyle w:val="Tabletext"/>
              <w:keepNext w:val="0"/>
              <w:widowControl w:val="0"/>
              <w:jc w:val="center"/>
            </w:pPr>
            <w:r w:rsidRPr="00D85E09">
              <w:t>2.0%</w:t>
            </w:r>
          </w:p>
        </w:tc>
        <w:tc>
          <w:tcPr>
            <w:tcW w:w="1032" w:type="dxa"/>
            <w:tcBorders>
              <w:top w:val="single" w:sz="4" w:space="0" w:color="000000"/>
              <w:left w:val="single" w:sz="4" w:space="0" w:color="000000"/>
              <w:bottom w:val="single" w:sz="4" w:space="0" w:color="000000"/>
              <w:right w:val="single" w:sz="4" w:space="0" w:color="000000"/>
            </w:tcBorders>
            <w:hideMark/>
          </w:tcPr>
          <w:p w14:paraId="464F3CB5" w14:textId="77777777" w:rsidR="00A41E60" w:rsidRPr="00D85E09" w:rsidRDefault="00A41E60" w:rsidP="0043316B">
            <w:pPr>
              <w:pStyle w:val="Tabletext"/>
              <w:keepNext w:val="0"/>
              <w:widowControl w:val="0"/>
              <w:jc w:val="center"/>
            </w:pPr>
            <w:r w:rsidRPr="00D85E09">
              <w:t>6.1%</w:t>
            </w:r>
          </w:p>
        </w:tc>
        <w:tc>
          <w:tcPr>
            <w:tcW w:w="1032" w:type="dxa"/>
            <w:tcBorders>
              <w:top w:val="single" w:sz="4" w:space="0" w:color="000000"/>
              <w:left w:val="single" w:sz="4" w:space="0" w:color="000000"/>
              <w:bottom w:val="single" w:sz="4" w:space="0" w:color="000000"/>
              <w:right w:val="single" w:sz="4" w:space="0" w:color="000000"/>
            </w:tcBorders>
            <w:hideMark/>
          </w:tcPr>
          <w:p w14:paraId="68D8BF26" w14:textId="77777777" w:rsidR="00A41E60" w:rsidRPr="00D85E09" w:rsidRDefault="00A41E60" w:rsidP="0043316B">
            <w:pPr>
              <w:pStyle w:val="Tabletext"/>
              <w:keepNext w:val="0"/>
              <w:widowControl w:val="0"/>
              <w:jc w:val="center"/>
            </w:pPr>
            <w:r w:rsidRPr="00D85E09">
              <w:t>8.2%</w:t>
            </w:r>
          </w:p>
        </w:tc>
        <w:tc>
          <w:tcPr>
            <w:tcW w:w="1032" w:type="dxa"/>
            <w:tcBorders>
              <w:top w:val="single" w:sz="4" w:space="0" w:color="000000"/>
              <w:left w:val="single" w:sz="4" w:space="0" w:color="000000"/>
              <w:bottom w:val="single" w:sz="4" w:space="0" w:color="000000"/>
              <w:right w:val="single" w:sz="4" w:space="0" w:color="000000"/>
            </w:tcBorders>
            <w:hideMark/>
          </w:tcPr>
          <w:p w14:paraId="5E29F503" w14:textId="77777777" w:rsidR="00A41E60" w:rsidRPr="00D85E09" w:rsidRDefault="00A41E60" w:rsidP="0043316B">
            <w:pPr>
              <w:pStyle w:val="Tabletext"/>
              <w:keepNext w:val="0"/>
              <w:widowControl w:val="0"/>
              <w:jc w:val="center"/>
            </w:pPr>
            <w:r w:rsidRPr="00D85E09">
              <w:t>4.1%</w:t>
            </w:r>
          </w:p>
        </w:tc>
        <w:tc>
          <w:tcPr>
            <w:tcW w:w="1032" w:type="dxa"/>
            <w:tcBorders>
              <w:top w:val="single" w:sz="4" w:space="0" w:color="000000"/>
              <w:left w:val="single" w:sz="4" w:space="0" w:color="000000"/>
              <w:bottom w:val="single" w:sz="4" w:space="0" w:color="000000"/>
              <w:right w:val="single" w:sz="4" w:space="0" w:color="000000"/>
            </w:tcBorders>
            <w:hideMark/>
          </w:tcPr>
          <w:p w14:paraId="0AA956A0" w14:textId="77777777" w:rsidR="00A41E60" w:rsidRPr="00D85E09" w:rsidRDefault="00A41E60" w:rsidP="0043316B">
            <w:pPr>
              <w:pStyle w:val="Tabletext"/>
              <w:keepNext w:val="0"/>
              <w:widowControl w:val="0"/>
              <w:jc w:val="center"/>
            </w:pPr>
            <w:r w:rsidRPr="00D85E09">
              <w:t>3.9%</w:t>
            </w:r>
          </w:p>
        </w:tc>
      </w:tr>
      <w:tr w:rsidR="00A41E60" w:rsidRPr="00D85E09" w14:paraId="2E8B3F7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C56E0E"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321C08C5" w14:textId="77777777" w:rsidR="00A41E60" w:rsidRPr="00D85E09" w:rsidRDefault="00A41E60" w:rsidP="0043316B">
            <w:pPr>
              <w:pStyle w:val="Tabletext"/>
              <w:keepNext w:val="0"/>
              <w:widowControl w:val="0"/>
            </w:pPr>
            <w:r w:rsidRPr="00D85E09">
              <w:t>mRS 2</w:t>
            </w:r>
          </w:p>
        </w:tc>
        <w:tc>
          <w:tcPr>
            <w:tcW w:w="1031" w:type="dxa"/>
            <w:tcBorders>
              <w:top w:val="single" w:sz="4" w:space="0" w:color="000000"/>
              <w:left w:val="single" w:sz="4" w:space="0" w:color="000000"/>
              <w:bottom w:val="single" w:sz="4" w:space="0" w:color="000000"/>
              <w:right w:val="single" w:sz="4" w:space="0" w:color="000000"/>
            </w:tcBorders>
            <w:hideMark/>
          </w:tcPr>
          <w:p w14:paraId="788946CE" w14:textId="77777777" w:rsidR="00A41E60" w:rsidRPr="00D85E09" w:rsidRDefault="00A41E60" w:rsidP="0043316B">
            <w:pPr>
              <w:pStyle w:val="Tabletext"/>
              <w:keepNext w:val="0"/>
              <w:widowControl w:val="0"/>
              <w:jc w:val="center"/>
            </w:pPr>
            <w:r w:rsidRPr="00D85E09">
              <w:t>34.2%</w:t>
            </w:r>
          </w:p>
        </w:tc>
        <w:tc>
          <w:tcPr>
            <w:tcW w:w="1032" w:type="dxa"/>
            <w:tcBorders>
              <w:top w:val="single" w:sz="4" w:space="0" w:color="000000"/>
              <w:left w:val="single" w:sz="4" w:space="0" w:color="000000"/>
              <w:bottom w:val="single" w:sz="4" w:space="0" w:color="000000"/>
              <w:right w:val="single" w:sz="4" w:space="0" w:color="000000"/>
            </w:tcBorders>
            <w:hideMark/>
          </w:tcPr>
          <w:p w14:paraId="456E337D" w14:textId="77777777" w:rsidR="00A41E60" w:rsidRPr="00D85E09" w:rsidRDefault="00A41E60" w:rsidP="0043316B">
            <w:pPr>
              <w:pStyle w:val="Tabletext"/>
              <w:keepNext w:val="0"/>
              <w:widowControl w:val="0"/>
              <w:jc w:val="center"/>
            </w:pPr>
            <w:r w:rsidRPr="00D85E09">
              <w:t>14.1%</w:t>
            </w:r>
          </w:p>
        </w:tc>
        <w:tc>
          <w:tcPr>
            <w:tcW w:w="1032" w:type="dxa"/>
            <w:tcBorders>
              <w:top w:val="single" w:sz="4" w:space="0" w:color="000000"/>
              <w:left w:val="single" w:sz="4" w:space="0" w:color="000000"/>
              <w:bottom w:val="single" w:sz="4" w:space="0" w:color="000000"/>
              <w:right w:val="single" w:sz="4" w:space="0" w:color="000000"/>
            </w:tcBorders>
            <w:hideMark/>
          </w:tcPr>
          <w:p w14:paraId="2FBA168E" w14:textId="77777777" w:rsidR="00A41E60" w:rsidRPr="00D85E09" w:rsidRDefault="00A41E60" w:rsidP="0043316B">
            <w:pPr>
              <w:pStyle w:val="Tabletext"/>
              <w:keepNext w:val="0"/>
              <w:widowControl w:val="0"/>
              <w:jc w:val="center"/>
            </w:pPr>
            <w:r w:rsidRPr="00D85E09">
              <w:t>20.1%</w:t>
            </w:r>
          </w:p>
        </w:tc>
        <w:tc>
          <w:tcPr>
            <w:tcW w:w="1032" w:type="dxa"/>
            <w:tcBorders>
              <w:top w:val="single" w:sz="4" w:space="0" w:color="000000"/>
              <w:left w:val="single" w:sz="4" w:space="0" w:color="000000"/>
              <w:bottom w:val="single" w:sz="4" w:space="0" w:color="000000"/>
              <w:right w:val="single" w:sz="4" w:space="0" w:color="000000"/>
            </w:tcBorders>
            <w:hideMark/>
          </w:tcPr>
          <w:p w14:paraId="11001EC1" w14:textId="77777777" w:rsidR="00A41E60" w:rsidRPr="00D85E09" w:rsidRDefault="00A41E60" w:rsidP="0043316B">
            <w:pPr>
              <w:pStyle w:val="Tabletext"/>
              <w:keepNext w:val="0"/>
              <w:widowControl w:val="0"/>
              <w:jc w:val="center"/>
            </w:pPr>
            <w:r w:rsidRPr="00D85E09">
              <w:t>16.1%</w:t>
            </w:r>
          </w:p>
        </w:tc>
        <w:tc>
          <w:tcPr>
            <w:tcW w:w="1032" w:type="dxa"/>
            <w:tcBorders>
              <w:top w:val="single" w:sz="4" w:space="0" w:color="000000"/>
              <w:left w:val="single" w:sz="4" w:space="0" w:color="000000"/>
              <w:bottom w:val="single" w:sz="4" w:space="0" w:color="000000"/>
              <w:right w:val="single" w:sz="4" w:space="0" w:color="000000"/>
            </w:tcBorders>
            <w:hideMark/>
          </w:tcPr>
          <w:p w14:paraId="4CA88B6F" w14:textId="77777777" w:rsidR="00A41E60" w:rsidRPr="00D85E09" w:rsidRDefault="00A41E60" w:rsidP="0043316B">
            <w:pPr>
              <w:pStyle w:val="Tabletext"/>
              <w:keepNext w:val="0"/>
              <w:widowControl w:val="0"/>
              <w:jc w:val="center"/>
            </w:pPr>
            <w:r w:rsidRPr="00D85E09">
              <w:t>8.1%</w:t>
            </w:r>
          </w:p>
        </w:tc>
        <w:tc>
          <w:tcPr>
            <w:tcW w:w="1032" w:type="dxa"/>
            <w:tcBorders>
              <w:top w:val="single" w:sz="4" w:space="0" w:color="000000"/>
              <w:left w:val="single" w:sz="4" w:space="0" w:color="000000"/>
              <w:bottom w:val="single" w:sz="4" w:space="0" w:color="000000"/>
              <w:right w:val="single" w:sz="4" w:space="0" w:color="000000"/>
            </w:tcBorders>
            <w:hideMark/>
          </w:tcPr>
          <w:p w14:paraId="78F9F970" w14:textId="77777777" w:rsidR="00A41E60" w:rsidRPr="00D85E09" w:rsidRDefault="00A41E60" w:rsidP="0043316B">
            <w:pPr>
              <w:pStyle w:val="Tabletext"/>
              <w:keepNext w:val="0"/>
              <w:widowControl w:val="0"/>
              <w:jc w:val="center"/>
            </w:pPr>
            <w:r w:rsidRPr="00D85E09">
              <w:t>4.0%</w:t>
            </w:r>
          </w:p>
        </w:tc>
        <w:tc>
          <w:tcPr>
            <w:tcW w:w="1032" w:type="dxa"/>
            <w:tcBorders>
              <w:top w:val="single" w:sz="4" w:space="0" w:color="000000"/>
              <w:left w:val="single" w:sz="4" w:space="0" w:color="000000"/>
              <w:bottom w:val="single" w:sz="4" w:space="0" w:color="000000"/>
              <w:right w:val="single" w:sz="4" w:space="0" w:color="000000"/>
            </w:tcBorders>
            <w:hideMark/>
          </w:tcPr>
          <w:p w14:paraId="28E32EE8" w14:textId="77777777" w:rsidR="00A41E60" w:rsidRPr="00D85E09" w:rsidRDefault="00A41E60" w:rsidP="0043316B">
            <w:pPr>
              <w:pStyle w:val="Tabletext"/>
              <w:keepNext w:val="0"/>
              <w:widowControl w:val="0"/>
              <w:jc w:val="center"/>
            </w:pPr>
            <w:r w:rsidRPr="00D85E09">
              <w:t>3.3%</w:t>
            </w:r>
          </w:p>
        </w:tc>
      </w:tr>
      <w:tr w:rsidR="00A41E60" w:rsidRPr="00D85E09" w14:paraId="0CAE4302"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D9EA1"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388B5264" w14:textId="77777777" w:rsidR="00A41E60" w:rsidRPr="00D85E09" w:rsidRDefault="00A41E60" w:rsidP="0043316B">
            <w:pPr>
              <w:pStyle w:val="Tabletext"/>
              <w:keepNext w:val="0"/>
              <w:widowControl w:val="0"/>
            </w:pPr>
            <w:r w:rsidRPr="00D85E09">
              <w:t>mRS 3</w:t>
            </w:r>
          </w:p>
        </w:tc>
        <w:tc>
          <w:tcPr>
            <w:tcW w:w="1031" w:type="dxa"/>
            <w:tcBorders>
              <w:top w:val="single" w:sz="4" w:space="0" w:color="000000"/>
              <w:left w:val="single" w:sz="4" w:space="0" w:color="000000"/>
              <w:bottom w:val="single" w:sz="4" w:space="0" w:color="000000"/>
              <w:right w:val="single" w:sz="4" w:space="0" w:color="000000"/>
            </w:tcBorders>
            <w:hideMark/>
          </w:tcPr>
          <w:p w14:paraId="53E4A03E" w14:textId="77777777" w:rsidR="00A41E60" w:rsidRPr="00D85E09" w:rsidRDefault="00A41E60" w:rsidP="0043316B">
            <w:pPr>
              <w:pStyle w:val="Tabletext"/>
              <w:keepNext w:val="0"/>
              <w:widowControl w:val="0"/>
              <w:jc w:val="center"/>
            </w:pPr>
            <w:r w:rsidRPr="00D85E09">
              <w:t>20.4%</w:t>
            </w:r>
          </w:p>
        </w:tc>
        <w:tc>
          <w:tcPr>
            <w:tcW w:w="1032" w:type="dxa"/>
            <w:tcBorders>
              <w:top w:val="single" w:sz="4" w:space="0" w:color="000000"/>
              <w:left w:val="single" w:sz="4" w:space="0" w:color="000000"/>
              <w:bottom w:val="single" w:sz="4" w:space="0" w:color="000000"/>
              <w:right w:val="single" w:sz="4" w:space="0" w:color="000000"/>
            </w:tcBorders>
            <w:hideMark/>
          </w:tcPr>
          <w:p w14:paraId="04E4432B" w14:textId="77777777" w:rsidR="00A41E60" w:rsidRPr="00D85E09" w:rsidRDefault="00A41E60" w:rsidP="0043316B">
            <w:pPr>
              <w:pStyle w:val="Tabletext"/>
              <w:keepNext w:val="0"/>
              <w:widowControl w:val="0"/>
              <w:jc w:val="center"/>
            </w:pPr>
            <w:r w:rsidRPr="00D85E09">
              <w:t>13.6%</w:t>
            </w:r>
          </w:p>
        </w:tc>
        <w:tc>
          <w:tcPr>
            <w:tcW w:w="1032" w:type="dxa"/>
            <w:tcBorders>
              <w:top w:val="single" w:sz="4" w:space="0" w:color="000000"/>
              <w:left w:val="single" w:sz="4" w:space="0" w:color="000000"/>
              <w:bottom w:val="single" w:sz="4" w:space="0" w:color="000000"/>
              <w:right w:val="single" w:sz="4" w:space="0" w:color="000000"/>
            </w:tcBorders>
            <w:hideMark/>
          </w:tcPr>
          <w:p w14:paraId="43F17787" w14:textId="77777777" w:rsidR="00A41E60" w:rsidRPr="00D85E09" w:rsidRDefault="00A41E60" w:rsidP="0043316B">
            <w:pPr>
              <w:pStyle w:val="Tabletext"/>
              <w:keepNext w:val="0"/>
              <w:widowControl w:val="0"/>
              <w:jc w:val="center"/>
            </w:pPr>
            <w:r w:rsidRPr="00D85E09">
              <w:t>20.4%</w:t>
            </w:r>
          </w:p>
        </w:tc>
        <w:tc>
          <w:tcPr>
            <w:tcW w:w="1032" w:type="dxa"/>
            <w:tcBorders>
              <w:top w:val="single" w:sz="4" w:space="0" w:color="000000"/>
              <w:left w:val="single" w:sz="4" w:space="0" w:color="000000"/>
              <w:bottom w:val="single" w:sz="4" w:space="0" w:color="000000"/>
              <w:right w:val="single" w:sz="4" w:space="0" w:color="000000"/>
            </w:tcBorders>
            <w:hideMark/>
          </w:tcPr>
          <w:p w14:paraId="218344A5" w14:textId="77777777" w:rsidR="00A41E60" w:rsidRPr="00D85E09" w:rsidRDefault="00A41E60" w:rsidP="0043316B">
            <w:pPr>
              <w:pStyle w:val="Tabletext"/>
              <w:keepNext w:val="0"/>
              <w:widowControl w:val="0"/>
              <w:jc w:val="center"/>
            </w:pPr>
            <w:r w:rsidRPr="00D85E09">
              <w:t>20.4%</w:t>
            </w:r>
          </w:p>
        </w:tc>
        <w:tc>
          <w:tcPr>
            <w:tcW w:w="1032" w:type="dxa"/>
            <w:tcBorders>
              <w:top w:val="single" w:sz="4" w:space="0" w:color="000000"/>
              <w:left w:val="single" w:sz="4" w:space="0" w:color="000000"/>
              <w:bottom w:val="single" w:sz="4" w:space="0" w:color="000000"/>
              <w:right w:val="single" w:sz="4" w:space="0" w:color="000000"/>
            </w:tcBorders>
            <w:hideMark/>
          </w:tcPr>
          <w:p w14:paraId="43ED362C" w14:textId="77777777" w:rsidR="00A41E60" w:rsidRPr="00D85E09" w:rsidRDefault="00A41E60" w:rsidP="0043316B">
            <w:pPr>
              <w:pStyle w:val="Tabletext"/>
              <w:keepNext w:val="0"/>
              <w:widowControl w:val="0"/>
              <w:jc w:val="center"/>
            </w:pPr>
            <w:r w:rsidRPr="00D85E09">
              <w:t>13.6%</w:t>
            </w:r>
          </w:p>
        </w:tc>
        <w:tc>
          <w:tcPr>
            <w:tcW w:w="1032" w:type="dxa"/>
            <w:tcBorders>
              <w:top w:val="single" w:sz="4" w:space="0" w:color="000000"/>
              <w:left w:val="single" w:sz="4" w:space="0" w:color="000000"/>
              <w:bottom w:val="single" w:sz="4" w:space="0" w:color="000000"/>
              <w:right w:val="single" w:sz="4" w:space="0" w:color="000000"/>
            </w:tcBorders>
            <w:hideMark/>
          </w:tcPr>
          <w:p w14:paraId="7E4413B7" w14:textId="77777777" w:rsidR="00A41E60" w:rsidRPr="00D85E09" w:rsidRDefault="00A41E60" w:rsidP="0043316B">
            <w:pPr>
              <w:pStyle w:val="Tabletext"/>
              <w:keepNext w:val="0"/>
              <w:widowControl w:val="0"/>
              <w:jc w:val="center"/>
            </w:pPr>
            <w:r w:rsidRPr="00D85E09">
              <w:t>6.8%</w:t>
            </w:r>
          </w:p>
        </w:tc>
        <w:tc>
          <w:tcPr>
            <w:tcW w:w="1032" w:type="dxa"/>
            <w:tcBorders>
              <w:top w:val="single" w:sz="4" w:space="0" w:color="000000"/>
              <w:left w:val="single" w:sz="4" w:space="0" w:color="000000"/>
              <w:bottom w:val="single" w:sz="4" w:space="0" w:color="000000"/>
              <w:right w:val="single" w:sz="4" w:space="0" w:color="000000"/>
            </w:tcBorders>
            <w:hideMark/>
          </w:tcPr>
          <w:p w14:paraId="14B55C9A" w14:textId="77777777" w:rsidR="00A41E60" w:rsidRPr="00D85E09" w:rsidRDefault="00A41E60" w:rsidP="0043316B">
            <w:pPr>
              <w:pStyle w:val="Tabletext"/>
              <w:keepNext w:val="0"/>
              <w:widowControl w:val="0"/>
              <w:jc w:val="center"/>
            </w:pPr>
            <w:r w:rsidRPr="00D85E09">
              <w:t>4.7%</w:t>
            </w:r>
          </w:p>
        </w:tc>
      </w:tr>
      <w:tr w:rsidR="00A41E60" w:rsidRPr="00D85E09" w14:paraId="00BE376A"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D6D02"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795BB1ED" w14:textId="77777777" w:rsidR="00A41E60" w:rsidRPr="00D85E09" w:rsidRDefault="00A41E60" w:rsidP="0043316B">
            <w:pPr>
              <w:pStyle w:val="Tabletext"/>
              <w:keepNext w:val="0"/>
              <w:widowControl w:val="0"/>
            </w:pPr>
            <w:r w:rsidRPr="00D85E09">
              <w:t>mRS 4</w:t>
            </w:r>
          </w:p>
        </w:tc>
        <w:tc>
          <w:tcPr>
            <w:tcW w:w="1031" w:type="dxa"/>
            <w:tcBorders>
              <w:top w:val="single" w:sz="4" w:space="0" w:color="000000"/>
              <w:left w:val="single" w:sz="4" w:space="0" w:color="000000"/>
              <w:bottom w:val="single" w:sz="4" w:space="0" w:color="000000"/>
              <w:right w:val="single" w:sz="4" w:space="0" w:color="000000"/>
            </w:tcBorders>
            <w:hideMark/>
          </w:tcPr>
          <w:p w14:paraId="4DC5C6E2" w14:textId="77777777" w:rsidR="00A41E60" w:rsidRPr="00D85E09" w:rsidRDefault="00A41E60" w:rsidP="0043316B">
            <w:pPr>
              <w:pStyle w:val="Tabletext"/>
              <w:keepNext w:val="0"/>
              <w:widowControl w:val="0"/>
              <w:jc w:val="center"/>
            </w:pPr>
            <w:r w:rsidRPr="00D85E09">
              <w:t>2.8%</w:t>
            </w:r>
          </w:p>
        </w:tc>
        <w:tc>
          <w:tcPr>
            <w:tcW w:w="1032" w:type="dxa"/>
            <w:tcBorders>
              <w:top w:val="single" w:sz="4" w:space="0" w:color="000000"/>
              <w:left w:val="single" w:sz="4" w:space="0" w:color="000000"/>
              <w:bottom w:val="single" w:sz="4" w:space="0" w:color="000000"/>
              <w:right w:val="single" w:sz="4" w:space="0" w:color="000000"/>
            </w:tcBorders>
            <w:hideMark/>
          </w:tcPr>
          <w:p w14:paraId="376BBA9F"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3AE33C88" w14:textId="77777777" w:rsidR="00A41E60" w:rsidRPr="00D85E09" w:rsidRDefault="00A41E60" w:rsidP="0043316B">
            <w:pPr>
              <w:pStyle w:val="Tabletext"/>
              <w:keepNext w:val="0"/>
              <w:widowControl w:val="0"/>
              <w:jc w:val="center"/>
            </w:pPr>
            <w:r w:rsidRPr="00D85E09">
              <w:t>8.5%</w:t>
            </w:r>
          </w:p>
        </w:tc>
        <w:tc>
          <w:tcPr>
            <w:tcW w:w="1032" w:type="dxa"/>
            <w:tcBorders>
              <w:top w:val="single" w:sz="4" w:space="0" w:color="000000"/>
              <w:left w:val="single" w:sz="4" w:space="0" w:color="000000"/>
              <w:bottom w:val="single" w:sz="4" w:space="0" w:color="000000"/>
              <w:right w:val="single" w:sz="4" w:space="0" w:color="000000"/>
            </w:tcBorders>
            <w:hideMark/>
          </w:tcPr>
          <w:p w14:paraId="3A95EDEC" w14:textId="77777777" w:rsidR="00A41E60" w:rsidRPr="00D85E09" w:rsidRDefault="00A41E60" w:rsidP="0043316B">
            <w:pPr>
              <w:pStyle w:val="Tabletext"/>
              <w:keepNext w:val="0"/>
              <w:widowControl w:val="0"/>
              <w:jc w:val="center"/>
            </w:pPr>
            <w:r w:rsidRPr="00D85E09">
              <w:t>11.3%</w:t>
            </w:r>
          </w:p>
        </w:tc>
        <w:tc>
          <w:tcPr>
            <w:tcW w:w="1032" w:type="dxa"/>
            <w:tcBorders>
              <w:top w:val="single" w:sz="4" w:space="0" w:color="000000"/>
              <w:left w:val="single" w:sz="4" w:space="0" w:color="000000"/>
              <w:bottom w:val="single" w:sz="4" w:space="0" w:color="000000"/>
              <w:right w:val="single" w:sz="4" w:space="0" w:color="000000"/>
            </w:tcBorders>
            <w:hideMark/>
          </w:tcPr>
          <w:p w14:paraId="24D53946" w14:textId="77777777" w:rsidR="00A41E60" w:rsidRPr="00D85E09" w:rsidRDefault="00A41E60" w:rsidP="0043316B">
            <w:pPr>
              <w:pStyle w:val="Tabletext"/>
              <w:keepNext w:val="0"/>
              <w:widowControl w:val="0"/>
              <w:jc w:val="center"/>
            </w:pPr>
            <w:r w:rsidRPr="00D85E09">
              <w:t>31.1%</w:t>
            </w:r>
          </w:p>
        </w:tc>
        <w:tc>
          <w:tcPr>
            <w:tcW w:w="1032" w:type="dxa"/>
            <w:tcBorders>
              <w:top w:val="single" w:sz="4" w:space="0" w:color="000000"/>
              <w:left w:val="single" w:sz="4" w:space="0" w:color="000000"/>
              <w:bottom w:val="single" w:sz="4" w:space="0" w:color="000000"/>
              <w:right w:val="single" w:sz="4" w:space="0" w:color="000000"/>
            </w:tcBorders>
            <w:hideMark/>
          </w:tcPr>
          <w:p w14:paraId="2302F14C" w14:textId="77777777" w:rsidR="00A41E60" w:rsidRPr="00D85E09" w:rsidRDefault="00A41E60" w:rsidP="0043316B">
            <w:pPr>
              <w:pStyle w:val="Tabletext"/>
              <w:keepNext w:val="0"/>
              <w:widowControl w:val="0"/>
              <w:jc w:val="center"/>
            </w:pPr>
            <w:r w:rsidRPr="00D85E09">
              <w:t>42.4%</w:t>
            </w:r>
          </w:p>
        </w:tc>
        <w:tc>
          <w:tcPr>
            <w:tcW w:w="1032" w:type="dxa"/>
            <w:tcBorders>
              <w:top w:val="single" w:sz="4" w:space="0" w:color="000000"/>
              <w:left w:val="single" w:sz="4" w:space="0" w:color="000000"/>
              <w:bottom w:val="single" w:sz="4" w:space="0" w:color="000000"/>
              <w:right w:val="single" w:sz="4" w:space="0" w:color="000000"/>
            </w:tcBorders>
            <w:hideMark/>
          </w:tcPr>
          <w:p w14:paraId="42EFB34C" w14:textId="77777777" w:rsidR="00A41E60" w:rsidRPr="00D85E09" w:rsidRDefault="00A41E60" w:rsidP="0043316B">
            <w:pPr>
              <w:pStyle w:val="Tabletext"/>
              <w:keepNext w:val="0"/>
              <w:widowControl w:val="0"/>
              <w:jc w:val="center"/>
            </w:pPr>
            <w:r w:rsidRPr="00D85E09">
              <w:t>4.0%</w:t>
            </w:r>
          </w:p>
        </w:tc>
      </w:tr>
      <w:tr w:rsidR="00A41E60" w:rsidRPr="00D85E09" w14:paraId="7E63D7A0"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6097F4"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40B23931" w14:textId="77777777" w:rsidR="00A41E60" w:rsidRPr="00D85E09" w:rsidRDefault="00A41E60" w:rsidP="0043316B">
            <w:pPr>
              <w:pStyle w:val="Tabletext"/>
              <w:keepNext w:val="0"/>
              <w:widowControl w:val="0"/>
            </w:pPr>
            <w:r w:rsidRPr="00D85E09">
              <w:t>mRS 5</w:t>
            </w:r>
          </w:p>
        </w:tc>
        <w:tc>
          <w:tcPr>
            <w:tcW w:w="1031" w:type="dxa"/>
            <w:tcBorders>
              <w:top w:val="single" w:sz="4" w:space="0" w:color="000000"/>
              <w:left w:val="single" w:sz="4" w:space="0" w:color="000000"/>
              <w:bottom w:val="single" w:sz="4" w:space="0" w:color="000000"/>
              <w:right w:val="single" w:sz="4" w:space="0" w:color="000000"/>
            </w:tcBorders>
            <w:hideMark/>
          </w:tcPr>
          <w:p w14:paraId="1048F212"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597B4F7D"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6AA55C07"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64C86EC7"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784EBA41"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7F4C5A60" w14:textId="77777777" w:rsidR="00A41E60" w:rsidRPr="00D85E09" w:rsidRDefault="00A41E60" w:rsidP="0043316B">
            <w:pPr>
              <w:pStyle w:val="Tabletext"/>
              <w:keepNext w:val="0"/>
              <w:widowControl w:val="0"/>
              <w:jc w:val="center"/>
            </w:pPr>
            <w:r w:rsidRPr="00D85E09">
              <w:t>74.8%</w:t>
            </w:r>
          </w:p>
        </w:tc>
        <w:tc>
          <w:tcPr>
            <w:tcW w:w="1032" w:type="dxa"/>
            <w:tcBorders>
              <w:top w:val="single" w:sz="4" w:space="0" w:color="000000"/>
              <w:left w:val="single" w:sz="4" w:space="0" w:color="000000"/>
              <w:bottom w:val="single" w:sz="4" w:space="0" w:color="000000"/>
              <w:right w:val="single" w:sz="4" w:space="0" w:color="000000"/>
            </w:tcBorders>
            <w:hideMark/>
          </w:tcPr>
          <w:p w14:paraId="2F34245D" w14:textId="77777777" w:rsidR="00A41E60" w:rsidRPr="00D85E09" w:rsidRDefault="00A41E60" w:rsidP="0043316B">
            <w:pPr>
              <w:pStyle w:val="Tabletext"/>
              <w:keepNext w:val="0"/>
              <w:widowControl w:val="0"/>
              <w:jc w:val="center"/>
            </w:pPr>
            <w:r w:rsidRPr="00D85E09">
              <w:t>25.2%</w:t>
            </w:r>
          </w:p>
        </w:tc>
      </w:tr>
    </w:tbl>
    <w:p w14:paraId="57541F24" w14:textId="18F8139D" w:rsidR="00A41E60" w:rsidRPr="00D85E09" w:rsidRDefault="00A41E60" w:rsidP="0043316B">
      <w:pPr>
        <w:pStyle w:val="Tablefooter"/>
        <w:widowControl w:val="0"/>
      </w:pPr>
      <w:r w:rsidRPr="00D85E09">
        <w:t xml:space="preserve">Abbreviations: mRS, modified Rankin </w:t>
      </w:r>
      <w:r w:rsidR="00F67AF7" w:rsidRPr="00D85E09">
        <w:t>s</w:t>
      </w:r>
      <w:r w:rsidRPr="00D85E09">
        <w:t>core</w:t>
      </w:r>
      <w:r w:rsidRPr="00D85E09">
        <w:br/>
        <w:t xml:space="preserve">Source: Gensicke et al 2013 (see </w:t>
      </w:r>
      <w:r w:rsidRPr="00D85E09">
        <w:fldChar w:fldCharType="begin"/>
      </w:r>
      <w:r w:rsidRPr="00D85E09">
        <w:instrText xml:space="preserve"> REF _Ref450648402 \h  \* MERGEFORMAT </w:instrText>
      </w:r>
      <w:r w:rsidRPr="00D85E09">
        <w:fldChar w:fldCharType="separate"/>
      </w:r>
      <w:r w:rsidR="00A456ED" w:rsidRPr="00D85E09">
        <w:t xml:space="preserve">Table </w:t>
      </w:r>
      <w:r w:rsidR="00A456ED">
        <w:t>70</w:t>
      </w:r>
      <w:r w:rsidRPr="00D85E09">
        <w:fldChar w:fldCharType="end"/>
      </w:r>
      <w:r w:rsidRPr="00D85E09">
        <w:t xml:space="preserve">) and </w:t>
      </w:r>
      <w:r w:rsidRPr="00D85E09">
        <w:fldChar w:fldCharType="begin"/>
      </w:r>
      <w:r w:rsidRPr="00D85E09">
        <w:instrText xml:space="preserve"> REF _Ref451424328 \h </w:instrText>
      </w:r>
      <w:r w:rsidRPr="00D85E09">
        <w:fldChar w:fldCharType="separate"/>
      </w:r>
      <w:r w:rsidR="00A456ED" w:rsidRPr="00D85E09">
        <w:t xml:space="preserve">Table </w:t>
      </w:r>
      <w:r w:rsidR="00A456ED">
        <w:rPr>
          <w:noProof/>
        </w:rPr>
        <w:t>74</w:t>
      </w:r>
      <w:r w:rsidRPr="00D85E09">
        <w:fldChar w:fldCharType="end"/>
      </w:r>
      <w:r w:rsidRPr="00D85E09">
        <w:t xml:space="preserve">. </w:t>
      </w:r>
      <w:r w:rsidRPr="00D85E09">
        <w:br/>
        <w:t>Notes: Distribution across mRS 0-5 at 12 months is adjusted to account for a lower mortality rate (i.e., mRS 6) for each Day 90 mRS by keeping the proportional distribution for these six health states (mRS 0-5) constant.</w:t>
      </w:r>
    </w:p>
    <w:p w14:paraId="513B9865" w14:textId="77777777" w:rsidR="00A41E60" w:rsidRPr="00D85E09" w:rsidRDefault="00A41E60" w:rsidP="0043316B">
      <w:pPr>
        <w:widowControl w:val="0"/>
      </w:pPr>
    </w:p>
    <w:p w14:paraId="76523F3E" w14:textId="3DF7A211" w:rsidR="00A41E60" w:rsidRPr="00D85E09" w:rsidRDefault="00A41E60" w:rsidP="0043316B">
      <w:pPr>
        <w:pStyle w:val="Caption"/>
        <w:keepNext w:val="0"/>
        <w:widowControl w:val="0"/>
        <w:rPr>
          <w:lang w:val="en-AU"/>
        </w:rPr>
      </w:pPr>
      <w:bookmarkStart w:id="473" w:name="_Ref451429337"/>
      <w:bookmarkStart w:id="474" w:name="_Toc453065412"/>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76</w:t>
      </w:r>
      <w:r w:rsidRPr="00D85E09">
        <w:rPr>
          <w:lang w:val="en-AU"/>
        </w:rPr>
        <w:fldChar w:fldCharType="end"/>
      </w:r>
      <w:bookmarkEnd w:id="473"/>
      <w:r w:rsidRPr="00D85E09">
        <w:rPr>
          <w:lang w:val="en-AU"/>
        </w:rPr>
        <w:tab/>
        <w:t>Calculated mRS distribution at Day 365 after rehabilitation effects with no recurrent stroke, adjustment for rates of mortality over time – explored in an alternative model for sensitivity analysis</w:t>
      </w:r>
      <w:bookmarkEnd w:id="4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76 Calculated mRS distribution at Day 365 after rehabilitation effects with no recurrent stroke, adjustment for rates of mortality over time – explored in an alternative model for sensitivity analysis"/>
      </w:tblPr>
      <w:tblGrid>
        <w:gridCol w:w="3176"/>
        <w:gridCol w:w="873"/>
        <w:gridCol w:w="873"/>
        <w:gridCol w:w="875"/>
        <w:gridCol w:w="875"/>
        <w:gridCol w:w="875"/>
        <w:gridCol w:w="875"/>
        <w:gridCol w:w="866"/>
      </w:tblGrid>
      <w:tr w:rsidR="00A41E60" w:rsidRPr="00D85E09" w14:paraId="746AE9BF" w14:textId="77777777" w:rsidTr="00A41E60">
        <w:trPr>
          <w:trHeight w:val="329"/>
        </w:trPr>
        <w:tc>
          <w:tcPr>
            <w:tcW w:w="1710" w:type="pct"/>
            <w:tcBorders>
              <w:top w:val="single" w:sz="4" w:space="0" w:color="auto"/>
              <w:left w:val="single" w:sz="4" w:space="0" w:color="auto"/>
              <w:bottom w:val="single" w:sz="4" w:space="0" w:color="auto"/>
              <w:right w:val="single" w:sz="4" w:space="0" w:color="auto"/>
            </w:tcBorders>
            <w:noWrap/>
            <w:vAlign w:val="center"/>
            <w:hideMark/>
          </w:tcPr>
          <w:p w14:paraId="4C512496" w14:textId="77777777" w:rsidR="00A41E60" w:rsidRPr="00D85E09" w:rsidRDefault="00A41E60" w:rsidP="0043316B">
            <w:pPr>
              <w:pStyle w:val="Tabletext"/>
              <w:keepNext w:val="0"/>
              <w:widowControl w:val="0"/>
            </w:pPr>
            <w:r w:rsidRPr="00D85E09">
              <w:t>mRS</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5FF55A18" w14:textId="77777777" w:rsidR="00A41E60" w:rsidRPr="00D85E09" w:rsidRDefault="00A41E60" w:rsidP="0043316B">
            <w:pPr>
              <w:pStyle w:val="Tabletext"/>
              <w:keepNext w:val="0"/>
              <w:widowControl w:val="0"/>
            </w:pPr>
            <w:r w:rsidRPr="00D85E09">
              <w:t>mRS 0</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628E2F1F" w14:textId="77777777" w:rsidR="00A41E60" w:rsidRPr="00D85E09" w:rsidRDefault="00A41E60" w:rsidP="0043316B">
            <w:pPr>
              <w:pStyle w:val="Tabletext"/>
              <w:keepNext w:val="0"/>
              <w:widowControl w:val="0"/>
            </w:pPr>
            <w:r w:rsidRPr="00D85E09">
              <w:t>mRS 1</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03B2A164" w14:textId="77777777" w:rsidR="00A41E60" w:rsidRPr="00D85E09" w:rsidRDefault="00A41E60" w:rsidP="0043316B">
            <w:pPr>
              <w:pStyle w:val="Tabletext"/>
              <w:keepNext w:val="0"/>
              <w:widowControl w:val="0"/>
            </w:pPr>
            <w:r w:rsidRPr="00D85E09">
              <w:t>mRS 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76E626BB" w14:textId="77777777" w:rsidR="00A41E60" w:rsidRPr="00D85E09" w:rsidRDefault="00A41E60" w:rsidP="0043316B">
            <w:pPr>
              <w:pStyle w:val="Tabletext"/>
              <w:keepNext w:val="0"/>
              <w:widowControl w:val="0"/>
            </w:pPr>
            <w:r w:rsidRPr="00D85E09">
              <w:t>mRS 3</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7668D6FB" w14:textId="77777777" w:rsidR="00A41E60" w:rsidRPr="00D85E09" w:rsidRDefault="00A41E60" w:rsidP="0043316B">
            <w:pPr>
              <w:pStyle w:val="Tabletext"/>
              <w:keepNext w:val="0"/>
              <w:widowControl w:val="0"/>
            </w:pPr>
            <w:r w:rsidRPr="00D85E09">
              <w:t>mRS 4</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2F0C4F8C" w14:textId="77777777" w:rsidR="00A41E60" w:rsidRPr="00D85E09" w:rsidRDefault="00A41E60" w:rsidP="0043316B">
            <w:pPr>
              <w:pStyle w:val="Tabletext"/>
              <w:keepNext w:val="0"/>
              <w:widowControl w:val="0"/>
            </w:pPr>
            <w:r w:rsidRPr="00D85E09">
              <w:t>mRS 5</w:t>
            </w:r>
          </w:p>
        </w:tc>
        <w:tc>
          <w:tcPr>
            <w:tcW w:w="466" w:type="pct"/>
            <w:tcBorders>
              <w:top w:val="single" w:sz="4" w:space="0" w:color="auto"/>
              <w:left w:val="single" w:sz="4" w:space="0" w:color="auto"/>
              <w:bottom w:val="single" w:sz="4" w:space="0" w:color="auto"/>
              <w:right w:val="single" w:sz="4" w:space="0" w:color="auto"/>
            </w:tcBorders>
            <w:noWrap/>
            <w:vAlign w:val="center"/>
            <w:hideMark/>
          </w:tcPr>
          <w:p w14:paraId="06548B26" w14:textId="77777777" w:rsidR="00A41E60" w:rsidRPr="00D85E09" w:rsidRDefault="00A41E60" w:rsidP="0043316B">
            <w:pPr>
              <w:pStyle w:val="Tabletext"/>
              <w:keepNext w:val="0"/>
              <w:widowControl w:val="0"/>
            </w:pPr>
            <w:r w:rsidRPr="00D85E09">
              <w:t>Dead</w:t>
            </w:r>
          </w:p>
        </w:tc>
      </w:tr>
      <w:tr w:rsidR="00A41E60" w:rsidRPr="00D85E09" w14:paraId="0FB54734" w14:textId="77777777" w:rsidTr="00A41E60">
        <w:trPr>
          <w:trHeight w:val="330"/>
        </w:trPr>
        <w:tc>
          <w:tcPr>
            <w:tcW w:w="1710" w:type="pct"/>
            <w:tcBorders>
              <w:top w:val="single" w:sz="4" w:space="0" w:color="auto"/>
              <w:left w:val="single" w:sz="4" w:space="0" w:color="auto"/>
              <w:bottom w:val="single" w:sz="4" w:space="0" w:color="auto"/>
              <w:right w:val="single" w:sz="4" w:space="0" w:color="auto"/>
            </w:tcBorders>
            <w:noWrap/>
            <w:vAlign w:val="center"/>
            <w:hideMark/>
          </w:tcPr>
          <w:p w14:paraId="44964663" w14:textId="77777777" w:rsidR="00A41E60" w:rsidRPr="00D85E09" w:rsidRDefault="00A41E60" w:rsidP="0043316B">
            <w:pPr>
              <w:pStyle w:val="Tabletext"/>
              <w:keepNext w:val="0"/>
              <w:widowControl w:val="0"/>
            </w:pPr>
            <w:r w:rsidRPr="00D85E09">
              <w:t>Mechanical thrombectomy + usual care</w:t>
            </w:r>
          </w:p>
        </w:tc>
        <w:tc>
          <w:tcPr>
            <w:tcW w:w="470" w:type="pct"/>
            <w:tcBorders>
              <w:top w:val="single" w:sz="4" w:space="0" w:color="auto"/>
              <w:left w:val="single" w:sz="4" w:space="0" w:color="auto"/>
              <w:bottom w:val="single" w:sz="4" w:space="0" w:color="auto"/>
              <w:right w:val="single" w:sz="4" w:space="0" w:color="auto"/>
            </w:tcBorders>
            <w:noWrap/>
            <w:hideMark/>
          </w:tcPr>
          <w:p w14:paraId="5417237F" w14:textId="77777777" w:rsidR="00A41E60" w:rsidRPr="00D85E09" w:rsidRDefault="00A41E60" w:rsidP="0043316B">
            <w:pPr>
              <w:pStyle w:val="Tabletext"/>
              <w:keepNext w:val="0"/>
              <w:widowControl w:val="0"/>
            </w:pPr>
            <w:r w:rsidRPr="00D85E09">
              <w:t>29.23%</w:t>
            </w:r>
          </w:p>
        </w:tc>
        <w:tc>
          <w:tcPr>
            <w:tcW w:w="470" w:type="pct"/>
            <w:tcBorders>
              <w:top w:val="single" w:sz="4" w:space="0" w:color="auto"/>
              <w:left w:val="single" w:sz="4" w:space="0" w:color="auto"/>
              <w:bottom w:val="single" w:sz="4" w:space="0" w:color="auto"/>
              <w:right w:val="single" w:sz="4" w:space="0" w:color="auto"/>
            </w:tcBorders>
            <w:noWrap/>
            <w:hideMark/>
          </w:tcPr>
          <w:p w14:paraId="16B9AFAF" w14:textId="77777777" w:rsidR="00A41E60" w:rsidRPr="00D85E09" w:rsidRDefault="00A41E60" w:rsidP="0043316B">
            <w:pPr>
              <w:pStyle w:val="Tabletext"/>
              <w:keepNext w:val="0"/>
              <w:widowControl w:val="0"/>
            </w:pPr>
            <w:r w:rsidRPr="00D85E09">
              <w:t>7.23%</w:t>
            </w:r>
          </w:p>
        </w:tc>
        <w:tc>
          <w:tcPr>
            <w:tcW w:w="471" w:type="pct"/>
            <w:tcBorders>
              <w:top w:val="single" w:sz="4" w:space="0" w:color="auto"/>
              <w:left w:val="single" w:sz="4" w:space="0" w:color="auto"/>
              <w:bottom w:val="single" w:sz="4" w:space="0" w:color="auto"/>
              <w:right w:val="single" w:sz="4" w:space="0" w:color="auto"/>
            </w:tcBorders>
            <w:noWrap/>
            <w:hideMark/>
          </w:tcPr>
          <w:p w14:paraId="6C95794E" w14:textId="77777777" w:rsidR="00A41E60" w:rsidRPr="00D85E09" w:rsidRDefault="00A41E60" w:rsidP="0043316B">
            <w:pPr>
              <w:pStyle w:val="Tabletext"/>
              <w:keepNext w:val="0"/>
              <w:widowControl w:val="0"/>
            </w:pPr>
            <w:r w:rsidRPr="00D85E09">
              <w:t>9.82%</w:t>
            </w:r>
          </w:p>
        </w:tc>
        <w:tc>
          <w:tcPr>
            <w:tcW w:w="471" w:type="pct"/>
            <w:tcBorders>
              <w:top w:val="single" w:sz="4" w:space="0" w:color="auto"/>
              <w:left w:val="single" w:sz="4" w:space="0" w:color="auto"/>
              <w:bottom w:val="single" w:sz="4" w:space="0" w:color="auto"/>
              <w:right w:val="single" w:sz="4" w:space="0" w:color="auto"/>
            </w:tcBorders>
            <w:noWrap/>
            <w:hideMark/>
          </w:tcPr>
          <w:p w14:paraId="3D5B9009" w14:textId="77777777" w:rsidR="00A41E60" w:rsidRPr="00D85E09" w:rsidRDefault="00A41E60" w:rsidP="0043316B">
            <w:pPr>
              <w:pStyle w:val="Tabletext"/>
              <w:keepNext w:val="0"/>
              <w:widowControl w:val="0"/>
            </w:pPr>
            <w:r w:rsidRPr="00D85E09">
              <w:t>9.33%</w:t>
            </w:r>
          </w:p>
        </w:tc>
        <w:tc>
          <w:tcPr>
            <w:tcW w:w="471" w:type="pct"/>
            <w:tcBorders>
              <w:top w:val="single" w:sz="4" w:space="0" w:color="auto"/>
              <w:left w:val="single" w:sz="4" w:space="0" w:color="auto"/>
              <w:bottom w:val="single" w:sz="4" w:space="0" w:color="auto"/>
              <w:right w:val="single" w:sz="4" w:space="0" w:color="auto"/>
            </w:tcBorders>
            <w:noWrap/>
            <w:hideMark/>
          </w:tcPr>
          <w:p w14:paraId="7CB175EB" w14:textId="77777777" w:rsidR="00A41E60" w:rsidRPr="00D85E09" w:rsidRDefault="00A41E60" w:rsidP="0043316B">
            <w:pPr>
              <w:pStyle w:val="Tabletext"/>
              <w:keepNext w:val="0"/>
              <w:widowControl w:val="0"/>
            </w:pPr>
            <w:r w:rsidRPr="00D85E09">
              <w:t>10.64%</w:t>
            </w:r>
          </w:p>
        </w:tc>
        <w:tc>
          <w:tcPr>
            <w:tcW w:w="471" w:type="pct"/>
            <w:tcBorders>
              <w:top w:val="single" w:sz="4" w:space="0" w:color="auto"/>
              <w:left w:val="single" w:sz="4" w:space="0" w:color="auto"/>
              <w:bottom w:val="single" w:sz="4" w:space="0" w:color="auto"/>
              <w:right w:val="single" w:sz="4" w:space="0" w:color="auto"/>
            </w:tcBorders>
            <w:noWrap/>
            <w:hideMark/>
          </w:tcPr>
          <w:p w14:paraId="3F05B19B" w14:textId="77777777" w:rsidR="00A41E60" w:rsidRPr="00D85E09" w:rsidRDefault="00A41E60" w:rsidP="0043316B">
            <w:pPr>
              <w:pStyle w:val="Tabletext"/>
              <w:keepNext w:val="0"/>
              <w:widowControl w:val="0"/>
            </w:pPr>
            <w:r w:rsidRPr="00D85E09">
              <w:t>13.85%</w:t>
            </w:r>
          </w:p>
        </w:tc>
        <w:tc>
          <w:tcPr>
            <w:tcW w:w="466" w:type="pct"/>
            <w:tcBorders>
              <w:top w:val="single" w:sz="4" w:space="0" w:color="auto"/>
              <w:left w:val="single" w:sz="4" w:space="0" w:color="auto"/>
              <w:bottom w:val="single" w:sz="4" w:space="0" w:color="auto"/>
              <w:right w:val="single" w:sz="4" w:space="0" w:color="auto"/>
            </w:tcBorders>
            <w:noWrap/>
            <w:hideMark/>
          </w:tcPr>
          <w:p w14:paraId="587B5D40" w14:textId="77777777" w:rsidR="00A41E60" w:rsidRPr="00D85E09" w:rsidRDefault="00A41E60" w:rsidP="0043316B">
            <w:pPr>
              <w:pStyle w:val="Tabletext"/>
              <w:keepNext w:val="0"/>
              <w:widowControl w:val="0"/>
            </w:pPr>
            <w:r w:rsidRPr="00D85E09">
              <w:t>19.91%</w:t>
            </w:r>
          </w:p>
        </w:tc>
      </w:tr>
      <w:tr w:rsidR="00A41E60" w:rsidRPr="00D85E09" w14:paraId="33D8CFD8" w14:textId="77777777" w:rsidTr="00A41E60">
        <w:trPr>
          <w:trHeight w:val="329"/>
        </w:trPr>
        <w:tc>
          <w:tcPr>
            <w:tcW w:w="1710" w:type="pct"/>
            <w:tcBorders>
              <w:top w:val="single" w:sz="4" w:space="0" w:color="auto"/>
              <w:left w:val="single" w:sz="4" w:space="0" w:color="auto"/>
              <w:bottom w:val="single" w:sz="4" w:space="0" w:color="auto"/>
              <w:right w:val="single" w:sz="4" w:space="0" w:color="auto"/>
            </w:tcBorders>
            <w:noWrap/>
            <w:vAlign w:val="center"/>
            <w:hideMark/>
          </w:tcPr>
          <w:p w14:paraId="38795F65" w14:textId="77777777" w:rsidR="00A41E60" w:rsidRPr="00D85E09" w:rsidRDefault="00A41E60" w:rsidP="0043316B">
            <w:pPr>
              <w:pStyle w:val="Tabletext"/>
              <w:keepNext w:val="0"/>
              <w:widowControl w:val="0"/>
            </w:pPr>
            <w:r w:rsidRPr="00D85E09">
              <w:t>Usual care alone</w:t>
            </w:r>
          </w:p>
        </w:tc>
        <w:tc>
          <w:tcPr>
            <w:tcW w:w="470" w:type="pct"/>
            <w:tcBorders>
              <w:top w:val="single" w:sz="4" w:space="0" w:color="auto"/>
              <w:left w:val="single" w:sz="4" w:space="0" w:color="auto"/>
              <w:bottom w:val="single" w:sz="4" w:space="0" w:color="auto"/>
              <w:right w:val="single" w:sz="4" w:space="0" w:color="auto"/>
            </w:tcBorders>
            <w:noWrap/>
            <w:hideMark/>
          </w:tcPr>
          <w:p w14:paraId="234D86CD" w14:textId="77777777" w:rsidR="00A41E60" w:rsidRPr="00D85E09" w:rsidRDefault="00A41E60" w:rsidP="0043316B">
            <w:pPr>
              <w:pStyle w:val="Tabletext"/>
              <w:keepNext w:val="0"/>
              <w:widowControl w:val="0"/>
            </w:pPr>
            <w:r w:rsidRPr="00D85E09">
              <w:t>17.73%</w:t>
            </w:r>
          </w:p>
        </w:tc>
        <w:tc>
          <w:tcPr>
            <w:tcW w:w="470" w:type="pct"/>
            <w:tcBorders>
              <w:top w:val="single" w:sz="4" w:space="0" w:color="auto"/>
              <w:left w:val="single" w:sz="4" w:space="0" w:color="auto"/>
              <w:bottom w:val="single" w:sz="4" w:space="0" w:color="auto"/>
              <w:right w:val="single" w:sz="4" w:space="0" w:color="auto"/>
            </w:tcBorders>
            <w:noWrap/>
            <w:hideMark/>
          </w:tcPr>
          <w:p w14:paraId="70392988" w14:textId="77777777" w:rsidR="00A41E60" w:rsidRPr="00D85E09" w:rsidRDefault="00A41E60" w:rsidP="0043316B">
            <w:pPr>
              <w:pStyle w:val="Tabletext"/>
              <w:keepNext w:val="0"/>
              <w:widowControl w:val="0"/>
            </w:pPr>
            <w:r w:rsidRPr="00D85E09">
              <w:t>5.22%</w:t>
            </w:r>
          </w:p>
        </w:tc>
        <w:tc>
          <w:tcPr>
            <w:tcW w:w="471" w:type="pct"/>
            <w:tcBorders>
              <w:top w:val="single" w:sz="4" w:space="0" w:color="auto"/>
              <w:left w:val="single" w:sz="4" w:space="0" w:color="auto"/>
              <w:bottom w:val="single" w:sz="4" w:space="0" w:color="auto"/>
              <w:right w:val="single" w:sz="4" w:space="0" w:color="auto"/>
            </w:tcBorders>
            <w:noWrap/>
            <w:hideMark/>
          </w:tcPr>
          <w:p w14:paraId="5BFB360C" w14:textId="77777777" w:rsidR="00A41E60" w:rsidRPr="00D85E09" w:rsidRDefault="00A41E60" w:rsidP="0043316B">
            <w:pPr>
              <w:pStyle w:val="Tabletext"/>
              <w:keepNext w:val="0"/>
              <w:widowControl w:val="0"/>
            </w:pPr>
            <w:r w:rsidRPr="00D85E09">
              <w:t>8.77%</w:t>
            </w:r>
          </w:p>
        </w:tc>
        <w:tc>
          <w:tcPr>
            <w:tcW w:w="471" w:type="pct"/>
            <w:tcBorders>
              <w:top w:val="single" w:sz="4" w:space="0" w:color="auto"/>
              <w:left w:val="single" w:sz="4" w:space="0" w:color="auto"/>
              <w:bottom w:val="single" w:sz="4" w:space="0" w:color="auto"/>
              <w:right w:val="single" w:sz="4" w:space="0" w:color="auto"/>
            </w:tcBorders>
            <w:noWrap/>
            <w:hideMark/>
          </w:tcPr>
          <w:p w14:paraId="4F555D13" w14:textId="77777777" w:rsidR="00A41E60" w:rsidRPr="00D85E09" w:rsidRDefault="00A41E60" w:rsidP="0043316B">
            <w:pPr>
              <w:pStyle w:val="Tabletext"/>
              <w:keepNext w:val="0"/>
              <w:widowControl w:val="0"/>
            </w:pPr>
            <w:r w:rsidRPr="00D85E09">
              <w:t>8.81%</w:t>
            </w:r>
          </w:p>
        </w:tc>
        <w:tc>
          <w:tcPr>
            <w:tcW w:w="471" w:type="pct"/>
            <w:tcBorders>
              <w:top w:val="single" w:sz="4" w:space="0" w:color="auto"/>
              <w:left w:val="single" w:sz="4" w:space="0" w:color="auto"/>
              <w:bottom w:val="single" w:sz="4" w:space="0" w:color="auto"/>
              <w:right w:val="single" w:sz="4" w:space="0" w:color="auto"/>
            </w:tcBorders>
            <w:noWrap/>
            <w:hideMark/>
          </w:tcPr>
          <w:p w14:paraId="18E07F44" w14:textId="77777777" w:rsidR="00A41E60" w:rsidRPr="00D85E09" w:rsidRDefault="00A41E60" w:rsidP="0043316B">
            <w:pPr>
              <w:pStyle w:val="Tabletext"/>
              <w:keepNext w:val="0"/>
              <w:widowControl w:val="0"/>
            </w:pPr>
            <w:r w:rsidRPr="00D85E09">
              <w:t>11.93%</w:t>
            </w:r>
          </w:p>
        </w:tc>
        <w:tc>
          <w:tcPr>
            <w:tcW w:w="471" w:type="pct"/>
            <w:tcBorders>
              <w:top w:val="single" w:sz="4" w:space="0" w:color="auto"/>
              <w:left w:val="single" w:sz="4" w:space="0" w:color="auto"/>
              <w:bottom w:val="single" w:sz="4" w:space="0" w:color="auto"/>
              <w:right w:val="single" w:sz="4" w:space="0" w:color="auto"/>
            </w:tcBorders>
            <w:noWrap/>
            <w:hideMark/>
          </w:tcPr>
          <w:p w14:paraId="777F139D" w14:textId="77777777" w:rsidR="00A41E60" w:rsidRPr="00D85E09" w:rsidRDefault="00A41E60" w:rsidP="0043316B">
            <w:pPr>
              <w:pStyle w:val="Tabletext"/>
              <w:keepNext w:val="0"/>
              <w:widowControl w:val="0"/>
            </w:pPr>
            <w:r w:rsidRPr="00D85E09">
              <w:t>22.54%</w:t>
            </w:r>
          </w:p>
        </w:tc>
        <w:tc>
          <w:tcPr>
            <w:tcW w:w="466" w:type="pct"/>
            <w:tcBorders>
              <w:top w:val="single" w:sz="4" w:space="0" w:color="auto"/>
              <w:left w:val="single" w:sz="4" w:space="0" w:color="auto"/>
              <w:bottom w:val="single" w:sz="4" w:space="0" w:color="auto"/>
              <w:right w:val="single" w:sz="4" w:space="0" w:color="auto"/>
            </w:tcBorders>
            <w:noWrap/>
            <w:hideMark/>
          </w:tcPr>
          <w:p w14:paraId="61206BEA" w14:textId="77777777" w:rsidR="00A41E60" w:rsidRPr="00D85E09" w:rsidRDefault="00A41E60" w:rsidP="0043316B">
            <w:pPr>
              <w:pStyle w:val="Tabletext"/>
              <w:keepNext w:val="0"/>
              <w:widowControl w:val="0"/>
            </w:pPr>
            <w:r w:rsidRPr="00D85E09">
              <w:t>24.99%</w:t>
            </w:r>
          </w:p>
        </w:tc>
      </w:tr>
    </w:tbl>
    <w:p w14:paraId="1FAA5129" w14:textId="77777777" w:rsidR="00A41E60" w:rsidRPr="00D85E09" w:rsidRDefault="00A41E60" w:rsidP="0043316B">
      <w:pPr>
        <w:pStyle w:val="Tablefooter"/>
        <w:widowControl w:val="0"/>
      </w:pPr>
      <w:r w:rsidRPr="00D85E09">
        <w:t>Abbreviations: mRS, modified Rankin Score</w:t>
      </w:r>
    </w:p>
    <w:p w14:paraId="63F85481" w14:textId="77777777" w:rsidR="00A41E60" w:rsidRPr="00D85E09" w:rsidRDefault="00A41E60" w:rsidP="0043316B">
      <w:pPr>
        <w:widowControl w:val="0"/>
        <w:rPr>
          <w:i/>
        </w:rPr>
      </w:pPr>
    </w:p>
    <w:p w14:paraId="48CEC50F" w14:textId="5429445E" w:rsidR="00A41E60" w:rsidRPr="00D85E09" w:rsidRDefault="00A41E60" w:rsidP="0043316B">
      <w:pPr>
        <w:widowControl w:val="0"/>
        <w:rPr>
          <w:i/>
        </w:rPr>
      </w:pPr>
      <w:r w:rsidRPr="00D85E09">
        <w:rPr>
          <w:i/>
        </w:rPr>
        <w:t xml:space="preserve">The Applicant acknowledges that it may be unusual to present three separate models to address uncertainties due to the lack of data inputs that are perfectly compatible to the model design. However, </w:t>
      </w:r>
      <w:r w:rsidRPr="00D85E09">
        <w:rPr>
          <w:i/>
          <w:u w:val="single"/>
        </w:rPr>
        <w:t>these models share the same core structure</w:t>
      </w:r>
      <w:r w:rsidRPr="00D85E09">
        <w:rPr>
          <w:i/>
        </w:rPr>
        <w:t xml:space="preserve"> (i.e., a 12-month decision tree followed by a Markov cohort design with health stated defined by mRS). And importantly</w:t>
      </w:r>
      <w:r w:rsidRPr="00D85E09">
        <w:rPr>
          <w:i/>
          <w:u w:val="single"/>
        </w:rPr>
        <w:t>, they are based on the same premise for MT’s favourable cost-effectiveness; i.e., the functional benefits demonstrated by the pivotal RCTs at Day 90 vs usual care will persist over long run, which continue to produce on-going cost and QoL benefits</w:t>
      </w:r>
      <w:r w:rsidRPr="00D85E09">
        <w:rPr>
          <w:i/>
        </w:rPr>
        <w:t>. In our opinion, these models are in principle very simple when compared with other cost-effectiveness models presented to MSAC, and thus they would not cause excess evaluation burden.</w:t>
      </w:r>
    </w:p>
    <w:p w14:paraId="4E9E1FDB" w14:textId="77777777" w:rsidR="00A456ED" w:rsidRDefault="00A41E60" w:rsidP="0043316B">
      <w:pPr>
        <w:pStyle w:val="Caption"/>
        <w:keepNext w:val="0"/>
        <w:widowControl w:val="0"/>
        <w:rPr>
          <w:lang w:val="en-AU"/>
        </w:rPr>
      </w:pPr>
      <w:r w:rsidRPr="00D85E09">
        <w:t xml:space="preserve">Possible pros and cons of each model are discussed in </w:t>
      </w:r>
      <w:r w:rsidRPr="00D85E09">
        <w:fldChar w:fldCharType="begin"/>
      </w:r>
      <w:r w:rsidRPr="00D85E09">
        <w:instrText xml:space="preserve"> REF _Ref451433862 \h </w:instrText>
      </w:r>
      <w:r w:rsidRPr="00D85E09">
        <w:fldChar w:fldCharType="separate"/>
      </w:r>
    </w:p>
    <w:p w14:paraId="3F6AB561" w14:textId="599496EF" w:rsidR="00C13682" w:rsidRDefault="00A456ED" w:rsidP="0043316B">
      <w:pPr>
        <w:widowControl w:val="0"/>
      </w:pPr>
      <w:r w:rsidRPr="00D85E09">
        <w:t xml:space="preserve">Table </w:t>
      </w:r>
      <w:r>
        <w:rPr>
          <w:noProof/>
        </w:rPr>
        <w:t>77</w:t>
      </w:r>
      <w:r w:rsidR="00A41E60" w:rsidRPr="00D85E09">
        <w:fldChar w:fldCharType="end"/>
      </w:r>
      <w:r w:rsidR="00A41E60" w:rsidRPr="00D85E09">
        <w:t xml:space="preserve"> below. For convenience, the ICER from each model is also presented to show that the uncertainties being examined by the presentation of alternative models have very limited impacts on the ICER and also highlight that these models together provide a convincing balance of evidence for MT’s favourable cost-effectiveness vs usual care (see Section D.</w:t>
      </w:r>
      <w:r w:rsidR="00092415" w:rsidRPr="00D85E09">
        <w:t xml:space="preserve">5.3 </w:t>
      </w:r>
      <w:r w:rsidR="00A41E60" w:rsidRPr="00D85E09">
        <w:t>for further discussion).</w:t>
      </w:r>
      <w:r w:rsidR="00C13682">
        <w:br w:type="page"/>
      </w:r>
    </w:p>
    <w:p w14:paraId="6410C620" w14:textId="77777777" w:rsidR="00C13682" w:rsidRDefault="00C13682" w:rsidP="0043316B">
      <w:pPr>
        <w:pStyle w:val="Caption"/>
        <w:keepNext w:val="0"/>
        <w:widowControl w:val="0"/>
        <w:rPr>
          <w:lang w:val="en-AU"/>
        </w:rPr>
      </w:pPr>
      <w:bookmarkStart w:id="475" w:name="_Ref451433862"/>
    </w:p>
    <w:p w14:paraId="7BBD1769" w14:textId="5CE91C47" w:rsidR="00A41E60" w:rsidRPr="00D85E09" w:rsidRDefault="00A41E60" w:rsidP="0043316B">
      <w:pPr>
        <w:pStyle w:val="Caption"/>
        <w:keepNext w:val="0"/>
        <w:widowControl w:val="0"/>
        <w:rPr>
          <w:i/>
          <w:lang w:val="en-AU"/>
        </w:rPr>
      </w:pPr>
      <w:bookmarkStart w:id="476" w:name="_Toc45306541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77</w:t>
      </w:r>
      <w:r w:rsidRPr="00D85E09">
        <w:rPr>
          <w:lang w:val="en-AU"/>
        </w:rPr>
        <w:fldChar w:fldCharType="end"/>
      </w:r>
      <w:bookmarkEnd w:id="475"/>
      <w:r w:rsidRPr="00D85E09">
        <w:rPr>
          <w:lang w:val="en-AU"/>
        </w:rPr>
        <w:tab/>
        <w:t>Pros and cons of the three models explored in Section D</w:t>
      </w:r>
      <w:bookmarkEnd w:id="476"/>
    </w:p>
    <w:tbl>
      <w:tblPr>
        <w:tblStyle w:val="TableGrid"/>
        <w:tblW w:w="0" w:type="auto"/>
        <w:tblLook w:val="04A0" w:firstRow="1" w:lastRow="0" w:firstColumn="1" w:lastColumn="0" w:noHBand="0" w:noVBand="1"/>
        <w:tblDescription w:val="Table 77 Pros and cons of the three models explored in Section D"/>
      </w:tblPr>
      <w:tblGrid>
        <w:gridCol w:w="1951"/>
        <w:gridCol w:w="2552"/>
        <w:gridCol w:w="2551"/>
        <w:gridCol w:w="1950"/>
      </w:tblGrid>
      <w:tr w:rsidR="00A41E60" w:rsidRPr="00D85E09" w14:paraId="23573089" w14:textId="77777777" w:rsidTr="00BE6331">
        <w:trPr>
          <w:tblHeader/>
        </w:trPr>
        <w:tc>
          <w:tcPr>
            <w:tcW w:w="1951" w:type="dxa"/>
            <w:tcBorders>
              <w:top w:val="single" w:sz="4" w:space="0" w:color="000000"/>
              <w:left w:val="single" w:sz="4" w:space="0" w:color="000000"/>
              <w:bottom w:val="single" w:sz="4" w:space="0" w:color="000000"/>
              <w:right w:val="single" w:sz="4" w:space="0" w:color="000000"/>
            </w:tcBorders>
            <w:hideMark/>
          </w:tcPr>
          <w:p w14:paraId="20381ACC" w14:textId="77777777" w:rsidR="00A41E60" w:rsidRPr="00D85E09" w:rsidRDefault="00A41E60" w:rsidP="0043316B">
            <w:pPr>
              <w:pStyle w:val="Tabletext"/>
              <w:keepNext w:val="0"/>
              <w:widowControl w:val="0"/>
              <w:rPr>
                <w:b/>
              </w:rPr>
            </w:pPr>
            <w:r w:rsidRPr="00D85E09">
              <w:rPr>
                <w:b/>
              </w:rPr>
              <w:t>Model version</w:t>
            </w:r>
          </w:p>
        </w:tc>
        <w:tc>
          <w:tcPr>
            <w:tcW w:w="2552" w:type="dxa"/>
            <w:tcBorders>
              <w:top w:val="single" w:sz="4" w:space="0" w:color="000000"/>
              <w:left w:val="single" w:sz="4" w:space="0" w:color="000000"/>
              <w:bottom w:val="single" w:sz="4" w:space="0" w:color="000000"/>
              <w:right w:val="single" w:sz="4" w:space="0" w:color="000000"/>
            </w:tcBorders>
            <w:hideMark/>
          </w:tcPr>
          <w:p w14:paraId="2368BD22" w14:textId="77777777" w:rsidR="00A41E60" w:rsidRPr="00D85E09" w:rsidRDefault="00A41E60" w:rsidP="0043316B">
            <w:pPr>
              <w:pStyle w:val="Tabletext"/>
              <w:keepNext w:val="0"/>
              <w:widowControl w:val="0"/>
              <w:rPr>
                <w:b/>
              </w:rPr>
            </w:pPr>
            <w:r w:rsidRPr="00D85E09">
              <w:rPr>
                <w:b/>
              </w:rPr>
              <w:t>Pros</w:t>
            </w:r>
          </w:p>
        </w:tc>
        <w:tc>
          <w:tcPr>
            <w:tcW w:w="2551" w:type="dxa"/>
            <w:tcBorders>
              <w:top w:val="single" w:sz="4" w:space="0" w:color="000000"/>
              <w:left w:val="single" w:sz="4" w:space="0" w:color="000000"/>
              <w:bottom w:val="single" w:sz="4" w:space="0" w:color="000000"/>
              <w:right w:val="single" w:sz="4" w:space="0" w:color="000000"/>
            </w:tcBorders>
            <w:hideMark/>
          </w:tcPr>
          <w:p w14:paraId="042C7D99" w14:textId="77777777" w:rsidR="00A41E60" w:rsidRPr="00D85E09" w:rsidRDefault="00A41E60" w:rsidP="0043316B">
            <w:pPr>
              <w:pStyle w:val="Tabletext"/>
              <w:keepNext w:val="0"/>
              <w:widowControl w:val="0"/>
              <w:rPr>
                <w:b/>
              </w:rPr>
            </w:pPr>
            <w:r w:rsidRPr="00D85E09">
              <w:rPr>
                <w:b/>
              </w:rPr>
              <w:t>Cons</w:t>
            </w:r>
          </w:p>
        </w:tc>
        <w:tc>
          <w:tcPr>
            <w:tcW w:w="1950" w:type="dxa"/>
            <w:tcBorders>
              <w:top w:val="single" w:sz="4" w:space="0" w:color="000000"/>
              <w:left w:val="single" w:sz="4" w:space="0" w:color="000000"/>
              <w:bottom w:val="single" w:sz="4" w:space="0" w:color="000000"/>
              <w:right w:val="single" w:sz="4" w:space="0" w:color="000000"/>
            </w:tcBorders>
            <w:hideMark/>
          </w:tcPr>
          <w:p w14:paraId="39DB0B8F" w14:textId="77777777" w:rsidR="00A41E60" w:rsidRPr="00D85E09" w:rsidRDefault="00A41E60" w:rsidP="0043316B">
            <w:pPr>
              <w:pStyle w:val="Tabletext"/>
              <w:keepNext w:val="0"/>
              <w:widowControl w:val="0"/>
              <w:rPr>
                <w:b/>
                <w:vertAlign w:val="superscript"/>
              </w:rPr>
            </w:pPr>
            <w:r w:rsidRPr="00D85E09">
              <w:rPr>
                <w:b/>
              </w:rPr>
              <w:t>ICER (see Section D for further discussion)</w:t>
            </w:r>
            <w:r w:rsidRPr="00D85E09">
              <w:rPr>
                <w:b/>
                <w:vertAlign w:val="superscript"/>
              </w:rPr>
              <w:t>1</w:t>
            </w:r>
          </w:p>
        </w:tc>
      </w:tr>
      <w:tr w:rsidR="00A41E60" w:rsidRPr="00D85E09" w14:paraId="58C1B3D0" w14:textId="77777777" w:rsidTr="00A41E60">
        <w:tc>
          <w:tcPr>
            <w:tcW w:w="1951" w:type="dxa"/>
            <w:tcBorders>
              <w:top w:val="single" w:sz="4" w:space="0" w:color="000000"/>
              <w:left w:val="single" w:sz="4" w:space="0" w:color="000000"/>
              <w:bottom w:val="single" w:sz="4" w:space="0" w:color="000000"/>
              <w:right w:val="single" w:sz="4" w:space="0" w:color="000000"/>
            </w:tcBorders>
            <w:hideMark/>
          </w:tcPr>
          <w:p w14:paraId="62EDCB76" w14:textId="77777777" w:rsidR="00A41E60" w:rsidRPr="00D85E09" w:rsidRDefault="00A41E60" w:rsidP="0043316B">
            <w:pPr>
              <w:pStyle w:val="Tabletext"/>
              <w:keepNext w:val="0"/>
              <w:widowControl w:val="0"/>
            </w:pPr>
            <w:r w:rsidRPr="00D85E09">
              <w:t>Base case model</w:t>
            </w:r>
          </w:p>
        </w:tc>
        <w:tc>
          <w:tcPr>
            <w:tcW w:w="2552" w:type="dxa"/>
            <w:tcBorders>
              <w:top w:val="single" w:sz="4" w:space="0" w:color="000000"/>
              <w:left w:val="single" w:sz="4" w:space="0" w:color="000000"/>
              <w:bottom w:val="single" w:sz="4" w:space="0" w:color="000000"/>
              <w:right w:val="single" w:sz="4" w:space="0" w:color="000000"/>
            </w:tcBorders>
            <w:hideMark/>
          </w:tcPr>
          <w:p w14:paraId="57A369F3" w14:textId="77777777" w:rsidR="00A41E60" w:rsidRPr="00D85E09" w:rsidRDefault="00A41E60" w:rsidP="0043316B">
            <w:pPr>
              <w:pStyle w:val="Tabletext"/>
              <w:keepNext w:val="0"/>
              <w:widowControl w:val="0"/>
            </w:pPr>
            <w:r w:rsidRPr="00D85E09">
              <w:t>Cost and LY/QALY implications of stroke recurrence are fully captured.</w:t>
            </w:r>
          </w:p>
          <w:p w14:paraId="33246153" w14:textId="77777777" w:rsidR="00A41E60" w:rsidRPr="00D85E09" w:rsidRDefault="00A41E60" w:rsidP="0043316B">
            <w:pPr>
              <w:pStyle w:val="Tabletext"/>
              <w:keepNext w:val="0"/>
              <w:widowControl w:val="0"/>
            </w:pPr>
            <w:r w:rsidRPr="00D85E09">
              <w:t xml:space="preserve">Accurately reflect the full prognosis / natural history of acute ischaemic stroke. </w:t>
            </w:r>
          </w:p>
        </w:tc>
        <w:tc>
          <w:tcPr>
            <w:tcW w:w="2551" w:type="dxa"/>
            <w:tcBorders>
              <w:top w:val="single" w:sz="4" w:space="0" w:color="000000"/>
              <w:left w:val="single" w:sz="4" w:space="0" w:color="000000"/>
              <w:bottom w:val="single" w:sz="4" w:space="0" w:color="000000"/>
              <w:right w:val="single" w:sz="4" w:space="0" w:color="000000"/>
            </w:tcBorders>
            <w:hideMark/>
          </w:tcPr>
          <w:p w14:paraId="15B68306" w14:textId="072CDABC" w:rsidR="00A41E60" w:rsidRPr="00D85E09" w:rsidRDefault="00A41E60" w:rsidP="0043316B">
            <w:pPr>
              <w:pStyle w:val="Tabletext"/>
              <w:keepNext w:val="0"/>
              <w:widowControl w:val="0"/>
            </w:pPr>
            <w:r w:rsidRPr="00D85E09">
              <w:t>Possible double counting of LY/QALY implications of stroke recurrence.</w:t>
            </w:r>
          </w:p>
          <w:p w14:paraId="15CD36CD" w14:textId="77777777" w:rsidR="00A41E60" w:rsidRPr="00D85E09" w:rsidRDefault="00A41E60" w:rsidP="0043316B">
            <w:pPr>
              <w:pStyle w:val="Tabletext"/>
              <w:keepNext w:val="0"/>
              <w:widowControl w:val="0"/>
            </w:pPr>
            <w:r w:rsidRPr="00D85E09">
              <w:t xml:space="preserve">Imperfect discounting of LY/QALY in the first 3 years (due to the assumption all mRS transitions be absorbed by 12 months). </w:t>
            </w:r>
          </w:p>
        </w:tc>
        <w:tc>
          <w:tcPr>
            <w:tcW w:w="1950" w:type="dxa"/>
            <w:tcBorders>
              <w:top w:val="single" w:sz="4" w:space="0" w:color="000000"/>
              <w:left w:val="single" w:sz="4" w:space="0" w:color="000000"/>
              <w:bottom w:val="single" w:sz="4" w:space="0" w:color="000000"/>
              <w:right w:val="single" w:sz="4" w:space="0" w:color="000000"/>
            </w:tcBorders>
            <w:hideMark/>
          </w:tcPr>
          <w:p w14:paraId="7CBC2418" w14:textId="79576CD7" w:rsidR="00A41E60" w:rsidRPr="00D85E09" w:rsidRDefault="00092415" w:rsidP="0043316B">
            <w:pPr>
              <w:pStyle w:val="Tabletext"/>
              <w:keepNext w:val="0"/>
              <w:widowControl w:val="0"/>
            </w:pPr>
            <w:r w:rsidRPr="00D85E09">
              <w:t>$12,88</w:t>
            </w:r>
            <w:r w:rsidR="00A41E60" w:rsidRPr="00D85E09">
              <w:t>0 per add. QALY</w:t>
            </w:r>
          </w:p>
        </w:tc>
      </w:tr>
      <w:tr w:rsidR="00A41E60" w:rsidRPr="00D85E09" w14:paraId="1CE715D9" w14:textId="77777777" w:rsidTr="00A41E60">
        <w:tc>
          <w:tcPr>
            <w:tcW w:w="1951" w:type="dxa"/>
            <w:tcBorders>
              <w:top w:val="single" w:sz="4" w:space="0" w:color="000000"/>
              <w:left w:val="single" w:sz="4" w:space="0" w:color="000000"/>
              <w:bottom w:val="single" w:sz="4" w:space="0" w:color="000000"/>
              <w:right w:val="single" w:sz="4" w:space="0" w:color="000000"/>
            </w:tcBorders>
            <w:hideMark/>
          </w:tcPr>
          <w:p w14:paraId="1A1C1F96" w14:textId="77777777" w:rsidR="00A41E60" w:rsidRPr="00D85E09" w:rsidRDefault="00A41E60" w:rsidP="0043316B">
            <w:pPr>
              <w:pStyle w:val="Tabletext"/>
              <w:keepNext w:val="0"/>
              <w:widowControl w:val="0"/>
            </w:pPr>
            <w:r w:rsidRPr="00D85E09">
              <w:t>Alternative model 1 – base case model MINUS the modelling of stroke recurrence</w:t>
            </w:r>
          </w:p>
        </w:tc>
        <w:tc>
          <w:tcPr>
            <w:tcW w:w="2552" w:type="dxa"/>
            <w:tcBorders>
              <w:top w:val="single" w:sz="4" w:space="0" w:color="000000"/>
              <w:left w:val="single" w:sz="4" w:space="0" w:color="000000"/>
              <w:bottom w:val="single" w:sz="4" w:space="0" w:color="000000"/>
              <w:right w:val="single" w:sz="4" w:space="0" w:color="000000"/>
            </w:tcBorders>
            <w:hideMark/>
          </w:tcPr>
          <w:p w14:paraId="43F47BFC" w14:textId="77777777" w:rsidR="00A41E60" w:rsidRPr="00D85E09" w:rsidRDefault="00A41E60" w:rsidP="0043316B">
            <w:pPr>
              <w:pStyle w:val="Tabletext"/>
              <w:keepNext w:val="0"/>
              <w:widowControl w:val="0"/>
            </w:pPr>
            <w:r w:rsidRPr="00D85E09">
              <w:t>Far simpler and more transparent than the base case model without meaningfully compromising the modelling of prognosis / natural history of acute ischaemic stroke.</w:t>
            </w:r>
          </w:p>
        </w:tc>
        <w:tc>
          <w:tcPr>
            <w:tcW w:w="2551" w:type="dxa"/>
            <w:tcBorders>
              <w:top w:val="single" w:sz="4" w:space="0" w:color="000000"/>
              <w:left w:val="single" w:sz="4" w:space="0" w:color="000000"/>
              <w:bottom w:val="single" w:sz="4" w:space="0" w:color="000000"/>
              <w:right w:val="single" w:sz="4" w:space="0" w:color="000000"/>
            </w:tcBorders>
            <w:hideMark/>
          </w:tcPr>
          <w:p w14:paraId="154538C2" w14:textId="77777777" w:rsidR="00A41E60" w:rsidRPr="00D85E09" w:rsidRDefault="00A41E60" w:rsidP="0043316B">
            <w:pPr>
              <w:pStyle w:val="Tabletext"/>
              <w:keepNext w:val="0"/>
              <w:widowControl w:val="0"/>
            </w:pPr>
            <w:r w:rsidRPr="00D85E09">
              <w:t>Underestimation of cost implications of stroke recurrence.</w:t>
            </w:r>
          </w:p>
          <w:p w14:paraId="1B9F2586" w14:textId="72F95A1A" w:rsidR="00A41E60" w:rsidRPr="00D85E09" w:rsidRDefault="00A41E60" w:rsidP="0043316B">
            <w:pPr>
              <w:pStyle w:val="Tabletext"/>
              <w:keepNext w:val="0"/>
              <w:widowControl w:val="0"/>
            </w:pPr>
            <w:r w:rsidRPr="00D85E09">
              <w:t>Possible underestimation of LY/QALY implications of stroke recurrence (especially post 3 years).</w:t>
            </w:r>
          </w:p>
          <w:p w14:paraId="436F3E40" w14:textId="77777777" w:rsidR="00A41E60" w:rsidRPr="00D85E09" w:rsidRDefault="00A41E60" w:rsidP="0043316B">
            <w:pPr>
              <w:pStyle w:val="Tabletext"/>
              <w:keepNext w:val="0"/>
              <w:widowControl w:val="0"/>
            </w:pPr>
            <w:r w:rsidRPr="00D85E09">
              <w:t>Imperfect discounting of LY/QALY in the first 3 years (due to the assumption all mRS transitions be absorbed by 12 months).</w:t>
            </w:r>
          </w:p>
        </w:tc>
        <w:tc>
          <w:tcPr>
            <w:tcW w:w="1950" w:type="dxa"/>
            <w:tcBorders>
              <w:top w:val="single" w:sz="4" w:space="0" w:color="000000"/>
              <w:left w:val="single" w:sz="4" w:space="0" w:color="000000"/>
              <w:bottom w:val="single" w:sz="4" w:space="0" w:color="000000"/>
              <w:right w:val="single" w:sz="4" w:space="0" w:color="000000"/>
            </w:tcBorders>
            <w:hideMark/>
          </w:tcPr>
          <w:p w14:paraId="1DB3FC69" w14:textId="38227AAA" w:rsidR="00A41E60" w:rsidRPr="00D85E09" w:rsidRDefault="00A41E60" w:rsidP="0043316B">
            <w:pPr>
              <w:pStyle w:val="Tabletext"/>
              <w:keepNext w:val="0"/>
              <w:widowControl w:val="0"/>
            </w:pPr>
            <w:r w:rsidRPr="00D85E09">
              <w:t>$</w:t>
            </w:r>
            <w:r w:rsidR="00092415" w:rsidRPr="00D85E09">
              <w:t>8,801</w:t>
            </w:r>
            <w:r w:rsidRPr="00D85E09">
              <w:t xml:space="preserve"> per add. QALY</w:t>
            </w:r>
          </w:p>
        </w:tc>
      </w:tr>
      <w:tr w:rsidR="00A41E60" w:rsidRPr="00D85E09" w14:paraId="66774D88" w14:textId="77777777" w:rsidTr="00A41E60">
        <w:tc>
          <w:tcPr>
            <w:tcW w:w="1951" w:type="dxa"/>
            <w:tcBorders>
              <w:top w:val="single" w:sz="4" w:space="0" w:color="000000"/>
              <w:left w:val="single" w:sz="4" w:space="0" w:color="000000"/>
              <w:bottom w:val="single" w:sz="4" w:space="0" w:color="000000"/>
              <w:right w:val="single" w:sz="4" w:space="0" w:color="000000"/>
            </w:tcBorders>
            <w:hideMark/>
          </w:tcPr>
          <w:p w14:paraId="683DE72B" w14:textId="4A6E5446" w:rsidR="00A41E60" w:rsidRPr="00D85E09" w:rsidRDefault="00A41E60" w:rsidP="00AB4BBF">
            <w:pPr>
              <w:pStyle w:val="Tabletext"/>
              <w:keepNext w:val="0"/>
              <w:widowControl w:val="0"/>
            </w:pPr>
            <w:r w:rsidRPr="00D85E09">
              <w:t xml:space="preserve">Alternative model 2 – Alternative model 1 PLUS better modelling of mortality </w:t>
            </w:r>
          </w:p>
        </w:tc>
        <w:tc>
          <w:tcPr>
            <w:tcW w:w="2552" w:type="dxa"/>
            <w:tcBorders>
              <w:top w:val="single" w:sz="4" w:space="0" w:color="000000"/>
              <w:left w:val="single" w:sz="4" w:space="0" w:color="000000"/>
              <w:bottom w:val="single" w:sz="4" w:space="0" w:color="000000"/>
              <w:right w:val="single" w:sz="4" w:space="0" w:color="000000"/>
            </w:tcBorders>
            <w:hideMark/>
          </w:tcPr>
          <w:p w14:paraId="29DA4573" w14:textId="59DE0EED" w:rsidR="00A41E60" w:rsidRPr="00D85E09" w:rsidRDefault="00A41E60" w:rsidP="0043316B">
            <w:pPr>
              <w:pStyle w:val="Tabletext"/>
              <w:keepNext w:val="0"/>
              <w:widowControl w:val="0"/>
            </w:pPr>
            <w:r w:rsidRPr="00D85E09">
              <w:t>Far simpler and more transparent than the base case model.</w:t>
            </w:r>
          </w:p>
          <w:p w14:paraId="35A704AD" w14:textId="26C2D268" w:rsidR="00A41E60" w:rsidRPr="00D85E09" w:rsidRDefault="00A41E60" w:rsidP="0043316B">
            <w:pPr>
              <w:pStyle w:val="Tabletext"/>
              <w:keepNext w:val="0"/>
              <w:widowControl w:val="0"/>
            </w:pPr>
            <w:r w:rsidRPr="00D85E09">
              <w:t xml:space="preserve">Better captures post-stroke survival (see </w:t>
            </w:r>
            <w:r w:rsidR="00092415" w:rsidRPr="00D85E09">
              <w:t>Section D.5.3</w:t>
            </w:r>
            <w:r w:rsidRPr="00D85E09">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636B27A7" w14:textId="2953D40A" w:rsidR="00A41E60" w:rsidRPr="00D85E09" w:rsidRDefault="00A41E60" w:rsidP="0043316B">
            <w:pPr>
              <w:pStyle w:val="Tabletext"/>
              <w:keepNext w:val="0"/>
              <w:widowControl w:val="0"/>
            </w:pPr>
            <w:r w:rsidRPr="00D85E09">
              <w:t>As per Alternative model 1, but has an improved application of discounting effects on LY/QALY.</w:t>
            </w:r>
          </w:p>
          <w:p w14:paraId="20DD2476" w14:textId="77777777" w:rsidR="00A41E60" w:rsidRPr="00D85E09" w:rsidRDefault="00A41E60" w:rsidP="0043316B">
            <w:pPr>
              <w:pStyle w:val="Tabletext"/>
              <w:keepNext w:val="0"/>
              <w:widowControl w:val="0"/>
            </w:pPr>
            <w:r w:rsidRPr="00D85E09">
              <w:t xml:space="preserve">Slightly more complex than Alternative model 1. </w:t>
            </w:r>
          </w:p>
        </w:tc>
        <w:tc>
          <w:tcPr>
            <w:tcW w:w="1950" w:type="dxa"/>
            <w:tcBorders>
              <w:top w:val="single" w:sz="4" w:space="0" w:color="000000"/>
              <w:left w:val="single" w:sz="4" w:space="0" w:color="000000"/>
              <w:bottom w:val="single" w:sz="4" w:space="0" w:color="000000"/>
              <w:right w:val="single" w:sz="4" w:space="0" w:color="000000"/>
            </w:tcBorders>
            <w:hideMark/>
          </w:tcPr>
          <w:p w14:paraId="5ECC80D5" w14:textId="16AE26A8" w:rsidR="00A41E60" w:rsidRPr="00D85E09" w:rsidRDefault="00092415" w:rsidP="0043316B">
            <w:pPr>
              <w:pStyle w:val="Tabletext"/>
              <w:keepNext w:val="0"/>
              <w:widowControl w:val="0"/>
            </w:pPr>
            <w:r w:rsidRPr="00D85E09">
              <w:t xml:space="preserve">$15,953 </w:t>
            </w:r>
            <w:r w:rsidR="00A41E60" w:rsidRPr="00D85E09">
              <w:t>per add. QALY</w:t>
            </w:r>
          </w:p>
        </w:tc>
      </w:tr>
    </w:tbl>
    <w:p w14:paraId="09E658AA" w14:textId="298BAA93" w:rsidR="00A41E60" w:rsidRPr="00D85E09" w:rsidRDefault="00A41E60" w:rsidP="0043316B">
      <w:pPr>
        <w:pStyle w:val="Tablefooter"/>
        <w:widowControl w:val="0"/>
      </w:pPr>
      <w:r w:rsidRPr="00D85E09">
        <w:t>Abbreviations: LY, life year; QALY, quality adjusted life year.</w:t>
      </w:r>
    </w:p>
    <w:p w14:paraId="5588A1FF" w14:textId="350F1BC7" w:rsidR="00502149" w:rsidRPr="00D85E09" w:rsidRDefault="00A41E60" w:rsidP="0043316B">
      <w:pPr>
        <w:pStyle w:val="Tablefooter"/>
        <w:widowControl w:val="0"/>
        <w:sectPr w:rsidR="00502149" w:rsidRPr="00D85E09">
          <w:pgSz w:w="11906" w:h="16838"/>
          <w:pgMar w:top="1417" w:right="1417" w:bottom="1134" w:left="1417" w:header="708" w:footer="708" w:gutter="0"/>
          <w:cols w:space="720"/>
        </w:sectPr>
      </w:pPr>
      <w:r w:rsidRPr="00D85E09">
        <w:rPr>
          <w:vertAlign w:val="superscript"/>
        </w:rPr>
        <w:t>1</w:t>
      </w:r>
      <w:r w:rsidRPr="00D85E09">
        <w:t xml:space="preserve"> Life</w:t>
      </w:r>
      <w:r w:rsidR="00D32933" w:rsidRPr="00D85E09">
        <w:t>-</w:t>
      </w:r>
      <w:r w:rsidRPr="00D85E09">
        <w:t>time horizo</w:t>
      </w:r>
      <w:r w:rsidR="00502149" w:rsidRPr="00D85E09">
        <w:t>n; no MT for recurrent strokes.</w:t>
      </w:r>
    </w:p>
    <w:p w14:paraId="5FCC6A87" w14:textId="77777777" w:rsidR="00A41E60" w:rsidRPr="00D85E09" w:rsidRDefault="00A41E60" w:rsidP="0043316B">
      <w:pPr>
        <w:pStyle w:val="Heading1"/>
        <w:keepNext w:val="0"/>
        <w:pageBreakBefore w:val="0"/>
        <w:widowControl w:val="0"/>
        <w:rPr>
          <w:lang w:val="en-AU"/>
        </w:rPr>
      </w:pPr>
      <w:bookmarkStart w:id="477" w:name="_Toc358731902"/>
      <w:bookmarkStart w:id="478" w:name="_Ref358387044"/>
      <w:bookmarkStart w:id="479" w:name="_Ref358387040"/>
      <w:bookmarkStart w:id="480" w:name="_Toc273301506"/>
      <w:bookmarkStart w:id="481" w:name="_Toc258501796"/>
      <w:bookmarkStart w:id="482" w:name="_Toc191822279"/>
      <w:bookmarkStart w:id="483" w:name="_Toc191822229"/>
      <w:bookmarkStart w:id="484" w:name="_Toc191822179"/>
      <w:bookmarkStart w:id="485" w:name="_Ref191792337"/>
      <w:bookmarkStart w:id="486" w:name="_Toc170788942"/>
      <w:bookmarkStart w:id="487" w:name="_Toc453065303"/>
      <w:bookmarkStart w:id="488" w:name="_Toc358731933"/>
      <w:r w:rsidRPr="00D85E09">
        <w:rPr>
          <w:lang w:val="en-AU"/>
        </w:rPr>
        <w:lastRenderedPageBreak/>
        <w:t>Economic Evaluation for the Main Indication</w:t>
      </w:r>
      <w:bookmarkEnd w:id="477"/>
      <w:bookmarkEnd w:id="478"/>
      <w:bookmarkEnd w:id="479"/>
      <w:bookmarkEnd w:id="480"/>
      <w:bookmarkEnd w:id="481"/>
      <w:bookmarkEnd w:id="482"/>
      <w:bookmarkEnd w:id="483"/>
      <w:bookmarkEnd w:id="484"/>
      <w:bookmarkEnd w:id="485"/>
      <w:bookmarkEnd w:id="486"/>
      <w:bookmarkEnd w:id="487"/>
    </w:p>
    <w:tbl>
      <w:tblPr>
        <w:tblStyle w:val="TableGrid"/>
        <w:tblW w:w="0" w:type="auto"/>
        <w:tblLook w:val="04A0" w:firstRow="1" w:lastRow="0" w:firstColumn="1" w:lastColumn="0" w:noHBand="0" w:noVBand="1"/>
        <w:tblDescription w:val="ECONOMIC EVALUATION FOR THE MAIN INDICATION"/>
      </w:tblPr>
      <w:tblGrid>
        <w:gridCol w:w="9004"/>
      </w:tblGrid>
      <w:tr w:rsidR="00A41E60" w:rsidRPr="00D85E09" w14:paraId="2E02D8A3" w14:textId="77777777" w:rsidTr="00BE6331">
        <w:trPr>
          <w:tblHeader/>
        </w:trPr>
        <w:tc>
          <w:tcPr>
            <w:tcW w:w="90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BB1D6D0" w14:textId="77777777" w:rsidR="00A41E60" w:rsidRPr="00D85E09" w:rsidRDefault="00A41E60" w:rsidP="0043316B">
            <w:pPr>
              <w:pStyle w:val="NoSpacing"/>
              <w:widowControl w:val="0"/>
              <w:rPr>
                <w:b/>
                <w:lang w:val="en-AU"/>
              </w:rPr>
            </w:pPr>
            <w:r w:rsidRPr="00D85E09">
              <w:rPr>
                <w:b/>
                <w:lang w:val="en-AU"/>
              </w:rPr>
              <w:t>Summary</w:t>
            </w:r>
          </w:p>
          <w:p w14:paraId="108AA9DB" w14:textId="3B2073E1" w:rsidR="00A41E60" w:rsidRPr="00D85E09" w:rsidRDefault="00A41E60" w:rsidP="0043316B">
            <w:pPr>
              <w:pStyle w:val="NoSpacing"/>
              <w:widowControl w:val="0"/>
              <w:numPr>
                <w:ilvl w:val="0"/>
                <w:numId w:val="36"/>
              </w:numPr>
              <w:rPr>
                <w:lang w:val="en-AU"/>
              </w:rPr>
            </w:pPr>
            <w:r w:rsidRPr="00D85E09">
              <w:rPr>
                <w:lang w:val="en-AU"/>
              </w:rPr>
              <w:t>A modelled life-time cost-utility analysis is presented to examine the cost-effectiveness of mechanical thrombectomy vs usual care. This analysis affirms a favourable cost-effectiveness of the procedure with the ICER falling below $15,000 per QALY gain.</w:t>
            </w:r>
          </w:p>
          <w:p w14:paraId="32A2E431" w14:textId="1F825544" w:rsidR="00A41E60" w:rsidRPr="00D85E09" w:rsidRDefault="00A41E60" w:rsidP="0043316B">
            <w:pPr>
              <w:pStyle w:val="NoSpacing"/>
              <w:widowControl w:val="0"/>
              <w:numPr>
                <w:ilvl w:val="0"/>
                <w:numId w:val="36"/>
              </w:numPr>
              <w:rPr>
                <w:lang w:val="en-AU"/>
              </w:rPr>
            </w:pPr>
            <w:r w:rsidRPr="00D85E09">
              <w:rPr>
                <w:lang w:val="en-AU"/>
              </w:rPr>
              <w:t>This favourable outcome reflects QoL /life year benefits via better functional/survival outcomes offered by mechanical thrombectomy and the associated cost savings. Post-stroke disability and dependency can be extremely debilitating and very costly. The “one</w:t>
            </w:r>
            <w:r w:rsidR="00D32933" w:rsidRPr="00D85E09">
              <w:rPr>
                <w:lang w:val="en-AU"/>
              </w:rPr>
              <w:t>-</w:t>
            </w:r>
            <w:r w:rsidRPr="00D85E09">
              <w:rPr>
                <w:lang w:val="en-AU"/>
              </w:rPr>
              <w:t>off” procedure hence produces long-term, often permanent, benefits vs usual care.</w:t>
            </w:r>
          </w:p>
          <w:p w14:paraId="2E18F708" w14:textId="58C29868" w:rsidR="00A41E60" w:rsidRPr="00D85E09" w:rsidRDefault="00A41E60" w:rsidP="0043316B">
            <w:pPr>
              <w:pStyle w:val="NoSpacing"/>
              <w:widowControl w:val="0"/>
              <w:numPr>
                <w:ilvl w:val="0"/>
                <w:numId w:val="36"/>
              </w:numPr>
              <w:rPr>
                <w:lang w:val="en-AU"/>
              </w:rPr>
            </w:pPr>
            <w:r w:rsidRPr="00D85E09">
              <w:rPr>
                <w:lang w:val="en-AU"/>
              </w:rPr>
              <w:t>A “within-trial” economic evaluation of EXTEND</w:t>
            </w:r>
            <w:r w:rsidR="00D32933" w:rsidRPr="00D85E09">
              <w:rPr>
                <w:lang w:val="en-AU"/>
              </w:rPr>
              <w:t>-</w:t>
            </w:r>
            <w:r w:rsidRPr="00D85E09">
              <w:rPr>
                <w:lang w:val="en-AU"/>
              </w:rPr>
              <w:t>IA suggested mechanical thrombectomy to be cost saving (thus representing a dominant strategy vs usual care); providing further support for the current Section D results. Similar results have been reported in other published economic evaluations (see Section D.3.1).</w:t>
            </w:r>
          </w:p>
          <w:p w14:paraId="0EC9AF79" w14:textId="0F926B11" w:rsidR="00A41E60" w:rsidRPr="00D85E09" w:rsidRDefault="00A41E60" w:rsidP="0043316B">
            <w:pPr>
              <w:pStyle w:val="NoSpacing"/>
              <w:widowControl w:val="0"/>
              <w:numPr>
                <w:ilvl w:val="0"/>
                <w:numId w:val="36"/>
              </w:numPr>
              <w:rPr>
                <w:lang w:val="en-AU"/>
              </w:rPr>
            </w:pPr>
            <w:r w:rsidRPr="00D85E09">
              <w:rPr>
                <w:lang w:val="en-AU"/>
              </w:rPr>
              <w:t>The meta-analysed ITT data (Goyal et al 2016) inform the post-stroke mRS transitions to Day 90. The applicability of this dataset in terms of population / circumstances of use characteristics have been justified in Section C. Individual trials, including subgroup analysis for with/without IV</w:t>
            </w:r>
            <w:r w:rsidR="00D32933" w:rsidRPr="00D85E09">
              <w:rPr>
                <w:lang w:val="en-AU"/>
              </w:rPr>
              <w:t>-</w:t>
            </w:r>
            <w:r w:rsidRPr="00D85E09">
              <w:rPr>
                <w:lang w:val="en-AU"/>
              </w:rPr>
              <w:t>tPA use, are also examined in sensitivity analysis; further ascertaining the favourable cost-effectiveness (see Section D.5.3).</w:t>
            </w:r>
          </w:p>
          <w:p w14:paraId="6A5D65F5" w14:textId="58687B13" w:rsidR="00A41E60" w:rsidRPr="00D85E09" w:rsidRDefault="00A41E60" w:rsidP="0043316B">
            <w:pPr>
              <w:pStyle w:val="NoSpacing"/>
              <w:widowControl w:val="0"/>
              <w:numPr>
                <w:ilvl w:val="0"/>
                <w:numId w:val="36"/>
              </w:numPr>
              <w:rPr>
                <w:lang w:val="en-AU"/>
              </w:rPr>
            </w:pPr>
            <w:r w:rsidRPr="00D85E09">
              <w:rPr>
                <w:lang w:val="en-AU"/>
              </w:rPr>
              <w:t>Extrapolation is an important and necessary element of the model given the aforementioned long-term/permanent health and economic benefits, while all procedural costs are absorbed at baseline. Needless to say, the mortality benefits demonstrated at Day 90 can only be adequately accounted for by a life</w:t>
            </w:r>
            <w:r w:rsidR="00D32933" w:rsidRPr="00D85E09">
              <w:rPr>
                <w:lang w:val="en-AU"/>
              </w:rPr>
              <w:t>-</w:t>
            </w:r>
            <w:r w:rsidRPr="00D85E09">
              <w:rPr>
                <w:lang w:val="en-AU"/>
              </w:rPr>
              <w:t>time model. A 5-year model horizon, tested in sensitivity analysis, nonetheless returns an estimated ICER of $43,542 (see Section D.5.3).</w:t>
            </w:r>
          </w:p>
          <w:p w14:paraId="1C1D6044" w14:textId="79B13493" w:rsidR="00A41E60" w:rsidRPr="00D85E09" w:rsidRDefault="00A41E60" w:rsidP="0043316B">
            <w:pPr>
              <w:pStyle w:val="NoSpacing"/>
              <w:widowControl w:val="0"/>
              <w:numPr>
                <w:ilvl w:val="0"/>
                <w:numId w:val="36"/>
              </w:numPr>
              <w:spacing w:after="120"/>
              <w:ind w:left="714" w:hanging="357"/>
              <w:rPr>
                <w:lang w:val="en-AU"/>
              </w:rPr>
            </w:pPr>
            <w:r w:rsidRPr="00D85E09">
              <w:rPr>
                <w:lang w:val="en-AU"/>
              </w:rPr>
              <w:t xml:space="preserve">The balance of evidence presented in the current Section D robustly confirms that mechanical thrombectomy under the proposed listing will represent a cost-effective addition to “hyperacute” treatment options. Currently, the provision of the hyperacute stroke care has been criticised as being less than optimal in Australia (see Section E), and the proposed listing will be a welcome </w:t>
            </w:r>
            <w:r w:rsidR="00F931EA" w:rsidRPr="00D85E09">
              <w:rPr>
                <w:lang w:val="en-AU"/>
              </w:rPr>
              <w:t xml:space="preserve">addition </w:t>
            </w:r>
            <w:r w:rsidRPr="00D85E09">
              <w:rPr>
                <w:lang w:val="en-AU"/>
              </w:rPr>
              <w:t xml:space="preserve">to </w:t>
            </w:r>
            <w:r w:rsidR="001F283B" w:rsidRPr="00D85E09">
              <w:rPr>
                <w:lang w:val="en-AU"/>
              </w:rPr>
              <w:t>improve treatm</w:t>
            </w:r>
            <w:r w:rsidR="004F68A7" w:rsidRPr="00D85E09">
              <w:rPr>
                <w:lang w:val="en-AU"/>
              </w:rPr>
              <w:t>ent options for stroke patients</w:t>
            </w:r>
            <w:r w:rsidRPr="00D85E09">
              <w:rPr>
                <w:lang w:val="en-AU"/>
              </w:rPr>
              <w:t xml:space="preserve">. </w:t>
            </w:r>
          </w:p>
        </w:tc>
      </w:tr>
    </w:tbl>
    <w:p w14:paraId="3E3DA714" w14:textId="77777777" w:rsidR="00A41E60" w:rsidRPr="00D85E09" w:rsidRDefault="00A41E60" w:rsidP="0043316B">
      <w:pPr>
        <w:widowControl w:val="0"/>
      </w:pPr>
    </w:p>
    <w:p w14:paraId="5E3F7724" w14:textId="4D5F9396" w:rsidR="00A41E60" w:rsidRPr="00D85E09" w:rsidRDefault="00A41E60" w:rsidP="0043316B">
      <w:pPr>
        <w:widowControl w:val="0"/>
      </w:pPr>
      <w:r w:rsidRPr="00D85E09">
        <w:t>The proposed procedure involves a mechanical thrombectomy device such as the Solitaire 2 and Solitaire FR™ Revascularization Devices. It is designed to directly remove thrombus, restore blood flow through the occluded vessel and allow reperfusion of the previously isch</w:t>
      </w:r>
      <w:r w:rsidR="00E56287" w:rsidRPr="00D85E09">
        <w:t>aemic</w:t>
      </w:r>
      <w:r w:rsidRPr="00D85E09">
        <w:t xml:space="preserve"> brain tissue. The clinical benefits achieved with the use of mechanical thrombectomy for treatment of acute isch</w:t>
      </w:r>
      <w:r w:rsidR="00E56287" w:rsidRPr="00D85E09">
        <w:t>aemic</w:t>
      </w:r>
      <w:r w:rsidRPr="00D85E09">
        <w:t xml:space="preserve"> stroke, either alone or in combination with IV</w:t>
      </w:r>
      <w:r w:rsidR="00D32933" w:rsidRPr="00D85E09">
        <w:t>-</w:t>
      </w:r>
      <w:r w:rsidRPr="00D85E09">
        <w:t>tPA, have been well established (see Section B). Multiple RCTs have demonstrated that mechanical thrombectomy is safe and effective in restoring blood flow in large vessel occlusions and can significantly improve post-stroke functional outcomes.</w:t>
      </w:r>
    </w:p>
    <w:p w14:paraId="43CA87DB" w14:textId="4771EC3E" w:rsidR="00A41E60" w:rsidRPr="00D85E09" w:rsidRDefault="00A41E60" w:rsidP="0043316B">
      <w:pPr>
        <w:widowControl w:val="0"/>
      </w:pPr>
      <w:r w:rsidRPr="00D85E09">
        <w:t xml:space="preserve">As specified in the Protocol and also discussed in Section A, the assessment of mechanical thrombectomy presented in this submission is generic, i.e. considering evidence for all relevant technologies that can deliver endovascular thrombolysis. The presentation of clinical </w:t>
      </w:r>
      <w:r w:rsidRPr="00D85E09">
        <w:lastRenderedPageBreak/>
        <w:t>evidence has been done on this basis, and the following cost-effectiveness analysis will be hence performed accordingly.</w:t>
      </w:r>
    </w:p>
    <w:p w14:paraId="4BCAA5FD" w14:textId="77777777" w:rsidR="00A41E60" w:rsidRPr="00D85E09" w:rsidRDefault="00A41E60" w:rsidP="0043316B">
      <w:pPr>
        <w:pStyle w:val="Heading2"/>
        <w:widowControl w:val="0"/>
        <w:ind w:left="851" w:hanging="851"/>
        <w:rPr>
          <w:lang w:val="en-AU"/>
        </w:rPr>
      </w:pPr>
      <w:bookmarkStart w:id="489" w:name="_Ref367438129"/>
      <w:bookmarkStart w:id="490" w:name="_Toc358731903"/>
      <w:bookmarkStart w:id="491" w:name="_Toc453065304"/>
      <w:r w:rsidRPr="00D85E09">
        <w:rPr>
          <w:lang w:val="en-AU"/>
        </w:rPr>
        <w:t>Overview of the economic evaluation</w:t>
      </w:r>
      <w:bookmarkEnd w:id="489"/>
      <w:bookmarkEnd w:id="490"/>
      <w:bookmarkEnd w:id="491"/>
    </w:p>
    <w:p w14:paraId="384EB50D" w14:textId="038C5ADE" w:rsidR="00A41E60" w:rsidRPr="00D85E09" w:rsidRDefault="00A41E60" w:rsidP="0043316B">
      <w:pPr>
        <w:widowControl w:val="0"/>
      </w:pPr>
      <w:bookmarkStart w:id="492" w:name="_Toc358731905"/>
      <w:r w:rsidRPr="00D85E09">
        <w:t>Section B has established that mechanical thrombectomy + usual care (referred to simply as mechanical thrombectomy hereafter) in the target patient population offers superior patient outcomes while offering acceptable safety when compared with usual care. When compared with usual care, mechanical thrombectomy increases the likelihood of successful revascularisation (see Section B and Section C.2 for subgroup analyses). More importantly, it has been demonstrated to provide better functional outcomes during the post</w:t>
      </w:r>
      <w:r w:rsidR="00300BB6" w:rsidRPr="00D85E09">
        <w:t>-</w:t>
      </w:r>
      <w:r w:rsidRPr="00D85E09">
        <w:t>stroke period.</w:t>
      </w:r>
    </w:p>
    <w:p w14:paraId="3E847AE8" w14:textId="285C8DA1" w:rsidR="00A41E60" w:rsidRPr="00D85E09" w:rsidRDefault="00A41E60" w:rsidP="0043316B">
      <w:pPr>
        <w:widowControl w:val="0"/>
      </w:pPr>
      <w:r w:rsidRPr="00D85E09">
        <w:t>The improvement in post-stroke functional levels offers long-term cost and health / QoL benefits, which will form the basis for the cost-effectiveness evaluation of mechanical thrombectomy in the current Section D.</w:t>
      </w:r>
    </w:p>
    <w:p w14:paraId="7B6BDF2F" w14:textId="77777777" w:rsidR="00A41E60" w:rsidRPr="00D85E09" w:rsidRDefault="00A41E60" w:rsidP="0043316B">
      <w:pPr>
        <w:pStyle w:val="Heading3"/>
        <w:keepNext w:val="0"/>
        <w:widowControl w:val="0"/>
        <w:ind w:left="993" w:hanging="993"/>
        <w:rPr>
          <w:lang w:val="en-AU"/>
        </w:rPr>
      </w:pPr>
      <w:bookmarkStart w:id="493" w:name="_Toc453065305"/>
      <w:r w:rsidRPr="00D85E09">
        <w:rPr>
          <w:lang w:val="en-AU"/>
        </w:rPr>
        <w:t>Type of economic evaluation</w:t>
      </w:r>
      <w:bookmarkEnd w:id="492"/>
      <w:bookmarkEnd w:id="493"/>
    </w:p>
    <w:p w14:paraId="745E0429" w14:textId="141614EC" w:rsidR="00A41E60" w:rsidRPr="00D85E09" w:rsidRDefault="00A41E60" w:rsidP="0043316B">
      <w:pPr>
        <w:widowControl w:val="0"/>
      </w:pPr>
      <w:r w:rsidRPr="00D85E09">
        <w:t>The cost-effectiveness evidence presented to support the listing of mechanical thrombectomy under the proposed listing is based on a modelled cost-utility analysis. Extrapolation is an important and necessary element of the current economic evaluation given that the functional benefits offered by mechanical thrombectomy vs usual care have long</w:t>
      </w:r>
      <w:r w:rsidR="00D32933" w:rsidRPr="00D85E09">
        <w:t>-</w:t>
      </w:r>
      <w:r w:rsidRPr="00D85E09">
        <w:t>term, and likely permanent in many patients, QoL and cost benefits. Needless to say, the mortality benefits demonstrated at Day 90 can only be adequately accounted for a long-term model horizon (indeed, a life</w:t>
      </w:r>
      <w:r w:rsidR="00D32933" w:rsidRPr="00D85E09">
        <w:t>-</w:t>
      </w:r>
      <w:r w:rsidRPr="00D85E09">
        <w:t>time model can only fully capture this).</w:t>
      </w:r>
    </w:p>
    <w:p w14:paraId="55D27CEC" w14:textId="244B05ED" w:rsidR="00A41E60" w:rsidRPr="00D85E09" w:rsidRDefault="00A41E60" w:rsidP="0043316B">
      <w:pPr>
        <w:widowControl w:val="0"/>
      </w:pPr>
      <w:r w:rsidRPr="00D85E09">
        <w:t>Nonetheless, a stepped economic evaluation is also presented, gradually expanding translational / extrapolation scopes from a trial</w:t>
      </w:r>
      <w:r w:rsidR="00300BB6" w:rsidRPr="00D85E09">
        <w:t xml:space="preserve"> </w:t>
      </w:r>
      <w:r w:rsidRPr="00D85E09">
        <w:t xml:space="preserve">based analysis. This is presented in Section </w:t>
      </w:r>
      <w:r w:rsidRPr="00D85E09">
        <w:fldChar w:fldCharType="begin"/>
      </w:r>
      <w:r w:rsidRPr="00D85E09">
        <w:instrText xml:space="preserve"> REF _Ref451516547 \r \h </w:instrText>
      </w:r>
      <w:r w:rsidRPr="00D85E09">
        <w:fldChar w:fldCharType="separate"/>
      </w:r>
      <w:r w:rsidR="00A456ED">
        <w:t>D.5.2</w:t>
      </w:r>
      <w:r w:rsidRPr="00D85E09">
        <w:fldChar w:fldCharType="end"/>
      </w:r>
      <w:r w:rsidRPr="00D85E09">
        <w:t>. Importantly, there is a published within-trial economic evaluation based on EXTEND-IA (Campbell et al</w:t>
      </w:r>
      <w:r w:rsidR="004F68A7" w:rsidRPr="00D85E09">
        <w:t xml:space="preserve"> 2015)</w:t>
      </w:r>
      <w:r w:rsidRPr="00D85E09">
        <w:t xml:space="preserve">, demonstrating that mechanical thrombectomy represents a “dominant” strategy (i.e., less costly and more effective). This economic evaluation, along with other published modelled evaluations, is reviewed in Section </w:t>
      </w:r>
      <w:r w:rsidRPr="00D85E09">
        <w:fldChar w:fldCharType="begin"/>
      </w:r>
      <w:r w:rsidRPr="00D85E09">
        <w:instrText xml:space="preserve"> REF _Ref448336933 \r \h </w:instrText>
      </w:r>
      <w:r w:rsidRPr="00D85E09">
        <w:fldChar w:fldCharType="separate"/>
      </w:r>
      <w:r w:rsidR="00A456ED">
        <w:t>D.3.1</w:t>
      </w:r>
      <w:r w:rsidRPr="00D85E09">
        <w:fldChar w:fldCharType="end"/>
      </w:r>
      <w:r w:rsidRPr="00D85E09">
        <w:t>.</w:t>
      </w:r>
    </w:p>
    <w:p w14:paraId="070F5676" w14:textId="58C0E005" w:rsidR="00C13682" w:rsidRDefault="00A41E60" w:rsidP="0043316B">
      <w:pPr>
        <w:widowControl w:val="0"/>
      </w:pPr>
      <w:r w:rsidRPr="00D85E09">
        <w:fldChar w:fldCharType="begin"/>
      </w:r>
      <w:r w:rsidRPr="00D85E09">
        <w:instrText xml:space="preserve"> REF _Ref357519078 \h </w:instrText>
      </w:r>
      <w:r w:rsidRPr="00D85E09">
        <w:fldChar w:fldCharType="separate"/>
      </w:r>
      <w:r w:rsidR="00A456ED" w:rsidRPr="00D85E09">
        <w:t xml:space="preserve">Table </w:t>
      </w:r>
      <w:r w:rsidR="00A456ED">
        <w:rPr>
          <w:noProof/>
        </w:rPr>
        <w:t>78</w:t>
      </w:r>
      <w:r w:rsidRPr="00D85E09">
        <w:fldChar w:fldCharType="end"/>
      </w:r>
      <w:r w:rsidRPr="00D85E09">
        <w:t xml:space="preserve"> summarises key model inputs for the current cost-effectiveness analysis, as organised by three key time points within the modelled time horizon (see Section </w:t>
      </w:r>
      <w:r w:rsidRPr="00D85E09">
        <w:fldChar w:fldCharType="begin"/>
      </w:r>
      <w:r w:rsidRPr="00D85E09">
        <w:instrText xml:space="preserve"> REF _Ref451516584 \r \h </w:instrText>
      </w:r>
      <w:r w:rsidRPr="00D85E09">
        <w:fldChar w:fldCharType="separate"/>
      </w:r>
      <w:r w:rsidR="00A456ED">
        <w:t>D.3.2</w:t>
      </w:r>
      <w:r w:rsidRPr="00D85E09">
        <w:fldChar w:fldCharType="end"/>
      </w:r>
      <w:r w:rsidRPr="00D85E09">
        <w:t xml:space="preserve"> for further discussion). Derivation and justification for these estimates have been discussed in Section C.</w:t>
      </w:r>
      <w:r w:rsidR="00C13682">
        <w:br w:type="page"/>
      </w:r>
    </w:p>
    <w:p w14:paraId="33C38EEF" w14:textId="77777777" w:rsidR="00A41E60" w:rsidRPr="00D85E09" w:rsidRDefault="00A41E60" w:rsidP="0043316B">
      <w:pPr>
        <w:widowControl w:val="0"/>
      </w:pPr>
    </w:p>
    <w:p w14:paraId="72748F7B" w14:textId="3622F5A9" w:rsidR="00A41E60" w:rsidRPr="00D85E09" w:rsidRDefault="00A41E60" w:rsidP="0043316B">
      <w:pPr>
        <w:pStyle w:val="Caption"/>
        <w:keepNext w:val="0"/>
        <w:widowControl w:val="0"/>
        <w:rPr>
          <w:lang w:val="en-AU"/>
        </w:rPr>
      </w:pPr>
      <w:bookmarkStart w:id="494" w:name="_Ref357519078"/>
      <w:bookmarkStart w:id="495" w:name="_Toc358719155"/>
      <w:bookmarkStart w:id="496" w:name="_Toc45306541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78</w:t>
      </w:r>
      <w:r w:rsidRPr="00D85E09">
        <w:rPr>
          <w:lang w:val="en-AU"/>
        </w:rPr>
        <w:fldChar w:fldCharType="end"/>
      </w:r>
      <w:bookmarkEnd w:id="494"/>
      <w:r w:rsidRPr="00D85E09">
        <w:rPr>
          <w:lang w:val="en-AU"/>
        </w:rPr>
        <w:tab/>
        <w:t>Data inputs and data sources, base case analysis</w:t>
      </w:r>
      <w:bookmarkEnd w:id="495"/>
      <w:bookmarkEnd w:id="496"/>
    </w:p>
    <w:tbl>
      <w:tblPr>
        <w:tblStyle w:val="TableGrid"/>
        <w:tblW w:w="5000" w:type="pct"/>
        <w:tblLook w:val="04A0" w:firstRow="1" w:lastRow="0" w:firstColumn="1" w:lastColumn="0" w:noHBand="0" w:noVBand="1"/>
        <w:tblDescription w:val="Table 78 Data inputs and data sources, base case analysis"/>
      </w:tblPr>
      <w:tblGrid>
        <w:gridCol w:w="4887"/>
        <w:gridCol w:w="4401"/>
      </w:tblGrid>
      <w:tr w:rsidR="00A41E60" w:rsidRPr="00D85E09" w14:paraId="12317FA5" w14:textId="77777777" w:rsidTr="00BE6331">
        <w:trPr>
          <w:tblHeader/>
        </w:trPr>
        <w:tc>
          <w:tcPr>
            <w:tcW w:w="2631" w:type="pct"/>
            <w:tcBorders>
              <w:top w:val="single" w:sz="4" w:space="0" w:color="000000"/>
              <w:left w:val="single" w:sz="4" w:space="0" w:color="000000"/>
              <w:bottom w:val="single" w:sz="4" w:space="0" w:color="000000"/>
              <w:right w:val="single" w:sz="4" w:space="0" w:color="000000"/>
            </w:tcBorders>
            <w:hideMark/>
          </w:tcPr>
          <w:p w14:paraId="7CB15EBC" w14:textId="77777777" w:rsidR="00A41E60" w:rsidRPr="00D85E09" w:rsidRDefault="00A41E60" w:rsidP="0043316B">
            <w:pPr>
              <w:pStyle w:val="Tabletext"/>
              <w:keepNext w:val="0"/>
              <w:widowControl w:val="0"/>
              <w:rPr>
                <w:b/>
              </w:rPr>
            </w:pPr>
            <w:r w:rsidRPr="00D85E09">
              <w:rPr>
                <w:b/>
              </w:rPr>
              <w:t>Data inputs</w:t>
            </w:r>
          </w:p>
        </w:tc>
        <w:tc>
          <w:tcPr>
            <w:tcW w:w="2369" w:type="pct"/>
            <w:tcBorders>
              <w:top w:val="single" w:sz="4" w:space="0" w:color="000000"/>
              <w:left w:val="single" w:sz="4" w:space="0" w:color="000000"/>
              <w:bottom w:val="single" w:sz="4" w:space="0" w:color="000000"/>
              <w:right w:val="single" w:sz="4" w:space="0" w:color="000000"/>
            </w:tcBorders>
            <w:hideMark/>
          </w:tcPr>
          <w:p w14:paraId="3B8C58A5" w14:textId="77777777" w:rsidR="00A41E60" w:rsidRPr="00D85E09" w:rsidRDefault="00A41E60" w:rsidP="0043316B">
            <w:pPr>
              <w:pStyle w:val="Tabletext"/>
              <w:keepNext w:val="0"/>
              <w:widowControl w:val="0"/>
              <w:rPr>
                <w:b/>
              </w:rPr>
            </w:pPr>
            <w:r w:rsidRPr="00D85E09">
              <w:rPr>
                <w:b/>
              </w:rPr>
              <w:t>Data source / notes</w:t>
            </w:r>
          </w:p>
        </w:tc>
      </w:tr>
      <w:tr w:rsidR="00A41E60" w:rsidRPr="00D85E09" w14:paraId="65E675A8" w14:textId="77777777" w:rsidTr="00A41E60">
        <w:tc>
          <w:tcPr>
            <w:tcW w:w="2631" w:type="pct"/>
            <w:tcBorders>
              <w:top w:val="single" w:sz="4" w:space="0" w:color="000000"/>
              <w:left w:val="single" w:sz="4" w:space="0" w:color="000000"/>
              <w:bottom w:val="single" w:sz="4" w:space="0" w:color="000000"/>
              <w:right w:val="nil"/>
            </w:tcBorders>
            <w:hideMark/>
          </w:tcPr>
          <w:p w14:paraId="0FFA9E48" w14:textId="77777777" w:rsidR="00A41E60" w:rsidRPr="00D85E09" w:rsidRDefault="00A41E60" w:rsidP="0043316B">
            <w:pPr>
              <w:pStyle w:val="Tabletext"/>
              <w:keepNext w:val="0"/>
              <w:widowControl w:val="0"/>
              <w:autoSpaceDE w:val="0"/>
              <w:autoSpaceDN w:val="0"/>
              <w:adjustRightInd w:val="0"/>
              <w:rPr>
                <w:b/>
                <w:i/>
              </w:rPr>
            </w:pPr>
            <w:r w:rsidRPr="00D85E09">
              <w:rPr>
                <w:b/>
                <w:i/>
              </w:rPr>
              <w:t>Acute phase (to 90 days)</w:t>
            </w:r>
          </w:p>
        </w:tc>
        <w:tc>
          <w:tcPr>
            <w:tcW w:w="2369" w:type="pct"/>
            <w:tcBorders>
              <w:top w:val="single" w:sz="4" w:space="0" w:color="000000"/>
              <w:left w:val="nil"/>
              <w:bottom w:val="single" w:sz="4" w:space="0" w:color="000000"/>
              <w:right w:val="single" w:sz="4" w:space="0" w:color="000000"/>
            </w:tcBorders>
          </w:tcPr>
          <w:p w14:paraId="1C96F29F" w14:textId="77777777" w:rsidR="00A41E60" w:rsidRPr="00D85E09" w:rsidRDefault="00A41E60" w:rsidP="0043316B">
            <w:pPr>
              <w:pStyle w:val="Tabletext"/>
              <w:keepNext w:val="0"/>
              <w:widowControl w:val="0"/>
              <w:autoSpaceDE w:val="0"/>
              <w:autoSpaceDN w:val="0"/>
              <w:adjustRightInd w:val="0"/>
            </w:pPr>
          </w:p>
        </w:tc>
      </w:tr>
      <w:tr w:rsidR="00A41E60" w:rsidRPr="00D85E09" w14:paraId="0E37EF46"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553C9B33" w14:textId="77777777" w:rsidR="00A41E60" w:rsidRPr="00D85E09" w:rsidRDefault="00A41E60" w:rsidP="0043316B">
            <w:pPr>
              <w:pStyle w:val="Tabletext"/>
              <w:keepNext w:val="0"/>
              <w:widowControl w:val="0"/>
              <w:autoSpaceDE w:val="0"/>
              <w:autoSpaceDN w:val="0"/>
              <w:adjustRightInd w:val="0"/>
              <w:ind w:left="142"/>
            </w:pPr>
            <w:r w:rsidRPr="00D85E09">
              <w:t>mRS distributions at discharge and 90 days</w:t>
            </w:r>
          </w:p>
        </w:tc>
        <w:tc>
          <w:tcPr>
            <w:tcW w:w="2369" w:type="pct"/>
            <w:tcBorders>
              <w:top w:val="single" w:sz="4" w:space="0" w:color="000000"/>
              <w:left w:val="single" w:sz="4" w:space="0" w:color="000000"/>
              <w:bottom w:val="single" w:sz="4" w:space="0" w:color="000000"/>
              <w:right w:val="single" w:sz="4" w:space="0" w:color="000000"/>
            </w:tcBorders>
            <w:hideMark/>
          </w:tcPr>
          <w:p w14:paraId="111AE652" w14:textId="77777777" w:rsidR="00A41E60" w:rsidRPr="00D85E09" w:rsidRDefault="00A41E60" w:rsidP="0043316B">
            <w:pPr>
              <w:pStyle w:val="Tabletext"/>
              <w:keepNext w:val="0"/>
              <w:widowControl w:val="0"/>
              <w:autoSpaceDE w:val="0"/>
              <w:autoSpaceDN w:val="0"/>
              <w:adjustRightInd w:val="0"/>
            </w:pPr>
            <w:r w:rsidRPr="00D85E09">
              <w:t>Meta-analysed IPD data of RCTs (Goyal et al 2016)</w:t>
            </w:r>
          </w:p>
          <w:p w14:paraId="500295C1" w14:textId="77777777" w:rsidR="00A41E60" w:rsidRPr="00D85E09" w:rsidRDefault="00A41E60" w:rsidP="0043316B">
            <w:pPr>
              <w:pStyle w:val="Tabletext"/>
              <w:keepNext w:val="0"/>
              <w:widowControl w:val="0"/>
              <w:autoSpaceDE w:val="0"/>
              <w:autoSpaceDN w:val="0"/>
              <w:adjustRightInd w:val="0"/>
            </w:pPr>
            <w:r w:rsidRPr="00D85E09">
              <w:t xml:space="preserve">Death is captured in mRS6. No other cause deaths are assumed to occur. </w:t>
            </w:r>
          </w:p>
        </w:tc>
      </w:tr>
      <w:tr w:rsidR="00A41E60" w:rsidRPr="00D85E09" w14:paraId="45B23E39"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12E301F6" w14:textId="77777777" w:rsidR="00A41E60" w:rsidRPr="00D85E09" w:rsidRDefault="00A41E60" w:rsidP="0043316B">
            <w:pPr>
              <w:pStyle w:val="Tabletext"/>
              <w:keepNext w:val="0"/>
              <w:widowControl w:val="0"/>
              <w:autoSpaceDE w:val="0"/>
              <w:autoSpaceDN w:val="0"/>
              <w:adjustRightInd w:val="0"/>
              <w:ind w:left="142"/>
            </w:pPr>
            <w:r w:rsidRPr="00D85E09">
              <w:t>Acute stroke treatment cost, by mRS and treatment</w:t>
            </w:r>
          </w:p>
        </w:tc>
        <w:tc>
          <w:tcPr>
            <w:tcW w:w="2369" w:type="pct"/>
            <w:tcBorders>
              <w:top w:val="single" w:sz="4" w:space="0" w:color="000000"/>
              <w:left w:val="single" w:sz="4" w:space="0" w:color="000000"/>
              <w:bottom w:val="single" w:sz="4" w:space="0" w:color="000000"/>
              <w:right w:val="single" w:sz="4" w:space="0" w:color="000000"/>
            </w:tcBorders>
            <w:hideMark/>
          </w:tcPr>
          <w:p w14:paraId="29CEF051" w14:textId="2C7F06F5" w:rsidR="00A41E60" w:rsidRPr="00D85E09" w:rsidRDefault="00A41E60" w:rsidP="0043316B">
            <w:pPr>
              <w:pStyle w:val="Tabletext"/>
              <w:keepNext w:val="0"/>
              <w:widowControl w:val="0"/>
              <w:autoSpaceDE w:val="0"/>
              <w:autoSpaceDN w:val="0"/>
              <w:adjustRightInd w:val="0"/>
            </w:pPr>
            <w:r w:rsidRPr="00D85E09">
              <w:rPr>
                <w:i/>
              </w:rPr>
              <w:t xml:space="preserve">See Section </w:t>
            </w:r>
            <w:r w:rsidR="00092415" w:rsidRPr="00D85E09">
              <w:rPr>
                <w:i/>
              </w:rPr>
              <w:fldChar w:fldCharType="begin"/>
            </w:r>
            <w:r w:rsidR="00092415" w:rsidRPr="00D85E09">
              <w:rPr>
                <w:i/>
              </w:rPr>
              <w:instrText xml:space="preserve"> REF _Ref452472669 \r \h </w:instrText>
            </w:r>
            <w:r w:rsidR="00092415" w:rsidRPr="00D85E09">
              <w:rPr>
                <w:i/>
              </w:rPr>
            </w:r>
            <w:r w:rsidR="00092415" w:rsidRPr="00D85E09">
              <w:rPr>
                <w:i/>
              </w:rPr>
              <w:fldChar w:fldCharType="separate"/>
            </w:r>
            <w:r w:rsidR="00A456ED">
              <w:rPr>
                <w:i/>
              </w:rPr>
              <w:t>C.2</w:t>
            </w:r>
            <w:r w:rsidR="00092415" w:rsidRPr="00D85E09">
              <w:rPr>
                <w:i/>
              </w:rPr>
              <w:fldChar w:fldCharType="end"/>
            </w:r>
          </w:p>
          <w:p w14:paraId="02E624E0" w14:textId="0E586A8C" w:rsidR="00A41E60" w:rsidRPr="00D85E09" w:rsidRDefault="00A41E60" w:rsidP="0043316B">
            <w:pPr>
              <w:pStyle w:val="Tabletext"/>
              <w:keepNext w:val="0"/>
              <w:widowControl w:val="0"/>
              <w:autoSpaceDE w:val="0"/>
              <w:autoSpaceDN w:val="0"/>
              <w:adjustRightInd w:val="0"/>
            </w:pPr>
            <w:r w:rsidRPr="00D85E09">
              <w:t>Mechanical thrombectomy offered in addition to usual care (i.e., complementary service); costing based on the proposed fee and other relevant resource use.</w:t>
            </w:r>
          </w:p>
          <w:p w14:paraId="522169DC" w14:textId="4D808B68" w:rsidR="00A41E60" w:rsidRPr="00D85E09" w:rsidRDefault="00A41E60" w:rsidP="0043316B">
            <w:pPr>
              <w:pStyle w:val="Tabletext"/>
              <w:keepNext w:val="0"/>
              <w:widowControl w:val="0"/>
              <w:autoSpaceDE w:val="0"/>
              <w:autoSpaceDN w:val="0"/>
              <w:adjustRightInd w:val="0"/>
            </w:pPr>
            <w:r w:rsidRPr="00D85E09">
              <w:t>Usual care may or may not involve IV</w:t>
            </w:r>
            <w:r w:rsidR="00D32933" w:rsidRPr="00D85E09">
              <w:t>-</w:t>
            </w:r>
            <w:r w:rsidRPr="00D85E09">
              <w:t>tPA.</w:t>
            </w:r>
          </w:p>
          <w:p w14:paraId="66E6F783" w14:textId="77777777" w:rsidR="00A41E60" w:rsidRPr="00D85E09" w:rsidRDefault="00A41E60" w:rsidP="0043316B">
            <w:pPr>
              <w:pStyle w:val="Tabletext"/>
              <w:keepNext w:val="0"/>
              <w:widowControl w:val="0"/>
              <w:autoSpaceDE w:val="0"/>
              <w:autoSpaceDN w:val="0"/>
              <w:adjustRightInd w:val="0"/>
            </w:pPr>
            <w:r w:rsidRPr="00D85E09">
              <w:t xml:space="preserve">Costs of acute stroke care by mRS as informed by Tanny et al (2013). </w:t>
            </w:r>
          </w:p>
        </w:tc>
      </w:tr>
      <w:tr w:rsidR="00A41E60" w:rsidRPr="00D85E09" w14:paraId="40D07EE1"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6209DE2E" w14:textId="77777777" w:rsidR="00A41E60" w:rsidRPr="00D85E09" w:rsidRDefault="00A41E60" w:rsidP="0043316B">
            <w:pPr>
              <w:pStyle w:val="Tabletext"/>
              <w:keepNext w:val="0"/>
              <w:widowControl w:val="0"/>
              <w:autoSpaceDE w:val="0"/>
              <w:autoSpaceDN w:val="0"/>
              <w:adjustRightInd w:val="0"/>
              <w:ind w:left="142"/>
            </w:pPr>
            <w:r w:rsidRPr="00D85E09">
              <w:t>Utility scores, by mRS</w:t>
            </w:r>
          </w:p>
        </w:tc>
        <w:tc>
          <w:tcPr>
            <w:tcW w:w="2369" w:type="pct"/>
            <w:tcBorders>
              <w:top w:val="single" w:sz="4" w:space="0" w:color="000000"/>
              <w:left w:val="single" w:sz="4" w:space="0" w:color="000000"/>
              <w:bottom w:val="single" w:sz="4" w:space="0" w:color="000000"/>
              <w:right w:val="single" w:sz="4" w:space="0" w:color="000000"/>
            </w:tcBorders>
            <w:hideMark/>
          </w:tcPr>
          <w:p w14:paraId="2F9D83DF" w14:textId="07AFC20B" w:rsidR="00A41E60" w:rsidRPr="00D85E09" w:rsidRDefault="00A41E60" w:rsidP="0043316B">
            <w:pPr>
              <w:pStyle w:val="Tabletext"/>
              <w:keepNext w:val="0"/>
              <w:widowControl w:val="0"/>
              <w:autoSpaceDE w:val="0"/>
              <w:autoSpaceDN w:val="0"/>
              <w:adjustRightInd w:val="0"/>
            </w:pPr>
            <w:r w:rsidRPr="00D85E09">
              <w:rPr>
                <w:i/>
              </w:rPr>
              <w:t xml:space="preserve">See Section </w:t>
            </w:r>
            <w:r w:rsidR="00092415" w:rsidRPr="00D85E09">
              <w:rPr>
                <w:i/>
              </w:rPr>
              <w:fldChar w:fldCharType="begin"/>
            </w:r>
            <w:r w:rsidR="00092415" w:rsidRPr="00D85E09">
              <w:rPr>
                <w:i/>
              </w:rPr>
              <w:instrText xml:space="preserve"> REF _Ref452473633 \r \h </w:instrText>
            </w:r>
            <w:r w:rsidR="00092415" w:rsidRPr="00D85E09">
              <w:rPr>
                <w:i/>
              </w:rPr>
            </w:r>
            <w:r w:rsidR="00092415" w:rsidRPr="00D85E09">
              <w:rPr>
                <w:i/>
              </w:rPr>
              <w:fldChar w:fldCharType="separate"/>
            </w:r>
            <w:r w:rsidR="00A456ED">
              <w:rPr>
                <w:i/>
              </w:rPr>
              <w:t>C.4</w:t>
            </w:r>
            <w:r w:rsidR="00092415" w:rsidRPr="00D85E09">
              <w:rPr>
                <w:i/>
              </w:rPr>
              <w:fldChar w:fldCharType="end"/>
            </w:r>
          </w:p>
          <w:p w14:paraId="48D8D0D6" w14:textId="77777777" w:rsidR="00A41E60" w:rsidRPr="00D85E09" w:rsidRDefault="00A41E60" w:rsidP="0043316B">
            <w:pPr>
              <w:pStyle w:val="Tabletext"/>
              <w:keepNext w:val="0"/>
              <w:widowControl w:val="0"/>
              <w:autoSpaceDE w:val="0"/>
              <w:autoSpaceDN w:val="0"/>
              <w:adjustRightInd w:val="0"/>
            </w:pPr>
            <w:r w:rsidRPr="00D85E09">
              <w:t>Utility informed by NEMESIS data (Sturm et al 2002)</w:t>
            </w:r>
          </w:p>
        </w:tc>
      </w:tr>
      <w:tr w:rsidR="00A41E60" w:rsidRPr="00D85E09" w14:paraId="63B8D66E" w14:textId="77777777" w:rsidTr="00A41E60">
        <w:tc>
          <w:tcPr>
            <w:tcW w:w="2631" w:type="pct"/>
            <w:tcBorders>
              <w:top w:val="single" w:sz="4" w:space="0" w:color="000000"/>
              <w:left w:val="single" w:sz="4" w:space="0" w:color="000000"/>
              <w:bottom w:val="single" w:sz="4" w:space="0" w:color="000000"/>
              <w:right w:val="nil"/>
            </w:tcBorders>
            <w:hideMark/>
          </w:tcPr>
          <w:p w14:paraId="19A04F1D" w14:textId="77777777" w:rsidR="00A41E60" w:rsidRPr="00D85E09" w:rsidRDefault="00A41E60" w:rsidP="0043316B">
            <w:pPr>
              <w:pStyle w:val="Tabletext"/>
              <w:keepNext w:val="0"/>
              <w:widowControl w:val="0"/>
              <w:autoSpaceDE w:val="0"/>
              <w:autoSpaceDN w:val="0"/>
              <w:adjustRightInd w:val="0"/>
              <w:rPr>
                <w:b/>
                <w:i/>
              </w:rPr>
            </w:pPr>
            <w:r w:rsidRPr="00D85E09">
              <w:rPr>
                <w:b/>
                <w:i/>
              </w:rPr>
              <w:t>Mid-term (90 days to 12 months)</w:t>
            </w:r>
          </w:p>
        </w:tc>
        <w:tc>
          <w:tcPr>
            <w:tcW w:w="2369" w:type="pct"/>
            <w:tcBorders>
              <w:top w:val="single" w:sz="4" w:space="0" w:color="000000"/>
              <w:left w:val="nil"/>
              <w:bottom w:val="single" w:sz="4" w:space="0" w:color="000000"/>
              <w:right w:val="single" w:sz="4" w:space="0" w:color="000000"/>
            </w:tcBorders>
          </w:tcPr>
          <w:p w14:paraId="3607C90D" w14:textId="77777777" w:rsidR="00A41E60" w:rsidRPr="00D85E09" w:rsidRDefault="00A41E60" w:rsidP="0043316B">
            <w:pPr>
              <w:pStyle w:val="Tabletext"/>
              <w:keepNext w:val="0"/>
              <w:widowControl w:val="0"/>
              <w:autoSpaceDE w:val="0"/>
              <w:autoSpaceDN w:val="0"/>
              <w:adjustRightInd w:val="0"/>
            </w:pPr>
          </w:p>
        </w:tc>
      </w:tr>
      <w:tr w:rsidR="00A41E60" w:rsidRPr="00D85E09" w14:paraId="4B32B43C"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45072A94" w14:textId="77777777" w:rsidR="00A41E60" w:rsidRPr="00D85E09" w:rsidRDefault="00A41E60" w:rsidP="0043316B">
            <w:pPr>
              <w:pStyle w:val="Tabletext"/>
              <w:keepNext w:val="0"/>
              <w:widowControl w:val="0"/>
              <w:autoSpaceDE w:val="0"/>
              <w:autoSpaceDN w:val="0"/>
              <w:adjustRightInd w:val="0"/>
              <w:ind w:left="142"/>
            </w:pPr>
            <w:r w:rsidRPr="00D85E09">
              <w:t>mRS transitions to 12 months</w:t>
            </w:r>
          </w:p>
        </w:tc>
        <w:tc>
          <w:tcPr>
            <w:tcW w:w="2369" w:type="pct"/>
            <w:tcBorders>
              <w:top w:val="single" w:sz="4" w:space="0" w:color="000000"/>
              <w:left w:val="single" w:sz="4" w:space="0" w:color="000000"/>
              <w:bottom w:val="single" w:sz="4" w:space="0" w:color="000000"/>
              <w:right w:val="single" w:sz="4" w:space="0" w:color="000000"/>
            </w:tcBorders>
            <w:hideMark/>
          </w:tcPr>
          <w:p w14:paraId="3EF949D4" w14:textId="1906E32B" w:rsidR="00A41E60" w:rsidRPr="00D85E09" w:rsidRDefault="00A41E60" w:rsidP="0043316B">
            <w:pPr>
              <w:pStyle w:val="Tabletext"/>
              <w:keepNext w:val="0"/>
              <w:widowControl w:val="0"/>
              <w:autoSpaceDE w:val="0"/>
              <w:autoSpaceDN w:val="0"/>
              <w:adjustRightInd w:val="0"/>
            </w:pPr>
            <w:r w:rsidRPr="00D85E09">
              <w:rPr>
                <w:i/>
              </w:rPr>
              <w:t xml:space="preserve">See Section </w:t>
            </w:r>
            <w:r w:rsidR="00092415" w:rsidRPr="00D85E09">
              <w:rPr>
                <w:i/>
              </w:rPr>
              <w:fldChar w:fldCharType="begin"/>
            </w:r>
            <w:r w:rsidR="00092415" w:rsidRPr="00D85E09">
              <w:rPr>
                <w:i/>
              </w:rPr>
              <w:instrText xml:space="preserve"> REF _Ref452371484 \r \h </w:instrText>
            </w:r>
            <w:r w:rsidR="00092415" w:rsidRPr="00D85E09">
              <w:rPr>
                <w:i/>
              </w:rPr>
            </w:r>
            <w:r w:rsidR="00092415" w:rsidRPr="00D85E09">
              <w:rPr>
                <w:i/>
              </w:rPr>
              <w:fldChar w:fldCharType="separate"/>
            </w:r>
            <w:r w:rsidR="00A456ED">
              <w:rPr>
                <w:i/>
              </w:rPr>
              <w:t>C.7</w:t>
            </w:r>
            <w:r w:rsidR="00092415" w:rsidRPr="00D85E09">
              <w:rPr>
                <w:i/>
              </w:rPr>
              <w:fldChar w:fldCharType="end"/>
            </w:r>
          </w:p>
          <w:p w14:paraId="7C923097" w14:textId="77777777" w:rsidR="00A41E60" w:rsidRPr="00D85E09" w:rsidRDefault="00A41E60" w:rsidP="0043316B">
            <w:pPr>
              <w:pStyle w:val="Tabletext"/>
              <w:keepNext w:val="0"/>
              <w:widowControl w:val="0"/>
              <w:autoSpaceDE w:val="0"/>
              <w:autoSpaceDN w:val="0"/>
              <w:adjustRightInd w:val="0"/>
            </w:pPr>
            <w:r w:rsidRPr="00D85E09">
              <w:t>Improvement / deterioration in mRS informed by Gensicke et al (2013).</w:t>
            </w:r>
          </w:p>
          <w:p w14:paraId="0F5F0440" w14:textId="77777777" w:rsidR="00A41E60" w:rsidRPr="00D85E09" w:rsidRDefault="00A41E60" w:rsidP="0043316B">
            <w:pPr>
              <w:pStyle w:val="Tabletext"/>
              <w:keepNext w:val="0"/>
              <w:widowControl w:val="0"/>
              <w:autoSpaceDE w:val="0"/>
              <w:autoSpaceDN w:val="0"/>
              <w:adjustRightInd w:val="0"/>
            </w:pPr>
            <w:r w:rsidRPr="00D85E09">
              <w:t>Death is captured in mRS6 (including those triggered by recurrent stroke during this phase). No other cause deaths are assumed to occur.</w:t>
            </w:r>
          </w:p>
        </w:tc>
      </w:tr>
      <w:tr w:rsidR="00A41E60" w:rsidRPr="00D85E09" w14:paraId="722FD20F"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73394958" w14:textId="77777777" w:rsidR="00A41E60" w:rsidRPr="00D85E09" w:rsidRDefault="00A41E60" w:rsidP="0043316B">
            <w:pPr>
              <w:pStyle w:val="Tabletext"/>
              <w:keepNext w:val="0"/>
              <w:widowControl w:val="0"/>
              <w:autoSpaceDE w:val="0"/>
              <w:autoSpaceDN w:val="0"/>
              <w:adjustRightInd w:val="0"/>
              <w:ind w:left="142"/>
            </w:pPr>
            <w:r w:rsidRPr="00D85E09">
              <w:t xml:space="preserve">Mid-term stroke management cost, by mRS </w:t>
            </w:r>
          </w:p>
        </w:tc>
        <w:tc>
          <w:tcPr>
            <w:tcW w:w="2369" w:type="pct"/>
            <w:tcBorders>
              <w:top w:val="single" w:sz="4" w:space="0" w:color="000000"/>
              <w:left w:val="single" w:sz="4" w:space="0" w:color="000000"/>
              <w:bottom w:val="single" w:sz="4" w:space="0" w:color="000000"/>
              <w:right w:val="single" w:sz="4" w:space="0" w:color="000000"/>
            </w:tcBorders>
            <w:hideMark/>
          </w:tcPr>
          <w:p w14:paraId="77BFB638" w14:textId="61F53794" w:rsidR="00A41E60" w:rsidRPr="00D85E09" w:rsidRDefault="00092415" w:rsidP="0043316B">
            <w:pPr>
              <w:pStyle w:val="Tabletext"/>
              <w:keepNext w:val="0"/>
              <w:widowControl w:val="0"/>
              <w:autoSpaceDE w:val="0"/>
              <w:autoSpaceDN w:val="0"/>
              <w:adjustRightInd w:val="0"/>
              <w:rPr>
                <w:i/>
              </w:rPr>
            </w:pPr>
            <w:r w:rsidRPr="00D85E09">
              <w:rPr>
                <w:i/>
              </w:rPr>
              <w:t xml:space="preserve">See Section </w:t>
            </w:r>
            <w:r w:rsidRPr="00D85E09">
              <w:rPr>
                <w:i/>
              </w:rPr>
              <w:fldChar w:fldCharType="begin"/>
            </w:r>
            <w:r w:rsidRPr="00D85E09">
              <w:rPr>
                <w:i/>
              </w:rPr>
              <w:instrText xml:space="preserve"> REF _Ref452371316 \r \h </w:instrText>
            </w:r>
            <w:r w:rsidRPr="00D85E09">
              <w:rPr>
                <w:i/>
              </w:rPr>
            </w:r>
            <w:r w:rsidRPr="00D85E09">
              <w:rPr>
                <w:i/>
              </w:rPr>
              <w:fldChar w:fldCharType="separate"/>
            </w:r>
            <w:r w:rsidR="00A456ED">
              <w:rPr>
                <w:i/>
              </w:rPr>
              <w:t>C.5</w:t>
            </w:r>
            <w:r w:rsidRPr="00D85E09">
              <w:rPr>
                <w:i/>
              </w:rPr>
              <w:fldChar w:fldCharType="end"/>
            </w:r>
          </w:p>
          <w:p w14:paraId="10BE68EC" w14:textId="77777777" w:rsidR="00A41E60" w:rsidRPr="00D85E09" w:rsidRDefault="00A41E60" w:rsidP="0043316B">
            <w:pPr>
              <w:pStyle w:val="Tabletext"/>
              <w:keepNext w:val="0"/>
              <w:widowControl w:val="0"/>
              <w:autoSpaceDE w:val="0"/>
              <w:autoSpaceDN w:val="0"/>
              <w:adjustRightInd w:val="0"/>
            </w:pPr>
            <w:r w:rsidRPr="00D85E09">
              <w:t>Equally applied to both treatment arms; however, better functional outcomes in the MT arm will provide cost savings (via less intensive /costly care).</w:t>
            </w:r>
          </w:p>
          <w:p w14:paraId="73CBF2D5" w14:textId="77777777" w:rsidR="00A41E60" w:rsidRPr="00D85E09" w:rsidRDefault="00A41E60" w:rsidP="0043316B">
            <w:pPr>
              <w:pStyle w:val="Tabletext"/>
              <w:keepNext w:val="0"/>
              <w:widowControl w:val="0"/>
              <w:autoSpaceDE w:val="0"/>
              <w:autoSpaceDN w:val="0"/>
              <w:adjustRightInd w:val="0"/>
            </w:pPr>
            <w:r w:rsidRPr="00D85E09">
              <w:t>Cost inputs primarily informed by Tanny et al (2013).</w:t>
            </w:r>
          </w:p>
        </w:tc>
      </w:tr>
      <w:tr w:rsidR="00A41E60" w:rsidRPr="00D85E09" w14:paraId="5AC7F5DA"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2F9A6CE1" w14:textId="77777777" w:rsidR="00A41E60" w:rsidRPr="00D85E09" w:rsidRDefault="00A41E60" w:rsidP="0043316B">
            <w:pPr>
              <w:pStyle w:val="Tabletext"/>
              <w:keepNext w:val="0"/>
              <w:widowControl w:val="0"/>
              <w:autoSpaceDE w:val="0"/>
              <w:autoSpaceDN w:val="0"/>
              <w:adjustRightInd w:val="0"/>
              <w:ind w:left="142"/>
            </w:pPr>
            <w:r w:rsidRPr="00D85E09">
              <w:t>Utility scores, by mRS</w:t>
            </w:r>
          </w:p>
        </w:tc>
        <w:tc>
          <w:tcPr>
            <w:tcW w:w="2369" w:type="pct"/>
            <w:tcBorders>
              <w:top w:val="single" w:sz="4" w:space="0" w:color="000000"/>
              <w:left w:val="single" w:sz="4" w:space="0" w:color="000000"/>
              <w:bottom w:val="single" w:sz="4" w:space="0" w:color="000000"/>
              <w:right w:val="single" w:sz="4" w:space="0" w:color="000000"/>
            </w:tcBorders>
            <w:hideMark/>
          </w:tcPr>
          <w:p w14:paraId="524FCF13" w14:textId="77777777" w:rsidR="00A41E60" w:rsidRPr="00D85E09" w:rsidRDefault="00A41E60" w:rsidP="0043316B">
            <w:pPr>
              <w:pStyle w:val="Tabletext"/>
              <w:keepNext w:val="0"/>
              <w:widowControl w:val="0"/>
              <w:autoSpaceDE w:val="0"/>
              <w:autoSpaceDN w:val="0"/>
              <w:adjustRightInd w:val="0"/>
            </w:pPr>
            <w:r w:rsidRPr="00D85E09">
              <w:t xml:space="preserve">As per the acute phase. </w:t>
            </w:r>
          </w:p>
        </w:tc>
      </w:tr>
      <w:tr w:rsidR="00A41E60" w:rsidRPr="00D85E09" w14:paraId="56B232A9"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442F7FE4" w14:textId="77777777" w:rsidR="00A41E60" w:rsidRPr="00D85E09" w:rsidRDefault="00A41E60" w:rsidP="0043316B">
            <w:pPr>
              <w:pStyle w:val="Tabletext"/>
              <w:keepNext w:val="0"/>
              <w:widowControl w:val="0"/>
              <w:autoSpaceDE w:val="0"/>
              <w:autoSpaceDN w:val="0"/>
              <w:adjustRightInd w:val="0"/>
              <w:ind w:left="142"/>
            </w:pPr>
            <w:r w:rsidRPr="00D85E09">
              <w:t>Risk of recurrent stroke and post-recurrent stroke mRS distribution</w:t>
            </w:r>
          </w:p>
        </w:tc>
        <w:tc>
          <w:tcPr>
            <w:tcW w:w="2369" w:type="pct"/>
            <w:tcBorders>
              <w:top w:val="single" w:sz="4" w:space="0" w:color="000000"/>
              <w:left w:val="single" w:sz="4" w:space="0" w:color="000000"/>
              <w:bottom w:val="single" w:sz="4" w:space="0" w:color="000000"/>
              <w:right w:val="single" w:sz="4" w:space="0" w:color="000000"/>
            </w:tcBorders>
            <w:hideMark/>
          </w:tcPr>
          <w:p w14:paraId="6D4A238B" w14:textId="2A045833" w:rsidR="00A41E60" w:rsidRPr="00D85E09" w:rsidRDefault="00A41E60" w:rsidP="0043316B">
            <w:pPr>
              <w:pStyle w:val="Tabletext"/>
              <w:keepNext w:val="0"/>
              <w:widowControl w:val="0"/>
              <w:autoSpaceDE w:val="0"/>
              <w:autoSpaceDN w:val="0"/>
              <w:adjustRightInd w:val="0"/>
              <w:rPr>
                <w:i/>
              </w:rPr>
            </w:pPr>
            <w:r w:rsidRPr="00D85E09">
              <w:rPr>
                <w:i/>
              </w:rPr>
              <w:t xml:space="preserve">See Section </w:t>
            </w:r>
            <w:r w:rsidR="00092415" w:rsidRPr="00D85E09">
              <w:rPr>
                <w:i/>
              </w:rPr>
              <w:fldChar w:fldCharType="begin"/>
            </w:r>
            <w:r w:rsidR="00092415" w:rsidRPr="00D85E09">
              <w:rPr>
                <w:i/>
              </w:rPr>
              <w:instrText xml:space="preserve"> REF _Ref451421814 \r \h </w:instrText>
            </w:r>
            <w:r w:rsidR="00092415" w:rsidRPr="00D85E09">
              <w:rPr>
                <w:i/>
              </w:rPr>
            </w:r>
            <w:r w:rsidR="00092415" w:rsidRPr="00D85E09">
              <w:rPr>
                <w:i/>
              </w:rPr>
              <w:fldChar w:fldCharType="separate"/>
            </w:r>
            <w:r w:rsidR="00A456ED">
              <w:rPr>
                <w:i/>
              </w:rPr>
              <w:t>C.6</w:t>
            </w:r>
            <w:r w:rsidR="00092415" w:rsidRPr="00D85E09">
              <w:rPr>
                <w:i/>
              </w:rPr>
              <w:fldChar w:fldCharType="end"/>
            </w:r>
          </w:p>
          <w:p w14:paraId="504283E8" w14:textId="6C239DE5" w:rsidR="00A41E60" w:rsidRPr="00D85E09" w:rsidRDefault="00A41E60" w:rsidP="0043316B">
            <w:pPr>
              <w:pStyle w:val="Tabletext"/>
              <w:keepNext w:val="0"/>
              <w:widowControl w:val="0"/>
              <w:autoSpaceDE w:val="0"/>
              <w:autoSpaceDN w:val="0"/>
              <w:adjustRightInd w:val="0"/>
            </w:pPr>
            <w:r w:rsidRPr="00D85E09">
              <w:t>Risk of recurrence informed by a published met-analysis (Mohan et al 2011), well corroborated with Australian data in the literature (e.g., Hardie et al 2004).</w:t>
            </w:r>
          </w:p>
          <w:p w14:paraId="22CB313A" w14:textId="77777777" w:rsidR="00A41E60" w:rsidRPr="00D85E09" w:rsidRDefault="00A41E60" w:rsidP="0043316B">
            <w:pPr>
              <w:pStyle w:val="Tabletext"/>
              <w:keepNext w:val="0"/>
              <w:widowControl w:val="0"/>
              <w:autoSpaceDE w:val="0"/>
              <w:autoSpaceDN w:val="0"/>
              <w:adjustRightInd w:val="0"/>
            </w:pPr>
            <w:r w:rsidRPr="00D85E09">
              <w:t xml:space="preserve">Improvement / deterioration in mRS post recurrence are informed by the RCT data and Gensicke et al (2013); </w:t>
            </w:r>
            <w:r w:rsidRPr="00D85E09">
              <w:rPr>
                <w:i/>
              </w:rPr>
              <w:t>see Section D.4.1 for calculations/assumptions.</w:t>
            </w:r>
          </w:p>
          <w:p w14:paraId="682C3EA8" w14:textId="77777777" w:rsidR="00A41E60" w:rsidRPr="00D85E09" w:rsidRDefault="00A41E60" w:rsidP="0043316B">
            <w:pPr>
              <w:pStyle w:val="Tabletext"/>
              <w:keepNext w:val="0"/>
              <w:widowControl w:val="0"/>
              <w:autoSpaceDE w:val="0"/>
              <w:autoSpaceDN w:val="0"/>
              <w:adjustRightInd w:val="0"/>
            </w:pPr>
            <w:r w:rsidRPr="00D85E09">
              <w:t>Death due to recurrence is captured in mRS6</w:t>
            </w:r>
          </w:p>
          <w:p w14:paraId="046CA2E7" w14:textId="56684868" w:rsidR="00A41E60" w:rsidRPr="00D85E09" w:rsidRDefault="00A41E60" w:rsidP="0043316B">
            <w:pPr>
              <w:pStyle w:val="Tabletext"/>
              <w:keepNext w:val="0"/>
              <w:widowControl w:val="0"/>
              <w:autoSpaceDE w:val="0"/>
              <w:autoSpaceDN w:val="0"/>
              <w:adjustRightInd w:val="0"/>
            </w:pPr>
            <w:r w:rsidRPr="00D85E09">
              <w:rPr>
                <w:i/>
              </w:rPr>
              <w:t xml:space="preserve">Separate Markov models are also presented to investigate the impact of omitting recurrent stroke (see Section D.5.3). </w:t>
            </w:r>
            <w:r w:rsidRPr="00D85E09">
              <w:t xml:space="preserve">Reasons for this approach are described in Section </w:t>
            </w:r>
            <w:r w:rsidR="00092415" w:rsidRPr="00D85E09">
              <w:fldChar w:fldCharType="begin"/>
            </w:r>
            <w:r w:rsidR="00092415" w:rsidRPr="00D85E09">
              <w:instrText xml:space="preserve"> REF _Ref452113564 \r \h </w:instrText>
            </w:r>
            <w:r w:rsidR="00092415" w:rsidRPr="00D85E09">
              <w:fldChar w:fldCharType="separate"/>
            </w:r>
            <w:r w:rsidR="00A456ED">
              <w:t>C.7.3</w:t>
            </w:r>
            <w:r w:rsidR="00092415" w:rsidRPr="00D85E09">
              <w:fldChar w:fldCharType="end"/>
            </w:r>
            <w:r w:rsidR="00092415" w:rsidRPr="00D85E09">
              <w:t>.</w:t>
            </w:r>
          </w:p>
        </w:tc>
      </w:tr>
      <w:tr w:rsidR="00A41E60" w:rsidRPr="00D85E09" w14:paraId="79B8603D" w14:textId="77777777" w:rsidTr="00A41E60">
        <w:tc>
          <w:tcPr>
            <w:tcW w:w="2631" w:type="pct"/>
            <w:tcBorders>
              <w:top w:val="single" w:sz="4" w:space="0" w:color="000000"/>
              <w:left w:val="single" w:sz="4" w:space="0" w:color="000000"/>
              <w:bottom w:val="single" w:sz="4" w:space="0" w:color="000000"/>
              <w:right w:val="nil"/>
            </w:tcBorders>
            <w:hideMark/>
          </w:tcPr>
          <w:p w14:paraId="0D4E66D2" w14:textId="77777777" w:rsidR="00A41E60" w:rsidRPr="00D85E09" w:rsidRDefault="00A41E60" w:rsidP="0043316B">
            <w:pPr>
              <w:pStyle w:val="Tabletext"/>
              <w:keepNext w:val="0"/>
              <w:widowControl w:val="0"/>
              <w:autoSpaceDE w:val="0"/>
              <w:autoSpaceDN w:val="0"/>
              <w:adjustRightInd w:val="0"/>
              <w:rPr>
                <w:b/>
                <w:i/>
              </w:rPr>
            </w:pPr>
            <w:r w:rsidRPr="00D85E09">
              <w:rPr>
                <w:b/>
                <w:i/>
              </w:rPr>
              <w:t>Long-term (post 12 months)</w:t>
            </w:r>
          </w:p>
        </w:tc>
        <w:tc>
          <w:tcPr>
            <w:tcW w:w="2369" w:type="pct"/>
            <w:tcBorders>
              <w:top w:val="single" w:sz="4" w:space="0" w:color="000000"/>
              <w:left w:val="nil"/>
              <w:bottom w:val="single" w:sz="4" w:space="0" w:color="000000"/>
              <w:right w:val="single" w:sz="4" w:space="0" w:color="000000"/>
            </w:tcBorders>
          </w:tcPr>
          <w:p w14:paraId="13CB4F92" w14:textId="77777777" w:rsidR="00A41E60" w:rsidRPr="00D85E09" w:rsidRDefault="00A41E60" w:rsidP="0043316B">
            <w:pPr>
              <w:pStyle w:val="Tabletext"/>
              <w:keepNext w:val="0"/>
              <w:widowControl w:val="0"/>
              <w:autoSpaceDE w:val="0"/>
              <w:autoSpaceDN w:val="0"/>
              <w:adjustRightInd w:val="0"/>
            </w:pPr>
          </w:p>
        </w:tc>
      </w:tr>
      <w:tr w:rsidR="00A41E60" w:rsidRPr="00D85E09" w14:paraId="55055955"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3150F9F3" w14:textId="77777777" w:rsidR="00A41E60" w:rsidRPr="00D85E09" w:rsidRDefault="00A41E60" w:rsidP="0043316B">
            <w:pPr>
              <w:pStyle w:val="Tabletext"/>
              <w:keepNext w:val="0"/>
              <w:widowControl w:val="0"/>
              <w:autoSpaceDE w:val="0"/>
              <w:autoSpaceDN w:val="0"/>
              <w:adjustRightInd w:val="0"/>
              <w:ind w:left="142"/>
            </w:pPr>
            <w:r w:rsidRPr="00D85E09">
              <w:t>mRS transitions post 12 months</w:t>
            </w:r>
          </w:p>
        </w:tc>
        <w:tc>
          <w:tcPr>
            <w:tcW w:w="2369" w:type="pct"/>
            <w:tcBorders>
              <w:top w:val="single" w:sz="4" w:space="0" w:color="000000"/>
              <w:left w:val="single" w:sz="4" w:space="0" w:color="000000"/>
              <w:bottom w:val="single" w:sz="4" w:space="0" w:color="000000"/>
              <w:right w:val="single" w:sz="4" w:space="0" w:color="000000"/>
            </w:tcBorders>
            <w:hideMark/>
          </w:tcPr>
          <w:p w14:paraId="0A91A770" w14:textId="3AC4B762" w:rsidR="00A41E60" w:rsidRPr="00D85E09" w:rsidRDefault="00A41E60" w:rsidP="0043316B">
            <w:pPr>
              <w:pStyle w:val="Tabletext"/>
              <w:keepNext w:val="0"/>
              <w:widowControl w:val="0"/>
              <w:autoSpaceDE w:val="0"/>
              <w:autoSpaceDN w:val="0"/>
              <w:adjustRightInd w:val="0"/>
              <w:rPr>
                <w:i/>
              </w:rPr>
            </w:pPr>
            <w:r w:rsidRPr="00D85E09">
              <w:rPr>
                <w:i/>
              </w:rPr>
              <w:t xml:space="preserve">See Section </w:t>
            </w:r>
            <w:r w:rsidR="00092415" w:rsidRPr="00D85E09">
              <w:rPr>
                <w:i/>
              </w:rPr>
              <w:fldChar w:fldCharType="begin"/>
            </w:r>
            <w:r w:rsidR="00092415" w:rsidRPr="00D85E09">
              <w:rPr>
                <w:i/>
              </w:rPr>
              <w:instrText xml:space="preserve"> REF _Ref452371484 \r \h </w:instrText>
            </w:r>
            <w:r w:rsidR="00092415" w:rsidRPr="00D85E09">
              <w:rPr>
                <w:i/>
              </w:rPr>
            </w:r>
            <w:r w:rsidR="00092415" w:rsidRPr="00D85E09">
              <w:rPr>
                <w:i/>
              </w:rPr>
              <w:fldChar w:fldCharType="separate"/>
            </w:r>
            <w:r w:rsidR="00A456ED">
              <w:rPr>
                <w:i/>
              </w:rPr>
              <w:t>C.7</w:t>
            </w:r>
            <w:r w:rsidR="00092415" w:rsidRPr="00D85E09">
              <w:rPr>
                <w:i/>
              </w:rPr>
              <w:fldChar w:fldCharType="end"/>
            </w:r>
          </w:p>
          <w:p w14:paraId="10D12418" w14:textId="1CBAE56B" w:rsidR="00A41E60" w:rsidRPr="00D85E09" w:rsidRDefault="00A41E60" w:rsidP="0043316B">
            <w:pPr>
              <w:pStyle w:val="Tabletext"/>
              <w:keepNext w:val="0"/>
              <w:widowControl w:val="0"/>
              <w:autoSpaceDE w:val="0"/>
              <w:autoSpaceDN w:val="0"/>
              <w:adjustRightInd w:val="0"/>
            </w:pPr>
            <w:r w:rsidRPr="00D85E09">
              <w:t>The mRS transition data for the mid-term above (to 12 months) are based on a 3-year follow</w:t>
            </w:r>
            <w:r w:rsidR="00D32933" w:rsidRPr="00D85E09">
              <w:t>-</w:t>
            </w:r>
            <w:r w:rsidRPr="00D85E09">
              <w:t>up (Gensicke et al, 2013).</w:t>
            </w:r>
          </w:p>
          <w:p w14:paraId="42626D3B" w14:textId="77777777" w:rsidR="00A41E60" w:rsidRPr="00D85E09" w:rsidRDefault="00A41E60" w:rsidP="0043316B">
            <w:pPr>
              <w:pStyle w:val="Tabletext"/>
              <w:keepNext w:val="0"/>
              <w:widowControl w:val="0"/>
              <w:autoSpaceDE w:val="0"/>
              <w:autoSpaceDN w:val="0"/>
              <w:adjustRightInd w:val="0"/>
            </w:pPr>
            <w:r w:rsidRPr="00D85E09">
              <w:t xml:space="preserve">No further change in mRS (i.e., no improvement / deterioration in stroke disability) unless recurrent stroke occurs. </w:t>
            </w:r>
          </w:p>
        </w:tc>
      </w:tr>
      <w:tr w:rsidR="00A41E60" w:rsidRPr="00D85E09" w14:paraId="5A913503"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4940F71B" w14:textId="77777777" w:rsidR="00A41E60" w:rsidRPr="00D85E09" w:rsidRDefault="00A41E60" w:rsidP="0043316B">
            <w:pPr>
              <w:pStyle w:val="Tabletext"/>
              <w:keepNext w:val="0"/>
              <w:widowControl w:val="0"/>
              <w:autoSpaceDE w:val="0"/>
              <w:autoSpaceDN w:val="0"/>
              <w:adjustRightInd w:val="0"/>
              <w:ind w:left="142"/>
            </w:pPr>
            <w:r w:rsidRPr="00D85E09">
              <w:lastRenderedPageBreak/>
              <w:t xml:space="preserve">Long-term stroke management cost, by mRS </w:t>
            </w:r>
          </w:p>
        </w:tc>
        <w:tc>
          <w:tcPr>
            <w:tcW w:w="2369" w:type="pct"/>
            <w:tcBorders>
              <w:top w:val="single" w:sz="4" w:space="0" w:color="000000"/>
              <w:left w:val="single" w:sz="4" w:space="0" w:color="000000"/>
              <w:bottom w:val="single" w:sz="4" w:space="0" w:color="000000"/>
              <w:right w:val="single" w:sz="4" w:space="0" w:color="000000"/>
            </w:tcBorders>
            <w:hideMark/>
          </w:tcPr>
          <w:p w14:paraId="5C54AFDB" w14:textId="6FF557E6" w:rsidR="00A41E60" w:rsidRPr="00D85E09" w:rsidRDefault="00A41E60" w:rsidP="0043316B">
            <w:pPr>
              <w:pStyle w:val="Tabletext"/>
              <w:keepNext w:val="0"/>
              <w:widowControl w:val="0"/>
              <w:autoSpaceDE w:val="0"/>
              <w:autoSpaceDN w:val="0"/>
              <w:adjustRightInd w:val="0"/>
              <w:rPr>
                <w:i/>
              </w:rPr>
            </w:pPr>
            <w:r w:rsidRPr="00D85E09">
              <w:rPr>
                <w:i/>
              </w:rPr>
              <w:t xml:space="preserve">See Section </w:t>
            </w:r>
            <w:r w:rsidR="00092415" w:rsidRPr="00D85E09">
              <w:rPr>
                <w:i/>
              </w:rPr>
              <w:fldChar w:fldCharType="begin"/>
            </w:r>
            <w:r w:rsidR="00092415" w:rsidRPr="00D85E09">
              <w:rPr>
                <w:i/>
              </w:rPr>
              <w:instrText xml:space="preserve"> REF _Ref452371316 \r \h </w:instrText>
            </w:r>
            <w:r w:rsidR="00092415" w:rsidRPr="00D85E09">
              <w:rPr>
                <w:i/>
              </w:rPr>
            </w:r>
            <w:r w:rsidR="00092415" w:rsidRPr="00D85E09">
              <w:rPr>
                <w:i/>
              </w:rPr>
              <w:fldChar w:fldCharType="separate"/>
            </w:r>
            <w:r w:rsidR="00A456ED">
              <w:rPr>
                <w:i/>
              </w:rPr>
              <w:t>C.5</w:t>
            </w:r>
            <w:r w:rsidR="00092415" w:rsidRPr="00D85E09">
              <w:rPr>
                <w:i/>
              </w:rPr>
              <w:fldChar w:fldCharType="end"/>
            </w:r>
          </w:p>
          <w:p w14:paraId="37EB57B9" w14:textId="77777777" w:rsidR="00A41E60" w:rsidRPr="00D85E09" w:rsidRDefault="00A41E60" w:rsidP="0043316B">
            <w:pPr>
              <w:pStyle w:val="Tabletext"/>
              <w:keepNext w:val="0"/>
              <w:widowControl w:val="0"/>
              <w:autoSpaceDE w:val="0"/>
              <w:autoSpaceDN w:val="0"/>
              <w:adjustRightInd w:val="0"/>
            </w:pPr>
            <w:r w:rsidRPr="00D85E09">
              <w:t>Equally applied to both treatment arms; however, better functional outcomes in the MT arm will provide cost savings (via less intensive /costly care).</w:t>
            </w:r>
          </w:p>
        </w:tc>
      </w:tr>
      <w:tr w:rsidR="00A41E60" w:rsidRPr="00D85E09" w14:paraId="3D99A4B1"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0FABA802" w14:textId="77777777" w:rsidR="00A41E60" w:rsidRPr="00D85E09" w:rsidRDefault="00A41E60" w:rsidP="0043316B">
            <w:pPr>
              <w:pStyle w:val="Tabletext"/>
              <w:keepNext w:val="0"/>
              <w:widowControl w:val="0"/>
              <w:autoSpaceDE w:val="0"/>
              <w:autoSpaceDN w:val="0"/>
              <w:adjustRightInd w:val="0"/>
              <w:ind w:left="142"/>
            </w:pPr>
            <w:r w:rsidRPr="00D85E09">
              <w:t>Utility scores, by mRS</w:t>
            </w:r>
          </w:p>
        </w:tc>
        <w:tc>
          <w:tcPr>
            <w:tcW w:w="2369" w:type="pct"/>
            <w:tcBorders>
              <w:top w:val="single" w:sz="4" w:space="0" w:color="000000"/>
              <w:left w:val="single" w:sz="4" w:space="0" w:color="000000"/>
              <w:bottom w:val="single" w:sz="4" w:space="0" w:color="000000"/>
              <w:right w:val="single" w:sz="4" w:space="0" w:color="000000"/>
            </w:tcBorders>
            <w:hideMark/>
          </w:tcPr>
          <w:p w14:paraId="47590821" w14:textId="77777777" w:rsidR="00A41E60" w:rsidRPr="00D85E09" w:rsidRDefault="00A41E60" w:rsidP="0043316B">
            <w:pPr>
              <w:pStyle w:val="Tabletext"/>
              <w:keepNext w:val="0"/>
              <w:widowControl w:val="0"/>
              <w:autoSpaceDE w:val="0"/>
              <w:autoSpaceDN w:val="0"/>
              <w:adjustRightInd w:val="0"/>
            </w:pPr>
            <w:r w:rsidRPr="00D85E09">
              <w:t xml:space="preserve">As per the mid-term phase. </w:t>
            </w:r>
          </w:p>
        </w:tc>
      </w:tr>
      <w:tr w:rsidR="00A41E60" w:rsidRPr="00D85E09" w14:paraId="4BC07A63"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4A4FF7D0" w14:textId="77777777" w:rsidR="00A41E60" w:rsidRPr="00D85E09" w:rsidRDefault="00A41E60" w:rsidP="0043316B">
            <w:pPr>
              <w:pStyle w:val="Tabletext"/>
              <w:keepNext w:val="0"/>
              <w:widowControl w:val="0"/>
              <w:autoSpaceDE w:val="0"/>
              <w:autoSpaceDN w:val="0"/>
              <w:adjustRightInd w:val="0"/>
              <w:ind w:left="142"/>
            </w:pPr>
            <w:r w:rsidRPr="00D85E09">
              <w:t>Risk of recurrent stroke and post-recurrent stroke mRS distribution</w:t>
            </w:r>
          </w:p>
        </w:tc>
        <w:tc>
          <w:tcPr>
            <w:tcW w:w="2369" w:type="pct"/>
            <w:tcBorders>
              <w:top w:val="single" w:sz="4" w:space="0" w:color="000000"/>
              <w:left w:val="single" w:sz="4" w:space="0" w:color="000000"/>
              <w:bottom w:val="single" w:sz="4" w:space="0" w:color="000000"/>
              <w:right w:val="single" w:sz="4" w:space="0" w:color="000000"/>
            </w:tcBorders>
            <w:hideMark/>
          </w:tcPr>
          <w:p w14:paraId="78E2B469" w14:textId="106B6F8A" w:rsidR="00A41E60" w:rsidRPr="00D85E09" w:rsidRDefault="00A41E60" w:rsidP="0043316B">
            <w:pPr>
              <w:pStyle w:val="Tabletext"/>
              <w:keepNext w:val="0"/>
              <w:widowControl w:val="0"/>
              <w:autoSpaceDE w:val="0"/>
              <w:autoSpaceDN w:val="0"/>
              <w:adjustRightInd w:val="0"/>
            </w:pPr>
            <w:r w:rsidRPr="00D85E09">
              <w:t>As per the mid-term phase.</w:t>
            </w:r>
          </w:p>
          <w:p w14:paraId="2C3015C9" w14:textId="77777777" w:rsidR="00A41E60" w:rsidRPr="00D85E09" w:rsidRDefault="00A41E60" w:rsidP="0043316B">
            <w:pPr>
              <w:pStyle w:val="Tabletext"/>
              <w:keepNext w:val="0"/>
              <w:widowControl w:val="0"/>
              <w:autoSpaceDE w:val="0"/>
              <w:autoSpaceDN w:val="0"/>
              <w:adjustRightInd w:val="0"/>
            </w:pPr>
            <w:r w:rsidRPr="00D85E09">
              <w:rPr>
                <w:i/>
              </w:rPr>
              <w:t xml:space="preserve">Separate Markov models are also presented that omits any recurrent strokes (see Section D.5.3). </w:t>
            </w:r>
          </w:p>
        </w:tc>
      </w:tr>
      <w:tr w:rsidR="00A41E60" w:rsidRPr="00D85E09" w14:paraId="004487BD" w14:textId="77777777" w:rsidTr="00A41E60">
        <w:tc>
          <w:tcPr>
            <w:tcW w:w="2631" w:type="pct"/>
            <w:tcBorders>
              <w:top w:val="single" w:sz="4" w:space="0" w:color="000000"/>
              <w:left w:val="single" w:sz="4" w:space="0" w:color="000000"/>
              <w:bottom w:val="single" w:sz="4" w:space="0" w:color="000000"/>
              <w:right w:val="single" w:sz="4" w:space="0" w:color="000000"/>
            </w:tcBorders>
            <w:hideMark/>
          </w:tcPr>
          <w:p w14:paraId="322414E9" w14:textId="77777777" w:rsidR="00A41E60" w:rsidRPr="00D85E09" w:rsidRDefault="00A41E60" w:rsidP="0043316B">
            <w:pPr>
              <w:pStyle w:val="Tabletext"/>
              <w:keepNext w:val="0"/>
              <w:widowControl w:val="0"/>
              <w:autoSpaceDE w:val="0"/>
              <w:autoSpaceDN w:val="0"/>
              <w:adjustRightInd w:val="0"/>
              <w:ind w:left="142"/>
            </w:pPr>
            <w:r w:rsidRPr="00D85E09">
              <w:t>Mortality (other causes)</w:t>
            </w:r>
          </w:p>
        </w:tc>
        <w:tc>
          <w:tcPr>
            <w:tcW w:w="2369" w:type="pct"/>
            <w:tcBorders>
              <w:top w:val="single" w:sz="4" w:space="0" w:color="000000"/>
              <w:left w:val="single" w:sz="4" w:space="0" w:color="000000"/>
              <w:bottom w:val="single" w:sz="4" w:space="0" w:color="000000"/>
              <w:right w:val="single" w:sz="4" w:space="0" w:color="000000"/>
            </w:tcBorders>
            <w:hideMark/>
          </w:tcPr>
          <w:p w14:paraId="2D430C88" w14:textId="77777777" w:rsidR="00A41E60" w:rsidRPr="00D85E09" w:rsidRDefault="00A41E60" w:rsidP="0043316B">
            <w:pPr>
              <w:pStyle w:val="Tabletext"/>
              <w:keepNext w:val="0"/>
              <w:widowControl w:val="0"/>
              <w:autoSpaceDE w:val="0"/>
              <w:autoSpaceDN w:val="0"/>
              <w:adjustRightInd w:val="0"/>
            </w:pPr>
            <w:r w:rsidRPr="00D85E09">
              <w:t>As per the Australian life table.</w:t>
            </w:r>
          </w:p>
        </w:tc>
      </w:tr>
    </w:tbl>
    <w:p w14:paraId="60181854" w14:textId="77777777" w:rsidR="00A41E60" w:rsidRPr="00D85E09" w:rsidRDefault="00A41E60" w:rsidP="0043316B">
      <w:pPr>
        <w:pStyle w:val="Tablefootnote"/>
        <w:widowControl w:val="0"/>
        <w:rPr>
          <w:lang w:val="en-AU"/>
        </w:rPr>
      </w:pPr>
      <w:r w:rsidRPr="00D85E09">
        <w:rPr>
          <w:lang w:val="en-AU"/>
        </w:rPr>
        <w:t>Abbreviations: MT, mechanical thrombectomy; mRS, modified Rankin scare; NEMESIS, North East Melbourne Stroke Incidence Study.</w:t>
      </w:r>
    </w:p>
    <w:p w14:paraId="176A30FA" w14:textId="6F943807" w:rsidR="00A41E60" w:rsidRPr="00D85E09" w:rsidRDefault="00A41E60" w:rsidP="0043316B">
      <w:pPr>
        <w:pStyle w:val="Tablefootnote"/>
        <w:widowControl w:val="0"/>
        <w:rPr>
          <w:lang w:val="en-AU"/>
        </w:rPr>
      </w:pPr>
      <w:r w:rsidRPr="00D85E09">
        <w:rPr>
          <w:lang w:val="en-AU"/>
        </w:rPr>
        <w:t>Note: See Section D.4 for further discussion.</w:t>
      </w:r>
    </w:p>
    <w:p w14:paraId="5FE59C3E" w14:textId="77777777" w:rsidR="00A41E60" w:rsidRPr="00D85E09" w:rsidRDefault="00A41E60" w:rsidP="0043316B">
      <w:pPr>
        <w:widowControl w:val="0"/>
        <w:rPr>
          <w:lang w:eastAsia="ja-JP"/>
        </w:rPr>
      </w:pPr>
    </w:p>
    <w:p w14:paraId="06A7E3EC" w14:textId="77777777" w:rsidR="00A41E60" w:rsidRPr="00D85E09" w:rsidRDefault="00A41E60" w:rsidP="0043316B">
      <w:pPr>
        <w:pStyle w:val="Heading2"/>
        <w:widowControl w:val="0"/>
        <w:ind w:left="851" w:hanging="851"/>
        <w:rPr>
          <w:lang w:val="en-AU"/>
        </w:rPr>
      </w:pPr>
      <w:bookmarkStart w:id="497" w:name="_Toc358731907"/>
      <w:bookmarkStart w:id="498" w:name="_Toc453065306"/>
      <w:r w:rsidRPr="00D85E09">
        <w:rPr>
          <w:lang w:val="en-AU"/>
        </w:rPr>
        <w:t>Population and circumstances of use reflected in the economic evaluation</w:t>
      </w:r>
      <w:bookmarkEnd w:id="497"/>
      <w:bookmarkEnd w:id="498"/>
    </w:p>
    <w:p w14:paraId="71DF8FB3" w14:textId="77777777" w:rsidR="00A41E60" w:rsidRPr="00D85E09" w:rsidRDefault="00A41E60" w:rsidP="0043316B">
      <w:pPr>
        <w:pStyle w:val="Heading3"/>
        <w:keepNext w:val="0"/>
        <w:widowControl w:val="0"/>
        <w:ind w:left="993" w:hanging="993"/>
        <w:rPr>
          <w:lang w:val="en-AU"/>
        </w:rPr>
      </w:pPr>
      <w:bookmarkStart w:id="499" w:name="_Toc358731908"/>
      <w:bookmarkStart w:id="500" w:name="_Toc453065307"/>
      <w:r w:rsidRPr="00D85E09">
        <w:rPr>
          <w:lang w:val="en-AU"/>
        </w:rPr>
        <w:t>Demographic and patient characteristics</w:t>
      </w:r>
      <w:bookmarkEnd w:id="499"/>
      <w:bookmarkEnd w:id="500"/>
    </w:p>
    <w:p w14:paraId="2898C45C" w14:textId="4487034E" w:rsidR="00A41E60" w:rsidRPr="00D85E09" w:rsidRDefault="00A41E60" w:rsidP="0043316B">
      <w:pPr>
        <w:widowControl w:val="0"/>
        <w:rPr>
          <w:i/>
        </w:rPr>
      </w:pPr>
      <w:r w:rsidRPr="00D85E09">
        <w:rPr>
          <w:i/>
        </w:rPr>
        <w:t>This has been dis</w:t>
      </w:r>
      <w:r w:rsidR="00092415" w:rsidRPr="00D85E09">
        <w:rPr>
          <w:i/>
        </w:rPr>
        <w:t>cussed in Section C.2 and C.3</w:t>
      </w:r>
      <w:r w:rsidRPr="00D85E09">
        <w:rPr>
          <w:i/>
        </w:rPr>
        <w:t xml:space="preserve"> and the applicability of the trial data to the target population has been justified.</w:t>
      </w:r>
    </w:p>
    <w:p w14:paraId="07B1BA7E" w14:textId="7EAC58A6" w:rsidR="00A41E60" w:rsidRPr="00D85E09" w:rsidRDefault="00A41E60" w:rsidP="0043316B">
      <w:pPr>
        <w:widowControl w:val="0"/>
      </w:pPr>
      <w:r w:rsidRPr="00D85E09">
        <w:t>The patient characteristics of the modelled cohort are to match the proposed MBS population. Broadly speaking, they have confirmed occlusions in the proximal anterior intra</w:t>
      </w:r>
      <w:r w:rsidR="00300BB6" w:rsidRPr="00D85E09">
        <w:t>-cranial</w:t>
      </w:r>
      <w:r w:rsidRPr="00D85E09">
        <w:t xml:space="preserve"> circulation. Patients in the mechanical thrombectomy arm are required to be able to undergo initiation of endovascular treatment within 6 hours after symptom onset.</w:t>
      </w:r>
    </w:p>
    <w:p w14:paraId="484C28AC" w14:textId="59200703" w:rsidR="00A41E60" w:rsidRPr="00D85E09" w:rsidRDefault="00A41E60" w:rsidP="0043316B">
      <w:pPr>
        <w:widowControl w:val="0"/>
      </w:pPr>
      <w:r w:rsidRPr="00D85E09">
        <w:t>Applicability assessment provided in Section C.</w:t>
      </w:r>
      <w:r w:rsidR="00092415" w:rsidRPr="00D85E09">
        <w:t>2 and C.3</w:t>
      </w:r>
      <w:r w:rsidRPr="00D85E09">
        <w:t xml:space="preserve"> justified that the included pivotal trials generally match the proposed MBS patient population. The baseline patient characteristics, e.g., age and gender, are informed by the meta-analysed RCT data (68 years, 53% male; Goyal et al 2016).</w:t>
      </w:r>
    </w:p>
    <w:p w14:paraId="2CC13177" w14:textId="77777777" w:rsidR="00A41E60" w:rsidRPr="00D85E09" w:rsidRDefault="00A41E60" w:rsidP="0043316B">
      <w:pPr>
        <w:pStyle w:val="Heading3"/>
        <w:keepNext w:val="0"/>
        <w:widowControl w:val="0"/>
        <w:ind w:left="993" w:hanging="993"/>
        <w:rPr>
          <w:lang w:val="en-AU"/>
        </w:rPr>
      </w:pPr>
      <w:bookmarkStart w:id="501" w:name="_Toc358731909"/>
      <w:bookmarkStart w:id="502" w:name="_Toc453065308"/>
      <w:r w:rsidRPr="00D85E09">
        <w:rPr>
          <w:lang w:val="en-AU"/>
        </w:rPr>
        <w:t>Circumstances of use</w:t>
      </w:r>
      <w:bookmarkEnd w:id="501"/>
      <w:bookmarkEnd w:id="502"/>
    </w:p>
    <w:p w14:paraId="0A937A0D" w14:textId="4B6D2A95" w:rsidR="00A41E60" w:rsidRPr="00D85E09" w:rsidRDefault="00A41E60" w:rsidP="0043316B">
      <w:pPr>
        <w:widowControl w:val="0"/>
        <w:rPr>
          <w:i/>
        </w:rPr>
      </w:pPr>
      <w:r w:rsidRPr="00D85E09">
        <w:rPr>
          <w:i/>
        </w:rPr>
        <w:t>Again, this has been dis</w:t>
      </w:r>
      <w:r w:rsidR="00092415" w:rsidRPr="00D85E09">
        <w:rPr>
          <w:i/>
        </w:rPr>
        <w:t>cussed in Section C.2 and C.3</w:t>
      </w:r>
      <w:r w:rsidRPr="00D85E09">
        <w:rPr>
          <w:i/>
        </w:rPr>
        <w:t xml:space="preserve"> and the applicability of the trial data to the circumstances of use likely observed under the MBS funding has been justified.</w:t>
      </w:r>
    </w:p>
    <w:p w14:paraId="56BDF3B4" w14:textId="111AEE2A" w:rsidR="00A41E60" w:rsidRPr="00D85E09" w:rsidRDefault="00A41E60" w:rsidP="0043316B">
      <w:pPr>
        <w:widowControl w:val="0"/>
      </w:pPr>
      <w:r w:rsidRPr="00D85E09">
        <w:t>It is expected that the provision of mechanical thrombectomy would be restricted to “centres of excellence” in stroke care due to the high infrastructure requirements (see Section E.1). The usual care provided in these centres would be by and large well standardised and, importantly, is likely to be generali</w:t>
      </w:r>
      <w:r w:rsidR="00E56287" w:rsidRPr="00D85E09">
        <w:t>s</w:t>
      </w:r>
      <w:r w:rsidRPr="00D85E09">
        <w:t>able to the care provided in the pivotal RCTs. Section C.2 and C.3 also demonstrated that effect modifications associated with circumstances</w:t>
      </w:r>
      <w:r w:rsidR="00D32933" w:rsidRPr="00D85E09">
        <w:t xml:space="preserve"> </w:t>
      </w:r>
      <w:r w:rsidRPr="00D85E09">
        <w:t>of</w:t>
      </w:r>
      <w:r w:rsidR="00D32933" w:rsidRPr="00D85E09">
        <w:t xml:space="preserve"> </w:t>
      </w:r>
      <w:r w:rsidRPr="00D85E09">
        <w:t>use parameters such as the concurrent use of IV</w:t>
      </w:r>
      <w:r w:rsidR="00D32933" w:rsidRPr="00D85E09">
        <w:t>-</w:t>
      </w:r>
      <w:r w:rsidRPr="00D85E09">
        <w:t>tPA, the types of imaging tests and time to MT are unlikely to be significant, further supporting the applicability of the available trial data for the purpose of this analysis.</w:t>
      </w:r>
    </w:p>
    <w:p w14:paraId="503B15F5" w14:textId="203AA4D5" w:rsidR="00A41E60" w:rsidRPr="00D85E09" w:rsidRDefault="00A41E60" w:rsidP="0043316B">
      <w:pPr>
        <w:widowControl w:val="0"/>
      </w:pPr>
      <w:r w:rsidRPr="00D85E09">
        <w:lastRenderedPageBreak/>
        <w:t>Importantly, the control data from the pivotal RCTs inform the usual care arm of the Section D model. The care provided in the control arms of the trials are overall representative of the care provided in the absence of MT in the Australian practice.</w:t>
      </w:r>
    </w:p>
    <w:p w14:paraId="21F1206F" w14:textId="77777777" w:rsidR="00A41E60" w:rsidRPr="00D85E09" w:rsidRDefault="00A41E60" w:rsidP="0043316B">
      <w:pPr>
        <w:pStyle w:val="Heading2"/>
        <w:widowControl w:val="0"/>
        <w:ind w:left="851" w:hanging="851"/>
        <w:rPr>
          <w:lang w:val="en-AU"/>
        </w:rPr>
      </w:pPr>
      <w:bookmarkStart w:id="503" w:name="_Toc358731910"/>
      <w:bookmarkStart w:id="504" w:name="_Toc453065309"/>
      <w:r w:rsidRPr="00D85E09">
        <w:rPr>
          <w:lang w:val="en-AU"/>
        </w:rPr>
        <w:t>Structure and rationale of the economic evaluation</w:t>
      </w:r>
      <w:bookmarkEnd w:id="503"/>
      <w:bookmarkEnd w:id="504"/>
    </w:p>
    <w:p w14:paraId="3A75FB32" w14:textId="1BA06273" w:rsidR="00A41E60" w:rsidRPr="00D85E09" w:rsidRDefault="00A41E60" w:rsidP="0043316B">
      <w:pPr>
        <w:pStyle w:val="Heading3"/>
        <w:keepNext w:val="0"/>
        <w:widowControl w:val="0"/>
        <w:ind w:left="993" w:hanging="993"/>
        <w:rPr>
          <w:lang w:val="en-AU"/>
        </w:rPr>
      </w:pPr>
      <w:bookmarkStart w:id="505" w:name="_Ref448336933"/>
      <w:bookmarkStart w:id="506" w:name="_Toc453065310"/>
      <w:bookmarkStart w:id="507" w:name="_Toc358731913"/>
      <w:bookmarkStart w:id="508" w:name="_Ref358719472"/>
      <w:r w:rsidRPr="00D85E09">
        <w:rPr>
          <w:lang w:val="en-AU"/>
        </w:rPr>
        <w:t>Cost-effectiveness evidence for mechanical thrombectomy in the literature</w:t>
      </w:r>
      <w:bookmarkEnd w:id="505"/>
      <w:bookmarkEnd w:id="506"/>
    </w:p>
    <w:p w14:paraId="5B3281D5" w14:textId="334BD4B4" w:rsidR="00A41E60" w:rsidRPr="00D85E09" w:rsidRDefault="00A41E60" w:rsidP="0043316B">
      <w:pPr>
        <w:widowControl w:val="0"/>
      </w:pPr>
      <w:r w:rsidRPr="00D85E09">
        <w:t>To inform formulation of modelling approaches for the current analysis, a review of published cost</w:t>
      </w:r>
      <w:r w:rsidR="00D32933" w:rsidRPr="00D85E09">
        <w:t>-</w:t>
      </w:r>
      <w:r w:rsidRPr="00D85E09">
        <w:t>effectiveness models comparing mechanical thrombectomy vs usual care is performed. A Pub</w:t>
      </w:r>
      <w:r w:rsidR="00F67AF7" w:rsidRPr="00D85E09">
        <w:t>M</w:t>
      </w:r>
      <w:r w:rsidRPr="00D85E09">
        <w:t xml:space="preserve">ed search is performed on the 31 of March, 2016, with the following search strategy; </w:t>
      </w:r>
      <w:r w:rsidRPr="00D85E09">
        <w:rPr>
          <w:i/>
        </w:rPr>
        <w:t>(Cost OR Economic)) AND (Stroke AND Thrombectomy)</w:t>
      </w:r>
      <w:r w:rsidRPr="00D85E09">
        <w:t xml:space="preserve">. A total of forty-seven citations were identified with five publications considered as relevant for further investigation. Of note, a cost-benefit analysis based on MR CLEAN (Mangla et al 2016) was also identified but excluded from this literature review because of significant methodological / scope differences from the current model (e.g., no use of Markov analysis). A supplementary ad-hoc search also identified a within-trial cost-effectiveness evaluation of EXTEND-IA (Campbell et al. </w:t>
      </w:r>
      <w:r w:rsidR="004F68A7" w:rsidRPr="00D85E09">
        <w:t>2015</w:t>
      </w:r>
      <w:r w:rsidRPr="00D85E09">
        <w:t>).</w:t>
      </w:r>
    </w:p>
    <w:p w14:paraId="3BABABF6" w14:textId="711C60F4" w:rsidR="00A41E60" w:rsidRPr="00D85E09" w:rsidRDefault="00A41E60" w:rsidP="0043316B">
      <w:pPr>
        <w:pStyle w:val="Caption"/>
        <w:keepNext w:val="0"/>
        <w:widowControl w:val="0"/>
        <w:rPr>
          <w:lang w:val="en-AU"/>
        </w:rPr>
      </w:pPr>
      <w:bookmarkStart w:id="509" w:name="_Toc45306541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79</w:t>
      </w:r>
      <w:r w:rsidRPr="00D85E09">
        <w:rPr>
          <w:lang w:val="en-AU"/>
        </w:rPr>
        <w:fldChar w:fldCharType="end"/>
      </w:r>
      <w:r w:rsidRPr="00D85E09">
        <w:rPr>
          <w:lang w:val="en-AU"/>
        </w:rPr>
        <w:tab/>
        <w:t>Published cost-effectiveness models for mechanical thrombectomy</w:t>
      </w:r>
      <w:bookmarkEnd w:id="509"/>
    </w:p>
    <w:tbl>
      <w:tblPr>
        <w:tblStyle w:val="TableGrid"/>
        <w:tblW w:w="0" w:type="auto"/>
        <w:tblLook w:val="04A0" w:firstRow="1" w:lastRow="0" w:firstColumn="1" w:lastColumn="0" w:noHBand="0" w:noVBand="1"/>
        <w:tblDescription w:val="Table 79 Published cost-effectiveness models for mechanical thrombectomy"/>
      </w:tblPr>
      <w:tblGrid>
        <w:gridCol w:w="8778"/>
      </w:tblGrid>
      <w:tr w:rsidR="00A41E60" w:rsidRPr="00D85E09" w14:paraId="05E408A2"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hideMark/>
          </w:tcPr>
          <w:p w14:paraId="43F0BF34" w14:textId="6346519E" w:rsidR="00A41E60" w:rsidRPr="00D85E09" w:rsidRDefault="00A41E60" w:rsidP="0043316B">
            <w:pPr>
              <w:pStyle w:val="Tabletext"/>
              <w:keepNext w:val="0"/>
              <w:widowControl w:val="0"/>
            </w:pPr>
            <w:r w:rsidRPr="00D85E09">
              <w:t xml:space="preserve">Campbell et al (for the EXTEND-IA investigators) </w:t>
            </w:r>
            <w:r w:rsidR="004F68A7" w:rsidRPr="00D85E09">
              <w:t>2015</w:t>
            </w:r>
            <w:r w:rsidRPr="00D85E09">
              <w:t xml:space="preserve"> Endovascular thrombectomy reduces length of stay and treatment costs within 3 months of stroke [conference poster]. </w:t>
            </w:r>
          </w:p>
        </w:tc>
      </w:tr>
      <w:tr w:rsidR="00A41E60" w:rsidRPr="00D85E09" w14:paraId="6665A462"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182BE10E" w14:textId="29ACDA1E" w:rsidR="00A41E60" w:rsidRPr="00D85E09" w:rsidRDefault="00A41E60" w:rsidP="0043316B">
            <w:pPr>
              <w:pStyle w:val="Tabletext"/>
              <w:keepNext w:val="0"/>
              <w:widowControl w:val="0"/>
            </w:pPr>
            <w:r w:rsidRPr="00D85E09">
              <w:t>Aronsson M, Persson J, Blomstrand C, Wester P, Levin LÅ. Cost-effectiveness of endovascular thrombectomy in patients with acute isch</w:t>
            </w:r>
            <w:r w:rsidR="00E56287" w:rsidRPr="00D85E09">
              <w:t>aemic</w:t>
            </w:r>
            <w:r w:rsidRPr="00D85E09">
              <w:t xml:space="preserve"> stroke. Neurology. 2016 Mar 15;86(11):1053-9. </w:t>
            </w:r>
          </w:p>
        </w:tc>
      </w:tr>
      <w:tr w:rsidR="00A41E60" w:rsidRPr="00D85E09" w14:paraId="5B04F3CB"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4603CAF" w14:textId="165F7D56" w:rsidR="00A41E60" w:rsidRPr="00D85E09" w:rsidRDefault="00A41E60" w:rsidP="0043316B">
            <w:pPr>
              <w:pStyle w:val="Tabletext"/>
              <w:keepNext w:val="0"/>
              <w:widowControl w:val="0"/>
            </w:pPr>
            <w:r w:rsidRPr="00D85E09">
              <w:t>Ganesalingam J, Pizzo E, Morris S, Sunderland T, Ames D, Lobotesis K. Cost-Utility Analysis of Mechanical Thrombectomy Using Stent Retrievers in Acute Isch</w:t>
            </w:r>
            <w:r w:rsidR="00E56287" w:rsidRPr="00D85E09">
              <w:t>aemic</w:t>
            </w:r>
            <w:r w:rsidRPr="00D85E09">
              <w:t xml:space="preserve"> Stroke. Stroke. 2015 Sep;46(9):2591-8. doi:</w:t>
            </w:r>
          </w:p>
        </w:tc>
      </w:tr>
      <w:tr w:rsidR="00A41E60" w:rsidRPr="00D85E09" w14:paraId="527FBB5C"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8099400" w14:textId="5D6333AF" w:rsidR="00A41E60" w:rsidRPr="00D85E09" w:rsidRDefault="00A41E60" w:rsidP="0043316B">
            <w:pPr>
              <w:pStyle w:val="Tabletext"/>
              <w:keepNext w:val="0"/>
              <w:widowControl w:val="0"/>
            </w:pPr>
            <w:r w:rsidRPr="00D85E09">
              <w:t>Kim AS, Nguyen-Huynh M, Johnston SC. A cost-utility analysis of mechanical thrombectomy as an adjunct to intravenous tissue-type plasminogen activator for acute large</w:t>
            </w:r>
            <w:r w:rsidR="00D32933" w:rsidRPr="00D85E09">
              <w:t xml:space="preserve"> </w:t>
            </w:r>
            <w:r w:rsidRPr="00D85E09">
              <w:t>vessel isch</w:t>
            </w:r>
            <w:r w:rsidR="00E56287" w:rsidRPr="00D85E09">
              <w:t>aemic</w:t>
            </w:r>
            <w:r w:rsidRPr="00D85E09">
              <w:t xml:space="preserve"> stroke. Stroke. 2011 Jul;42(7):2013-8.</w:t>
            </w:r>
          </w:p>
        </w:tc>
      </w:tr>
      <w:tr w:rsidR="00A41E60" w:rsidRPr="00D85E09" w14:paraId="02572E9C"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09439FD4" w14:textId="77777777" w:rsidR="00A41E60" w:rsidRPr="00D85E09" w:rsidRDefault="00A41E60" w:rsidP="0043316B">
            <w:pPr>
              <w:pStyle w:val="Tabletext"/>
              <w:keepNext w:val="0"/>
              <w:widowControl w:val="0"/>
            </w:pPr>
            <w:r w:rsidRPr="00D85E09">
              <w:t xml:space="preserve">Nguyen-Huynh MN, Johnston SC. Is mechanical clot removal or disruption a cost-effective treatment for acute stroke? AJNR Am J Neuroradiol. 2011 Feb;32(2):244-9. </w:t>
            </w:r>
          </w:p>
        </w:tc>
      </w:tr>
      <w:tr w:rsidR="00A41E60" w:rsidRPr="00D85E09" w14:paraId="54F1239C" w14:textId="77777777" w:rsidTr="00A41E60">
        <w:tc>
          <w:tcPr>
            <w:tcW w:w="8778" w:type="dxa"/>
            <w:tcBorders>
              <w:top w:val="single" w:sz="4" w:space="0" w:color="000000"/>
              <w:left w:val="single" w:sz="4" w:space="0" w:color="000000"/>
              <w:bottom w:val="single" w:sz="4" w:space="0" w:color="000000"/>
              <w:right w:val="single" w:sz="4" w:space="0" w:color="000000"/>
            </w:tcBorders>
            <w:hideMark/>
          </w:tcPr>
          <w:p w14:paraId="65A3B8B0" w14:textId="124136E6" w:rsidR="00A41E60" w:rsidRPr="00D85E09" w:rsidRDefault="00A41E60" w:rsidP="0043316B">
            <w:pPr>
              <w:pStyle w:val="Tabletext"/>
              <w:keepNext w:val="0"/>
              <w:widowControl w:val="0"/>
            </w:pPr>
            <w:r w:rsidRPr="00D85E09">
              <w:t>Patil CG, Long EF, Lansberg MG. Cost-effectiveness analysis of mechanical thrombectomy in acute isch</w:t>
            </w:r>
            <w:r w:rsidR="00E56287" w:rsidRPr="00D85E09">
              <w:t>aemic</w:t>
            </w:r>
            <w:r w:rsidRPr="00D85E09">
              <w:t xml:space="preserve"> stroke. J Neurosurg. 2009 Mar;110(3):508-13. </w:t>
            </w:r>
          </w:p>
        </w:tc>
      </w:tr>
    </w:tbl>
    <w:p w14:paraId="41F00930" w14:textId="77777777" w:rsidR="00A41E60" w:rsidRPr="00D85E09" w:rsidRDefault="00A41E60" w:rsidP="0043316B">
      <w:pPr>
        <w:widowControl w:val="0"/>
      </w:pPr>
    </w:p>
    <w:p w14:paraId="309D5765" w14:textId="38D2D9BF" w:rsidR="00A41E60" w:rsidRPr="00D85E09" w:rsidRDefault="00A41E60" w:rsidP="0043316B">
      <w:pPr>
        <w:widowControl w:val="0"/>
      </w:pPr>
      <w:r w:rsidRPr="00D85E09">
        <w:t>The EXTEND-IA analysis is reviewed first separately from other modelled evaluations because this analysis provides cost-effectiveness evidence that is internally consistent with the clinical evidence considered in Section B. It also relies on locally</w:t>
      </w:r>
      <w:r w:rsidR="00D32933" w:rsidRPr="00D85E09">
        <w:t>-</w:t>
      </w:r>
      <w:r w:rsidRPr="00D85E09">
        <w:t>relevant within-trial resource use data in quantifying the healthcare resource costs. This analysis is hence considered as extremely informative to aid the MSAC’s deliberations.</w:t>
      </w:r>
    </w:p>
    <w:p w14:paraId="1F2E992E" w14:textId="6EBE9DFD" w:rsidR="00A41E60" w:rsidRPr="00D85E09" w:rsidRDefault="00A41E60" w:rsidP="0043316B">
      <w:pPr>
        <w:widowControl w:val="0"/>
      </w:pPr>
      <w:r w:rsidRPr="00D85E09">
        <w:t xml:space="preserve">The remaining publications all report modelled economic evaluations of mechanical thrombectomy performed outside of Australia. While their findings may lack direct relevance </w:t>
      </w:r>
      <w:r w:rsidRPr="00D85E09">
        <w:lastRenderedPageBreak/>
        <w:t>for MSAC’s evaluation of the cost-effectiveness of MT in Australia, they consistently provide evidence of favourable cost-effectiveness in support of mechanical thrombectomy. They also aid the formulation / validation of modelling strategies for the current model.</w:t>
      </w:r>
    </w:p>
    <w:p w14:paraId="59B74B3B" w14:textId="77777777" w:rsidR="00A41E60" w:rsidRPr="00D85E09" w:rsidRDefault="00A41E60" w:rsidP="0043316B">
      <w:pPr>
        <w:widowControl w:val="0"/>
        <w:rPr>
          <w:i/>
          <w:u w:val="single"/>
        </w:rPr>
      </w:pPr>
      <w:r w:rsidRPr="00D85E09">
        <w:rPr>
          <w:i/>
          <w:u w:val="single"/>
        </w:rPr>
        <w:t>EXTEND-IA economic evaluation</w:t>
      </w:r>
    </w:p>
    <w:p w14:paraId="67CE083F" w14:textId="194F691F" w:rsidR="00A41E60" w:rsidRPr="00D85E09" w:rsidRDefault="00A41E60" w:rsidP="0043316B">
      <w:pPr>
        <w:widowControl w:val="0"/>
      </w:pPr>
      <w:r w:rsidRPr="00D85E09">
        <w:t>A cost-effectiveness analysis was performed on the basis of mRS outcomes at 90 days and within-trial resource use (captured in terms of length of stay in the acute stroke unit, inpatient fast and slow stream rehabilitation, nursing home and palliative care as well as intervention costs). The comparison was made vs IV</w:t>
      </w:r>
      <w:r w:rsidR="00D32933" w:rsidRPr="00D85E09">
        <w:t>-</w:t>
      </w:r>
      <w:r w:rsidRPr="00D85E09">
        <w:t>tPA. This study was informed by a study of 70 patients recruited across 10 hospitals in Australia and New Zealand. All costing was performed using Australian costs. Hence it is considered that this study provides evidence that is directly relevant to the Australian healthcare setting.</w:t>
      </w:r>
    </w:p>
    <w:p w14:paraId="661F55B7" w14:textId="4143ADF4" w:rsidR="00A41E60" w:rsidRPr="00D85E09" w:rsidRDefault="00A41E60" w:rsidP="0043316B">
      <w:pPr>
        <w:widowControl w:val="0"/>
      </w:pPr>
      <w:r w:rsidRPr="00D85E09">
        <w:t xml:space="preserve">Resource use costs reported in this study are summarised in </w:t>
      </w:r>
      <w:r w:rsidRPr="00D85E09">
        <w:fldChar w:fldCharType="begin"/>
      </w:r>
      <w:r w:rsidRPr="00D85E09">
        <w:instrText xml:space="preserve"> REF _Ref447813158 \h </w:instrText>
      </w:r>
      <w:r w:rsidRPr="00D85E09">
        <w:fldChar w:fldCharType="separate"/>
      </w:r>
      <w:r w:rsidR="00A456ED" w:rsidRPr="00D85E09">
        <w:t xml:space="preserve">Table </w:t>
      </w:r>
      <w:r w:rsidR="00A456ED">
        <w:rPr>
          <w:noProof/>
        </w:rPr>
        <w:t>80</w:t>
      </w:r>
      <w:r w:rsidRPr="00D85E09">
        <w:fldChar w:fldCharType="end"/>
      </w:r>
      <w:r w:rsidRPr="00D85E09">
        <w:t xml:space="preserve"> below, demonstrating mechanical thrombectomy to be a cost saving strategy. While complete costing details were not available, a large proportion of cost savings appear to have come from shorter lengths of stay at hospital / inpatient rehabilitation facility (see </w:t>
      </w:r>
      <w:r w:rsidRPr="00D85E09">
        <w:fldChar w:fldCharType="begin"/>
      </w:r>
      <w:r w:rsidRPr="00D85E09">
        <w:instrText xml:space="preserve"> REF _Ref447813569 \h </w:instrText>
      </w:r>
      <w:r w:rsidRPr="00D85E09">
        <w:fldChar w:fldCharType="separate"/>
      </w:r>
      <w:r w:rsidR="00A456ED" w:rsidRPr="00D85E09">
        <w:t xml:space="preserve">Figure </w:t>
      </w:r>
      <w:r w:rsidR="00A456ED">
        <w:rPr>
          <w:noProof/>
        </w:rPr>
        <w:t>13</w:t>
      </w:r>
      <w:r w:rsidRPr="00D85E09">
        <w:fldChar w:fldCharType="end"/>
      </w:r>
      <w:r w:rsidRPr="00D85E09">
        <w:t xml:space="preserve"> below).</w:t>
      </w:r>
    </w:p>
    <w:p w14:paraId="5B283ED8" w14:textId="2442EA7A" w:rsidR="00A41E60" w:rsidRPr="00D85E09" w:rsidRDefault="00A41E60" w:rsidP="0043316B">
      <w:pPr>
        <w:pStyle w:val="Caption"/>
        <w:keepNext w:val="0"/>
        <w:widowControl w:val="0"/>
        <w:rPr>
          <w:lang w:val="en-AU"/>
        </w:rPr>
      </w:pPr>
      <w:bookmarkStart w:id="510" w:name="_Ref447813158"/>
      <w:bookmarkStart w:id="511" w:name="_Toc45306541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80</w:t>
      </w:r>
      <w:r w:rsidRPr="00D85E09">
        <w:rPr>
          <w:lang w:val="en-AU"/>
        </w:rPr>
        <w:fldChar w:fldCharType="end"/>
      </w:r>
      <w:bookmarkEnd w:id="510"/>
      <w:r w:rsidRPr="00D85E09">
        <w:rPr>
          <w:lang w:val="en-AU"/>
        </w:rPr>
        <w:tab/>
        <w:t>Cost comparison of mechanical thrombectomy vs usual care, based on EXTEND-IA</w:t>
      </w:r>
      <w:bookmarkEnd w:id="511"/>
    </w:p>
    <w:tbl>
      <w:tblPr>
        <w:tblStyle w:val="TableGrid"/>
        <w:tblW w:w="5000" w:type="pct"/>
        <w:tblLook w:val="04A0" w:firstRow="1" w:lastRow="0" w:firstColumn="1" w:lastColumn="0" w:noHBand="0" w:noVBand="1"/>
        <w:tblDescription w:val="Table 80 Cost comparison of mechanical thrombectomy vs usual care, based on EXTEND-IA"/>
      </w:tblPr>
      <w:tblGrid>
        <w:gridCol w:w="4046"/>
        <w:gridCol w:w="2621"/>
        <w:gridCol w:w="2621"/>
      </w:tblGrid>
      <w:tr w:rsidR="00A41E60" w:rsidRPr="00D85E09" w14:paraId="18769083" w14:textId="77777777" w:rsidTr="00BE6331">
        <w:trPr>
          <w:tblHeader/>
        </w:trPr>
        <w:tc>
          <w:tcPr>
            <w:tcW w:w="2178" w:type="pct"/>
            <w:tcBorders>
              <w:top w:val="single" w:sz="4" w:space="0" w:color="000000"/>
              <w:left w:val="single" w:sz="4" w:space="0" w:color="000000"/>
              <w:bottom w:val="single" w:sz="4" w:space="0" w:color="000000"/>
              <w:right w:val="single" w:sz="4" w:space="0" w:color="000000"/>
            </w:tcBorders>
            <w:hideMark/>
          </w:tcPr>
          <w:p w14:paraId="31FFDDDB" w14:textId="77777777" w:rsidR="00A41E60" w:rsidRPr="00D85E09" w:rsidRDefault="00A41E60" w:rsidP="0043316B">
            <w:pPr>
              <w:pStyle w:val="Tabletext"/>
              <w:keepNext w:val="0"/>
              <w:widowControl w:val="0"/>
              <w:rPr>
                <w:b/>
              </w:rPr>
            </w:pPr>
            <w:r w:rsidRPr="00D85E09">
              <w:rPr>
                <w:b/>
              </w:rPr>
              <w:t>Costs (first 3 months)</w:t>
            </w:r>
          </w:p>
        </w:tc>
        <w:tc>
          <w:tcPr>
            <w:tcW w:w="1411" w:type="pct"/>
            <w:tcBorders>
              <w:top w:val="single" w:sz="4" w:space="0" w:color="000000"/>
              <w:left w:val="single" w:sz="4" w:space="0" w:color="000000"/>
              <w:bottom w:val="single" w:sz="4" w:space="0" w:color="000000"/>
              <w:right w:val="single" w:sz="4" w:space="0" w:color="000000"/>
            </w:tcBorders>
            <w:hideMark/>
          </w:tcPr>
          <w:p w14:paraId="3FEED7ED" w14:textId="77777777" w:rsidR="00A41E60" w:rsidRPr="00D85E09" w:rsidRDefault="00A41E60" w:rsidP="0043316B">
            <w:pPr>
              <w:pStyle w:val="Tabletext"/>
              <w:keepNext w:val="0"/>
              <w:widowControl w:val="0"/>
              <w:jc w:val="center"/>
              <w:rPr>
                <w:b/>
                <w:vertAlign w:val="superscript"/>
              </w:rPr>
            </w:pPr>
            <w:r w:rsidRPr="00D85E09">
              <w:rPr>
                <w:b/>
              </w:rPr>
              <w:t>Usual care + MT</w:t>
            </w:r>
          </w:p>
        </w:tc>
        <w:tc>
          <w:tcPr>
            <w:tcW w:w="1411" w:type="pct"/>
            <w:tcBorders>
              <w:top w:val="single" w:sz="4" w:space="0" w:color="000000"/>
              <w:left w:val="single" w:sz="4" w:space="0" w:color="000000"/>
              <w:bottom w:val="single" w:sz="4" w:space="0" w:color="000000"/>
              <w:right w:val="single" w:sz="4" w:space="0" w:color="000000"/>
            </w:tcBorders>
            <w:hideMark/>
          </w:tcPr>
          <w:p w14:paraId="48DE6FDF" w14:textId="77777777" w:rsidR="00A41E60" w:rsidRPr="00D85E09" w:rsidRDefault="00A41E60" w:rsidP="0043316B">
            <w:pPr>
              <w:pStyle w:val="Tabletext"/>
              <w:keepNext w:val="0"/>
              <w:widowControl w:val="0"/>
              <w:jc w:val="center"/>
              <w:rPr>
                <w:b/>
              </w:rPr>
            </w:pPr>
            <w:r w:rsidRPr="00D85E09">
              <w:rPr>
                <w:b/>
              </w:rPr>
              <w:t>Usual care</w:t>
            </w:r>
            <w:r w:rsidRPr="00D85E09">
              <w:rPr>
                <w:b/>
                <w:vertAlign w:val="superscript"/>
              </w:rPr>
              <w:t>1</w:t>
            </w:r>
          </w:p>
        </w:tc>
      </w:tr>
      <w:tr w:rsidR="00A41E60" w:rsidRPr="00D85E09" w14:paraId="1EEC8BAA"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1792A48B" w14:textId="77777777" w:rsidR="00A41E60" w:rsidRPr="00D85E09" w:rsidRDefault="00A41E60" w:rsidP="0043316B">
            <w:pPr>
              <w:pStyle w:val="Tabletext"/>
              <w:keepNext w:val="0"/>
              <w:widowControl w:val="0"/>
            </w:pPr>
            <w:r w:rsidRPr="00D85E09">
              <w:t xml:space="preserve">Alteplase </w:t>
            </w:r>
          </w:p>
        </w:tc>
        <w:tc>
          <w:tcPr>
            <w:tcW w:w="1411" w:type="pct"/>
            <w:tcBorders>
              <w:top w:val="single" w:sz="4" w:space="0" w:color="000000"/>
              <w:left w:val="single" w:sz="4" w:space="0" w:color="000000"/>
              <w:bottom w:val="single" w:sz="4" w:space="0" w:color="000000"/>
              <w:right w:val="single" w:sz="4" w:space="0" w:color="000000"/>
            </w:tcBorders>
            <w:hideMark/>
          </w:tcPr>
          <w:p w14:paraId="6FBF2FC0" w14:textId="77777777" w:rsidR="00A41E60" w:rsidRPr="00D85E09" w:rsidRDefault="00A41E60" w:rsidP="0043316B">
            <w:pPr>
              <w:pStyle w:val="Tabletext"/>
              <w:keepNext w:val="0"/>
              <w:widowControl w:val="0"/>
              <w:jc w:val="center"/>
            </w:pPr>
            <w:r w:rsidRPr="00D85E09">
              <w:t>$3,465</w:t>
            </w:r>
          </w:p>
        </w:tc>
        <w:tc>
          <w:tcPr>
            <w:tcW w:w="1411" w:type="pct"/>
            <w:tcBorders>
              <w:top w:val="single" w:sz="4" w:space="0" w:color="000000"/>
              <w:left w:val="single" w:sz="4" w:space="0" w:color="000000"/>
              <w:bottom w:val="single" w:sz="4" w:space="0" w:color="000000"/>
              <w:right w:val="single" w:sz="4" w:space="0" w:color="000000"/>
            </w:tcBorders>
            <w:hideMark/>
          </w:tcPr>
          <w:p w14:paraId="1497CEFD" w14:textId="77777777" w:rsidR="00A41E60" w:rsidRPr="00D85E09" w:rsidRDefault="00A41E60" w:rsidP="0043316B">
            <w:pPr>
              <w:pStyle w:val="Tabletext"/>
              <w:keepNext w:val="0"/>
              <w:widowControl w:val="0"/>
              <w:jc w:val="center"/>
            </w:pPr>
            <w:r w:rsidRPr="00D85E09">
              <w:t>$3,465</w:t>
            </w:r>
          </w:p>
        </w:tc>
      </w:tr>
      <w:tr w:rsidR="00A41E60" w:rsidRPr="00D85E09" w14:paraId="4B3ECAF2"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73B6C4BB" w14:textId="77777777" w:rsidR="00A41E60" w:rsidRPr="00D85E09" w:rsidRDefault="00A41E60" w:rsidP="0043316B">
            <w:pPr>
              <w:pStyle w:val="Tabletext"/>
              <w:keepNext w:val="0"/>
              <w:widowControl w:val="0"/>
            </w:pPr>
            <w:r w:rsidRPr="00D85E09">
              <w:t>Inter-hospital transfer (allow for 75% transferred)</w:t>
            </w:r>
          </w:p>
        </w:tc>
        <w:tc>
          <w:tcPr>
            <w:tcW w:w="1411" w:type="pct"/>
            <w:tcBorders>
              <w:top w:val="single" w:sz="4" w:space="0" w:color="000000"/>
              <w:left w:val="single" w:sz="4" w:space="0" w:color="000000"/>
              <w:bottom w:val="single" w:sz="4" w:space="0" w:color="000000"/>
              <w:right w:val="single" w:sz="4" w:space="0" w:color="000000"/>
            </w:tcBorders>
            <w:hideMark/>
          </w:tcPr>
          <w:p w14:paraId="45A6412E" w14:textId="77777777" w:rsidR="00A41E60" w:rsidRPr="00D85E09" w:rsidRDefault="00A41E60" w:rsidP="0043316B">
            <w:pPr>
              <w:pStyle w:val="Tabletext"/>
              <w:keepNext w:val="0"/>
              <w:widowControl w:val="0"/>
              <w:jc w:val="center"/>
            </w:pPr>
            <w:r w:rsidRPr="00D85E09">
              <w:t>$836</w:t>
            </w:r>
          </w:p>
        </w:tc>
        <w:tc>
          <w:tcPr>
            <w:tcW w:w="1411" w:type="pct"/>
            <w:tcBorders>
              <w:top w:val="single" w:sz="4" w:space="0" w:color="000000"/>
              <w:left w:val="single" w:sz="4" w:space="0" w:color="000000"/>
              <w:bottom w:val="single" w:sz="4" w:space="0" w:color="000000"/>
              <w:right w:val="single" w:sz="4" w:space="0" w:color="000000"/>
            </w:tcBorders>
            <w:hideMark/>
          </w:tcPr>
          <w:p w14:paraId="161F564F" w14:textId="77777777" w:rsidR="00A41E60" w:rsidRPr="00D85E09" w:rsidRDefault="00A41E60" w:rsidP="0043316B">
            <w:pPr>
              <w:pStyle w:val="Tabletext"/>
              <w:keepNext w:val="0"/>
              <w:widowControl w:val="0"/>
              <w:jc w:val="center"/>
            </w:pPr>
            <w:r w:rsidRPr="00D85E09">
              <w:t>n/a</w:t>
            </w:r>
          </w:p>
        </w:tc>
      </w:tr>
      <w:tr w:rsidR="00A41E60" w:rsidRPr="00D85E09" w14:paraId="1A7EF72B"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42FC933C" w14:textId="77777777" w:rsidR="00A41E60" w:rsidRPr="00D85E09" w:rsidRDefault="00A41E60" w:rsidP="0043316B">
            <w:pPr>
              <w:pStyle w:val="Tabletext"/>
              <w:keepNext w:val="0"/>
              <w:widowControl w:val="0"/>
            </w:pPr>
            <w:r w:rsidRPr="00D85E09">
              <w:t>Endovascular consumables</w:t>
            </w:r>
          </w:p>
        </w:tc>
        <w:tc>
          <w:tcPr>
            <w:tcW w:w="1411" w:type="pct"/>
            <w:tcBorders>
              <w:top w:val="single" w:sz="4" w:space="0" w:color="000000"/>
              <w:left w:val="single" w:sz="4" w:space="0" w:color="000000"/>
              <w:bottom w:val="single" w:sz="4" w:space="0" w:color="000000"/>
              <w:right w:val="single" w:sz="4" w:space="0" w:color="000000"/>
            </w:tcBorders>
            <w:hideMark/>
          </w:tcPr>
          <w:p w14:paraId="6EA93F28" w14:textId="77777777" w:rsidR="00A41E60" w:rsidRPr="00D85E09" w:rsidRDefault="00A41E60" w:rsidP="0043316B">
            <w:pPr>
              <w:pStyle w:val="Tabletext"/>
              <w:keepNext w:val="0"/>
              <w:widowControl w:val="0"/>
              <w:jc w:val="center"/>
            </w:pPr>
            <w:r w:rsidRPr="00D85E09">
              <w:t>$10,690</w:t>
            </w:r>
          </w:p>
        </w:tc>
        <w:tc>
          <w:tcPr>
            <w:tcW w:w="1411" w:type="pct"/>
            <w:tcBorders>
              <w:top w:val="single" w:sz="4" w:space="0" w:color="000000"/>
              <w:left w:val="single" w:sz="4" w:space="0" w:color="000000"/>
              <w:bottom w:val="single" w:sz="4" w:space="0" w:color="000000"/>
              <w:right w:val="single" w:sz="4" w:space="0" w:color="000000"/>
            </w:tcBorders>
            <w:hideMark/>
          </w:tcPr>
          <w:p w14:paraId="6DE8E3FB" w14:textId="77777777" w:rsidR="00A41E60" w:rsidRPr="00D85E09" w:rsidRDefault="00A41E60" w:rsidP="0043316B">
            <w:pPr>
              <w:pStyle w:val="Tabletext"/>
              <w:keepNext w:val="0"/>
              <w:widowControl w:val="0"/>
              <w:jc w:val="center"/>
            </w:pPr>
            <w:r w:rsidRPr="00D85E09">
              <w:t>n/a</w:t>
            </w:r>
          </w:p>
        </w:tc>
      </w:tr>
      <w:tr w:rsidR="00A41E60" w:rsidRPr="00D85E09" w14:paraId="536BFED1"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13DCDE27" w14:textId="77777777" w:rsidR="00A41E60" w:rsidRPr="00D85E09" w:rsidRDefault="00A41E60" w:rsidP="0043316B">
            <w:pPr>
              <w:pStyle w:val="Tabletext"/>
              <w:keepNext w:val="0"/>
              <w:widowControl w:val="0"/>
            </w:pPr>
            <w:r w:rsidRPr="00D85E09">
              <w:t xml:space="preserve">Endovascular staffing </w:t>
            </w:r>
          </w:p>
        </w:tc>
        <w:tc>
          <w:tcPr>
            <w:tcW w:w="1411" w:type="pct"/>
            <w:tcBorders>
              <w:top w:val="single" w:sz="4" w:space="0" w:color="000000"/>
              <w:left w:val="single" w:sz="4" w:space="0" w:color="000000"/>
              <w:bottom w:val="single" w:sz="4" w:space="0" w:color="000000"/>
              <w:right w:val="single" w:sz="4" w:space="0" w:color="000000"/>
            </w:tcBorders>
            <w:hideMark/>
          </w:tcPr>
          <w:p w14:paraId="1B43341E" w14:textId="77777777" w:rsidR="00A41E60" w:rsidRPr="00D85E09" w:rsidRDefault="00A41E60" w:rsidP="0043316B">
            <w:pPr>
              <w:pStyle w:val="Tabletext"/>
              <w:keepNext w:val="0"/>
              <w:widowControl w:val="0"/>
              <w:jc w:val="center"/>
            </w:pPr>
            <w:r w:rsidRPr="00D85E09">
              <w:t>$3,560</w:t>
            </w:r>
          </w:p>
        </w:tc>
        <w:tc>
          <w:tcPr>
            <w:tcW w:w="1411" w:type="pct"/>
            <w:tcBorders>
              <w:top w:val="single" w:sz="4" w:space="0" w:color="000000"/>
              <w:left w:val="single" w:sz="4" w:space="0" w:color="000000"/>
              <w:bottom w:val="single" w:sz="4" w:space="0" w:color="000000"/>
              <w:right w:val="single" w:sz="4" w:space="0" w:color="000000"/>
            </w:tcBorders>
            <w:hideMark/>
          </w:tcPr>
          <w:p w14:paraId="7C333458" w14:textId="77777777" w:rsidR="00A41E60" w:rsidRPr="00D85E09" w:rsidRDefault="00A41E60" w:rsidP="0043316B">
            <w:pPr>
              <w:pStyle w:val="Tabletext"/>
              <w:keepNext w:val="0"/>
              <w:widowControl w:val="0"/>
              <w:jc w:val="center"/>
            </w:pPr>
            <w:r w:rsidRPr="00D85E09">
              <w:t>n/a</w:t>
            </w:r>
          </w:p>
        </w:tc>
      </w:tr>
      <w:tr w:rsidR="00A41E60" w:rsidRPr="00D85E09" w14:paraId="3DEBFABE"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711B72A9" w14:textId="77777777" w:rsidR="00A41E60" w:rsidRPr="00D85E09" w:rsidRDefault="00A41E60" w:rsidP="0043316B">
            <w:pPr>
              <w:pStyle w:val="Tabletext"/>
              <w:keepNext w:val="0"/>
              <w:widowControl w:val="0"/>
            </w:pPr>
            <w:r w:rsidRPr="00D85E09">
              <w:t xml:space="preserve">Inpatient care costs </w:t>
            </w:r>
          </w:p>
        </w:tc>
        <w:tc>
          <w:tcPr>
            <w:tcW w:w="1411" w:type="pct"/>
            <w:tcBorders>
              <w:top w:val="single" w:sz="4" w:space="0" w:color="000000"/>
              <w:left w:val="single" w:sz="4" w:space="0" w:color="000000"/>
              <w:bottom w:val="single" w:sz="4" w:space="0" w:color="000000"/>
              <w:right w:val="single" w:sz="4" w:space="0" w:color="000000"/>
            </w:tcBorders>
            <w:hideMark/>
          </w:tcPr>
          <w:p w14:paraId="450ABC53" w14:textId="77777777" w:rsidR="00A41E60" w:rsidRPr="00D85E09" w:rsidRDefault="00A41E60" w:rsidP="0043316B">
            <w:pPr>
              <w:pStyle w:val="Tabletext"/>
              <w:keepNext w:val="0"/>
              <w:widowControl w:val="0"/>
              <w:jc w:val="center"/>
            </w:pPr>
            <w:r w:rsidRPr="00D85E09">
              <w:t>$23,000</w:t>
            </w:r>
          </w:p>
          <w:p w14:paraId="47E78A9A" w14:textId="77777777" w:rsidR="00A41E60" w:rsidRPr="00D85E09" w:rsidRDefault="00A41E60" w:rsidP="0043316B">
            <w:pPr>
              <w:pStyle w:val="Tabletext"/>
              <w:keepNext w:val="0"/>
              <w:widowControl w:val="0"/>
              <w:jc w:val="center"/>
            </w:pPr>
            <w:r w:rsidRPr="00D85E09">
              <w:t>CI95 $15,709-$30,029</w:t>
            </w:r>
          </w:p>
        </w:tc>
        <w:tc>
          <w:tcPr>
            <w:tcW w:w="1411" w:type="pct"/>
            <w:tcBorders>
              <w:top w:val="single" w:sz="4" w:space="0" w:color="000000"/>
              <w:left w:val="single" w:sz="4" w:space="0" w:color="000000"/>
              <w:bottom w:val="single" w:sz="4" w:space="0" w:color="000000"/>
              <w:right w:val="single" w:sz="4" w:space="0" w:color="000000"/>
            </w:tcBorders>
            <w:hideMark/>
          </w:tcPr>
          <w:p w14:paraId="18BD169B" w14:textId="77777777" w:rsidR="00A41E60" w:rsidRPr="00D85E09" w:rsidRDefault="00A41E60" w:rsidP="0043316B">
            <w:pPr>
              <w:pStyle w:val="Tabletext"/>
              <w:keepNext w:val="0"/>
              <w:widowControl w:val="0"/>
              <w:jc w:val="center"/>
            </w:pPr>
            <w:r w:rsidRPr="00D85E09">
              <w:t>$43,000</w:t>
            </w:r>
          </w:p>
          <w:p w14:paraId="2918F7ED" w14:textId="77777777" w:rsidR="00A41E60" w:rsidRPr="00D85E09" w:rsidRDefault="00A41E60" w:rsidP="0043316B">
            <w:pPr>
              <w:pStyle w:val="Tabletext"/>
              <w:keepNext w:val="0"/>
              <w:widowControl w:val="0"/>
              <w:jc w:val="center"/>
            </w:pPr>
            <w:r w:rsidRPr="00D85E09">
              <w:t>CI95 $31,290-$54,688</w:t>
            </w:r>
          </w:p>
        </w:tc>
      </w:tr>
      <w:tr w:rsidR="00A41E60" w:rsidRPr="00D85E09" w14:paraId="52EA3101" w14:textId="77777777" w:rsidTr="00A41E60">
        <w:tc>
          <w:tcPr>
            <w:tcW w:w="2178" w:type="pct"/>
            <w:tcBorders>
              <w:top w:val="single" w:sz="4" w:space="0" w:color="000000"/>
              <w:left w:val="single" w:sz="4" w:space="0" w:color="000000"/>
              <w:bottom w:val="single" w:sz="4" w:space="0" w:color="000000"/>
              <w:right w:val="single" w:sz="4" w:space="0" w:color="000000"/>
            </w:tcBorders>
            <w:hideMark/>
          </w:tcPr>
          <w:p w14:paraId="20FF14FB" w14:textId="77777777" w:rsidR="00A41E60" w:rsidRPr="00D85E09" w:rsidRDefault="00A41E60" w:rsidP="0043316B">
            <w:pPr>
              <w:pStyle w:val="Tabletext"/>
              <w:keepNext w:val="0"/>
              <w:widowControl w:val="0"/>
              <w:rPr>
                <w:b/>
              </w:rPr>
            </w:pPr>
            <w:r w:rsidRPr="00D85E09">
              <w:rPr>
                <w:b/>
              </w:rPr>
              <w:t xml:space="preserve">TOTAL </w:t>
            </w:r>
          </w:p>
        </w:tc>
        <w:tc>
          <w:tcPr>
            <w:tcW w:w="1411" w:type="pct"/>
            <w:tcBorders>
              <w:top w:val="single" w:sz="4" w:space="0" w:color="000000"/>
              <w:left w:val="single" w:sz="4" w:space="0" w:color="000000"/>
              <w:bottom w:val="single" w:sz="4" w:space="0" w:color="000000"/>
              <w:right w:val="single" w:sz="4" w:space="0" w:color="000000"/>
            </w:tcBorders>
            <w:hideMark/>
          </w:tcPr>
          <w:p w14:paraId="74D49F5F" w14:textId="77777777" w:rsidR="00A41E60" w:rsidRPr="00D85E09" w:rsidRDefault="00A41E60" w:rsidP="0043316B">
            <w:pPr>
              <w:pStyle w:val="Tabletext"/>
              <w:keepNext w:val="0"/>
              <w:widowControl w:val="0"/>
              <w:jc w:val="center"/>
              <w:rPr>
                <w:b/>
              </w:rPr>
            </w:pPr>
            <w:r w:rsidRPr="00D85E09">
              <w:rPr>
                <w:b/>
              </w:rPr>
              <w:t>$41,551</w:t>
            </w:r>
          </w:p>
        </w:tc>
        <w:tc>
          <w:tcPr>
            <w:tcW w:w="1411" w:type="pct"/>
            <w:tcBorders>
              <w:top w:val="single" w:sz="4" w:space="0" w:color="000000"/>
              <w:left w:val="single" w:sz="4" w:space="0" w:color="000000"/>
              <w:bottom w:val="single" w:sz="4" w:space="0" w:color="000000"/>
              <w:right w:val="single" w:sz="4" w:space="0" w:color="000000"/>
            </w:tcBorders>
            <w:hideMark/>
          </w:tcPr>
          <w:p w14:paraId="1BF2F693" w14:textId="77777777" w:rsidR="00A41E60" w:rsidRPr="00D85E09" w:rsidRDefault="00A41E60" w:rsidP="0043316B">
            <w:pPr>
              <w:pStyle w:val="Tabletext"/>
              <w:keepNext w:val="0"/>
              <w:widowControl w:val="0"/>
              <w:jc w:val="center"/>
              <w:rPr>
                <w:b/>
              </w:rPr>
            </w:pPr>
            <w:r w:rsidRPr="00D85E09">
              <w:rPr>
                <w:b/>
              </w:rPr>
              <w:t>$45,465</w:t>
            </w:r>
          </w:p>
        </w:tc>
      </w:tr>
    </w:tbl>
    <w:p w14:paraId="7D66D7C4" w14:textId="19265D4F" w:rsidR="00A41E60" w:rsidRPr="00D85E09" w:rsidRDefault="00A41E60" w:rsidP="0043316B">
      <w:pPr>
        <w:pStyle w:val="Tablefootnote"/>
        <w:widowControl w:val="0"/>
        <w:rPr>
          <w:lang w:val="en-AU"/>
        </w:rPr>
      </w:pPr>
      <w:r w:rsidRPr="00D85E09">
        <w:rPr>
          <w:lang w:val="en-AU"/>
        </w:rPr>
        <w:t xml:space="preserve">Source: Campbell et al </w:t>
      </w:r>
      <w:r w:rsidR="004F68A7" w:rsidRPr="00D85E09">
        <w:rPr>
          <w:lang w:val="en-AU"/>
        </w:rPr>
        <w:t>2015</w:t>
      </w:r>
      <w:r w:rsidRPr="00D85E09">
        <w:rPr>
          <w:lang w:val="en-AU"/>
        </w:rPr>
        <w:t xml:space="preserve">, Table 2. Also presented in Section </w:t>
      </w:r>
      <w:r w:rsidR="00092415" w:rsidRPr="00D85E09">
        <w:rPr>
          <w:lang w:val="en-AU"/>
        </w:rPr>
        <w:fldChar w:fldCharType="begin"/>
      </w:r>
      <w:r w:rsidR="00092415" w:rsidRPr="00D85E09">
        <w:rPr>
          <w:lang w:val="en-AU"/>
        </w:rPr>
        <w:instrText xml:space="preserve"> REF _Ref452371316 \r \h </w:instrText>
      </w:r>
      <w:r w:rsidR="00092415" w:rsidRPr="00D85E09">
        <w:rPr>
          <w:lang w:val="en-AU"/>
        </w:rPr>
      </w:r>
      <w:r w:rsidR="00092415" w:rsidRPr="00D85E09">
        <w:rPr>
          <w:lang w:val="en-AU"/>
        </w:rPr>
        <w:fldChar w:fldCharType="separate"/>
      </w:r>
      <w:r w:rsidR="00A456ED">
        <w:rPr>
          <w:lang w:val="en-AU"/>
        </w:rPr>
        <w:t>C.5</w:t>
      </w:r>
      <w:r w:rsidR="00092415" w:rsidRPr="00D85E09">
        <w:rPr>
          <w:lang w:val="en-AU"/>
        </w:rPr>
        <w:fldChar w:fldCharType="end"/>
      </w:r>
      <w:r w:rsidRPr="00D85E09">
        <w:rPr>
          <w:lang w:val="en-AU"/>
        </w:rPr>
        <w:t>.</w:t>
      </w:r>
    </w:p>
    <w:p w14:paraId="6D706353" w14:textId="0013C0AC" w:rsidR="00A41E60" w:rsidRPr="00D85E09" w:rsidRDefault="00A41E60" w:rsidP="0043316B">
      <w:pPr>
        <w:pStyle w:val="Tablefootnote"/>
        <w:widowControl w:val="0"/>
        <w:rPr>
          <w:lang w:val="en-AU"/>
        </w:rPr>
      </w:pPr>
      <w:r w:rsidRPr="00D85E09">
        <w:rPr>
          <w:vertAlign w:val="superscript"/>
          <w:lang w:val="en-AU"/>
        </w:rPr>
        <w:t>1</w:t>
      </w:r>
      <w:r w:rsidRPr="00D85E09">
        <w:rPr>
          <w:lang w:val="en-AU"/>
        </w:rPr>
        <w:t xml:space="preserve"> IV</w:t>
      </w:r>
      <w:r w:rsidR="00D32933" w:rsidRPr="00D85E09">
        <w:rPr>
          <w:lang w:val="en-AU"/>
        </w:rPr>
        <w:t>-</w:t>
      </w:r>
      <w:r w:rsidRPr="00D85E09">
        <w:rPr>
          <w:lang w:val="en-AU"/>
        </w:rPr>
        <w:t>tPA eligible patients only.</w:t>
      </w:r>
    </w:p>
    <w:p w14:paraId="0B9F615D" w14:textId="77777777" w:rsidR="00A41E60" w:rsidRPr="00D85E09" w:rsidRDefault="00A41E60" w:rsidP="0043316B">
      <w:pPr>
        <w:widowControl w:val="0"/>
      </w:pPr>
    </w:p>
    <w:p w14:paraId="7C66EA26" w14:textId="703A446A" w:rsidR="00A41E60" w:rsidRPr="00D85E09" w:rsidRDefault="00A41E60" w:rsidP="0043316B">
      <w:pPr>
        <w:widowControl w:val="0"/>
      </w:pPr>
      <w:r w:rsidRPr="00D85E09">
        <w:rPr>
          <w:noProof/>
          <w:lang w:eastAsia="en-AU"/>
        </w:rPr>
        <w:lastRenderedPageBreak/>
        <w:drawing>
          <wp:inline distT="0" distB="0" distL="0" distR="0" wp14:anchorId="51890960" wp14:editId="628976CD">
            <wp:extent cx="2814320" cy="4084955"/>
            <wp:effectExtent l="0" t="0" r="5080" b="0"/>
            <wp:docPr id="23" name="Picture 23" descr="Boxplots of length of stay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4320" cy="4084955"/>
                    </a:xfrm>
                    <a:prstGeom prst="rect">
                      <a:avLst/>
                    </a:prstGeom>
                    <a:noFill/>
                    <a:ln>
                      <a:noFill/>
                    </a:ln>
                  </pic:spPr>
                </pic:pic>
              </a:graphicData>
            </a:graphic>
          </wp:inline>
        </w:drawing>
      </w:r>
      <w:r w:rsidRPr="00D85E09">
        <w:tab/>
      </w:r>
    </w:p>
    <w:p w14:paraId="1331AAF2" w14:textId="2FC5EED5" w:rsidR="00A41E60" w:rsidRPr="00D85E09" w:rsidRDefault="00A41E60" w:rsidP="0043316B">
      <w:pPr>
        <w:pStyle w:val="Caption"/>
        <w:keepNext w:val="0"/>
        <w:widowControl w:val="0"/>
        <w:rPr>
          <w:lang w:val="en-AU"/>
        </w:rPr>
      </w:pPr>
      <w:bookmarkStart w:id="512" w:name="_Ref447813569"/>
      <w:bookmarkStart w:id="513" w:name="_Toc453065460"/>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13</w:t>
      </w:r>
      <w:r w:rsidRPr="00D85E09">
        <w:rPr>
          <w:lang w:val="en-AU"/>
        </w:rPr>
        <w:fldChar w:fldCharType="end"/>
      </w:r>
      <w:bookmarkEnd w:id="512"/>
      <w:r w:rsidRPr="00D85E09">
        <w:rPr>
          <w:lang w:val="en-AU"/>
        </w:rPr>
        <w:tab/>
        <w:t>Boxplots of length of stay by treatment group</w:t>
      </w:r>
      <w:bookmarkEnd w:id="513"/>
    </w:p>
    <w:p w14:paraId="7377B232" w14:textId="3C59F498" w:rsidR="00A41E60" w:rsidRPr="00D85E09" w:rsidRDefault="00A41E60" w:rsidP="0043316B">
      <w:pPr>
        <w:pStyle w:val="Tablefootnote"/>
        <w:widowControl w:val="0"/>
        <w:rPr>
          <w:lang w:val="en-AU"/>
        </w:rPr>
      </w:pPr>
      <w:r w:rsidRPr="00D85E09">
        <w:rPr>
          <w:lang w:val="en-AU"/>
        </w:rPr>
        <w:t xml:space="preserve">Source: Campbell et al </w:t>
      </w:r>
      <w:r w:rsidR="004F68A7" w:rsidRPr="00D85E09">
        <w:rPr>
          <w:lang w:val="en-AU"/>
        </w:rPr>
        <w:t>2015</w:t>
      </w:r>
      <w:r w:rsidRPr="00D85E09">
        <w:rPr>
          <w:lang w:val="en-AU"/>
        </w:rPr>
        <w:t>, Figure 2</w:t>
      </w:r>
    </w:p>
    <w:p w14:paraId="51FC0F6A" w14:textId="77777777" w:rsidR="00A41E60" w:rsidRPr="00D85E09" w:rsidRDefault="00A41E60" w:rsidP="0043316B">
      <w:pPr>
        <w:widowControl w:val="0"/>
      </w:pPr>
    </w:p>
    <w:p w14:paraId="4DE83B09" w14:textId="3A5212BE" w:rsidR="00A41E60" w:rsidRPr="00D85E09" w:rsidRDefault="00A41E60" w:rsidP="0043316B">
      <w:pPr>
        <w:widowControl w:val="0"/>
      </w:pPr>
      <w:r w:rsidRPr="00D85E09">
        <w:t xml:space="preserve">The EXTEND-IA economic evaluation provides a strong support for the favourable cost-effectiveness for mechanical thrombectomy; mechanical thrombectomy was shown to represent the dominant strategy over usual care (i.e., more effective and cheaper). It is important to note, in particular, that the savings in the short-term care costs alone (to 90 days) were sufficient to make mechanical thrombectomy a dominant strategy in this analysis (Campbell et al </w:t>
      </w:r>
      <w:r w:rsidR="004F68A7" w:rsidRPr="00D85E09">
        <w:t>2015</w:t>
      </w:r>
      <w:r w:rsidRPr="00D85E09">
        <w:t>).</w:t>
      </w:r>
    </w:p>
    <w:p w14:paraId="612DA6D4" w14:textId="77777777" w:rsidR="00A41E60" w:rsidRPr="00D85E09" w:rsidRDefault="00A41E60" w:rsidP="0043316B">
      <w:pPr>
        <w:widowControl w:val="0"/>
      </w:pPr>
      <w:r w:rsidRPr="00D85E09">
        <w:t>The current Section D model will build upon this evidence base but will provide additional flexibility to explore alternative clinical data (thus able to explore wider population / circumstances of use characteristics) as well as cost / utility inputs and longer duration of follow-up post intervention</w:t>
      </w:r>
    </w:p>
    <w:p w14:paraId="2F65F5B3" w14:textId="4FD2C609" w:rsidR="00A41E60" w:rsidRPr="00D85E09" w:rsidRDefault="00A41E60" w:rsidP="0043316B">
      <w:pPr>
        <w:widowControl w:val="0"/>
        <w:rPr>
          <w:i/>
          <w:u w:val="single"/>
        </w:rPr>
      </w:pPr>
      <w:r w:rsidRPr="00D85E09">
        <w:rPr>
          <w:i/>
          <w:u w:val="single"/>
        </w:rPr>
        <w:t>Other modelled economic evaluations in the literature</w:t>
      </w:r>
    </w:p>
    <w:p w14:paraId="758F8FF8" w14:textId="100D4275" w:rsidR="00A41E60" w:rsidRPr="00D85E09" w:rsidRDefault="00A41E60" w:rsidP="0043316B">
      <w:pPr>
        <w:widowControl w:val="0"/>
      </w:pPr>
      <w:r w:rsidRPr="00D85E09">
        <w:t xml:space="preserve">Five modelled cost-effectiveness evaluations of mechanical thrombectomy were identified by the aforementioned literature search. Two of them were informed by the five RCTs that were also considered in the current submission (Aronsson et al 2016, Ganesalingam et al 2015), while the remaining three were based on clinical data from the Multi MERCI trial using the </w:t>
      </w:r>
      <w:r w:rsidRPr="00D85E09">
        <w:lastRenderedPageBreak/>
        <w:t xml:space="preserve">following thrombectomy devices including Merci Retriever X5, X6 and L5 Retriever (Kim et al 2011, Nguyen-Huynh and Johnston 2011, Patil et al 2009). Key characteristics and results from these publications are summarised in </w:t>
      </w:r>
      <w:r w:rsidRPr="00D85E09">
        <w:fldChar w:fldCharType="begin"/>
      </w:r>
      <w:r w:rsidRPr="00D85E09">
        <w:instrText xml:space="preserve"> REF _Ref447795015 \h </w:instrText>
      </w:r>
      <w:r w:rsidRPr="00D85E09">
        <w:fldChar w:fldCharType="separate"/>
      </w:r>
      <w:r w:rsidR="00A456ED" w:rsidRPr="00D85E09">
        <w:t xml:space="preserve">Table </w:t>
      </w:r>
      <w:r w:rsidR="00A456ED">
        <w:rPr>
          <w:noProof/>
        </w:rPr>
        <w:t>81</w:t>
      </w:r>
      <w:r w:rsidRPr="00D85E09">
        <w:fldChar w:fldCharType="end"/>
      </w:r>
      <w:r w:rsidRPr="00D85E09">
        <w:t>.</w:t>
      </w:r>
    </w:p>
    <w:p w14:paraId="1F9302EC" w14:textId="77777777" w:rsidR="00A41E60" w:rsidRPr="00D85E09" w:rsidRDefault="00A41E60" w:rsidP="0043316B">
      <w:pPr>
        <w:widowControl w:val="0"/>
      </w:pPr>
      <w:r w:rsidRPr="00D85E09">
        <w:t>All studies consistently suggest a very favourable cost-effectiveness of mechanical thrombectomy; ranging from mechanical thrombectomy being “dominant” (Aronsson et al 2016) to US$16,001 per additional QALY (Kim et al 2011; 2009 values).</w:t>
      </w:r>
    </w:p>
    <w:p w14:paraId="65E3EBE0" w14:textId="1D4A9ADE" w:rsidR="00A41E60" w:rsidRPr="00D85E09" w:rsidRDefault="00A41E60" w:rsidP="0043316B">
      <w:pPr>
        <w:widowControl w:val="0"/>
      </w:pPr>
      <w:r w:rsidRPr="00D85E09">
        <w:t>All models employed mRS as the criteria to define post-stroke levels with a long-term time horizon (generally life</w:t>
      </w:r>
      <w:r w:rsidR="00D32933" w:rsidRPr="00D85E09">
        <w:t>-</w:t>
      </w:r>
      <w:r w:rsidRPr="00D85E09">
        <w:t xml:space="preserve">time). Aronsson et al (2016) for example assumes that mRS distributions of the modelled cohort do not change over time post 90 days (that is, all patients maintain their disability levels at 90 days </w:t>
      </w:r>
      <w:r w:rsidRPr="00D85E09">
        <w:rPr>
          <w:i/>
        </w:rPr>
        <w:t>or improvement / deterioration cancel out each other over time, keeping the average mRS constant over time</w:t>
      </w:r>
      <w:r w:rsidRPr="00D85E09">
        <w:t>). The authors note this assumption to be conservative, as based on the trend of declining functional status observed in a US follow</w:t>
      </w:r>
      <w:r w:rsidR="00D32933" w:rsidRPr="00D85E09">
        <w:t>-</w:t>
      </w:r>
      <w:r w:rsidRPr="00D85E09">
        <w:t>up study of +500 stroke survivors (Dhamoon et al 2009).</w:t>
      </w:r>
    </w:p>
    <w:p w14:paraId="73DCEFE6" w14:textId="77777777" w:rsidR="00A41E60" w:rsidRPr="00D85E09" w:rsidRDefault="00A41E60" w:rsidP="0043316B">
      <w:pPr>
        <w:widowControl w:val="0"/>
      </w:pPr>
      <w:r w:rsidRPr="00D85E09">
        <w:t>These published models are very similar to the current Section D model in model structure / methodology, providing support to the current Section D model. The current Section D model has the following features that would mean a more conservative view on the cost-effectiveness of mechanical thrombectomy being presented to the MSAC:</w:t>
      </w:r>
    </w:p>
    <w:p w14:paraId="7DEC5099" w14:textId="71CBF8E7" w:rsidR="00A41E60" w:rsidRPr="00D85E09" w:rsidRDefault="00A41E60" w:rsidP="0043316B">
      <w:pPr>
        <w:pStyle w:val="ListParagraph"/>
        <w:widowControl w:val="0"/>
        <w:numPr>
          <w:ilvl w:val="0"/>
          <w:numId w:val="37"/>
        </w:numPr>
      </w:pPr>
      <w:r w:rsidRPr="00D85E09">
        <w:t>The base case analysis will apply “rehabilitation effects” whereby patients’ mRS distributions overall improve from 90 days to 12 months.</w:t>
      </w:r>
    </w:p>
    <w:p w14:paraId="6DDCFC22" w14:textId="12E6C079" w:rsidR="00A41E60" w:rsidRPr="00D85E09" w:rsidRDefault="00A41E60" w:rsidP="0043316B">
      <w:pPr>
        <w:pStyle w:val="ListParagraph"/>
        <w:widowControl w:val="0"/>
        <w:numPr>
          <w:ilvl w:val="0"/>
          <w:numId w:val="37"/>
        </w:numPr>
      </w:pPr>
      <w:r w:rsidRPr="00D85E09">
        <w:t>The risk of recurrent stroke over time is captured.</w:t>
      </w:r>
    </w:p>
    <w:p w14:paraId="51C19C9C" w14:textId="1F431786" w:rsidR="00A41E60" w:rsidRPr="00D85E09" w:rsidRDefault="00A41E60" w:rsidP="0043316B">
      <w:pPr>
        <w:widowControl w:val="0"/>
      </w:pPr>
      <w:r w:rsidRPr="00D85E09">
        <w:t>The model structure and methodologies are further described and discussed in the following section.</w:t>
      </w:r>
    </w:p>
    <w:p w14:paraId="0BA1FB0B" w14:textId="29B97BEC" w:rsidR="00A41E60" w:rsidRPr="00D85E09" w:rsidRDefault="00A41E60" w:rsidP="0043316B">
      <w:pPr>
        <w:pStyle w:val="Caption"/>
        <w:keepNext w:val="0"/>
        <w:widowControl w:val="0"/>
        <w:rPr>
          <w:lang w:val="en-AU"/>
        </w:rPr>
      </w:pPr>
      <w:bookmarkStart w:id="514" w:name="_Ref447795015"/>
      <w:bookmarkStart w:id="515" w:name="_Toc45306541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81</w:t>
      </w:r>
      <w:r w:rsidRPr="00D85E09">
        <w:rPr>
          <w:lang w:val="en-AU"/>
        </w:rPr>
        <w:fldChar w:fldCharType="end"/>
      </w:r>
      <w:bookmarkEnd w:id="514"/>
      <w:r w:rsidRPr="00D85E09">
        <w:rPr>
          <w:lang w:val="en-AU"/>
        </w:rPr>
        <w:tab/>
        <w:t>Modelled cost-effectiveness evaluations of mechanical thrombectomy</w:t>
      </w:r>
      <w:bookmarkEnd w:id="515"/>
    </w:p>
    <w:tbl>
      <w:tblPr>
        <w:tblStyle w:val="TableGrid"/>
        <w:tblW w:w="5000" w:type="pct"/>
        <w:tblLook w:val="04A0" w:firstRow="1" w:lastRow="0" w:firstColumn="1" w:lastColumn="0" w:noHBand="0" w:noVBand="1"/>
        <w:tblDescription w:val="Table 81 Modelled cost-effectiveness evaluations of mechanical thrombectomy"/>
      </w:tblPr>
      <w:tblGrid>
        <w:gridCol w:w="1644"/>
        <w:gridCol w:w="2253"/>
        <w:gridCol w:w="2794"/>
        <w:gridCol w:w="2597"/>
      </w:tblGrid>
      <w:tr w:rsidR="00A41E60" w:rsidRPr="00D85E09" w14:paraId="75042CA5" w14:textId="77777777" w:rsidTr="00BE6331">
        <w:trPr>
          <w:tblHeader/>
        </w:trPr>
        <w:tc>
          <w:tcPr>
            <w:tcW w:w="885" w:type="pct"/>
            <w:tcBorders>
              <w:top w:val="single" w:sz="4" w:space="0" w:color="000000"/>
              <w:left w:val="single" w:sz="4" w:space="0" w:color="000000"/>
              <w:bottom w:val="single" w:sz="4" w:space="0" w:color="000000"/>
              <w:right w:val="single" w:sz="4" w:space="0" w:color="000000"/>
            </w:tcBorders>
            <w:hideMark/>
          </w:tcPr>
          <w:p w14:paraId="60289DD3" w14:textId="77777777" w:rsidR="00A41E60" w:rsidRPr="00D85E09" w:rsidRDefault="00A41E60" w:rsidP="0043316B">
            <w:pPr>
              <w:pStyle w:val="Tabletext"/>
              <w:keepNext w:val="0"/>
              <w:widowControl w:val="0"/>
              <w:rPr>
                <w:b/>
              </w:rPr>
            </w:pPr>
            <w:r w:rsidRPr="00D85E09">
              <w:rPr>
                <w:b/>
              </w:rPr>
              <w:t>Study / perspective</w:t>
            </w:r>
          </w:p>
        </w:tc>
        <w:tc>
          <w:tcPr>
            <w:tcW w:w="1213" w:type="pct"/>
            <w:tcBorders>
              <w:top w:val="single" w:sz="4" w:space="0" w:color="000000"/>
              <w:left w:val="single" w:sz="4" w:space="0" w:color="000000"/>
              <w:bottom w:val="single" w:sz="4" w:space="0" w:color="000000"/>
              <w:right w:val="single" w:sz="4" w:space="0" w:color="000000"/>
            </w:tcBorders>
            <w:hideMark/>
          </w:tcPr>
          <w:p w14:paraId="113B96C6" w14:textId="77777777" w:rsidR="00A41E60" w:rsidRPr="00D85E09" w:rsidRDefault="00A41E60" w:rsidP="0043316B">
            <w:pPr>
              <w:pStyle w:val="Tabletext"/>
              <w:keepNext w:val="0"/>
              <w:widowControl w:val="0"/>
              <w:rPr>
                <w:b/>
              </w:rPr>
            </w:pPr>
            <w:r w:rsidRPr="00D85E09">
              <w:rPr>
                <w:b/>
              </w:rPr>
              <w:t>Clinical data source</w:t>
            </w:r>
          </w:p>
        </w:tc>
        <w:tc>
          <w:tcPr>
            <w:tcW w:w="1504" w:type="pct"/>
            <w:tcBorders>
              <w:top w:val="single" w:sz="4" w:space="0" w:color="000000"/>
              <w:left w:val="single" w:sz="4" w:space="0" w:color="000000"/>
              <w:bottom w:val="single" w:sz="4" w:space="0" w:color="000000"/>
              <w:right w:val="single" w:sz="4" w:space="0" w:color="000000"/>
            </w:tcBorders>
            <w:hideMark/>
          </w:tcPr>
          <w:p w14:paraId="3613EBB8" w14:textId="77777777" w:rsidR="00A41E60" w:rsidRPr="00D85E09" w:rsidRDefault="00A41E60" w:rsidP="0043316B">
            <w:pPr>
              <w:pStyle w:val="Tabletext"/>
              <w:keepNext w:val="0"/>
              <w:widowControl w:val="0"/>
              <w:rPr>
                <w:b/>
              </w:rPr>
            </w:pPr>
            <w:r w:rsidRPr="00D85E09">
              <w:rPr>
                <w:b/>
              </w:rPr>
              <w:t>Modelling approach and key assumptions</w:t>
            </w:r>
          </w:p>
        </w:tc>
        <w:tc>
          <w:tcPr>
            <w:tcW w:w="1398" w:type="pct"/>
            <w:tcBorders>
              <w:top w:val="single" w:sz="4" w:space="0" w:color="000000"/>
              <w:left w:val="single" w:sz="4" w:space="0" w:color="000000"/>
              <w:bottom w:val="single" w:sz="4" w:space="0" w:color="000000"/>
              <w:right w:val="single" w:sz="4" w:space="0" w:color="000000"/>
            </w:tcBorders>
            <w:hideMark/>
          </w:tcPr>
          <w:p w14:paraId="3546B7C1" w14:textId="77777777" w:rsidR="00A41E60" w:rsidRPr="00D85E09" w:rsidRDefault="00A41E60" w:rsidP="0043316B">
            <w:pPr>
              <w:pStyle w:val="Tabletext"/>
              <w:keepNext w:val="0"/>
              <w:widowControl w:val="0"/>
              <w:rPr>
                <w:b/>
              </w:rPr>
            </w:pPr>
            <w:r w:rsidRPr="00D85E09">
              <w:rPr>
                <w:b/>
              </w:rPr>
              <w:t>Key results</w:t>
            </w:r>
          </w:p>
        </w:tc>
      </w:tr>
      <w:tr w:rsidR="00A41E60" w:rsidRPr="00D85E09" w14:paraId="7DE0AABE" w14:textId="77777777" w:rsidTr="00A41E60">
        <w:tc>
          <w:tcPr>
            <w:tcW w:w="885" w:type="pct"/>
            <w:tcBorders>
              <w:top w:val="single" w:sz="4" w:space="0" w:color="000000"/>
              <w:left w:val="single" w:sz="4" w:space="0" w:color="000000"/>
              <w:bottom w:val="single" w:sz="4" w:space="0" w:color="000000"/>
              <w:right w:val="single" w:sz="4" w:space="0" w:color="000000"/>
            </w:tcBorders>
            <w:hideMark/>
          </w:tcPr>
          <w:p w14:paraId="3C31A55C" w14:textId="77777777" w:rsidR="00A41E60" w:rsidRPr="00D85E09" w:rsidRDefault="00A41E60" w:rsidP="0043316B">
            <w:pPr>
              <w:pStyle w:val="Tabletext"/>
              <w:keepNext w:val="0"/>
              <w:widowControl w:val="0"/>
            </w:pPr>
            <w:r w:rsidRPr="00D85E09">
              <w:t>Aronsson 2016 / Swedish healthcare system</w:t>
            </w:r>
          </w:p>
        </w:tc>
        <w:tc>
          <w:tcPr>
            <w:tcW w:w="1213" w:type="pct"/>
            <w:tcBorders>
              <w:top w:val="single" w:sz="4" w:space="0" w:color="000000"/>
              <w:left w:val="single" w:sz="4" w:space="0" w:color="000000"/>
              <w:bottom w:val="single" w:sz="4" w:space="0" w:color="000000"/>
              <w:right w:val="single" w:sz="4" w:space="0" w:color="000000"/>
            </w:tcBorders>
            <w:hideMark/>
          </w:tcPr>
          <w:p w14:paraId="57A19828" w14:textId="77777777" w:rsidR="00A41E60" w:rsidRPr="00D85E09" w:rsidRDefault="00A41E60" w:rsidP="0043316B">
            <w:pPr>
              <w:pStyle w:val="Tabletext"/>
              <w:keepNext w:val="0"/>
              <w:widowControl w:val="0"/>
            </w:pPr>
            <w:r w:rsidRPr="00D85E09">
              <w:t xml:space="preserve">Meta-analysis of 90 day mRS scores from ESCAPE, EXTEND-IA, MR CLEAN, REVASCAT and SWIFT PRIME. </w:t>
            </w:r>
          </w:p>
        </w:tc>
        <w:tc>
          <w:tcPr>
            <w:tcW w:w="1504" w:type="pct"/>
            <w:tcBorders>
              <w:top w:val="single" w:sz="4" w:space="0" w:color="000000"/>
              <w:left w:val="single" w:sz="4" w:space="0" w:color="000000"/>
              <w:bottom w:val="single" w:sz="4" w:space="0" w:color="000000"/>
              <w:right w:val="single" w:sz="4" w:space="0" w:color="000000"/>
            </w:tcBorders>
          </w:tcPr>
          <w:p w14:paraId="6D571949" w14:textId="05765FF0" w:rsidR="00A41E60" w:rsidRPr="00D85E09" w:rsidRDefault="00A41E60" w:rsidP="0043316B">
            <w:pPr>
              <w:pStyle w:val="Tabletext"/>
              <w:keepNext w:val="0"/>
              <w:widowControl w:val="0"/>
            </w:pPr>
            <w:r w:rsidRPr="00D85E09">
              <w:t>A life-time Markov model with health states defined by mRS (1-6, individually).</w:t>
            </w:r>
          </w:p>
          <w:p w14:paraId="4171EECB" w14:textId="77777777" w:rsidR="00A41E60" w:rsidRPr="00D85E09" w:rsidRDefault="00A41E60" w:rsidP="0043316B">
            <w:pPr>
              <w:pStyle w:val="Tabletext"/>
              <w:keepNext w:val="0"/>
              <w:widowControl w:val="0"/>
            </w:pPr>
            <w:r w:rsidRPr="00D85E09">
              <w:t>Disability levels at 90 days assumed to remain constant over time (unless recurrent stroke / death experienced).</w:t>
            </w:r>
          </w:p>
          <w:p w14:paraId="4AE2C387" w14:textId="0CCAB5F9" w:rsidR="00A41E60" w:rsidRPr="00D85E09" w:rsidRDefault="00A41E60" w:rsidP="0043316B">
            <w:pPr>
              <w:pStyle w:val="Tabletext"/>
              <w:keepNext w:val="0"/>
              <w:widowControl w:val="0"/>
            </w:pPr>
            <w:r w:rsidRPr="00D85E09">
              <w:t>Disability post</w:t>
            </w:r>
            <w:r w:rsidR="00300BB6" w:rsidRPr="00D85E09">
              <w:t>-</w:t>
            </w:r>
            <w:r w:rsidRPr="00D85E09">
              <w:t>recurrent stroke can only be the same or worse than pre-recurrent stroke.</w:t>
            </w:r>
          </w:p>
          <w:p w14:paraId="7873ED74" w14:textId="77777777" w:rsidR="00A41E60" w:rsidRPr="00D85E09" w:rsidRDefault="00A41E60" w:rsidP="0043316B">
            <w:pPr>
              <w:pStyle w:val="Tabletext"/>
              <w:keepNext w:val="0"/>
              <w:widowControl w:val="0"/>
            </w:pPr>
            <w:r w:rsidRPr="00D85E09">
              <w:t>Discount rate = 3%</w:t>
            </w:r>
          </w:p>
          <w:p w14:paraId="12696C10" w14:textId="77777777" w:rsidR="00A41E60" w:rsidRPr="00D85E09" w:rsidRDefault="00A41E60" w:rsidP="0043316B">
            <w:pPr>
              <w:pStyle w:val="Tabletext"/>
              <w:keepNext w:val="0"/>
              <w:widowControl w:val="0"/>
            </w:pPr>
          </w:p>
        </w:tc>
        <w:tc>
          <w:tcPr>
            <w:tcW w:w="1398" w:type="pct"/>
            <w:tcBorders>
              <w:top w:val="single" w:sz="4" w:space="0" w:color="000000"/>
              <w:left w:val="single" w:sz="4" w:space="0" w:color="000000"/>
              <w:bottom w:val="single" w:sz="4" w:space="0" w:color="000000"/>
              <w:right w:val="single" w:sz="4" w:space="0" w:color="000000"/>
            </w:tcBorders>
            <w:hideMark/>
          </w:tcPr>
          <w:p w14:paraId="71634B18" w14:textId="77777777" w:rsidR="00A41E60" w:rsidRPr="00D85E09" w:rsidRDefault="00A41E60" w:rsidP="0043316B">
            <w:pPr>
              <w:pStyle w:val="Tabletext"/>
              <w:keepNext w:val="0"/>
              <w:widowControl w:val="0"/>
            </w:pPr>
            <w:r w:rsidRPr="00D85E09">
              <w:t>ICERs (per QALY gain; US$) by source of clinical data (mRS at 90 days) are presented:</w:t>
            </w:r>
          </w:p>
          <w:p w14:paraId="0944DB26" w14:textId="77777777" w:rsidR="00A41E60" w:rsidRPr="00D85E09" w:rsidRDefault="00A41E60" w:rsidP="0043316B">
            <w:pPr>
              <w:pStyle w:val="Tabletext"/>
              <w:keepNext w:val="0"/>
              <w:widowControl w:val="0"/>
            </w:pPr>
            <w:r w:rsidRPr="00D85E09">
              <w:t>Meta-analysis = dominant (saving of $223)</w:t>
            </w:r>
          </w:p>
          <w:p w14:paraId="3197E4FF" w14:textId="49091E3F" w:rsidR="00A41E60" w:rsidRPr="00D85E09" w:rsidRDefault="00A41E60" w:rsidP="0043316B">
            <w:pPr>
              <w:pStyle w:val="Tabletext"/>
              <w:keepNext w:val="0"/>
              <w:widowControl w:val="0"/>
            </w:pPr>
            <w:r w:rsidRPr="00D85E09">
              <w:t>ESCAPE = $2,780</w:t>
            </w:r>
          </w:p>
          <w:p w14:paraId="2B38DA36" w14:textId="77777777" w:rsidR="00A41E60" w:rsidRPr="00D85E09" w:rsidRDefault="00A41E60" w:rsidP="0043316B">
            <w:pPr>
              <w:pStyle w:val="Tabletext"/>
              <w:keepNext w:val="0"/>
              <w:widowControl w:val="0"/>
            </w:pPr>
            <w:r w:rsidRPr="00D85E09">
              <w:t>EXTEND-IA = $256</w:t>
            </w:r>
          </w:p>
          <w:p w14:paraId="3F181FB6" w14:textId="77777777" w:rsidR="00A41E60" w:rsidRPr="00D85E09" w:rsidRDefault="00A41E60" w:rsidP="0043316B">
            <w:pPr>
              <w:pStyle w:val="Tabletext"/>
              <w:keepNext w:val="0"/>
              <w:widowControl w:val="0"/>
            </w:pPr>
            <w:r w:rsidRPr="00D85E09">
              <w:t>MR CLEAN = $1,662</w:t>
            </w:r>
          </w:p>
          <w:p w14:paraId="1B8557A5" w14:textId="77777777" w:rsidR="00A41E60" w:rsidRPr="00D85E09" w:rsidRDefault="00A41E60" w:rsidP="0043316B">
            <w:pPr>
              <w:pStyle w:val="Tabletext"/>
              <w:keepNext w:val="0"/>
              <w:widowControl w:val="0"/>
            </w:pPr>
            <w:r w:rsidRPr="00D85E09">
              <w:t>REVASCAT = dominant (saving of $7,793)</w:t>
            </w:r>
          </w:p>
          <w:p w14:paraId="65801634" w14:textId="77777777" w:rsidR="00A41E60" w:rsidRPr="00D85E09" w:rsidRDefault="00A41E60" w:rsidP="0043316B">
            <w:pPr>
              <w:pStyle w:val="Tabletext"/>
              <w:keepNext w:val="0"/>
              <w:widowControl w:val="0"/>
            </w:pPr>
            <w:r w:rsidRPr="00D85E09">
              <w:t>SWIFT PRIME = dominant (saving of $2,996)</w:t>
            </w:r>
          </w:p>
        </w:tc>
      </w:tr>
      <w:tr w:rsidR="00A41E60" w:rsidRPr="00D85E09" w14:paraId="038AB08F" w14:textId="77777777" w:rsidTr="00A41E60">
        <w:tc>
          <w:tcPr>
            <w:tcW w:w="885" w:type="pct"/>
            <w:tcBorders>
              <w:top w:val="single" w:sz="4" w:space="0" w:color="000000"/>
              <w:left w:val="single" w:sz="4" w:space="0" w:color="000000"/>
              <w:bottom w:val="single" w:sz="4" w:space="0" w:color="000000"/>
              <w:right w:val="single" w:sz="4" w:space="0" w:color="000000"/>
            </w:tcBorders>
            <w:hideMark/>
          </w:tcPr>
          <w:p w14:paraId="2F0343C5" w14:textId="77777777" w:rsidR="00A41E60" w:rsidRPr="00D85E09" w:rsidRDefault="00A41E60" w:rsidP="0043316B">
            <w:pPr>
              <w:pStyle w:val="Tabletext"/>
              <w:keepNext w:val="0"/>
              <w:widowControl w:val="0"/>
            </w:pPr>
            <w:r w:rsidRPr="00D85E09">
              <w:t xml:space="preserve">Ganesalingam 2015 / UK </w:t>
            </w:r>
            <w:r w:rsidRPr="00D85E09">
              <w:lastRenderedPageBreak/>
              <w:t>healthcare system</w:t>
            </w:r>
          </w:p>
        </w:tc>
        <w:tc>
          <w:tcPr>
            <w:tcW w:w="1213" w:type="pct"/>
            <w:tcBorders>
              <w:top w:val="single" w:sz="4" w:space="0" w:color="000000"/>
              <w:left w:val="single" w:sz="4" w:space="0" w:color="000000"/>
              <w:bottom w:val="single" w:sz="4" w:space="0" w:color="000000"/>
              <w:right w:val="single" w:sz="4" w:space="0" w:color="000000"/>
            </w:tcBorders>
            <w:hideMark/>
          </w:tcPr>
          <w:p w14:paraId="2B4BA313" w14:textId="77777777" w:rsidR="00A41E60" w:rsidRPr="00D85E09" w:rsidRDefault="00A41E60" w:rsidP="0043316B">
            <w:pPr>
              <w:pStyle w:val="Tabletext"/>
              <w:keepNext w:val="0"/>
              <w:widowControl w:val="0"/>
            </w:pPr>
            <w:r w:rsidRPr="00D85E09">
              <w:lastRenderedPageBreak/>
              <w:t xml:space="preserve">Meta-analysis of 90 day mRS scores from ESCAPE, </w:t>
            </w:r>
            <w:r w:rsidRPr="00D85E09">
              <w:lastRenderedPageBreak/>
              <w:t>EXTEND-IA, MR CLEAN, REVASCAT and SWIFT PRIME.</w:t>
            </w:r>
          </w:p>
        </w:tc>
        <w:tc>
          <w:tcPr>
            <w:tcW w:w="1504" w:type="pct"/>
            <w:tcBorders>
              <w:top w:val="single" w:sz="4" w:space="0" w:color="000000"/>
              <w:left w:val="single" w:sz="4" w:space="0" w:color="000000"/>
              <w:bottom w:val="single" w:sz="4" w:space="0" w:color="000000"/>
              <w:right w:val="single" w:sz="4" w:space="0" w:color="000000"/>
            </w:tcBorders>
            <w:hideMark/>
          </w:tcPr>
          <w:p w14:paraId="0FBBE6D3" w14:textId="19896798" w:rsidR="00A41E60" w:rsidRPr="00D85E09" w:rsidRDefault="00A41E60" w:rsidP="0043316B">
            <w:pPr>
              <w:pStyle w:val="Tabletext"/>
              <w:keepNext w:val="0"/>
              <w:widowControl w:val="0"/>
            </w:pPr>
            <w:r w:rsidRPr="00D85E09">
              <w:lastRenderedPageBreak/>
              <w:t xml:space="preserve">A 20-year Markov model with three health states defined by mRS (0-2, </w:t>
            </w:r>
            <w:r w:rsidRPr="00D85E09">
              <w:lastRenderedPageBreak/>
              <w:t>3-5, 6).</w:t>
            </w:r>
          </w:p>
          <w:p w14:paraId="3692D4BD" w14:textId="77777777" w:rsidR="00A41E60" w:rsidRPr="00D85E09" w:rsidRDefault="00A41E60" w:rsidP="0043316B">
            <w:pPr>
              <w:pStyle w:val="Tabletext"/>
              <w:keepNext w:val="0"/>
              <w:widowControl w:val="0"/>
            </w:pPr>
            <w:r w:rsidRPr="00D85E09">
              <w:t>The model captures recurrent stroke / death.</w:t>
            </w:r>
          </w:p>
          <w:p w14:paraId="39F83751" w14:textId="3977883B" w:rsidR="00A41E60" w:rsidRPr="00D85E09" w:rsidRDefault="00A41E60" w:rsidP="0043316B">
            <w:pPr>
              <w:pStyle w:val="Tabletext"/>
              <w:keepNext w:val="0"/>
              <w:widowControl w:val="0"/>
            </w:pPr>
            <w:r w:rsidRPr="00D85E09">
              <w:t>Disability post</w:t>
            </w:r>
            <w:r w:rsidR="00300BB6" w:rsidRPr="00D85E09">
              <w:t>-</w:t>
            </w:r>
            <w:r w:rsidRPr="00D85E09">
              <w:t>recurrent stroke can only be the same or worse than pre-recurrent stroke.</w:t>
            </w:r>
          </w:p>
          <w:p w14:paraId="026F0468" w14:textId="77777777" w:rsidR="00A41E60" w:rsidRPr="00D85E09" w:rsidRDefault="00A41E60" w:rsidP="0043316B">
            <w:pPr>
              <w:pStyle w:val="Tabletext"/>
              <w:keepNext w:val="0"/>
              <w:widowControl w:val="0"/>
            </w:pPr>
            <w:r w:rsidRPr="00D85E09">
              <w:t>Discount rate = 3.5%</w:t>
            </w:r>
          </w:p>
        </w:tc>
        <w:tc>
          <w:tcPr>
            <w:tcW w:w="1398" w:type="pct"/>
            <w:tcBorders>
              <w:top w:val="single" w:sz="4" w:space="0" w:color="000000"/>
              <w:left w:val="single" w:sz="4" w:space="0" w:color="000000"/>
              <w:bottom w:val="single" w:sz="4" w:space="0" w:color="000000"/>
              <w:right w:val="single" w:sz="4" w:space="0" w:color="000000"/>
            </w:tcBorders>
            <w:hideMark/>
          </w:tcPr>
          <w:p w14:paraId="7808C56C" w14:textId="77777777" w:rsidR="00A41E60" w:rsidRPr="00D85E09" w:rsidRDefault="00A41E60" w:rsidP="0043316B">
            <w:pPr>
              <w:pStyle w:val="Tabletext"/>
              <w:keepNext w:val="0"/>
              <w:widowControl w:val="0"/>
            </w:pPr>
            <w:r w:rsidRPr="00D85E09">
              <w:lastRenderedPageBreak/>
              <w:t xml:space="preserve">US$11,651 per additional QALY (2013 values). </w:t>
            </w:r>
          </w:p>
        </w:tc>
      </w:tr>
      <w:tr w:rsidR="00A41E60" w:rsidRPr="00D85E09" w14:paraId="7CFE8B5C" w14:textId="77777777" w:rsidTr="00A41E60">
        <w:tc>
          <w:tcPr>
            <w:tcW w:w="885" w:type="pct"/>
            <w:tcBorders>
              <w:top w:val="single" w:sz="4" w:space="0" w:color="000000"/>
              <w:left w:val="single" w:sz="4" w:space="0" w:color="000000"/>
              <w:bottom w:val="single" w:sz="4" w:space="0" w:color="000000"/>
              <w:right w:val="single" w:sz="4" w:space="0" w:color="000000"/>
            </w:tcBorders>
            <w:hideMark/>
          </w:tcPr>
          <w:p w14:paraId="7AA40CC7" w14:textId="77777777" w:rsidR="00A41E60" w:rsidRPr="00D85E09" w:rsidRDefault="00A41E60" w:rsidP="0043316B">
            <w:pPr>
              <w:pStyle w:val="Tabletext"/>
              <w:keepNext w:val="0"/>
              <w:widowControl w:val="0"/>
            </w:pPr>
            <w:r w:rsidRPr="00D85E09">
              <w:lastRenderedPageBreak/>
              <w:t>Kim 2011 / US Medicare/Medicaid system</w:t>
            </w:r>
          </w:p>
        </w:tc>
        <w:tc>
          <w:tcPr>
            <w:tcW w:w="1213" w:type="pct"/>
            <w:tcBorders>
              <w:top w:val="single" w:sz="4" w:space="0" w:color="000000"/>
              <w:left w:val="single" w:sz="4" w:space="0" w:color="000000"/>
              <w:bottom w:val="single" w:sz="4" w:space="0" w:color="000000"/>
              <w:right w:val="single" w:sz="4" w:space="0" w:color="000000"/>
            </w:tcBorders>
            <w:hideMark/>
          </w:tcPr>
          <w:p w14:paraId="028B1C4B" w14:textId="77777777" w:rsidR="00A41E60" w:rsidRPr="00D85E09" w:rsidRDefault="00A41E60" w:rsidP="0043316B">
            <w:pPr>
              <w:pStyle w:val="Tabletext"/>
              <w:keepNext w:val="0"/>
              <w:widowControl w:val="0"/>
            </w:pPr>
            <w:r w:rsidRPr="00D85E09">
              <w:t>Multi-MERCI for mechanical thrombectomy.</w:t>
            </w:r>
          </w:p>
          <w:p w14:paraId="2DC90F3C" w14:textId="0D36B027" w:rsidR="00A41E60" w:rsidRPr="00D85E09" w:rsidRDefault="00A41E60" w:rsidP="0043316B">
            <w:pPr>
              <w:pStyle w:val="Tabletext"/>
              <w:keepNext w:val="0"/>
              <w:widowControl w:val="0"/>
            </w:pPr>
            <w:r w:rsidRPr="00D85E09">
              <w:t>Published evidence for IV</w:t>
            </w:r>
            <w:r w:rsidR="00D32933" w:rsidRPr="00D85E09">
              <w:t>-</w:t>
            </w:r>
            <w:r w:rsidRPr="00D85E09">
              <w:t>tPA.</w:t>
            </w:r>
          </w:p>
        </w:tc>
        <w:tc>
          <w:tcPr>
            <w:tcW w:w="1504" w:type="pct"/>
            <w:tcBorders>
              <w:top w:val="single" w:sz="4" w:space="0" w:color="000000"/>
              <w:left w:val="single" w:sz="4" w:space="0" w:color="000000"/>
              <w:bottom w:val="single" w:sz="4" w:space="0" w:color="000000"/>
              <w:right w:val="single" w:sz="4" w:space="0" w:color="000000"/>
            </w:tcBorders>
            <w:hideMark/>
          </w:tcPr>
          <w:p w14:paraId="155A4E2A" w14:textId="0A7C2BF6" w:rsidR="00A41E60" w:rsidRPr="00D85E09" w:rsidRDefault="00A41E60" w:rsidP="0043316B">
            <w:pPr>
              <w:pStyle w:val="Tabletext"/>
              <w:keepNext w:val="0"/>
              <w:widowControl w:val="0"/>
            </w:pPr>
            <w:r w:rsidRPr="00D85E09">
              <w:t>Comparison of mechanical thrombectomy (+ thrombolysis if indicated) vs IT tPA.</w:t>
            </w:r>
          </w:p>
          <w:p w14:paraId="447551D0" w14:textId="62607CB2" w:rsidR="00A41E60" w:rsidRPr="00D85E09" w:rsidRDefault="00A41E60" w:rsidP="0043316B">
            <w:pPr>
              <w:pStyle w:val="Tabletext"/>
              <w:keepNext w:val="0"/>
              <w:widowControl w:val="0"/>
            </w:pPr>
            <w:r w:rsidRPr="00D85E09">
              <w:t>A life-time Markov model with three health states defined by mRS (0-2, 3-5, 6) but conditional upon +/- vessel occlusion on angiogram &amp; +/- successful revascularisation &amp; +/- ICH.</w:t>
            </w:r>
          </w:p>
          <w:p w14:paraId="63D06703" w14:textId="77777777" w:rsidR="00A41E60" w:rsidRPr="00D85E09" w:rsidRDefault="00A41E60" w:rsidP="0043316B">
            <w:pPr>
              <w:pStyle w:val="Tabletext"/>
              <w:keepNext w:val="0"/>
              <w:widowControl w:val="0"/>
            </w:pPr>
            <w:r w:rsidRPr="00D85E09">
              <w:t>Discount rate = 3%</w:t>
            </w:r>
          </w:p>
        </w:tc>
        <w:tc>
          <w:tcPr>
            <w:tcW w:w="1398" w:type="pct"/>
            <w:tcBorders>
              <w:top w:val="single" w:sz="4" w:space="0" w:color="000000"/>
              <w:left w:val="single" w:sz="4" w:space="0" w:color="000000"/>
              <w:bottom w:val="single" w:sz="4" w:space="0" w:color="000000"/>
              <w:right w:val="single" w:sz="4" w:space="0" w:color="000000"/>
            </w:tcBorders>
            <w:hideMark/>
          </w:tcPr>
          <w:p w14:paraId="4D0CBEBF" w14:textId="77777777" w:rsidR="00A41E60" w:rsidRPr="00D85E09" w:rsidRDefault="00A41E60" w:rsidP="0043316B">
            <w:pPr>
              <w:pStyle w:val="Tabletext"/>
              <w:keepNext w:val="0"/>
              <w:widowControl w:val="0"/>
            </w:pPr>
            <w:r w:rsidRPr="00D85E09">
              <w:t>US$16,001 per additional QALY (2009 values).</w:t>
            </w:r>
          </w:p>
        </w:tc>
      </w:tr>
      <w:tr w:rsidR="00A41E60" w:rsidRPr="00D85E09" w14:paraId="5C502DEE" w14:textId="77777777" w:rsidTr="00A41E60">
        <w:tc>
          <w:tcPr>
            <w:tcW w:w="885" w:type="pct"/>
            <w:tcBorders>
              <w:top w:val="single" w:sz="4" w:space="0" w:color="000000"/>
              <w:left w:val="single" w:sz="4" w:space="0" w:color="000000"/>
              <w:bottom w:val="single" w:sz="4" w:space="0" w:color="000000"/>
              <w:right w:val="single" w:sz="4" w:space="0" w:color="000000"/>
            </w:tcBorders>
            <w:hideMark/>
          </w:tcPr>
          <w:p w14:paraId="4C3550CA" w14:textId="77777777" w:rsidR="00A41E60" w:rsidRPr="00D85E09" w:rsidRDefault="00A41E60" w:rsidP="0043316B">
            <w:pPr>
              <w:pStyle w:val="Tabletext"/>
              <w:keepNext w:val="0"/>
              <w:widowControl w:val="0"/>
            </w:pPr>
            <w:r w:rsidRPr="00D85E09">
              <w:t>Nguyen-Huynh 2011/ US Medicare/Medicaid system</w:t>
            </w:r>
          </w:p>
        </w:tc>
        <w:tc>
          <w:tcPr>
            <w:tcW w:w="1213" w:type="pct"/>
            <w:tcBorders>
              <w:top w:val="single" w:sz="4" w:space="0" w:color="000000"/>
              <w:left w:val="single" w:sz="4" w:space="0" w:color="000000"/>
              <w:bottom w:val="single" w:sz="4" w:space="0" w:color="000000"/>
              <w:right w:val="single" w:sz="4" w:space="0" w:color="000000"/>
            </w:tcBorders>
            <w:hideMark/>
          </w:tcPr>
          <w:p w14:paraId="346945B4" w14:textId="77777777" w:rsidR="00A41E60" w:rsidRPr="00D85E09" w:rsidRDefault="00A41E60" w:rsidP="0043316B">
            <w:pPr>
              <w:pStyle w:val="Tabletext"/>
              <w:keepNext w:val="0"/>
              <w:widowControl w:val="0"/>
            </w:pPr>
            <w:r w:rsidRPr="00D85E09">
              <w:t>Multi-MERCI for mechanical thrombectomy.</w:t>
            </w:r>
          </w:p>
          <w:p w14:paraId="45A3C895" w14:textId="3CACFDFF" w:rsidR="00A41E60" w:rsidRPr="00D85E09" w:rsidRDefault="00A41E60" w:rsidP="0043316B">
            <w:pPr>
              <w:pStyle w:val="Tabletext"/>
              <w:keepNext w:val="0"/>
              <w:widowControl w:val="0"/>
            </w:pPr>
            <w:r w:rsidRPr="00D85E09">
              <w:t>Published evidence for IV</w:t>
            </w:r>
            <w:r w:rsidR="00D32933" w:rsidRPr="00D85E09">
              <w:t>-</w:t>
            </w:r>
            <w:r w:rsidRPr="00D85E09">
              <w:t>tPA.</w:t>
            </w:r>
          </w:p>
        </w:tc>
        <w:tc>
          <w:tcPr>
            <w:tcW w:w="1504" w:type="pct"/>
            <w:tcBorders>
              <w:top w:val="single" w:sz="4" w:space="0" w:color="000000"/>
              <w:left w:val="single" w:sz="4" w:space="0" w:color="000000"/>
              <w:bottom w:val="single" w:sz="4" w:space="0" w:color="000000"/>
              <w:right w:val="single" w:sz="4" w:space="0" w:color="000000"/>
            </w:tcBorders>
            <w:hideMark/>
          </w:tcPr>
          <w:p w14:paraId="3752CCD4" w14:textId="46EB2B2E" w:rsidR="00A41E60" w:rsidRPr="00D85E09" w:rsidRDefault="00A41E60" w:rsidP="00AB4BBF">
            <w:pPr>
              <w:pStyle w:val="Tabletext"/>
              <w:keepNext w:val="0"/>
              <w:widowControl w:val="0"/>
            </w:pPr>
            <w:r w:rsidRPr="00D85E09">
              <w:t xml:space="preserve">Model structure/ approaches similar to Kim 2011 above </w:t>
            </w:r>
          </w:p>
        </w:tc>
        <w:tc>
          <w:tcPr>
            <w:tcW w:w="1398" w:type="pct"/>
            <w:tcBorders>
              <w:top w:val="single" w:sz="4" w:space="0" w:color="000000"/>
              <w:left w:val="single" w:sz="4" w:space="0" w:color="000000"/>
              <w:bottom w:val="single" w:sz="4" w:space="0" w:color="000000"/>
              <w:right w:val="single" w:sz="4" w:space="0" w:color="000000"/>
            </w:tcBorders>
            <w:hideMark/>
          </w:tcPr>
          <w:p w14:paraId="7E88AC8A" w14:textId="77777777" w:rsidR="00A41E60" w:rsidRPr="00D85E09" w:rsidRDefault="00A41E60" w:rsidP="0043316B">
            <w:pPr>
              <w:pStyle w:val="Tabletext"/>
              <w:keepNext w:val="0"/>
              <w:widowControl w:val="0"/>
            </w:pPr>
            <w:r w:rsidRPr="00D85E09">
              <w:t>US$9,368 per additional QALY (2009 values).</w:t>
            </w:r>
          </w:p>
        </w:tc>
      </w:tr>
      <w:tr w:rsidR="00A41E60" w:rsidRPr="00D85E09" w14:paraId="234BBEDB" w14:textId="77777777" w:rsidTr="00A41E60">
        <w:tc>
          <w:tcPr>
            <w:tcW w:w="885" w:type="pct"/>
            <w:tcBorders>
              <w:top w:val="single" w:sz="4" w:space="0" w:color="000000"/>
              <w:left w:val="single" w:sz="4" w:space="0" w:color="000000"/>
              <w:bottom w:val="single" w:sz="4" w:space="0" w:color="000000"/>
              <w:right w:val="single" w:sz="4" w:space="0" w:color="000000"/>
            </w:tcBorders>
            <w:hideMark/>
          </w:tcPr>
          <w:p w14:paraId="0AFEF0C9" w14:textId="77777777" w:rsidR="00A41E60" w:rsidRPr="00D85E09" w:rsidRDefault="00A41E60" w:rsidP="0043316B">
            <w:pPr>
              <w:pStyle w:val="Tabletext"/>
              <w:keepNext w:val="0"/>
              <w:widowControl w:val="0"/>
            </w:pPr>
            <w:r w:rsidRPr="00D85E09">
              <w:t>Patil 2009 / US Medicare/Medicaid system</w:t>
            </w:r>
          </w:p>
        </w:tc>
        <w:tc>
          <w:tcPr>
            <w:tcW w:w="1213" w:type="pct"/>
            <w:tcBorders>
              <w:top w:val="single" w:sz="4" w:space="0" w:color="000000"/>
              <w:left w:val="single" w:sz="4" w:space="0" w:color="000000"/>
              <w:bottom w:val="single" w:sz="4" w:space="0" w:color="000000"/>
              <w:right w:val="single" w:sz="4" w:space="0" w:color="000000"/>
            </w:tcBorders>
            <w:hideMark/>
          </w:tcPr>
          <w:p w14:paraId="71680304" w14:textId="77777777" w:rsidR="00A41E60" w:rsidRPr="00D85E09" w:rsidRDefault="00A41E60" w:rsidP="0043316B">
            <w:pPr>
              <w:pStyle w:val="Tabletext"/>
              <w:keepNext w:val="0"/>
              <w:widowControl w:val="0"/>
            </w:pPr>
            <w:r w:rsidRPr="00D85E09">
              <w:t>Multi-MERCI for mechanical thrombectomy.</w:t>
            </w:r>
          </w:p>
          <w:p w14:paraId="3E48B2E7" w14:textId="0C6D8C70" w:rsidR="00A41E60" w:rsidRPr="00D85E09" w:rsidRDefault="00A41E60" w:rsidP="0043316B">
            <w:pPr>
              <w:pStyle w:val="Tabletext"/>
              <w:keepNext w:val="0"/>
              <w:widowControl w:val="0"/>
            </w:pPr>
            <w:r w:rsidRPr="00D85E09">
              <w:t>PROACT II and other published evidence for IV</w:t>
            </w:r>
            <w:r w:rsidR="00D32933" w:rsidRPr="00D85E09">
              <w:t>-</w:t>
            </w:r>
            <w:r w:rsidRPr="00D85E09">
              <w:t>tPA.</w:t>
            </w:r>
          </w:p>
        </w:tc>
        <w:tc>
          <w:tcPr>
            <w:tcW w:w="1504" w:type="pct"/>
            <w:tcBorders>
              <w:top w:val="single" w:sz="4" w:space="0" w:color="000000"/>
              <w:left w:val="single" w:sz="4" w:space="0" w:color="000000"/>
              <w:bottom w:val="single" w:sz="4" w:space="0" w:color="000000"/>
              <w:right w:val="single" w:sz="4" w:space="0" w:color="000000"/>
            </w:tcBorders>
            <w:hideMark/>
          </w:tcPr>
          <w:p w14:paraId="06042AE7" w14:textId="3C652F6C" w:rsidR="00A41E60" w:rsidRPr="00D85E09" w:rsidRDefault="00A41E60" w:rsidP="00AB4BBF">
            <w:pPr>
              <w:pStyle w:val="Tabletext"/>
              <w:keepNext w:val="0"/>
              <w:widowControl w:val="0"/>
            </w:pPr>
            <w:r w:rsidRPr="00D85E09">
              <w:t>Model structure/ approaches similar to Kim 2011 above</w:t>
            </w:r>
          </w:p>
        </w:tc>
        <w:tc>
          <w:tcPr>
            <w:tcW w:w="1398" w:type="pct"/>
            <w:tcBorders>
              <w:top w:val="single" w:sz="4" w:space="0" w:color="000000"/>
              <w:left w:val="single" w:sz="4" w:space="0" w:color="000000"/>
              <w:bottom w:val="single" w:sz="4" w:space="0" w:color="000000"/>
              <w:right w:val="single" w:sz="4" w:space="0" w:color="000000"/>
            </w:tcBorders>
            <w:hideMark/>
          </w:tcPr>
          <w:p w14:paraId="68EE915E" w14:textId="77777777" w:rsidR="00A41E60" w:rsidRPr="00D85E09" w:rsidRDefault="00A41E60" w:rsidP="0043316B">
            <w:pPr>
              <w:pStyle w:val="Tabletext"/>
              <w:keepNext w:val="0"/>
              <w:widowControl w:val="0"/>
            </w:pPr>
            <w:r w:rsidRPr="00D85E09">
              <w:t>US$12,120 per additional QALY (2008 values).</w:t>
            </w:r>
          </w:p>
        </w:tc>
      </w:tr>
    </w:tbl>
    <w:p w14:paraId="252F8F1A" w14:textId="77777777" w:rsidR="00A41E60" w:rsidRPr="00D85E09" w:rsidRDefault="00A41E60" w:rsidP="0043316B">
      <w:pPr>
        <w:widowControl w:val="0"/>
      </w:pPr>
    </w:p>
    <w:p w14:paraId="2C919032" w14:textId="361A55A9" w:rsidR="00A41E60" w:rsidRPr="00D85E09" w:rsidRDefault="00A41E60" w:rsidP="0043316B">
      <w:pPr>
        <w:pStyle w:val="Heading3"/>
        <w:keepNext w:val="0"/>
        <w:widowControl w:val="0"/>
        <w:ind w:left="993" w:hanging="993"/>
        <w:rPr>
          <w:lang w:val="en-AU"/>
        </w:rPr>
      </w:pPr>
      <w:bookmarkStart w:id="516" w:name="_Ref451516584"/>
      <w:bookmarkStart w:id="517" w:name="_Toc453065311"/>
      <w:r w:rsidRPr="00D85E09">
        <w:rPr>
          <w:lang w:val="en-AU"/>
        </w:rPr>
        <w:t>Structure of the economic evaluation</w:t>
      </w:r>
      <w:bookmarkEnd w:id="507"/>
      <w:bookmarkEnd w:id="508"/>
      <w:r w:rsidRPr="00D85E09">
        <w:rPr>
          <w:lang w:val="en-AU"/>
        </w:rPr>
        <w:t xml:space="preserve"> and justification</w:t>
      </w:r>
      <w:bookmarkEnd w:id="516"/>
      <w:bookmarkEnd w:id="517"/>
    </w:p>
    <w:p w14:paraId="67558708" w14:textId="77777777" w:rsidR="00A41E60" w:rsidRPr="00D85E09" w:rsidRDefault="00A41E60" w:rsidP="0043316B">
      <w:pPr>
        <w:pStyle w:val="Heading5"/>
        <w:widowControl w:val="0"/>
        <w:rPr>
          <w:lang w:val="en-AU"/>
        </w:rPr>
      </w:pPr>
      <w:r w:rsidRPr="00D85E09">
        <w:rPr>
          <w:lang w:val="en-AU"/>
        </w:rPr>
        <w:t>Overview of the model structure</w:t>
      </w:r>
    </w:p>
    <w:p w14:paraId="572A38F0" w14:textId="5FE4DDDE" w:rsidR="00A41E60" w:rsidRPr="00D85E09" w:rsidRDefault="00A41E60" w:rsidP="0043316B">
      <w:pPr>
        <w:widowControl w:val="0"/>
      </w:pPr>
      <w:r w:rsidRPr="00D85E09">
        <w:t xml:space="preserve">The model takes a form of “decision tree” analysis to 12 months, following by a Markov model structure. The model is split into three phases; an acute phase from 7 to 10 days from onset or discharge (taken as 7 days for convenience hereafter) to 90 days, a mid-term phase from 91 days to 12 months and a long-term phase spanning from +1 year up to the end of the patients’ life with the maximum age of 100. The model had a total of seven health states based on mRS scores 0 to 6. The diagrammatic depiction of the acute/mid-term model structures for the base case can be found </w:t>
      </w:r>
      <w:r w:rsidRPr="00D85E09">
        <w:fldChar w:fldCharType="begin"/>
      </w:r>
      <w:r w:rsidRPr="00D85E09">
        <w:instrText xml:space="preserve"> REF _Ref448412889 \h </w:instrText>
      </w:r>
      <w:r w:rsidRPr="00D85E09">
        <w:fldChar w:fldCharType="separate"/>
      </w:r>
      <w:r w:rsidR="00A456ED" w:rsidRPr="00D85E09">
        <w:t xml:space="preserve">Figure </w:t>
      </w:r>
      <w:r w:rsidR="00A456ED">
        <w:rPr>
          <w:noProof/>
        </w:rPr>
        <w:t>14</w:t>
      </w:r>
      <w:r w:rsidRPr="00D85E09">
        <w:fldChar w:fldCharType="end"/>
      </w:r>
      <w:r w:rsidRPr="00D85E09">
        <w:t xml:space="preserve"> and </w:t>
      </w:r>
      <w:r w:rsidRPr="00D85E09">
        <w:fldChar w:fldCharType="begin"/>
      </w:r>
      <w:r w:rsidRPr="00D85E09">
        <w:instrText xml:space="preserve"> REF _Ref448754488 \h </w:instrText>
      </w:r>
      <w:r w:rsidRPr="00D85E09">
        <w:fldChar w:fldCharType="separate"/>
      </w:r>
      <w:r w:rsidR="00A456ED" w:rsidRPr="00D85E09">
        <w:t xml:space="preserve">Figure </w:t>
      </w:r>
      <w:r w:rsidR="00A456ED">
        <w:rPr>
          <w:noProof/>
        </w:rPr>
        <w:t>15</w:t>
      </w:r>
      <w:r w:rsidRPr="00D85E09">
        <w:fldChar w:fldCharType="end"/>
      </w:r>
      <w:r w:rsidRPr="00D85E09">
        <w:t>.</w:t>
      </w:r>
    </w:p>
    <w:p w14:paraId="09D732C5" w14:textId="064B1D9D" w:rsidR="00A41E60" w:rsidRPr="00D85E09" w:rsidRDefault="00A41E60" w:rsidP="0043316B">
      <w:pPr>
        <w:widowControl w:val="0"/>
        <w:jc w:val="center"/>
      </w:pPr>
      <w:r w:rsidRPr="00D85E09">
        <w:rPr>
          <w:noProof/>
          <w:lang w:eastAsia="en-AU"/>
        </w:rPr>
        <w:lastRenderedPageBreak/>
        <w:drawing>
          <wp:inline distT="0" distB="0" distL="0" distR="0" wp14:anchorId="11398550" wp14:editId="5B04FD75">
            <wp:extent cx="3159125" cy="4322445"/>
            <wp:effectExtent l="0" t="0" r="3175" b="1905"/>
            <wp:docPr id="22" name="Picture 22" descr="Decision tree structure for the acute phase (to Day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9125" cy="4322445"/>
                    </a:xfrm>
                    <a:prstGeom prst="rect">
                      <a:avLst/>
                    </a:prstGeom>
                    <a:noFill/>
                    <a:ln>
                      <a:noFill/>
                    </a:ln>
                  </pic:spPr>
                </pic:pic>
              </a:graphicData>
            </a:graphic>
          </wp:inline>
        </w:drawing>
      </w:r>
    </w:p>
    <w:p w14:paraId="1FC37268" w14:textId="58FD8C77" w:rsidR="00A41E60" w:rsidRPr="00D85E09" w:rsidRDefault="00A41E60" w:rsidP="0043316B">
      <w:pPr>
        <w:pStyle w:val="Caption"/>
        <w:keepNext w:val="0"/>
        <w:widowControl w:val="0"/>
        <w:rPr>
          <w:lang w:val="en-AU"/>
        </w:rPr>
      </w:pPr>
      <w:bookmarkStart w:id="518" w:name="_Ref448412889"/>
      <w:bookmarkStart w:id="519" w:name="_Toc453065461"/>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14</w:t>
      </w:r>
      <w:r w:rsidRPr="00D85E09">
        <w:rPr>
          <w:lang w:val="en-AU"/>
        </w:rPr>
        <w:fldChar w:fldCharType="end"/>
      </w:r>
      <w:bookmarkEnd w:id="518"/>
      <w:r w:rsidRPr="00D85E09">
        <w:rPr>
          <w:lang w:val="en-AU"/>
        </w:rPr>
        <w:tab/>
        <w:t>Decision tree structure for the acute phase (to Day 90)</w:t>
      </w:r>
      <w:bookmarkEnd w:id="519"/>
    </w:p>
    <w:p w14:paraId="2808B428" w14:textId="77777777" w:rsidR="00A41E60" w:rsidRPr="00D85E09" w:rsidRDefault="00A41E60" w:rsidP="0043316B">
      <w:pPr>
        <w:widowControl w:val="0"/>
      </w:pPr>
    </w:p>
    <w:p w14:paraId="70F43B18" w14:textId="5A828317" w:rsidR="00A41E60" w:rsidRPr="00D85E09" w:rsidRDefault="00A41E60" w:rsidP="0043316B">
      <w:pPr>
        <w:widowControl w:val="0"/>
        <w:jc w:val="center"/>
      </w:pPr>
      <w:r w:rsidRPr="00D85E09">
        <w:rPr>
          <w:noProof/>
          <w:lang w:eastAsia="en-AU"/>
        </w:rPr>
        <w:lastRenderedPageBreak/>
        <w:drawing>
          <wp:inline distT="0" distB="0" distL="0" distR="0" wp14:anchorId="66BC14F1" wp14:editId="624F3D39">
            <wp:extent cx="3134995" cy="4880610"/>
            <wp:effectExtent l="0" t="0" r="8255" b="0"/>
            <wp:docPr id="21" name="Picture 21" descr="Decision tree structure for the acute phase (to Day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4995" cy="4880610"/>
                    </a:xfrm>
                    <a:prstGeom prst="rect">
                      <a:avLst/>
                    </a:prstGeom>
                    <a:noFill/>
                    <a:ln>
                      <a:noFill/>
                    </a:ln>
                  </pic:spPr>
                </pic:pic>
              </a:graphicData>
            </a:graphic>
          </wp:inline>
        </w:drawing>
      </w:r>
    </w:p>
    <w:p w14:paraId="648BFC61" w14:textId="2422EF4E" w:rsidR="00A41E60" w:rsidRPr="00D85E09" w:rsidRDefault="00A41E60" w:rsidP="0043316B">
      <w:pPr>
        <w:pStyle w:val="Caption"/>
        <w:keepNext w:val="0"/>
        <w:widowControl w:val="0"/>
        <w:rPr>
          <w:lang w:val="en-AU"/>
        </w:rPr>
      </w:pPr>
      <w:bookmarkStart w:id="520" w:name="_Ref448754488"/>
      <w:bookmarkStart w:id="521" w:name="_Toc453065462"/>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15</w:t>
      </w:r>
      <w:r w:rsidRPr="00D85E09">
        <w:rPr>
          <w:lang w:val="en-AU"/>
        </w:rPr>
        <w:fldChar w:fldCharType="end"/>
      </w:r>
      <w:bookmarkEnd w:id="520"/>
      <w:r w:rsidRPr="00D85E09">
        <w:rPr>
          <w:lang w:val="en-AU"/>
        </w:rPr>
        <w:tab/>
        <w:t>Decision tree structure for the acute phase (to Day 365)</w:t>
      </w:r>
      <w:bookmarkEnd w:id="521"/>
    </w:p>
    <w:p w14:paraId="695E0E65" w14:textId="77777777" w:rsidR="00A41E60" w:rsidRPr="00D85E09" w:rsidRDefault="00A41E60" w:rsidP="0043316B">
      <w:pPr>
        <w:widowControl w:val="0"/>
      </w:pPr>
    </w:p>
    <w:p w14:paraId="585B2DE1" w14:textId="061DABDF" w:rsidR="00A41E60" w:rsidRPr="00D85E09" w:rsidRDefault="00A41E60" w:rsidP="0043316B">
      <w:pPr>
        <w:widowControl w:val="0"/>
      </w:pPr>
      <w:r w:rsidRPr="00D85E09">
        <w:t>The long-term Markov model (i.e., post 12 months) under the base case follows the occurrence of other cause deaths and stroke recurrence. Transitions in mRS are only triggered by these events. Of note, the 12-month mRS distribution in the model are informed by the 3-year observational study (Gensicke et al 2013; as discussed in Section C.7); this is a simplification but tested in sensitivity analysis.</w:t>
      </w:r>
    </w:p>
    <w:tbl>
      <w:tblPr>
        <w:tblStyle w:val="TableGrid"/>
        <w:tblW w:w="0" w:type="auto"/>
        <w:tblLook w:val="04A0" w:firstRow="1" w:lastRow="0" w:firstColumn="1" w:lastColumn="0" w:noHBand="0" w:noVBand="1"/>
        <w:tblDescription w:val="Notes to the evaluators/MSAC"/>
      </w:tblPr>
      <w:tblGrid>
        <w:gridCol w:w="8778"/>
      </w:tblGrid>
      <w:tr w:rsidR="00A41E60" w:rsidRPr="00D85E09" w14:paraId="2F76396A"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7E17BC0" w14:textId="77777777" w:rsidR="00A41E60" w:rsidRPr="00D85E09" w:rsidRDefault="00A41E60" w:rsidP="0043316B">
            <w:pPr>
              <w:pStyle w:val="Tabletext"/>
              <w:keepNext w:val="0"/>
              <w:widowControl w:val="0"/>
              <w:rPr>
                <w:b/>
                <w:i/>
              </w:rPr>
            </w:pPr>
            <w:r w:rsidRPr="00D85E09">
              <w:rPr>
                <w:b/>
                <w:i/>
              </w:rPr>
              <w:t>Notes to the evaluators / MSAC</w:t>
            </w:r>
          </w:p>
          <w:p w14:paraId="10553245" w14:textId="7BAA0FFD" w:rsidR="00A41E60" w:rsidRPr="00D85E09" w:rsidRDefault="00A41E60" w:rsidP="0043316B">
            <w:pPr>
              <w:pStyle w:val="Tabletext"/>
              <w:keepNext w:val="0"/>
              <w:widowControl w:val="0"/>
            </w:pPr>
            <w:r w:rsidRPr="00D85E09">
              <w:t xml:space="preserve">As described in Section </w:t>
            </w:r>
            <w:r w:rsidR="00092415" w:rsidRPr="00D85E09">
              <w:fldChar w:fldCharType="begin"/>
            </w:r>
            <w:r w:rsidR="00092415" w:rsidRPr="00D85E09">
              <w:instrText xml:space="preserve"> REF _Ref452113564 \r \h </w:instrText>
            </w:r>
            <w:r w:rsidR="00092415" w:rsidRPr="00D85E09">
              <w:fldChar w:fldCharType="separate"/>
            </w:r>
            <w:r w:rsidR="00A456ED">
              <w:t>C.7.3</w:t>
            </w:r>
            <w:r w:rsidR="00092415" w:rsidRPr="00D85E09">
              <w:fldChar w:fldCharType="end"/>
            </w:r>
            <w:r w:rsidRPr="00D85E09">
              <w:t>, the modelling of recurrent stroke and associated mRS transitions adds considerable complexity to the overall model structure and data requirements. The Excel model provided with the submission incorporates separate models that omit the risk of recurrent stroke. Findings from these simplified models are presented as sensitivity analysis in Section D.5. These simplified model demonstrate that the omission of stroke recurrence has minimal impacts on the ICER; $12,880 in the base case and $8,801/$15,953 based on the models with no stroke recurrence (see Section D.5</w:t>
            </w:r>
            <w:r w:rsidR="00092415" w:rsidRPr="00D85E09">
              <w:t>.3</w:t>
            </w:r>
            <w:r w:rsidRPr="00D85E09">
              <w:t xml:space="preserve"> for further discussion). </w:t>
            </w:r>
          </w:p>
        </w:tc>
      </w:tr>
    </w:tbl>
    <w:p w14:paraId="658561C3" w14:textId="77777777" w:rsidR="00A41E60" w:rsidRPr="00D85E09" w:rsidRDefault="00A41E60" w:rsidP="0043316B">
      <w:pPr>
        <w:widowControl w:val="0"/>
      </w:pPr>
    </w:p>
    <w:p w14:paraId="49044FE7" w14:textId="6790CE36" w:rsidR="00A41E60" w:rsidRPr="00D85E09" w:rsidRDefault="00A41E60" w:rsidP="0043316B">
      <w:pPr>
        <w:widowControl w:val="0"/>
      </w:pPr>
      <w:r w:rsidRPr="00D85E09">
        <w:t>This economic analysis is conducted assuming an Australian healthcare provider perspective and a life</w:t>
      </w:r>
      <w:r w:rsidR="00300BB6" w:rsidRPr="00D85E09">
        <w:t>-time</w:t>
      </w:r>
      <w:r w:rsidRPr="00D85E09">
        <w:t xml:space="preserve"> time horizon is considered. Health outcomes and future costs are discounted </w:t>
      </w:r>
      <w:r w:rsidRPr="00D85E09">
        <w:lastRenderedPageBreak/>
        <w:t>at 5%.</w:t>
      </w:r>
    </w:p>
    <w:p w14:paraId="457A377F" w14:textId="093E9C53" w:rsidR="00A41E60" w:rsidRPr="00D85E09" w:rsidRDefault="00A41E60" w:rsidP="0043316B">
      <w:pPr>
        <w:widowControl w:val="0"/>
        <w:rPr>
          <w:i/>
        </w:rPr>
      </w:pPr>
      <w:r w:rsidRPr="00D85E09">
        <w:rPr>
          <w:i/>
        </w:rPr>
        <w:t>Notable assumptions are italicised in describing the model approach and structure in the following sections.</w:t>
      </w:r>
    </w:p>
    <w:p w14:paraId="7CAFD029" w14:textId="77777777" w:rsidR="00A41E60" w:rsidRPr="00D85E09" w:rsidRDefault="00A41E60" w:rsidP="0043316B">
      <w:pPr>
        <w:pStyle w:val="Heading5"/>
        <w:widowControl w:val="0"/>
        <w:rPr>
          <w:lang w:val="en-AU"/>
        </w:rPr>
      </w:pPr>
      <w:r w:rsidRPr="00D85E09">
        <w:rPr>
          <w:lang w:val="en-AU"/>
        </w:rPr>
        <w:t>Acute phase (to Day 90)</w:t>
      </w:r>
    </w:p>
    <w:p w14:paraId="7FD1AA9A" w14:textId="3DA47B31" w:rsidR="00A41E60" w:rsidRPr="00D85E09" w:rsidRDefault="00A41E60" w:rsidP="0043316B">
      <w:pPr>
        <w:widowControl w:val="0"/>
      </w:pPr>
      <w:r w:rsidRPr="00D85E09">
        <w:t>The acute phase modelled patients from symptom onset to 90 days post</w:t>
      </w:r>
      <w:r w:rsidR="00300BB6" w:rsidRPr="00D85E09">
        <w:t>-</w:t>
      </w:r>
      <w:r w:rsidRPr="00D85E09">
        <w:t xml:space="preserve">stroke. </w:t>
      </w:r>
      <w:r w:rsidRPr="00D85E09">
        <w:rPr>
          <w:i/>
        </w:rPr>
        <w:t>All treatment effects are assumed to occur within the acute phase.</w:t>
      </w:r>
      <w:r w:rsidRPr="00D85E09">
        <w:t xml:space="preserve"> The diagrammatic representation of the acute model structure can be found in </w:t>
      </w:r>
      <w:r w:rsidRPr="00D85E09">
        <w:fldChar w:fldCharType="begin"/>
      </w:r>
      <w:r w:rsidRPr="00D85E09">
        <w:instrText xml:space="preserve"> REF _Ref448412889 \h </w:instrText>
      </w:r>
      <w:r w:rsidRPr="00D85E09">
        <w:fldChar w:fldCharType="separate"/>
      </w:r>
      <w:r w:rsidR="00A456ED" w:rsidRPr="00D85E09">
        <w:t xml:space="preserve">Figure </w:t>
      </w:r>
      <w:r w:rsidR="00A456ED">
        <w:rPr>
          <w:noProof/>
        </w:rPr>
        <w:t>14</w:t>
      </w:r>
      <w:r w:rsidRPr="00D85E09">
        <w:fldChar w:fldCharType="end"/>
      </w:r>
      <w:r w:rsidRPr="00D85E09">
        <w:t>.</w:t>
      </w:r>
    </w:p>
    <w:p w14:paraId="298AE3F0" w14:textId="217808E0" w:rsidR="00A41E60" w:rsidRPr="00D85E09" w:rsidRDefault="00A41E60" w:rsidP="0043316B">
      <w:pPr>
        <w:widowControl w:val="0"/>
      </w:pPr>
      <w:r w:rsidRPr="00D85E09">
        <w:t xml:space="preserve">Patients are first assigned to a treatment arm, either mechanical thrombectomy or usual care alone, with equal probability. Patients are then assigned a mRS at 7 days and at 90 days. Of note, no data for mRS at stroke onset were available. For the purpose of QALY calculations, </w:t>
      </w:r>
      <w:r w:rsidRPr="00D85E09">
        <w:rPr>
          <w:i/>
        </w:rPr>
        <w:t>the model assumes the Day 7 mRS distribution to be applicable from the time of stroke onset.</w:t>
      </w:r>
      <w:r w:rsidRPr="00D85E09">
        <w:t xml:space="preserve"> This is a simplification but only has a very limited relevance in terms of QALY calculations (3.5 days if half</w:t>
      </w:r>
      <w:r w:rsidR="00D32933" w:rsidRPr="00D85E09">
        <w:t>-</w:t>
      </w:r>
      <w:r w:rsidRPr="00D85E09">
        <w:t>cycle correction is applied).</w:t>
      </w:r>
    </w:p>
    <w:p w14:paraId="505729C1" w14:textId="7CAB44A9" w:rsidR="00A41E60" w:rsidRPr="00D85E09" w:rsidRDefault="00A41E60" w:rsidP="0043316B">
      <w:pPr>
        <w:widowControl w:val="0"/>
      </w:pPr>
      <w:r w:rsidRPr="00D85E09">
        <w:t xml:space="preserve">In distributing the cohort across mRS scores at Day 7, the Applicant acknowledges the absence of relevant data from RCTs, except for SWIFT PRIME; i.e., only Day 90 mRS data are available from other four RCTs. To address this data gap, when the meta-analysed data or data from other RCTs are used </w:t>
      </w:r>
      <w:r w:rsidRPr="00D85E09">
        <w:rPr>
          <w:i/>
        </w:rPr>
        <w:t>a Day 90 mRS distribution is also applicable at Day 7.</w:t>
      </w:r>
    </w:p>
    <w:p w14:paraId="3AE9BA77" w14:textId="4EBC8058" w:rsidR="00A41E60" w:rsidRPr="00D85E09" w:rsidRDefault="00A41E60" w:rsidP="0043316B">
      <w:pPr>
        <w:widowControl w:val="0"/>
      </w:pPr>
      <w:r w:rsidRPr="00D85E09">
        <w:t>The above assumption is unlikely to have a notable impact on the ICER estimation.</w:t>
      </w:r>
      <w:r w:rsidRPr="00D85E09">
        <w:rPr>
          <w:rStyle w:val="FootnoteReference"/>
        </w:rPr>
        <w:footnoteReference w:id="14"/>
      </w:r>
      <w:r w:rsidRPr="00D85E09">
        <w:t xml:space="preserve"> </w:t>
      </w:r>
      <w:r w:rsidRPr="00D85E09">
        <w:fldChar w:fldCharType="begin"/>
      </w:r>
      <w:r w:rsidRPr="00D85E09">
        <w:instrText xml:space="preserve"> REF _Ref448758394 \h </w:instrText>
      </w:r>
      <w:r w:rsidRPr="00D85E09">
        <w:fldChar w:fldCharType="separate"/>
      </w:r>
      <w:r w:rsidR="00A456ED" w:rsidRPr="00D85E09">
        <w:t xml:space="preserve">Table </w:t>
      </w:r>
      <w:r w:rsidR="00A456ED">
        <w:rPr>
          <w:noProof/>
        </w:rPr>
        <w:t>82</w:t>
      </w:r>
      <w:r w:rsidRPr="00D85E09">
        <w:fldChar w:fldCharType="end"/>
      </w:r>
      <w:r w:rsidRPr="00D85E09">
        <w:t xml:space="preserve"> below presents SWIFT PRIME data where data for both time points are available. It is shown that the direction / extent of mRS changes between Day 7 and Day 90 in each of the treatment arms are by and large consistent with each other; thus this assumption will equally affect both treatment arms. Also, the period for which this assumption becomes relevant is very limited, especially after half</w:t>
      </w:r>
      <w:r w:rsidR="00D32933" w:rsidRPr="00D85E09">
        <w:t>-</w:t>
      </w:r>
      <w:r w:rsidRPr="00D85E09">
        <w:t>cycle correction.</w:t>
      </w:r>
    </w:p>
    <w:p w14:paraId="33A3298B" w14:textId="06F51D92" w:rsidR="00A41E60" w:rsidRPr="00D85E09" w:rsidRDefault="00A41E60" w:rsidP="0043316B">
      <w:pPr>
        <w:pStyle w:val="Caption"/>
        <w:keepNext w:val="0"/>
        <w:widowControl w:val="0"/>
        <w:rPr>
          <w:lang w:val="en-AU"/>
        </w:rPr>
      </w:pPr>
      <w:bookmarkStart w:id="522" w:name="_Ref448758394"/>
      <w:bookmarkStart w:id="523" w:name="_Toc45306541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82</w:t>
      </w:r>
      <w:r w:rsidRPr="00D85E09">
        <w:rPr>
          <w:lang w:val="en-AU"/>
        </w:rPr>
        <w:fldChar w:fldCharType="end"/>
      </w:r>
      <w:bookmarkEnd w:id="522"/>
      <w:r w:rsidRPr="00D85E09">
        <w:rPr>
          <w:lang w:val="en-AU"/>
        </w:rPr>
        <w:tab/>
        <w:t>mRS at Day 7 and at Day 90; SWIFT PRIME</w:t>
      </w:r>
      <w:bookmarkEnd w:id="5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82 mRS at Day 7 and at Day 90; SWIFT PRIME"/>
      </w:tblPr>
      <w:tblGrid>
        <w:gridCol w:w="3075"/>
        <w:gridCol w:w="888"/>
        <w:gridCol w:w="888"/>
        <w:gridCol w:w="888"/>
        <w:gridCol w:w="888"/>
        <w:gridCol w:w="888"/>
        <w:gridCol w:w="888"/>
        <w:gridCol w:w="885"/>
      </w:tblGrid>
      <w:tr w:rsidR="00A41E60" w:rsidRPr="00D85E09" w14:paraId="7324FD2F" w14:textId="77777777" w:rsidTr="00A41E60">
        <w:trPr>
          <w:trHeight w:val="329"/>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157D89D2" w14:textId="77777777" w:rsidR="00A41E60" w:rsidRPr="00D85E09" w:rsidRDefault="00A41E60" w:rsidP="0043316B">
            <w:pPr>
              <w:pStyle w:val="Tabletext"/>
              <w:keepNext w:val="0"/>
              <w:widowControl w:val="0"/>
              <w:rPr>
                <w:b/>
              </w:rPr>
            </w:pPr>
            <w:r w:rsidRPr="00D85E09">
              <w:rPr>
                <w:b/>
              </w:rPr>
              <w:t>mRS</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C1D0C58" w14:textId="77777777" w:rsidR="00A41E60" w:rsidRPr="00D85E09" w:rsidRDefault="00A41E60" w:rsidP="0043316B">
            <w:pPr>
              <w:pStyle w:val="Tabletext"/>
              <w:keepNext w:val="0"/>
              <w:widowControl w:val="0"/>
              <w:rPr>
                <w:b/>
              </w:rPr>
            </w:pPr>
            <w:r w:rsidRPr="00D85E09">
              <w:rPr>
                <w:b/>
              </w:rPr>
              <w:t>mRS 0</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16F3148" w14:textId="77777777" w:rsidR="00A41E60" w:rsidRPr="00D85E09" w:rsidRDefault="00A41E60" w:rsidP="0043316B">
            <w:pPr>
              <w:pStyle w:val="Tabletext"/>
              <w:keepNext w:val="0"/>
              <w:widowControl w:val="0"/>
              <w:rPr>
                <w:b/>
              </w:rPr>
            </w:pPr>
            <w:r w:rsidRPr="00D85E09">
              <w:rPr>
                <w:b/>
              </w:rPr>
              <w:t>mRS 1</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1C28288" w14:textId="77777777" w:rsidR="00A41E60" w:rsidRPr="00D85E09" w:rsidRDefault="00A41E60" w:rsidP="0043316B">
            <w:pPr>
              <w:pStyle w:val="Tabletext"/>
              <w:keepNext w:val="0"/>
              <w:widowControl w:val="0"/>
              <w:rPr>
                <w:b/>
              </w:rPr>
            </w:pPr>
            <w:r w:rsidRPr="00D85E09">
              <w:rPr>
                <w:b/>
              </w:rPr>
              <w:t>mRS 2</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E165A0D" w14:textId="77777777" w:rsidR="00A41E60" w:rsidRPr="00D85E09" w:rsidRDefault="00A41E60" w:rsidP="0043316B">
            <w:pPr>
              <w:pStyle w:val="Tabletext"/>
              <w:keepNext w:val="0"/>
              <w:widowControl w:val="0"/>
              <w:rPr>
                <w:b/>
              </w:rPr>
            </w:pPr>
            <w:r w:rsidRPr="00D85E09">
              <w:rPr>
                <w:b/>
              </w:rPr>
              <w:t>mRS 3</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A895282" w14:textId="77777777" w:rsidR="00A41E60" w:rsidRPr="00D85E09" w:rsidRDefault="00A41E60" w:rsidP="0043316B">
            <w:pPr>
              <w:pStyle w:val="Tabletext"/>
              <w:keepNext w:val="0"/>
              <w:widowControl w:val="0"/>
              <w:rPr>
                <w:b/>
              </w:rPr>
            </w:pPr>
            <w:r w:rsidRPr="00D85E09">
              <w:rPr>
                <w:b/>
              </w:rPr>
              <w:t>mRS 4</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12EF807" w14:textId="77777777" w:rsidR="00A41E60" w:rsidRPr="00D85E09" w:rsidRDefault="00A41E60" w:rsidP="0043316B">
            <w:pPr>
              <w:pStyle w:val="Tabletext"/>
              <w:keepNext w:val="0"/>
              <w:widowControl w:val="0"/>
              <w:rPr>
                <w:b/>
              </w:rPr>
            </w:pPr>
            <w:r w:rsidRPr="00D85E09">
              <w:rPr>
                <w:b/>
              </w:rPr>
              <w:t>mRS 5</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1EE043B" w14:textId="77777777" w:rsidR="00A41E60" w:rsidRPr="00D85E09" w:rsidRDefault="00A41E60" w:rsidP="0043316B">
            <w:pPr>
              <w:pStyle w:val="Tabletext"/>
              <w:keepNext w:val="0"/>
              <w:widowControl w:val="0"/>
              <w:rPr>
                <w:b/>
              </w:rPr>
            </w:pPr>
            <w:r w:rsidRPr="00D85E09">
              <w:rPr>
                <w:b/>
              </w:rPr>
              <w:t>Dead</w:t>
            </w:r>
          </w:p>
        </w:tc>
      </w:tr>
      <w:tr w:rsidR="00A41E60" w:rsidRPr="00D85E09" w14:paraId="6FB13296" w14:textId="77777777" w:rsidTr="00A41E60">
        <w:trPr>
          <w:trHeight w:val="329"/>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6D11E54A" w14:textId="77777777" w:rsidR="00A41E60" w:rsidRPr="00D85E09" w:rsidRDefault="00A41E60" w:rsidP="0043316B">
            <w:pPr>
              <w:pStyle w:val="Tabletext"/>
              <w:keepNext w:val="0"/>
              <w:widowControl w:val="0"/>
            </w:pPr>
            <w:r w:rsidRPr="00D85E09">
              <w:t>At Day 7</w:t>
            </w:r>
          </w:p>
        </w:tc>
        <w:tc>
          <w:tcPr>
            <w:tcW w:w="500" w:type="pct"/>
            <w:tcBorders>
              <w:top w:val="single" w:sz="4" w:space="0" w:color="auto"/>
              <w:left w:val="single" w:sz="4" w:space="0" w:color="auto"/>
              <w:bottom w:val="single" w:sz="4" w:space="0" w:color="auto"/>
              <w:right w:val="single" w:sz="4" w:space="0" w:color="auto"/>
            </w:tcBorders>
            <w:noWrap/>
            <w:vAlign w:val="center"/>
          </w:tcPr>
          <w:p w14:paraId="62963367"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373EE96F"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038E1A33"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D8FC5F4"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0FAA2106"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0CC18E91"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8870AAB" w14:textId="77777777" w:rsidR="00A41E60" w:rsidRPr="00D85E09" w:rsidRDefault="00A41E60" w:rsidP="0043316B">
            <w:pPr>
              <w:pStyle w:val="Tabletext"/>
              <w:keepNext w:val="0"/>
              <w:widowControl w:val="0"/>
            </w:pPr>
          </w:p>
        </w:tc>
      </w:tr>
      <w:tr w:rsidR="00A41E60" w:rsidRPr="00D85E09" w14:paraId="7E11963D" w14:textId="77777777" w:rsidTr="00A41E60">
        <w:trPr>
          <w:trHeight w:val="330"/>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7BEE970E" w14:textId="77777777" w:rsidR="00A41E60" w:rsidRPr="00D85E09" w:rsidRDefault="00A41E60" w:rsidP="0043316B">
            <w:pPr>
              <w:pStyle w:val="Tabletext"/>
              <w:keepNext w:val="0"/>
              <w:widowControl w:val="0"/>
            </w:pPr>
            <w:r w:rsidRPr="00D85E09">
              <w:t>Mechanical thrombectomy + usual care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B25E9F4" w14:textId="77777777" w:rsidR="00A41E60" w:rsidRPr="00D85E09" w:rsidRDefault="00A41E60" w:rsidP="0043316B">
            <w:pPr>
              <w:pStyle w:val="Tabletext"/>
              <w:keepNext w:val="0"/>
              <w:widowControl w:val="0"/>
            </w:pPr>
            <w:r w:rsidRPr="00D85E09">
              <w:t>16.33%</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88CDE7A" w14:textId="77777777" w:rsidR="00A41E60" w:rsidRPr="00D85E09" w:rsidRDefault="00A41E60" w:rsidP="0043316B">
            <w:pPr>
              <w:pStyle w:val="Tabletext"/>
              <w:keepNext w:val="0"/>
              <w:widowControl w:val="0"/>
            </w:pPr>
            <w:r w:rsidRPr="00D85E09">
              <w:t>19.39%</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F3FC7EF" w14:textId="77777777" w:rsidR="00A41E60" w:rsidRPr="00D85E09" w:rsidRDefault="00A41E60" w:rsidP="0043316B">
            <w:pPr>
              <w:pStyle w:val="Tabletext"/>
              <w:keepNext w:val="0"/>
              <w:widowControl w:val="0"/>
            </w:pPr>
            <w:r w:rsidRPr="00D85E09">
              <w:t>9.18%</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CE5FEF5" w14:textId="77777777" w:rsidR="00A41E60" w:rsidRPr="00D85E09" w:rsidRDefault="00A41E60" w:rsidP="0043316B">
            <w:pPr>
              <w:pStyle w:val="Tabletext"/>
              <w:keepNext w:val="0"/>
              <w:widowControl w:val="0"/>
            </w:pPr>
            <w:r w:rsidRPr="00D85E09">
              <w:t>11.22%</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E72BC66" w14:textId="77777777" w:rsidR="00A41E60" w:rsidRPr="00D85E09" w:rsidRDefault="00A41E60" w:rsidP="0043316B">
            <w:pPr>
              <w:pStyle w:val="Tabletext"/>
              <w:keepNext w:val="0"/>
              <w:widowControl w:val="0"/>
            </w:pPr>
            <w:r w:rsidRPr="00D85E09">
              <w:t>14.29%</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2B23BCA" w14:textId="77777777" w:rsidR="00A41E60" w:rsidRPr="00D85E09" w:rsidRDefault="00A41E60" w:rsidP="0043316B">
            <w:pPr>
              <w:pStyle w:val="Tabletext"/>
              <w:keepNext w:val="0"/>
              <w:widowControl w:val="0"/>
            </w:pPr>
            <w:r w:rsidRPr="00D85E09">
              <w:t>27.55%</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AACB110" w14:textId="77777777" w:rsidR="00A41E60" w:rsidRPr="00D85E09" w:rsidRDefault="00A41E60" w:rsidP="0043316B">
            <w:pPr>
              <w:pStyle w:val="Tabletext"/>
              <w:keepNext w:val="0"/>
              <w:widowControl w:val="0"/>
            </w:pPr>
            <w:r w:rsidRPr="00D85E09">
              <w:t>2.04%</w:t>
            </w:r>
          </w:p>
        </w:tc>
      </w:tr>
      <w:tr w:rsidR="00A41E60" w:rsidRPr="00D85E09" w14:paraId="63AB80A8" w14:textId="77777777" w:rsidTr="00A41E60">
        <w:trPr>
          <w:trHeight w:val="329"/>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03BDA3CA" w14:textId="77777777" w:rsidR="00A41E60" w:rsidRPr="00D85E09" w:rsidRDefault="00A41E60" w:rsidP="0043316B">
            <w:pPr>
              <w:pStyle w:val="Tabletext"/>
              <w:keepNext w:val="0"/>
              <w:widowControl w:val="0"/>
            </w:pPr>
            <w:r w:rsidRPr="00D85E09">
              <w:t>Usual care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D413927" w14:textId="77777777" w:rsidR="00A41E60" w:rsidRPr="00D85E09" w:rsidRDefault="00A41E60" w:rsidP="0043316B">
            <w:pPr>
              <w:pStyle w:val="Tabletext"/>
              <w:keepNext w:val="0"/>
              <w:widowControl w:val="0"/>
            </w:pPr>
            <w:r w:rsidRPr="00D85E09">
              <w:t>5.38%</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A3A4C8E" w14:textId="77777777" w:rsidR="00A41E60" w:rsidRPr="00D85E09" w:rsidRDefault="00A41E60" w:rsidP="0043316B">
            <w:pPr>
              <w:pStyle w:val="Tabletext"/>
              <w:keepNext w:val="0"/>
              <w:widowControl w:val="0"/>
            </w:pPr>
            <w:r w:rsidRPr="00D85E09">
              <w:t>7.53%</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997D70D" w14:textId="77777777" w:rsidR="00A41E60" w:rsidRPr="00D85E09" w:rsidRDefault="00A41E60" w:rsidP="0043316B">
            <w:pPr>
              <w:pStyle w:val="Tabletext"/>
              <w:keepNext w:val="0"/>
              <w:widowControl w:val="0"/>
            </w:pPr>
            <w:r w:rsidRPr="00D85E09">
              <w:t>6.45%</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121E40B" w14:textId="77777777" w:rsidR="00A41E60" w:rsidRPr="00D85E09" w:rsidRDefault="00A41E60" w:rsidP="0043316B">
            <w:pPr>
              <w:pStyle w:val="Tabletext"/>
              <w:keepNext w:val="0"/>
              <w:widowControl w:val="0"/>
            </w:pPr>
            <w:r w:rsidRPr="00D85E09">
              <w:t>10.75%</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C36370F" w14:textId="77777777" w:rsidR="00A41E60" w:rsidRPr="00D85E09" w:rsidRDefault="00A41E60" w:rsidP="0043316B">
            <w:pPr>
              <w:pStyle w:val="Tabletext"/>
              <w:keepNext w:val="0"/>
              <w:widowControl w:val="0"/>
            </w:pPr>
            <w:r w:rsidRPr="00D85E09">
              <w:t>24.73%</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6EB3C13" w14:textId="77777777" w:rsidR="00A41E60" w:rsidRPr="00D85E09" w:rsidRDefault="00A41E60" w:rsidP="0043316B">
            <w:pPr>
              <w:pStyle w:val="Tabletext"/>
              <w:keepNext w:val="0"/>
              <w:widowControl w:val="0"/>
            </w:pPr>
            <w:r w:rsidRPr="00D85E09">
              <w:t>39.78%</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96C8808" w14:textId="77777777" w:rsidR="00A41E60" w:rsidRPr="00D85E09" w:rsidRDefault="00A41E60" w:rsidP="0043316B">
            <w:pPr>
              <w:pStyle w:val="Tabletext"/>
              <w:keepNext w:val="0"/>
              <w:widowControl w:val="0"/>
            </w:pPr>
            <w:r w:rsidRPr="00D85E09">
              <w:t>5.38%</w:t>
            </w:r>
          </w:p>
        </w:tc>
      </w:tr>
      <w:tr w:rsidR="00A41E60" w:rsidRPr="00D85E09" w14:paraId="5879E7D2" w14:textId="77777777" w:rsidTr="00A41E60">
        <w:trPr>
          <w:trHeight w:val="330"/>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4573A07F" w14:textId="77777777" w:rsidR="00A41E60" w:rsidRPr="00D85E09" w:rsidRDefault="00A41E60" w:rsidP="0043316B">
            <w:pPr>
              <w:pStyle w:val="Tabletext"/>
              <w:keepNext w:val="0"/>
              <w:widowControl w:val="0"/>
            </w:pPr>
            <w:r w:rsidRPr="00D85E09">
              <w:t>At Day 90</w:t>
            </w:r>
          </w:p>
        </w:tc>
        <w:tc>
          <w:tcPr>
            <w:tcW w:w="500" w:type="pct"/>
            <w:tcBorders>
              <w:top w:val="single" w:sz="4" w:space="0" w:color="auto"/>
              <w:left w:val="single" w:sz="4" w:space="0" w:color="auto"/>
              <w:bottom w:val="single" w:sz="4" w:space="0" w:color="auto"/>
              <w:right w:val="single" w:sz="4" w:space="0" w:color="auto"/>
            </w:tcBorders>
            <w:noWrap/>
            <w:vAlign w:val="center"/>
          </w:tcPr>
          <w:p w14:paraId="7FE0FE73"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58E8B91"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88D3B60"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5D2BBBE6"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1D4414A"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6D9B2CF"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18ADA404" w14:textId="77777777" w:rsidR="00A41E60" w:rsidRPr="00D85E09" w:rsidRDefault="00A41E60" w:rsidP="0043316B">
            <w:pPr>
              <w:pStyle w:val="Tabletext"/>
              <w:keepNext w:val="0"/>
              <w:widowControl w:val="0"/>
            </w:pPr>
          </w:p>
        </w:tc>
      </w:tr>
      <w:tr w:rsidR="00A41E60" w:rsidRPr="00D85E09" w14:paraId="7CE5F49F" w14:textId="77777777" w:rsidTr="00A41E60">
        <w:trPr>
          <w:trHeight w:val="329"/>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57BF503C" w14:textId="77777777" w:rsidR="00A41E60" w:rsidRPr="00D85E09" w:rsidRDefault="00A41E60" w:rsidP="0043316B">
            <w:pPr>
              <w:pStyle w:val="Tabletext"/>
              <w:keepNext w:val="0"/>
              <w:widowControl w:val="0"/>
            </w:pPr>
            <w:r w:rsidRPr="00D85E09">
              <w:t>Mechanical thrombectomy + usual care</w:t>
            </w:r>
          </w:p>
        </w:tc>
        <w:tc>
          <w:tcPr>
            <w:tcW w:w="500" w:type="pct"/>
            <w:tcBorders>
              <w:top w:val="single" w:sz="4" w:space="0" w:color="auto"/>
              <w:left w:val="single" w:sz="4" w:space="0" w:color="auto"/>
              <w:bottom w:val="single" w:sz="4" w:space="0" w:color="auto"/>
              <w:right w:val="single" w:sz="4" w:space="0" w:color="auto"/>
            </w:tcBorders>
            <w:noWrap/>
            <w:hideMark/>
          </w:tcPr>
          <w:p w14:paraId="6175EBAE" w14:textId="77777777" w:rsidR="00A41E60" w:rsidRPr="00D85E09" w:rsidRDefault="00A41E60" w:rsidP="0043316B">
            <w:pPr>
              <w:pStyle w:val="Tabletext"/>
              <w:keepNext w:val="0"/>
              <w:widowControl w:val="0"/>
            </w:pPr>
            <w:r w:rsidRPr="00D85E09">
              <w:t>17.35%</w:t>
            </w:r>
          </w:p>
        </w:tc>
        <w:tc>
          <w:tcPr>
            <w:tcW w:w="500" w:type="pct"/>
            <w:tcBorders>
              <w:top w:val="single" w:sz="4" w:space="0" w:color="auto"/>
              <w:left w:val="single" w:sz="4" w:space="0" w:color="auto"/>
              <w:bottom w:val="single" w:sz="4" w:space="0" w:color="auto"/>
              <w:right w:val="single" w:sz="4" w:space="0" w:color="auto"/>
            </w:tcBorders>
            <w:noWrap/>
            <w:hideMark/>
          </w:tcPr>
          <w:p w14:paraId="03DF62E8" w14:textId="77777777" w:rsidR="00A41E60" w:rsidRPr="00D85E09" w:rsidRDefault="00A41E60" w:rsidP="0043316B">
            <w:pPr>
              <w:pStyle w:val="Tabletext"/>
              <w:keepNext w:val="0"/>
              <w:widowControl w:val="0"/>
            </w:pPr>
            <w:r w:rsidRPr="00D85E09">
              <w:t>25.51%</w:t>
            </w:r>
          </w:p>
        </w:tc>
        <w:tc>
          <w:tcPr>
            <w:tcW w:w="500" w:type="pct"/>
            <w:tcBorders>
              <w:top w:val="single" w:sz="4" w:space="0" w:color="auto"/>
              <w:left w:val="single" w:sz="4" w:space="0" w:color="auto"/>
              <w:bottom w:val="single" w:sz="4" w:space="0" w:color="auto"/>
              <w:right w:val="single" w:sz="4" w:space="0" w:color="auto"/>
            </w:tcBorders>
            <w:noWrap/>
            <w:hideMark/>
          </w:tcPr>
          <w:p w14:paraId="2BE218F4" w14:textId="77777777" w:rsidR="00A41E60" w:rsidRPr="00D85E09" w:rsidRDefault="00A41E60" w:rsidP="0043316B">
            <w:pPr>
              <w:pStyle w:val="Tabletext"/>
              <w:keepNext w:val="0"/>
              <w:widowControl w:val="0"/>
            </w:pPr>
            <w:r w:rsidRPr="00D85E09">
              <w:t>17.35%</w:t>
            </w:r>
          </w:p>
        </w:tc>
        <w:tc>
          <w:tcPr>
            <w:tcW w:w="500" w:type="pct"/>
            <w:tcBorders>
              <w:top w:val="single" w:sz="4" w:space="0" w:color="auto"/>
              <w:left w:val="single" w:sz="4" w:space="0" w:color="auto"/>
              <w:bottom w:val="single" w:sz="4" w:space="0" w:color="auto"/>
              <w:right w:val="single" w:sz="4" w:space="0" w:color="auto"/>
            </w:tcBorders>
            <w:noWrap/>
            <w:hideMark/>
          </w:tcPr>
          <w:p w14:paraId="1BE404BC" w14:textId="77777777" w:rsidR="00A41E60" w:rsidRPr="00D85E09" w:rsidRDefault="00A41E60" w:rsidP="0043316B">
            <w:pPr>
              <w:pStyle w:val="Tabletext"/>
              <w:keepNext w:val="0"/>
              <w:widowControl w:val="0"/>
            </w:pPr>
            <w:r w:rsidRPr="00D85E09">
              <w:t>12.24%</w:t>
            </w:r>
          </w:p>
        </w:tc>
        <w:tc>
          <w:tcPr>
            <w:tcW w:w="500" w:type="pct"/>
            <w:tcBorders>
              <w:top w:val="single" w:sz="4" w:space="0" w:color="auto"/>
              <w:left w:val="single" w:sz="4" w:space="0" w:color="auto"/>
              <w:bottom w:val="single" w:sz="4" w:space="0" w:color="auto"/>
              <w:right w:val="single" w:sz="4" w:space="0" w:color="auto"/>
            </w:tcBorders>
            <w:noWrap/>
            <w:hideMark/>
          </w:tcPr>
          <w:p w14:paraId="15966DB3" w14:textId="77777777" w:rsidR="00A41E60" w:rsidRPr="00D85E09" w:rsidRDefault="00A41E60" w:rsidP="0043316B">
            <w:pPr>
              <w:pStyle w:val="Tabletext"/>
              <w:keepNext w:val="0"/>
              <w:widowControl w:val="0"/>
            </w:pPr>
            <w:r w:rsidRPr="00D85E09">
              <w:t>15.31%</w:t>
            </w:r>
          </w:p>
        </w:tc>
        <w:tc>
          <w:tcPr>
            <w:tcW w:w="500" w:type="pct"/>
            <w:tcBorders>
              <w:top w:val="single" w:sz="4" w:space="0" w:color="auto"/>
              <w:left w:val="single" w:sz="4" w:space="0" w:color="auto"/>
              <w:bottom w:val="single" w:sz="4" w:space="0" w:color="auto"/>
              <w:right w:val="single" w:sz="4" w:space="0" w:color="auto"/>
            </w:tcBorders>
            <w:noWrap/>
            <w:hideMark/>
          </w:tcPr>
          <w:p w14:paraId="46FB37DB" w14:textId="77777777" w:rsidR="00A41E60" w:rsidRPr="00D85E09" w:rsidRDefault="00A41E60" w:rsidP="0043316B">
            <w:pPr>
              <w:pStyle w:val="Tabletext"/>
              <w:keepNext w:val="0"/>
              <w:widowControl w:val="0"/>
            </w:pPr>
            <w:r w:rsidRPr="00D85E09">
              <w:t>3.06%</w:t>
            </w:r>
          </w:p>
        </w:tc>
        <w:tc>
          <w:tcPr>
            <w:tcW w:w="500" w:type="pct"/>
            <w:tcBorders>
              <w:top w:val="single" w:sz="4" w:space="0" w:color="auto"/>
              <w:left w:val="single" w:sz="4" w:space="0" w:color="auto"/>
              <w:bottom w:val="single" w:sz="4" w:space="0" w:color="auto"/>
              <w:right w:val="single" w:sz="4" w:space="0" w:color="auto"/>
            </w:tcBorders>
            <w:noWrap/>
            <w:hideMark/>
          </w:tcPr>
          <w:p w14:paraId="2E9A9F81" w14:textId="77777777" w:rsidR="00A41E60" w:rsidRPr="00D85E09" w:rsidRDefault="00A41E60" w:rsidP="0043316B">
            <w:pPr>
              <w:pStyle w:val="Tabletext"/>
              <w:keepNext w:val="0"/>
              <w:widowControl w:val="0"/>
            </w:pPr>
            <w:r w:rsidRPr="00D85E09">
              <w:t>9.18%</w:t>
            </w:r>
          </w:p>
        </w:tc>
      </w:tr>
      <w:tr w:rsidR="00A41E60" w:rsidRPr="00D85E09" w14:paraId="37CE6D41" w14:textId="77777777" w:rsidTr="00A41E60">
        <w:trPr>
          <w:trHeight w:val="330"/>
        </w:trPr>
        <w:tc>
          <w:tcPr>
            <w:tcW w:w="1502" w:type="pct"/>
            <w:tcBorders>
              <w:top w:val="single" w:sz="4" w:space="0" w:color="auto"/>
              <w:left w:val="single" w:sz="4" w:space="0" w:color="auto"/>
              <w:bottom w:val="single" w:sz="4" w:space="0" w:color="auto"/>
              <w:right w:val="single" w:sz="4" w:space="0" w:color="auto"/>
            </w:tcBorders>
            <w:noWrap/>
            <w:vAlign w:val="center"/>
            <w:hideMark/>
          </w:tcPr>
          <w:p w14:paraId="1CE67305" w14:textId="77777777" w:rsidR="00A41E60" w:rsidRPr="00D85E09" w:rsidRDefault="00A41E60" w:rsidP="0043316B">
            <w:pPr>
              <w:pStyle w:val="Tabletext"/>
              <w:keepNext w:val="0"/>
              <w:widowControl w:val="0"/>
            </w:pPr>
            <w:r w:rsidRPr="00D85E09">
              <w:t>Usual care</w:t>
            </w:r>
          </w:p>
        </w:tc>
        <w:tc>
          <w:tcPr>
            <w:tcW w:w="500" w:type="pct"/>
            <w:tcBorders>
              <w:top w:val="single" w:sz="4" w:space="0" w:color="auto"/>
              <w:left w:val="single" w:sz="4" w:space="0" w:color="auto"/>
              <w:bottom w:val="single" w:sz="4" w:space="0" w:color="auto"/>
              <w:right w:val="single" w:sz="4" w:space="0" w:color="auto"/>
            </w:tcBorders>
            <w:noWrap/>
            <w:hideMark/>
          </w:tcPr>
          <w:p w14:paraId="4FD75903" w14:textId="77777777" w:rsidR="00A41E60" w:rsidRPr="00D85E09" w:rsidRDefault="00A41E60" w:rsidP="0043316B">
            <w:pPr>
              <w:pStyle w:val="Tabletext"/>
              <w:keepNext w:val="0"/>
              <w:widowControl w:val="0"/>
            </w:pPr>
            <w:r w:rsidRPr="00D85E09">
              <w:t>8.60%</w:t>
            </w:r>
          </w:p>
        </w:tc>
        <w:tc>
          <w:tcPr>
            <w:tcW w:w="500" w:type="pct"/>
            <w:tcBorders>
              <w:top w:val="single" w:sz="4" w:space="0" w:color="auto"/>
              <w:left w:val="single" w:sz="4" w:space="0" w:color="auto"/>
              <w:bottom w:val="single" w:sz="4" w:space="0" w:color="auto"/>
              <w:right w:val="single" w:sz="4" w:space="0" w:color="auto"/>
            </w:tcBorders>
            <w:noWrap/>
            <w:hideMark/>
          </w:tcPr>
          <w:p w14:paraId="137EABE6" w14:textId="77777777" w:rsidR="00A41E60" w:rsidRPr="00D85E09" w:rsidRDefault="00A41E60" w:rsidP="0043316B">
            <w:pPr>
              <w:pStyle w:val="Tabletext"/>
              <w:keepNext w:val="0"/>
              <w:widowControl w:val="0"/>
            </w:pPr>
            <w:r w:rsidRPr="00D85E09">
              <w:t>10.75%</w:t>
            </w:r>
          </w:p>
        </w:tc>
        <w:tc>
          <w:tcPr>
            <w:tcW w:w="500" w:type="pct"/>
            <w:tcBorders>
              <w:top w:val="single" w:sz="4" w:space="0" w:color="auto"/>
              <w:left w:val="single" w:sz="4" w:space="0" w:color="auto"/>
              <w:bottom w:val="single" w:sz="4" w:space="0" w:color="auto"/>
              <w:right w:val="single" w:sz="4" w:space="0" w:color="auto"/>
            </w:tcBorders>
            <w:noWrap/>
            <w:hideMark/>
          </w:tcPr>
          <w:p w14:paraId="7D9547EE" w14:textId="77777777" w:rsidR="00A41E60" w:rsidRPr="00D85E09" w:rsidRDefault="00A41E60" w:rsidP="0043316B">
            <w:pPr>
              <w:pStyle w:val="Tabletext"/>
              <w:keepNext w:val="0"/>
              <w:widowControl w:val="0"/>
            </w:pPr>
            <w:r w:rsidRPr="00D85E09">
              <w:t>16.13%</w:t>
            </w:r>
          </w:p>
        </w:tc>
        <w:tc>
          <w:tcPr>
            <w:tcW w:w="500" w:type="pct"/>
            <w:tcBorders>
              <w:top w:val="single" w:sz="4" w:space="0" w:color="auto"/>
              <w:left w:val="single" w:sz="4" w:space="0" w:color="auto"/>
              <w:bottom w:val="single" w:sz="4" w:space="0" w:color="auto"/>
              <w:right w:val="single" w:sz="4" w:space="0" w:color="auto"/>
            </w:tcBorders>
            <w:noWrap/>
            <w:hideMark/>
          </w:tcPr>
          <w:p w14:paraId="62F56A33" w14:textId="77777777" w:rsidR="00A41E60" w:rsidRPr="00D85E09" w:rsidRDefault="00A41E60" w:rsidP="0043316B">
            <w:pPr>
              <w:pStyle w:val="Tabletext"/>
              <w:keepNext w:val="0"/>
              <w:widowControl w:val="0"/>
            </w:pPr>
            <w:r w:rsidRPr="00D85E09">
              <w:t>17.20%</w:t>
            </w:r>
          </w:p>
        </w:tc>
        <w:tc>
          <w:tcPr>
            <w:tcW w:w="500" w:type="pct"/>
            <w:tcBorders>
              <w:top w:val="single" w:sz="4" w:space="0" w:color="auto"/>
              <w:left w:val="single" w:sz="4" w:space="0" w:color="auto"/>
              <w:bottom w:val="single" w:sz="4" w:space="0" w:color="auto"/>
              <w:right w:val="single" w:sz="4" w:space="0" w:color="auto"/>
            </w:tcBorders>
            <w:noWrap/>
            <w:hideMark/>
          </w:tcPr>
          <w:p w14:paraId="7BF8005D" w14:textId="77777777" w:rsidR="00A41E60" w:rsidRPr="00D85E09" w:rsidRDefault="00A41E60" w:rsidP="0043316B">
            <w:pPr>
              <w:pStyle w:val="Tabletext"/>
              <w:keepNext w:val="0"/>
              <w:widowControl w:val="0"/>
            </w:pPr>
            <w:r w:rsidRPr="00D85E09">
              <w:t>21.51%</w:t>
            </w:r>
          </w:p>
        </w:tc>
        <w:tc>
          <w:tcPr>
            <w:tcW w:w="500" w:type="pct"/>
            <w:tcBorders>
              <w:top w:val="single" w:sz="4" w:space="0" w:color="auto"/>
              <w:left w:val="single" w:sz="4" w:space="0" w:color="auto"/>
              <w:bottom w:val="single" w:sz="4" w:space="0" w:color="auto"/>
              <w:right w:val="single" w:sz="4" w:space="0" w:color="auto"/>
            </w:tcBorders>
            <w:noWrap/>
            <w:hideMark/>
          </w:tcPr>
          <w:p w14:paraId="7432E7D1" w14:textId="77777777" w:rsidR="00A41E60" w:rsidRPr="00D85E09" w:rsidRDefault="00A41E60" w:rsidP="0043316B">
            <w:pPr>
              <w:pStyle w:val="Tabletext"/>
              <w:keepNext w:val="0"/>
              <w:widowControl w:val="0"/>
            </w:pPr>
            <w:r w:rsidRPr="00D85E09">
              <w:t>12.90%</w:t>
            </w:r>
          </w:p>
        </w:tc>
        <w:tc>
          <w:tcPr>
            <w:tcW w:w="500" w:type="pct"/>
            <w:tcBorders>
              <w:top w:val="single" w:sz="4" w:space="0" w:color="auto"/>
              <w:left w:val="single" w:sz="4" w:space="0" w:color="auto"/>
              <w:bottom w:val="single" w:sz="4" w:space="0" w:color="auto"/>
              <w:right w:val="single" w:sz="4" w:space="0" w:color="auto"/>
            </w:tcBorders>
            <w:noWrap/>
            <w:hideMark/>
          </w:tcPr>
          <w:p w14:paraId="5FF43CD4" w14:textId="77777777" w:rsidR="00A41E60" w:rsidRPr="00D85E09" w:rsidRDefault="00A41E60" w:rsidP="0043316B">
            <w:pPr>
              <w:pStyle w:val="Tabletext"/>
              <w:keepNext w:val="0"/>
              <w:widowControl w:val="0"/>
            </w:pPr>
            <w:r w:rsidRPr="00D85E09">
              <w:t>12.90%</w:t>
            </w:r>
          </w:p>
        </w:tc>
      </w:tr>
    </w:tbl>
    <w:p w14:paraId="05422119" w14:textId="33369D77" w:rsidR="00A41E60" w:rsidRPr="00D85E09" w:rsidRDefault="00A41E60" w:rsidP="0043316B">
      <w:pPr>
        <w:pStyle w:val="Tablefooter"/>
        <w:widowControl w:val="0"/>
      </w:pPr>
      <w:r w:rsidRPr="00D85E09">
        <w:t>Abbreviations: mRS, modified Rankin Score; SoC, standard of care.</w:t>
      </w:r>
    </w:p>
    <w:p w14:paraId="70BB705D" w14:textId="4055B8F7" w:rsidR="00A41E60" w:rsidRPr="00D85E09" w:rsidRDefault="00A41E60" w:rsidP="0043316B">
      <w:pPr>
        <w:widowControl w:val="0"/>
        <w:rPr>
          <w:i/>
        </w:rPr>
      </w:pPr>
      <w:r w:rsidRPr="00D85E09">
        <w:lastRenderedPageBreak/>
        <w:t xml:space="preserve">It is also assumed that </w:t>
      </w:r>
      <w:r w:rsidRPr="00D85E09">
        <w:rPr>
          <w:i/>
        </w:rPr>
        <w:t>a patient is at no risk of recurrent stroke in this 90-day period.</w:t>
      </w:r>
    </w:p>
    <w:p w14:paraId="61D2944C" w14:textId="77777777" w:rsidR="00A41E60" w:rsidRPr="00D85E09" w:rsidRDefault="00A41E60" w:rsidP="0043316B">
      <w:pPr>
        <w:pStyle w:val="Heading5"/>
        <w:widowControl w:val="0"/>
        <w:rPr>
          <w:rFonts w:eastAsia="MS Mincho"/>
          <w:lang w:val="en-AU"/>
        </w:rPr>
      </w:pPr>
      <w:r w:rsidRPr="00D85E09">
        <w:rPr>
          <w:rFonts w:eastAsia="MS Mincho"/>
          <w:lang w:val="en-AU"/>
        </w:rPr>
        <w:t>Mid-term phase (Day 91 to Day 365)</w:t>
      </w:r>
    </w:p>
    <w:p w14:paraId="669012D4" w14:textId="17B6AABF" w:rsidR="00A41E60" w:rsidRPr="00D85E09" w:rsidRDefault="00A41E60" w:rsidP="0043316B">
      <w:pPr>
        <w:widowControl w:val="0"/>
      </w:pPr>
      <w:r w:rsidRPr="00D85E09">
        <w:t xml:space="preserve">The mid-term phase directly follows the acute phase and spans from 91 days up to 365 days (12 months; see </w:t>
      </w:r>
      <w:r w:rsidRPr="00D85E09">
        <w:fldChar w:fldCharType="begin"/>
      </w:r>
      <w:r w:rsidRPr="00D85E09">
        <w:instrText xml:space="preserve"> REF _Ref448412889 \h </w:instrText>
      </w:r>
      <w:r w:rsidRPr="00D85E09">
        <w:fldChar w:fldCharType="separate"/>
      </w:r>
      <w:r w:rsidR="00A456ED" w:rsidRPr="00D85E09">
        <w:t xml:space="preserve">Figure </w:t>
      </w:r>
      <w:r w:rsidR="00A456ED">
        <w:rPr>
          <w:noProof/>
        </w:rPr>
        <w:t>14</w:t>
      </w:r>
      <w:r w:rsidRPr="00D85E09">
        <w:fldChar w:fldCharType="end"/>
      </w:r>
      <w:r w:rsidRPr="00D85E09">
        <w:t xml:space="preserve">). Improvement / deterioration of post-stroke functional outcomes (or “rehabilitation effects”), represented by allocation into a different mRS from Day 90, are captured in this phase (as informed by Gensicke et al 2013; see Section </w:t>
      </w:r>
      <w:r w:rsidR="00092415" w:rsidRPr="00D85E09">
        <w:fldChar w:fldCharType="begin"/>
      </w:r>
      <w:r w:rsidR="00092415" w:rsidRPr="00D85E09">
        <w:instrText xml:space="preserve"> REF _Ref452371484 \r \h </w:instrText>
      </w:r>
      <w:r w:rsidR="00092415" w:rsidRPr="00D85E09">
        <w:fldChar w:fldCharType="separate"/>
      </w:r>
      <w:r w:rsidR="00A456ED">
        <w:t>C.7</w:t>
      </w:r>
      <w:r w:rsidR="00092415" w:rsidRPr="00D85E09">
        <w:fldChar w:fldCharType="end"/>
      </w:r>
      <w:r w:rsidR="00092415" w:rsidRPr="00D85E09">
        <w:t xml:space="preserve"> </w:t>
      </w:r>
      <w:r w:rsidRPr="00D85E09">
        <w:t xml:space="preserve">for further discussion and justification). Probabilities informing this process are same in both treatment arms. That is, as noted above, </w:t>
      </w:r>
      <w:r w:rsidRPr="00D85E09">
        <w:rPr>
          <w:i/>
        </w:rPr>
        <w:t>no persisting treatment effects directly attributable to the treatment itself exist post 90 days.</w:t>
      </w:r>
    </w:p>
    <w:p w14:paraId="402F4C72" w14:textId="0A0E8B50" w:rsidR="00A41E60" w:rsidRPr="00D85E09" w:rsidRDefault="00A41E60" w:rsidP="0043316B">
      <w:pPr>
        <w:widowControl w:val="0"/>
      </w:pPr>
      <w:r w:rsidRPr="00D85E09">
        <w:t>Sensitivity analysis explores a scenario where no further changes in mRS exist post 90 days.</w:t>
      </w:r>
      <w:r w:rsidRPr="00D85E09">
        <w:rPr>
          <w:rStyle w:val="FootnoteReference"/>
        </w:rPr>
        <w:footnoteReference w:id="15"/>
      </w:r>
    </w:p>
    <w:p w14:paraId="71948DCC" w14:textId="46F43F70" w:rsidR="00A41E60" w:rsidRPr="00D85E09" w:rsidRDefault="00A41E60" w:rsidP="0043316B">
      <w:pPr>
        <w:widowControl w:val="0"/>
      </w:pPr>
      <w:r w:rsidRPr="00D85E09">
        <w:t xml:space="preserve">Patients are subject to risk of recurrent stroke during this phase. The mechanical thrombectomy arm of the model has an option of giving mechanical thrombectomy or usual care alone to patients experiencing a recurrent stroke. </w:t>
      </w:r>
      <w:r w:rsidRPr="00D85E09">
        <w:rPr>
          <w:i/>
        </w:rPr>
        <w:t>The base case analysis assumes that all recurrent strokes are managed on usual care with no mechanical thrombectomy.</w:t>
      </w:r>
      <w:r w:rsidRPr="00D85E09">
        <w:t xml:space="preserve"> This assumption is well justified because the chance of a patient presenting with acute ischaemic stroke receiving a mechanical thrombectomy procedure is very low overall due to stringent patient eligibility selection and service availability (see Section E).</w:t>
      </w:r>
    </w:p>
    <w:p w14:paraId="6B10C9E3" w14:textId="77777777" w:rsidR="00A41E60" w:rsidRPr="00D85E09" w:rsidRDefault="00A41E60" w:rsidP="0043316B">
      <w:pPr>
        <w:widowControl w:val="0"/>
      </w:pPr>
      <w:r w:rsidRPr="00D85E09">
        <w:t xml:space="preserve">Section D.4.1 below will describe the way in which the model performs mRS allocation after recurrent stroke. To put it simply, </w:t>
      </w:r>
      <w:r w:rsidRPr="00D85E09">
        <w:rPr>
          <w:i/>
        </w:rPr>
        <w:t>the patient’s mRS can only be worse than his / her mRS at Day 90</w:t>
      </w:r>
      <w:r w:rsidRPr="00D85E09">
        <w:t xml:space="preserve">. Also, regardless the timing of the recurrence stroke, </w:t>
      </w:r>
      <w:r w:rsidRPr="00D85E09">
        <w:rPr>
          <w:i/>
        </w:rPr>
        <w:t>his /her mRS at the end of the mid-term phase is assumed to have exhausted all possible mRS improvements / deteriorations during the first 12 months of the recurrence stroke onset</w:t>
      </w:r>
      <w:r w:rsidRPr="00D85E09">
        <w:t>. As an extreme example, even if a patient experience a recurrent stroke on the 364</w:t>
      </w:r>
      <w:r w:rsidRPr="00D85E09">
        <w:rPr>
          <w:vertAlign w:val="superscript"/>
        </w:rPr>
        <w:t>th</w:t>
      </w:r>
      <w:r w:rsidRPr="00D85E09">
        <w:t xml:space="preserve"> day from baseline, his / her mRS on Day 365 in the model would reflect what would have been arrived to after the acute care and rehabilitations.</w:t>
      </w:r>
    </w:p>
    <w:p w14:paraId="7E1DF030" w14:textId="1A021F69" w:rsidR="00A41E60" w:rsidRPr="00D85E09" w:rsidRDefault="00A41E60" w:rsidP="0043316B">
      <w:pPr>
        <w:widowControl w:val="0"/>
      </w:pPr>
      <w:r w:rsidRPr="00D85E09">
        <w:t xml:space="preserve">To avoid double counting, </w:t>
      </w:r>
      <w:r w:rsidRPr="00D85E09">
        <w:rPr>
          <w:i/>
        </w:rPr>
        <w:t>no “other cause” deaths are captured in the acute / mid-term phases</w:t>
      </w:r>
      <w:r w:rsidRPr="00D85E09">
        <w:t>. All deaths are hence due to index stroke and recurrent stroke (represented by an allocation to mRS6).</w:t>
      </w:r>
    </w:p>
    <w:p w14:paraId="5D9462D6" w14:textId="77777777" w:rsidR="00A41E60" w:rsidRPr="00D85E09" w:rsidRDefault="00A41E60" w:rsidP="0043316B">
      <w:pPr>
        <w:pStyle w:val="Heading5"/>
        <w:widowControl w:val="0"/>
        <w:rPr>
          <w:lang w:val="en-AU"/>
        </w:rPr>
      </w:pPr>
      <w:r w:rsidRPr="00D85E09">
        <w:rPr>
          <w:lang w:val="en-AU"/>
        </w:rPr>
        <w:t>Long-term phase (post Month 12)</w:t>
      </w:r>
    </w:p>
    <w:p w14:paraId="20A0A042" w14:textId="27635A06" w:rsidR="00A41E60" w:rsidRPr="00D85E09" w:rsidRDefault="00A41E60" w:rsidP="0043316B">
      <w:pPr>
        <w:widowControl w:val="0"/>
      </w:pPr>
      <w:r w:rsidRPr="00D85E09">
        <w:t>The base case analysis will take a life</w:t>
      </w:r>
      <w:r w:rsidR="00D32933" w:rsidRPr="00D85E09">
        <w:t>-</w:t>
      </w:r>
      <w:r w:rsidRPr="00D85E09">
        <w:t xml:space="preserve">time duration with the maximum age of 100 years. The </w:t>
      </w:r>
      <w:r w:rsidRPr="00D85E09">
        <w:lastRenderedPageBreak/>
        <w:t>life</w:t>
      </w:r>
      <w:r w:rsidR="00D32933" w:rsidRPr="00D85E09">
        <w:t>-</w:t>
      </w:r>
      <w:r w:rsidRPr="00D85E09">
        <w:t>time model is the only way to adequately capture the mortality benefits offered by mechanical thrombectomy over usual care (15.3% vs 18.9% at Day 90; see Section D.4.1 below).</w:t>
      </w:r>
      <w:r w:rsidRPr="00D85E09">
        <w:rPr>
          <w:rStyle w:val="FootnoteReference"/>
        </w:rPr>
        <w:footnoteReference w:id="16"/>
      </w:r>
    </w:p>
    <w:p w14:paraId="4D30C8C3" w14:textId="6DC8573F" w:rsidR="00A41E60" w:rsidRPr="00D85E09" w:rsidRDefault="00A41E60" w:rsidP="0043316B">
      <w:pPr>
        <w:widowControl w:val="0"/>
      </w:pPr>
      <w:r w:rsidRPr="00D85E09">
        <w:t xml:space="preserve">The long-term phase of the model is built on the Markov methodology. The model applies annual cycles and health state transitions can only be triggered by recurrent stroke in the base case model (causing changes in mRS; see Section </w:t>
      </w:r>
      <w:r w:rsidR="00092415" w:rsidRPr="00D85E09">
        <w:fldChar w:fldCharType="begin"/>
      </w:r>
      <w:r w:rsidR="00092415" w:rsidRPr="00D85E09">
        <w:instrText xml:space="preserve"> REF _Ref451421814 \r \h </w:instrText>
      </w:r>
      <w:r w:rsidR="00092415" w:rsidRPr="00D85E09">
        <w:fldChar w:fldCharType="separate"/>
      </w:r>
      <w:r w:rsidR="00A456ED">
        <w:t>C.6</w:t>
      </w:r>
      <w:r w:rsidR="00092415" w:rsidRPr="00D85E09">
        <w:fldChar w:fldCharType="end"/>
      </w:r>
      <w:r w:rsidRPr="00D85E09">
        <w:t xml:space="preserve">). Again, patients in the mechanical thrombectomy arm can have an option of having another mechanical thrombectomy or receiving usual care for the treatment of recurrent stroke. </w:t>
      </w:r>
      <w:r w:rsidRPr="00D85E09">
        <w:rPr>
          <w:i/>
        </w:rPr>
        <w:t>As per the mid-term phase, the base case analysis assumes that all recurrent strokes are managed on usual care with no mechanical thrombectomy.</w:t>
      </w:r>
      <w:r w:rsidRPr="00D85E09">
        <w:t xml:space="preserve"> Other cause deaths are also captured during the long-term period.</w:t>
      </w:r>
    </w:p>
    <w:tbl>
      <w:tblPr>
        <w:tblStyle w:val="TableGrid"/>
        <w:tblW w:w="0" w:type="auto"/>
        <w:tblLook w:val="04A0" w:firstRow="1" w:lastRow="0" w:firstColumn="1" w:lastColumn="0" w:noHBand="0" w:noVBand="1"/>
        <w:tblDescription w:val="Notes to the evaluators/MSAC"/>
      </w:tblPr>
      <w:tblGrid>
        <w:gridCol w:w="8778"/>
      </w:tblGrid>
      <w:tr w:rsidR="00A41E60" w:rsidRPr="00D85E09" w14:paraId="05EBCFB5" w14:textId="77777777" w:rsidTr="00BE6331">
        <w:trPr>
          <w:tblHeader/>
        </w:trPr>
        <w:tc>
          <w:tcPr>
            <w:tcW w:w="87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92B0F0" w14:textId="77777777" w:rsidR="00A41E60" w:rsidRPr="00D85E09" w:rsidRDefault="00A41E60" w:rsidP="0043316B">
            <w:pPr>
              <w:pStyle w:val="Tabletext"/>
              <w:keepNext w:val="0"/>
              <w:widowControl w:val="0"/>
              <w:rPr>
                <w:b/>
                <w:i/>
              </w:rPr>
            </w:pPr>
            <w:r w:rsidRPr="00D85E09">
              <w:rPr>
                <w:b/>
                <w:i/>
              </w:rPr>
              <w:t>Notes to the evaluators / MSAC</w:t>
            </w:r>
          </w:p>
          <w:p w14:paraId="0D9AC7B3" w14:textId="4593D901" w:rsidR="00A41E60" w:rsidRPr="00D85E09" w:rsidRDefault="00A41E60" w:rsidP="0043316B">
            <w:pPr>
              <w:pStyle w:val="Tabletext"/>
              <w:keepNext w:val="0"/>
              <w:widowControl w:val="0"/>
            </w:pPr>
            <w:r w:rsidRPr="00D85E09">
              <w:t xml:space="preserve">As described in Section </w:t>
            </w:r>
            <w:r w:rsidR="00092415" w:rsidRPr="00D85E09">
              <w:fldChar w:fldCharType="begin"/>
            </w:r>
            <w:r w:rsidR="00092415" w:rsidRPr="00D85E09">
              <w:instrText xml:space="preserve"> REF _Ref452113564 \r \h </w:instrText>
            </w:r>
            <w:r w:rsidR="00092415" w:rsidRPr="00D85E09">
              <w:fldChar w:fldCharType="separate"/>
            </w:r>
            <w:r w:rsidR="00A456ED">
              <w:t>C.7.3</w:t>
            </w:r>
            <w:r w:rsidR="00092415" w:rsidRPr="00D85E09">
              <w:fldChar w:fldCharType="end"/>
            </w:r>
            <w:r w:rsidRPr="00D85E09">
              <w:t xml:space="preserve">, Alternative Model 2 (presented in sensitivity analysis) assumes a constant mortality rate to be applicable throughout the long-term phase (as informed by Gensicke et al 2013); providing an estimated ICER of $15,953. Section D.5 will demonstrate that this model better captures the post-stroke survival in the long run. </w:t>
            </w:r>
          </w:p>
        </w:tc>
      </w:tr>
    </w:tbl>
    <w:p w14:paraId="428C16A4" w14:textId="77777777" w:rsidR="00A41E60" w:rsidRPr="00D85E09" w:rsidRDefault="00A41E60" w:rsidP="0043316B">
      <w:pPr>
        <w:widowControl w:val="0"/>
      </w:pPr>
    </w:p>
    <w:p w14:paraId="134D5AC9" w14:textId="77777777" w:rsidR="00A41E60" w:rsidRPr="00D85E09" w:rsidRDefault="00A41E60" w:rsidP="0043316B">
      <w:pPr>
        <w:pStyle w:val="Heading3"/>
        <w:keepNext w:val="0"/>
        <w:widowControl w:val="0"/>
        <w:rPr>
          <w:lang w:val="en-AU"/>
        </w:rPr>
      </w:pPr>
      <w:bookmarkStart w:id="524" w:name="_Toc453065312"/>
      <w:r w:rsidRPr="00D85E09">
        <w:rPr>
          <w:lang w:val="en-AU"/>
        </w:rPr>
        <w:t>Calculation of healthcare costs and outcomes</w:t>
      </w:r>
      <w:bookmarkEnd w:id="524"/>
    </w:p>
    <w:p w14:paraId="19A09642" w14:textId="77777777" w:rsidR="00A41E60" w:rsidRPr="00D85E09" w:rsidRDefault="00A41E60" w:rsidP="0043316B">
      <w:pPr>
        <w:widowControl w:val="0"/>
      </w:pPr>
      <w:r w:rsidRPr="00D85E09">
        <w:t xml:space="preserve">Half-cycle correction is incorporated into the model as cycles have been adopted to estimate patient’s transitions between health states. This approach ensures that patients move between states mid-way through each cycle, rather than at the beginning or end of the cycle. As noted above, </w:t>
      </w:r>
      <w:r w:rsidRPr="00D85E09">
        <w:rPr>
          <w:i/>
        </w:rPr>
        <w:t>the model assumes that the mRS distribution immediately after the onset of index stroke is represented by the Day 7 distribution (with no half-cycle correction)</w:t>
      </w:r>
      <w:r w:rsidRPr="00D85E09">
        <w:t>.</w:t>
      </w:r>
    </w:p>
    <w:p w14:paraId="40B10F29" w14:textId="69EFE2D5" w:rsidR="00A41E60" w:rsidRPr="00D85E09" w:rsidRDefault="00A41E60" w:rsidP="0043316B">
      <w:pPr>
        <w:widowControl w:val="0"/>
      </w:pPr>
      <w:r w:rsidRPr="00D85E09">
        <w:t xml:space="preserve">The cost of mechanical thrombectomy is captured at baseline (with no half-cycle correction) and as occurs again upon the incidence of recurrent stroke over time (if applicable). As described in Section </w:t>
      </w:r>
      <w:r w:rsidR="00092415" w:rsidRPr="00D85E09">
        <w:fldChar w:fldCharType="begin"/>
      </w:r>
      <w:r w:rsidR="00092415" w:rsidRPr="00D85E09">
        <w:instrText xml:space="preserve"> REF _Ref452371316 \r \h </w:instrText>
      </w:r>
      <w:r w:rsidR="00092415" w:rsidRPr="00D85E09">
        <w:fldChar w:fldCharType="separate"/>
      </w:r>
      <w:r w:rsidR="00A456ED">
        <w:t>C.5</w:t>
      </w:r>
      <w:r w:rsidR="00092415" w:rsidRPr="00D85E09">
        <w:fldChar w:fldCharType="end"/>
      </w:r>
      <w:r w:rsidRPr="00D85E09">
        <w:t xml:space="preserve">, the stroke management costs by mRS are accrued at Day 90 (acute costs), at Day 365 (mid-term costs) and annually thereafter (long-term costs). </w:t>
      </w:r>
      <w:r w:rsidRPr="00D85E09">
        <w:rPr>
          <w:i/>
        </w:rPr>
        <w:t xml:space="preserve">For simplicity, each episode of recurrent stroke attracts a non-mRS dependent acute / mid-term treatment cost, based on the mean 12-month cost across mRSs ($35,651; see Section </w:t>
      </w:r>
      <w:r w:rsidR="00092415" w:rsidRPr="00D85E09">
        <w:rPr>
          <w:i/>
        </w:rPr>
        <w:fldChar w:fldCharType="begin"/>
      </w:r>
      <w:r w:rsidR="00092415" w:rsidRPr="00D85E09">
        <w:rPr>
          <w:i/>
        </w:rPr>
        <w:instrText xml:space="preserve"> REF _Ref452371316 \r \h </w:instrText>
      </w:r>
      <w:r w:rsidR="00092415" w:rsidRPr="00D85E09">
        <w:rPr>
          <w:i/>
        </w:rPr>
      </w:r>
      <w:r w:rsidR="00092415" w:rsidRPr="00D85E09">
        <w:rPr>
          <w:i/>
        </w:rPr>
        <w:fldChar w:fldCharType="separate"/>
      </w:r>
      <w:r w:rsidR="00A456ED">
        <w:rPr>
          <w:i/>
        </w:rPr>
        <w:t>C.5</w:t>
      </w:r>
      <w:r w:rsidR="00092415" w:rsidRPr="00D85E09">
        <w:rPr>
          <w:i/>
        </w:rPr>
        <w:fldChar w:fldCharType="end"/>
      </w:r>
      <w:r w:rsidRPr="00D85E09">
        <w:rPr>
          <w:i/>
        </w:rPr>
        <w:t>).</w:t>
      </w:r>
    </w:p>
    <w:p w14:paraId="639F5FAD" w14:textId="77777777" w:rsidR="00A41E60" w:rsidRPr="00D85E09" w:rsidRDefault="00A41E60" w:rsidP="0043316B">
      <w:pPr>
        <w:widowControl w:val="0"/>
      </w:pPr>
      <w:r w:rsidRPr="00D85E09">
        <w:t>All health and cost outcomes are discounted at 5%, as required.</w:t>
      </w:r>
    </w:p>
    <w:p w14:paraId="74264A22" w14:textId="63153AAB" w:rsidR="00A41E60" w:rsidRPr="00D85E09" w:rsidRDefault="00A41E60" w:rsidP="0043316B">
      <w:pPr>
        <w:pStyle w:val="Heading3"/>
        <w:keepNext w:val="0"/>
        <w:widowControl w:val="0"/>
        <w:rPr>
          <w:lang w:val="en-AU"/>
        </w:rPr>
      </w:pPr>
      <w:bookmarkStart w:id="525" w:name="_Toc453065313"/>
      <w:r w:rsidRPr="00D85E09">
        <w:rPr>
          <w:lang w:val="en-AU"/>
        </w:rPr>
        <w:t>Justification of the model structure</w:t>
      </w:r>
      <w:bookmarkEnd w:id="525"/>
    </w:p>
    <w:p w14:paraId="7BF6F5D4" w14:textId="0D67BA3D" w:rsidR="00A41E60" w:rsidRPr="00D85E09" w:rsidRDefault="00A41E60" w:rsidP="0043316B">
      <w:pPr>
        <w:widowControl w:val="0"/>
      </w:pPr>
      <w:r w:rsidRPr="00D85E09">
        <w:t>The model structure is designed to offer transparency without compromising necessary complexities vital in examining the cost-effectiveness of mechanical thrombectomy.</w:t>
      </w:r>
    </w:p>
    <w:p w14:paraId="4C41D368" w14:textId="05B7CE49" w:rsidR="00A41E60" w:rsidRPr="00D85E09" w:rsidRDefault="00A41E60" w:rsidP="0043316B">
      <w:pPr>
        <w:widowControl w:val="0"/>
      </w:pPr>
      <w:r w:rsidRPr="00D85E09">
        <w:t xml:space="preserve">The primary goal of the model is to capture long-term functional benefits offered by </w:t>
      </w:r>
      <w:r w:rsidRPr="00D85E09">
        <w:lastRenderedPageBreak/>
        <w:t xml:space="preserve">mechanical thrombectomy vs usual care. The extent of post-stroke disability, as defined by mRS, is a relevant patient outcome, if not the most relevant, that has direct implications to the patient QoL and healthcare costs. It also has direct implications for indirect costs – e.g. reduced workforce participation arising from family carer responsibilities. As described in Section </w:t>
      </w:r>
      <w:r w:rsidRPr="00D85E09">
        <w:fldChar w:fldCharType="begin"/>
      </w:r>
      <w:r w:rsidRPr="00D85E09">
        <w:instrText xml:space="preserve"> REF _Ref448336933 \r \h  \* MERGEFORMAT </w:instrText>
      </w:r>
      <w:r w:rsidRPr="00D85E09">
        <w:fldChar w:fldCharType="separate"/>
      </w:r>
      <w:r w:rsidR="00A456ED">
        <w:t>D.3.1</w:t>
      </w:r>
      <w:r w:rsidRPr="00D85E09">
        <w:fldChar w:fldCharType="end"/>
      </w:r>
      <w:r w:rsidRPr="00D85E09">
        <w:t xml:space="preserve"> above, all Markov models reported for the cost-effectiveness assessment of mechanical thrombectomy used mRS to define health states.</w:t>
      </w:r>
    </w:p>
    <w:p w14:paraId="14580D55" w14:textId="457D9E66" w:rsidR="00A41E60" w:rsidRPr="00D85E09" w:rsidRDefault="00A41E60" w:rsidP="0043316B">
      <w:pPr>
        <w:widowControl w:val="0"/>
      </w:pPr>
      <w:r w:rsidRPr="00D85E09">
        <w:t>The overall model structure is a “two step” form; a 12-month decision tree analysis followed by a long-term Markov model. A decision tree analysis is considered as simpler and easier to depict how the modelled cohort progresses through the acute phase from stroke onset to Day 90 and through the mid-term phase from Day 91 to Day 365. This approach aims at improving transparency; in particular, all “treatment dependent” changes in mRS are absorbed within the first 12 months covered by the decision tree analysis.</w:t>
      </w:r>
    </w:p>
    <w:p w14:paraId="11043379" w14:textId="57CC5886" w:rsidR="00A41E60" w:rsidRPr="00D85E09" w:rsidRDefault="00A41E60" w:rsidP="0043316B">
      <w:pPr>
        <w:widowControl w:val="0"/>
      </w:pPr>
      <w:r w:rsidRPr="00D85E09">
        <w:t xml:space="preserve">The employed model structure is also largely consistent with other published models considered in Section </w:t>
      </w:r>
      <w:r w:rsidRPr="00D85E09">
        <w:fldChar w:fldCharType="begin"/>
      </w:r>
      <w:r w:rsidRPr="00D85E09">
        <w:instrText xml:space="preserve"> REF _Ref448336933 \r \h  \* MERGEFORMAT </w:instrText>
      </w:r>
      <w:r w:rsidRPr="00D85E09">
        <w:fldChar w:fldCharType="separate"/>
      </w:r>
      <w:r w:rsidR="00A456ED">
        <w:t>D.3.1</w:t>
      </w:r>
      <w:r w:rsidRPr="00D85E09">
        <w:fldChar w:fldCharType="end"/>
      </w:r>
      <w:r w:rsidRPr="00D85E09">
        <w:t>.</w:t>
      </w:r>
    </w:p>
    <w:p w14:paraId="69376845" w14:textId="60D1B814" w:rsidR="00A41E60" w:rsidRPr="00D85E09" w:rsidRDefault="00A41E60" w:rsidP="0043316B">
      <w:pPr>
        <w:widowControl w:val="0"/>
      </w:pPr>
      <w:r w:rsidRPr="00D85E09">
        <w:t>It is understood that the extrapolation of mRS outcomes into the future introduces uncertainty. A long-term model time horizon is nonetheless necessary and appropriate because ischaemic strokes often have a long-term and permanent, impact on the patient’s functional ability. The functional benefits offered by mechanical thrombectomy over usual care at 90 days will hence produce QALY / cost benefits that extend far into the future. The model is also able to capture “rehabilitation” effects. Importantly, as discussed above, a life-time model horizon only can capture the mortality benefits offered by mechanical thrombectomy over usual care. A series of sensitivity analysis will be presented to explore various time horizons.</w:t>
      </w:r>
    </w:p>
    <w:p w14:paraId="0DA80B91" w14:textId="1E6C66FF" w:rsidR="00A41E60" w:rsidRPr="00D85E09" w:rsidRDefault="00A41E60" w:rsidP="0043316B">
      <w:pPr>
        <w:widowControl w:val="0"/>
      </w:pPr>
      <w:r w:rsidRPr="00D85E09">
        <w:t xml:space="preserve">As set out above, it is acknowledged that the modelling of recurrent stroke, while it has a clear and justifiable clinical and economic relevance to the modelling of stroke prognosis, adds considerable complexities to the overall model structure and data requirements. The Excel model provided with the submission incorporates two separate models that omit the risks of recurrent stroke (see </w:t>
      </w:r>
      <w:r w:rsidRPr="00D85E09">
        <w:fldChar w:fldCharType="begin"/>
      </w:r>
      <w:r w:rsidRPr="00D85E09">
        <w:instrText xml:space="preserve"> REF _Ref448334507 \h </w:instrText>
      </w:r>
      <w:r w:rsidRPr="00D85E09">
        <w:fldChar w:fldCharType="separate"/>
      </w:r>
      <w:r w:rsidR="00A456ED" w:rsidRPr="00D85E09">
        <w:t xml:space="preserve">Table </w:t>
      </w:r>
      <w:r w:rsidR="00A456ED">
        <w:rPr>
          <w:noProof/>
        </w:rPr>
        <w:t>83</w:t>
      </w:r>
      <w:r w:rsidRPr="00D85E09">
        <w:fldChar w:fldCharType="end"/>
      </w:r>
      <w:r w:rsidRPr="00D85E09">
        <w:t xml:space="preserve"> below). Findings from these simplified models are presented as a sensitivity analysis in Section D.5.</w:t>
      </w:r>
    </w:p>
    <w:p w14:paraId="02D06DC1" w14:textId="77777777" w:rsidR="00A41E60" w:rsidRPr="00D85E09" w:rsidRDefault="00A41E60" w:rsidP="0043316B">
      <w:pPr>
        <w:pStyle w:val="Heading3"/>
        <w:keepNext w:val="0"/>
        <w:widowControl w:val="0"/>
        <w:ind w:left="993" w:hanging="993"/>
        <w:rPr>
          <w:lang w:val="en-AU"/>
        </w:rPr>
      </w:pPr>
      <w:bookmarkStart w:id="526" w:name="_Toc358731912"/>
      <w:bookmarkStart w:id="527" w:name="_Toc453065314"/>
      <w:r w:rsidRPr="00D85E09">
        <w:rPr>
          <w:lang w:val="en-AU"/>
        </w:rPr>
        <w:t>Software package</w:t>
      </w:r>
      <w:bookmarkEnd w:id="526"/>
      <w:bookmarkEnd w:id="527"/>
    </w:p>
    <w:p w14:paraId="110F41CF" w14:textId="38CA0B1B" w:rsidR="00C13682" w:rsidRDefault="00A41E60" w:rsidP="0043316B">
      <w:pPr>
        <w:widowControl w:val="0"/>
      </w:pPr>
      <w:r w:rsidRPr="00D85E09">
        <w:t xml:space="preserve">The model is built in Microsoft Excel (“MT MSAC June 2016 Section D.xlsx”; provided with the submission document). All included worksheets and their main purpose are summarised in </w:t>
      </w:r>
      <w:r w:rsidRPr="00D85E09">
        <w:fldChar w:fldCharType="begin"/>
      </w:r>
      <w:r w:rsidRPr="00D85E09">
        <w:instrText xml:space="preserve"> REF _Ref448334507 \h </w:instrText>
      </w:r>
      <w:r w:rsidRPr="00D85E09">
        <w:fldChar w:fldCharType="separate"/>
      </w:r>
      <w:r w:rsidR="00A456ED" w:rsidRPr="00D85E09">
        <w:t xml:space="preserve">Table </w:t>
      </w:r>
      <w:r w:rsidR="00A456ED">
        <w:rPr>
          <w:noProof/>
        </w:rPr>
        <w:t>83</w:t>
      </w:r>
      <w:r w:rsidRPr="00D85E09">
        <w:fldChar w:fldCharType="end"/>
      </w:r>
      <w:r w:rsidRPr="00D85E09">
        <w:t>.</w:t>
      </w:r>
      <w:r w:rsidR="00C13682">
        <w:br w:type="page"/>
      </w:r>
    </w:p>
    <w:p w14:paraId="6656B754" w14:textId="77777777" w:rsidR="00A41E60" w:rsidRPr="00D85E09" w:rsidRDefault="00A41E60" w:rsidP="0043316B">
      <w:pPr>
        <w:widowControl w:val="0"/>
      </w:pPr>
    </w:p>
    <w:p w14:paraId="115C5AA0" w14:textId="6B6725D1" w:rsidR="00A41E60" w:rsidRPr="00D85E09" w:rsidRDefault="00A41E60" w:rsidP="0043316B">
      <w:pPr>
        <w:pStyle w:val="Caption"/>
        <w:keepNext w:val="0"/>
        <w:widowControl w:val="0"/>
        <w:rPr>
          <w:lang w:val="en-AU"/>
        </w:rPr>
      </w:pPr>
      <w:bookmarkStart w:id="528" w:name="_Ref448334507"/>
      <w:bookmarkStart w:id="529" w:name="_Ref448334501"/>
      <w:bookmarkStart w:id="530" w:name="_Toc45306541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83</w:t>
      </w:r>
      <w:r w:rsidRPr="00D85E09">
        <w:rPr>
          <w:lang w:val="en-AU"/>
        </w:rPr>
        <w:fldChar w:fldCharType="end"/>
      </w:r>
      <w:bookmarkEnd w:id="528"/>
      <w:r w:rsidRPr="00D85E09">
        <w:rPr>
          <w:lang w:val="en-AU"/>
        </w:rPr>
        <w:tab/>
        <w:t>Excel worksheets included in the submitted cost-effectiveness model</w:t>
      </w:r>
      <w:bookmarkEnd w:id="529"/>
      <w:bookmarkEnd w:id="530"/>
    </w:p>
    <w:tbl>
      <w:tblPr>
        <w:tblStyle w:val="TableGrid"/>
        <w:tblW w:w="5000" w:type="pct"/>
        <w:tblLook w:val="04A0" w:firstRow="1" w:lastRow="0" w:firstColumn="1" w:lastColumn="0" w:noHBand="0" w:noVBand="1"/>
        <w:tblDescription w:val="Table 83 Excel worksheets included in the submitted cost-effectiveness model"/>
      </w:tblPr>
      <w:tblGrid>
        <w:gridCol w:w="2890"/>
        <w:gridCol w:w="6398"/>
      </w:tblGrid>
      <w:tr w:rsidR="00A41E60" w:rsidRPr="00D85E09" w14:paraId="219EB9CC" w14:textId="77777777" w:rsidTr="00BE6331">
        <w:trPr>
          <w:tblHeader/>
        </w:trPr>
        <w:tc>
          <w:tcPr>
            <w:tcW w:w="1556" w:type="pct"/>
            <w:tcBorders>
              <w:top w:val="single" w:sz="4" w:space="0" w:color="000000"/>
              <w:left w:val="single" w:sz="4" w:space="0" w:color="000000"/>
              <w:bottom w:val="single" w:sz="4" w:space="0" w:color="000000"/>
              <w:right w:val="single" w:sz="4" w:space="0" w:color="000000"/>
            </w:tcBorders>
            <w:hideMark/>
          </w:tcPr>
          <w:p w14:paraId="1F0D6DFD" w14:textId="77777777" w:rsidR="00A41E60" w:rsidRPr="00D85E09" w:rsidRDefault="00A41E60" w:rsidP="0043316B">
            <w:pPr>
              <w:pStyle w:val="Tabletext"/>
              <w:keepNext w:val="0"/>
              <w:widowControl w:val="0"/>
              <w:rPr>
                <w:b/>
              </w:rPr>
            </w:pPr>
            <w:r w:rsidRPr="00D85E09">
              <w:rPr>
                <w:b/>
              </w:rPr>
              <w:t xml:space="preserve">Worksheet title </w:t>
            </w:r>
          </w:p>
        </w:tc>
        <w:tc>
          <w:tcPr>
            <w:tcW w:w="3444" w:type="pct"/>
            <w:tcBorders>
              <w:top w:val="single" w:sz="4" w:space="0" w:color="000000"/>
              <w:left w:val="single" w:sz="4" w:space="0" w:color="000000"/>
              <w:bottom w:val="single" w:sz="4" w:space="0" w:color="000000"/>
              <w:right w:val="single" w:sz="4" w:space="0" w:color="000000"/>
            </w:tcBorders>
            <w:hideMark/>
          </w:tcPr>
          <w:p w14:paraId="61414FC9" w14:textId="77777777" w:rsidR="00A41E60" w:rsidRPr="00D85E09" w:rsidRDefault="00A41E60" w:rsidP="0043316B">
            <w:pPr>
              <w:pStyle w:val="Tabletext"/>
              <w:keepNext w:val="0"/>
              <w:widowControl w:val="0"/>
              <w:rPr>
                <w:b/>
              </w:rPr>
            </w:pPr>
            <w:r w:rsidRPr="00D85E09">
              <w:rPr>
                <w:b/>
              </w:rPr>
              <w:t>Purpose and contained information</w:t>
            </w:r>
          </w:p>
        </w:tc>
      </w:tr>
      <w:tr w:rsidR="00A41E60" w:rsidRPr="00D85E09" w14:paraId="44609BF1"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614A908A" w14:textId="77777777" w:rsidR="00A41E60" w:rsidRPr="00D85E09" w:rsidRDefault="00A41E60" w:rsidP="0043316B">
            <w:pPr>
              <w:pStyle w:val="Tabletext"/>
              <w:keepNext w:val="0"/>
              <w:widowControl w:val="0"/>
            </w:pPr>
            <w:r w:rsidRPr="00D85E09">
              <w:t>Results - SUMMARY</w:t>
            </w:r>
          </w:p>
        </w:tc>
        <w:tc>
          <w:tcPr>
            <w:tcW w:w="3444" w:type="pct"/>
            <w:tcBorders>
              <w:top w:val="single" w:sz="4" w:space="0" w:color="000000"/>
              <w:left w:val="single" w:sz="4" w:space="0" w:color="000000"/>
              <w:bottom w:val="single" w:sz="4" w:space="0" w:color="000000"/>
              <w:right w:val="single" w:sz="4" w:space="0" w:color="000000"/>
            </w:tcBorders>
            <w:hideMark/>
          </w:tcPr>
          <w:p w14:paraId="0497D847" w14:textId="27ED9F58" w:rsidR="00A41E60" w:rsidRPr="00D85E09" w:rsidRDefault="00A41E60" w:rsidP="0043316B">
            <w:pPr>
              <w:pStyle w:val="Tabletext"/>
              <w:keepNext w:val="0"/>
              <w:widowControl w:val="0"/>
            </w:pPr>
            <w:r w:rsidRPr="00D85E09">
              <w:t>Presentation of all relevant model outputs.</w:t>
            </w:r>
          </w:p>
          <w:p w14:paraId="5050BC9C" w14:textId="77777777" w:rsidR="00A41E60" w:rsidRPr="00D85E09" w:rsidRDefault="00A41E60" w:rsidP="0043316B">
            <w:pPr>
              <w:pStyle w:val="Tabletext"/>
              <w:keepNext w:val="0"/>
              <w:widowControl w:val="0"/>
            </w:pPr>
            <w:r w:rsidRPr="00D85E09">
              <w:t xml:space="preserve">Results from the three models are presented for convenience (i.e., base case, alternative model 1, alternative model 2; see Section D.5.3). </w:t>
            </w:r>
          </w:p>
        </w:tc>
      </w:tr>
      <w:tr w:rsidR="00A41E60" w:rsidRPr="00D85E09" w14:paraId="1FC96F87"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494B3C46" w14:textId="77777777" w:rsidR="00A41E60" w:rsidRPr="00D85E09" w:rsidRDefault="00A41E60" w:rsidP="0043316B">
            <w:pPr>
              <w:pStyle w:val="Tabletext"/>
              <w:keepNext w:val="0"/>
              <w:widowControl w:val="0"/>
            </w:pPr>
            <w:r w:rsidRPr="00D85E09">
              <w:t>Clinical inputs</w:t>
            </w:r>
          </w:p>
        </w:tc>
        <w:tc>
          <w:tcPr>
            <w:tcW w:w="3444" w:type="pct"/>
            <w:tcBorders>
              <w:top w:val="single" w:sz="4" w:space="0" w:color="000000"/>
              <w:left w:val="single" w:sz="4" w:space="0" w:color="000000"/>
              <w:bottom w:val="single" w:sz="4" w:space="0" w:color="000000"/>
              <w:right w:val="single" w:sz="4" w:space="0" w:color="000000"/>
            </w:tcBorders>
            <w:hideMark/>
          </w:tcPr>
          <w:p w14:paraId="66542D75" w14:textId="60C2B318" w:rsidR="00A41E60" w:rsidRPr="00D85E09" w:rsidRDefault="00A41E60" w:rsidP="0043316B">
            <w:pPr>
              <w:pStyle w:val="Tabletext"/>
              <w:keepNext w:val="0"/>
              <w:widowControl w:val="0"/>
            </w:pPr>
            <w:r w:rsidRPr="00D85E09">
              <w:t>Summarises all clinical inputs.</w:t>
            </w:r>
          </w:p>
          <w:p w14:paraId="4660CE26" w14:textId="0757A195" w:rsidR="00A41E60" w:rsidRPr="00D85E09" w:rsidRDefault="00A41E60" w:rsidP="0043316B">
            <w:pPr>
              <w:pStyle w:val="Tabletext"/>
              <w:keepNext w:val="0"/>
              <w:widowControl w:val="0"/>
            </w:pPr>
            <w:r w:rsidRPr="00D85E09">
              <w:t>Allows a selection of mRS distributions at Day 7 and 90 (5 RCTs plus one meta-analysed data; IV</w:t>
            </w:r>
            <w:r w:rsidR="00D32933" w:rsidRPr="00D85E09">
              <w:t>-</w:t>
            </w:r>
            <w:r w:rsidRPr="00D85E09">
              <w:t>tPA eligible and IV</w:t>
            </w:r>
            <w:r w:rsidR="00D32933" w:rsidRPr="00D85E09">
              <w:t>-</w:t>
            </w:r>
            <w:r w:rsidRPr="00D85E09">
              <w:t>tPA ineligible patients).</w:t>
            </w:r>
          </w:p>
          <w:p w14:paraId="0AD1702F" w14:textId="5008E2E1" w:rsidR="00A41E60" w:rsidRPr="00D85E09" w:rsidRDefault="00A41E60" w:rsidP="0043316B">
            <w:pPr>
              <w:pStyle w:val="Tabletext"/>
              <w:keepNext w:val="0"/>
              <w:widowControl w:val="0"/>
            </w:pPr>
            <w:r w:rsidRPr="00D85E09">
              <w:t xml:space="preserve">Allows a selection of mRS transitions post 90 days. </w:t>
            </w:r>
          </w:p>
        </w:tc>
      </w:tr>
      <w:tr w:rsidR="00A41E60" w:rsidRPr="00D85E09" w14:paraId="38919EFE"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0DC84737" w14:textId="77777777" w:rsidR="00A41E60" w:rsidRPr="00D85E09" w:rsidRDefault="00A41E60" w:rsidP="0043316B">
            <w:pPr>
              <w:pStyle w:val="Tabletext"/>
              <w:keepNext w:val="0"/>
              <w:widowControl w:val="0"/>
            </w:pPr>
            <w:r w:rsidRPr="00D85E09">
              <w:t>Cost inputs</w:t>
            </w:r>
          </w:p>
        </w:tc>
        <w:tc>
          <w:tcPr>
            <w:tcW w:w="3444" w:type="pct"/>
            <w:tcBorders>
              <w:top w:val="single" w:sz="4" w:space="0" w:color="000000"/>
              <w:left w:val="single" w:sz="4" w:space="0" w:color="000000"/>
              <w:bottom w:val="single" w:sz="4" w:space="0" w:color="000000"/>
              <w:right w:val="single" w:sz="4" w:space="0" w:color="000000"/>
            </w:tcBorders>
            <w:hideMark/>
          </w:tcPr>
          <w:p w14:paraId="5760D329" w14:textId="77777777" w:rsidR="00A41E60" w:rsidRPr="00D85E09" w:rsidRDefault="00A41E60" w:rsidP="0043316B">
            <w:pPr>
              <w:pStyle w:val="Tabletext"/>
              <w:keepNext w:val="0"/>
              <w:widowControl w:val="0"/>
            </w:pPr>
            <w:r w:rsidRPr="00D85E09">
              <w:t xml:space="preserve">Summarises all cost inputs. </w:t>
            </w:r>
          </w:p>
        </w:tc>
      </w:tr>
      <w:tr w:rsidR="00A41E60" w:rsidRPr="00D85E09" w14:paraId="7BA02605"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458D3A9C" w14:textId="77777777" w:rsidR="00A41E60" w:rsidRPr="00D85E09" w:rsidRDefault="00A41E60" w:rsidP="0043316B">
            <w:pPr>
              <w:pStyle w:val="Tabletext"/>
              <w:keepNext w:val="0"/>
              <w:widowControl w:val="0"/>
            </w:pPr>
            <w:r w:rsidRPr="00D85E09">
              <w:t xml:space="preserve">Utility inputs </w:t>
            </w:r>
          </w:p>
        </w:tc>
        <w:tc>
          <w:tcPr>
            <w:tcW w:w="3444" w:type="pct"/>
            <w:tcBorders>
              <w:top w:val="single" w:sz="4" w:space="0" w:color="000000"/>
              <w:left w:val="single" w:sz="4" w:space="0" w:color="000000"/>
              <w:bottom w:val="single" w:sz="4" w:space="0" w:color="000000"/>
              <w:right w:val="single" w:sz="4" w:space="0" w:color="000000"/>
            </w:tcBorders>
            <w:hideMark/>
          </w:tcPr>
          <w:p w14:paraId="560E3F53" w14:textId="77777777" w:rsidR="00A41E60" w:rsidRPr="00D85E09" w:rsidRDefault="00A41E60" w:rsidP="0043316B">
            <w:pPr>
              <w:pStyle w:val="Tabletext"/>
              <w:keepNext w:val="0"/>
              <w:widowControl w:val="0"/>
            </w:pPr>
            <w:r w:rsidRPr="00D85E09">
              <w:t xml:space="preserve">Summarises all utility inputs. </w:t>
            </w:r>
          </w:p>
        </w:tc>
      </w:tr>
      <w:tr w:rsidR="00A41E60" w:rsidRPr="00D85E09" w14:paraId="3A7A260F"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49DF89F9" w14:textId="77777777" w:rsidR="00A41E60" w:rsidRPr="00D85E09" w:rsidRDefault="00A41E60" w:rsidP="0043316B">
            <w:pPr>
              <w:pStyle w:val="Tabletext"/>
              <w:keepNext w:val="0"/>
              <w:widowControl w:val="0"/>
            </w:pPr>
            <w:r w:rsidRPr="00D85E09">
              <w:t xml:space="preserve">Other variables </w:t>
            </w:r>
          </w:p>
        </w:tc>
        <w:tc>
          <w:tcPr>
            <w:tcW w:w="3444" w:type="pct"/>
            <w:tcBorders>
              <w:top w:val="single" w:sz="4" w:space="0" w:color="000000"/>
              <w:left w:val="single" w:sz="4" w:space="0" w:color="000000"/>
              <w:bottom w:val="single" w:sz="4" w:space="0" w:color="000000"/>
              <w:right w:val="single" w:sz="4" w:space="0" w:color="000000"/>
            </w:tcBorders>
            <w:hideMark/>
          </w:tcPr>
          <w:p w14:paraId="1FBCEE8D" w14:textId="77777777" w:rsidR="00A41E60" w:rsidRPr="00D85E09" w:rsidRDefault="00A41E60" w:rsidP="0043316B">
            <w:pPr>
              <w:pStyle w:val="Tabletext"/>
              <w:keepNext w:val="0"/>
              <w:widowControl w:val="0"/>
            </w:pPr>
            <w:r w:rsidRPr="00D85E09">
              <w:t>Baseline patient demographics / discount rates / model horizon / % use of mechanical thrombectomy for stroke recurrence.</w:t>
            </w:r>
          </w:p>
          <w:p w14:paraId="2E184993" w14:textId="0C4FAFD6" w:rsidR="00A41E60" w:rsidRPr="00D85E09" w:rsidRDefault="00A41E60" w:rsidP="0043316B">
            <w:pPr>
              <w:pStyle w:val="Tabletext"/>
              <w:keepNext w:val="0"/>
              <w:widowControl w:val="0"/>
            </w:pPr>
            <w:r w:rsidRPr="00D85E09">
              <w:t>Australian life table.</w:t>
            </w:r>
          </w:p>
          <w:p w14:paraId="74CB68A3" w14:textId="77777777" w:rsidR="00A41E60" w:rsidRPr="00D85E09" w:rsidRDefault="00A41E60" w:rsidP="0043316B">
            <w:pPr>
              <w:pStyle w:val="Tabletext"/>
              <w:keepNext w:val="0"/>
              <w:widowControl w:val="0"/>
            </w:pPr>
            <w:r w:rsidRPr="00D85E09">
              <w:t xml:space="preserve">Data storage for data selection. </w:t>
            </w:r>
          </w:p>
        </w:tc>
      </w:tr>
      <w:tr w:rsidR="00A41E60" w:rsidRPr="00D85E09" w14:paraId="37ED790E"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7B12D634" w14:textId="77777777" w:rsidR="00A41E60" w:rsidRPr="00D85E09" w:rsidRDefault="00A41E60" w:rsidP="0043316B">
            <w:pPr>
              <w:pStyle w:val="Tabletext"/>
              <w:keepNext w:val="0"/>
              <w:widowControl w:val="0"/>
            </w:pPr>
            <w:r w:rsidRPr="00D85E09">
              <w:t>Trace_MT</w:t>
            </w:r>
          </w:p>
        </w:tc>
        <w:tc>
          <w:tcPr>
            <w:tcW w:w="3444" w:type="pct"/>
            <w:vMerge w:val="restart"/>
            <w:tcBorders>
              <w:top w:val="single" w:sz="4" w:space="0" w:color="000000"/>
              <w:left w:val="single" w:sz="4" w:space="0" w:color="000000"/>
              <w:bottom w:val="single" w:sz="4" w:space="0" w:color="000000"/>
              <w:right w:val="single" w:sz="4" w:space="0" w:color="000000"/>
            </w:tcBorders>
            <w:hideMark/>
          </w:tcPr>
          <w:p w14:paraId="1CB0710B" w14:textId="6D1AAA89" w:rsidR="00A41E60" w:rsidRPr="00D85E09" w:rsidRDefault="00A41E60" w:rsidP="0043316B">
            <w:pPr>
              <w:pStyle w:val="Tabletext"/>
              <w:keepNext w:val="0"/>
              <w:widowControl w:val="0"/>
            </w:pPr>
            <w:r w:rsidRPr="00D85E09">
              <w:t xml:space="preserve">Computation of decision tree analysis (to 365 days; rows </w:t>
            </w:r>
            <w:r w:rsidR="00092415" w:rsidRPr="00D85E09">
              <w:t>22-59</w:t>
            </w:r>
            <w:r w:rsidRPr="00D85E09">
              <w:t xml:space="preserve">) and long-term Markov model for the base case analysis. </w:t>
            </w:r>
          </w:p>
        </w:tc>
      </w:tr>
      <w:tr w:rsidR="00A41E60" w:rsidRPr="00D85E09" w14:paraId="39877640"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2C49E18F" w14:textId="77777777" w:rsidR="00A41E60" w:rsidRPr="00D85E09" w:rsidRDefault="00A41E60" w:rsidP="0043316B">
            <w:pPr>
              <w:pStyle w:val="Tabletext"/>
              <w:keepNext w:val="0"/>
              <w:widowControl w:val="0"/>
            </w:pPr>
            <w:r w:rsidRPr="00D85E09">
              <w:t>Trace_Control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EEBC4"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A3B805D"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1CD049FF" w14:textId="77777777" w:rsidR="00A41E60" w:rsidRPr="00D85E09" w:rsidRDefault="00A41E60" w:rsidP="0043316B">
            <w:pPr>
              <w:pStyle w:val="Tabletext"/>
              <w:keepNext w:val="0"/>
              <w:widowControl w:val="0"/>
            </w:pPr>
            <w:r w:rsidRPr="00D85E09">
              <w:t>Trace_MT no recurrence</w:t>
            </w:r>
          </w:p>
        </w:tc>
        <w:tc>
          <w:tcPr>
            <w:tcW w:w="3444" w:type="pct"/>
            <w:vMerge w:val="restart"/>
            <w:tcBorders>
              <w:top w:val="single" w:sz="4" w:space="0" w:color="000000"/>
              <w:left w:val="single" w:sz="4" w:space="0" w:color="000000"/>
              <w:bottom w:val="single" w:sz="4" w:space="0" w:color="000000"/>
              <w:right w:val="single" w:sz="4" w:space="0" w:color="000000"/>
            </w:tcBorders>
            <w:hideMark/>
          </w:tcPr>
          <w:p w14:paraId="7DB37FD1" w14:textId="0D1852A2" w:rsidR="00A41E60" w:rsidRPr="00D85E09" w:rsidRDefault="00A41E60" w:rsidP="0043316B">
            <w:pPr>
              <w:pStyle w:val="Tabletext"/>
              <w:keepNext w:val="0"/>
              <w:widowControl w:val="0"/>
            </w:pPr>
            <w:r w:rsidRPr="00D85E09">
              <w:t xml:space="preserve">Computation of decision tree analysis (to 365 days; rows </w:t>
            </w:r>
            <w:r w:rsidR="00092415" w:rsidRPr="00D85E09">
              <w:t>18-42</w:t>
            </w:r>
            <w:r w:rsidRPr="00D85E09">
              <w:t>) and long-term Markov model for Alternative Model 1 (no recurrence).</w:t>
            </w:r>
          </w:p>
        </w:tc>
      </w:tr>
      <w:tr w:rsidR="00A41E60" w:rsidRPr="00D85E09" w14:paraId="5008B58D"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07B87157" w14:textId="77777777" w:rsidR="00A41E60" w:rsidRPr="00D85E09" w:rsidRDefault="00A41E60" w:rsidP="0043316B">
            <w:pPr>
              <w:pStyle w:val="Tabletext"/>
              <w:keepNext w:val="0"/>
              <w:widowControl w:val="0"/>
            </w:pPr>
            <w:r w:rsidRPr="00D85E09">
              <w:t xml:space="preserve">Trace_Control no recurrence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0CC4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780229E"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7929B730" w14:textId="77777777" w:rsidR="00A41E60" w:rsidRPr="00D85E09" w:rsidRDefault="00A41E60" w:rsidP="0043316B">
            <w:pPr>
              <w:pStyle w:val="Tabletext"/>
              <w:keepNext w:val="0"/>
              <w:widowControl w:val="0"/>
            </w:pPr>
            <w:r w:rsidRPr="00D85E09">
              <w:t>Trace_MT Obs data based</w:t>
            </w:r>
          </w:p>
        </w:tc>
        <w:tc>
          <w:tcPr>
            <w:tcW w:w="3444" w:type="pct"/>
            <w:vMerge w:val="restart"/>
            <w:tcBorders>
              <w:top w:val="single" w:sz="4" w:space="0" w:color="000000"/>
              <w:left w:val="single" w:sz="4" w:space="0" w:color="000000"/>
              <w:bottom w:val="single" w:sz="4" w:space="0" w:color="000000"/>
              <w:right w:val="single" w:sz="4" w:space="0" w:color="000000"/>
            </w:tcBorders>
            <w:hideMark/>
          </w:tcPr>
          <w:p w14:paraId="5065ABE4" w14:textId="399539B5" w:rsidR="00A41E60" w:rsidRPr="00D85E09" w:rsidRDefault="00A41E60" w:rsidP="0043316B">
            <w:pPr>
              <w:pStyle w:val="Tabletext"/>
              <w:keepNext w:val="0"/>
              <w:widowControl w:val="0"/>
            </w:pPr>
            <w:r w:rsidRPr="00D85E09">
              <w:t xml:space="preserve">Computation of decision tree analysis (to 365 days; rows </w:t>
            </w:r>
            <w:r w:rsidR="00092415" w:rsidRPr="00D85E09">
              <w:t>18-57</w:t>
            </w:r>
            <w:r w:rsidRPr="00D85E09">
              <w:t xml:space="preserve">) and long-term Markov model for Alternative Model 2 (no recurrence and post-stroke survival based on constant mortality risks by mRS throughout the long-term phase). </w:t>
            </w:r>
          </w:p>
        </w:tc>
      </w:tr>
      <w:tr w:rsidR="00A41E60" w:rsidRPr="00D85E09" w14:paraId="3350231A" w14:textId="77777777" w:rsidTr="00A41E60">
        <w:tc>
          <w:tcPr>
            <w:tcW w:w="1556" w:type="pct"/>
            <w:tcBorders>
              <w:top w:val="single" w:sz="4" w:space="0" w:color="000000"/>
              <w:left w:val="single" w:sz="4" w:space="0" w:color="000000"/>
              <w:bottom w:val="single" w:sz="4" w:space="0" w:color="000000"/>
              <w:right w:val="single" w:sz="4" w:space="0" w:color="000000"/>
            </w:tcBorders>
            <w:hideMark/>
          </w:tcPr>
          <w:p w14:paraId="39BCEA9B" w14:textId="77777777" w:rsidR="00A41E60" w:rsidRPr="00D85E09" w:rsidRDefault="00A41E60" w:rsidP="0043316B">
            <w:pPr>
              <w:pStyle w:val="Tabletext"/>
              <w:keepNext w:val="0"/>
              <w:widowControl w:val="0"/>
            </w:pPr>
            <w:r w:rsidRPr="00D85E09">
              <w:t xml:space="preserve">Trace_Control Obs data based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8102AB" w14:textId="77777777" w:rsidR="00A41E60" w:rsidRPr="00D85E09" w:rsidRDefault="00A41E60" w:rsidP="0043316B">
            <w:pPr>
              <w:widowControl w:val="0"/>
              <w:spacing w:after="0" w:line="240" w:lineRule="auto"/>
              <w:rPr>
                <w:rFonts w:ascii="Arial Narrow" w:hAnsi="Arial Narrow" w:cs="Times New Roman"/>
                <w:sz w:val="20"/>
                <w:szCs w:val="20"/>
              </w:rPr>
            </w:pPr>
          </w:p>
        </w:tc>
      </w:tr>
    </w:tbl>
    <w:p w14:paraId="245F7324" w14:textId="77777777" w:rsidR="00A41E60" w:rsidRPr="00D85E09" w:rsidRDefault="00A41E60" w:rsidP="0043316B">
      <w:pPr>
        <w:widowControl w:val="0"/>
      </w:pPr>
    </w:p>
    <w:p w14:paraId="7CD0E59F" w14:textId="77777777" w:rsidR="00A41E60" w:rsidRPr="00D85E09" w:rsidRDefault="00A41E60" w:rsidP="0043316B">
      <w:pPr>
        <w:pStyle w:val="Heading2"/>
        <w:widowControl w:val="0"/>
        <w:ind w:left="851" w:hanging="851"/>
        <w:rPr>
          <w:lang w:val="en-AU"/>
        </w:rPr>
      </w:pPr>
      <w:bookmarkStart w:id="531" w:name="_Toc358731917"/>
      <w:bookmarkStart w:id="532" w:name="_Toc453065315"/>
      <w:r w:rsidRPr="00D85E09">
        <w:rPr>
          <w:lang w:val="en-AU"/>
        </w:rPr>
        <w:t>Variables in the economic evaluation</w:t>
      </w:r>
      <w:bookmarkEnd w:id="531"/>
      <w:bookmarkEnd w:id="532"/>
    </w:p>
    <w:p w14:paraId="7505F1C8" w14:textId="77777777" w:rsidR="00A41E60" w:rsidRPr="00D85E09" w:rsidRDefault="00A41E60" w:rsidP="0043316B">
      <w:pPr>
        <w:pStyle w:val="Heading3"/>
        <w:keepNext w:val="0"/>
        <w:widowControl w:val="0"/>
        <w:ind w:left="993" w:hanging="993"/>
        <w:rPr>
          <w:lang w:val="en-AU"/>
        </w:rPr>
      </w:pPr>
      <w:bookmarkStart w:id="533" w:name="_Toc453065316"/>
      <w:bookmarkStart w:id="534" w:name="_Toc358731919"/>
      <w:r w:rsidRPr="00D85E09">
        <w:rPr>
          <w:lang w:val="en-AU"/>
        </w:rPr>
        <w:t>Clinical inputs</w:t>
      </w:r>
      <w:bookmarkEnd w:id="533"/>
    </w:p>
    <w:p w14:paraId="00196A97" w14:textId="77777777" w:rsidR="00A41E60" w:rsidRPr="00D85E09" w:rsidRDefault="00A41E60" w:rsidP="0043316B">
      <w:pPr>
        <w:pStyle w:val="Heading5"/>
        <w:widowControl w:val="0"/>
        <w:rPr>
          <w:lang w:val="en-AU"/>
        </w:rPr>
      </w:pPr>
      <w:r w:rsidRPr="00D85E09">
        <w:rPr>
          <w:lang w:val="en-AU"/>
        </w:rPr>
        <w:t>Distribution of mRS scores during the acute phase</w:t>
      </w:r>
    </w:p>
    <w:p w14:paraId="6A1AC9BE" w14:textId="3A80122E" w:rsidR="00A41E60" w:rsidRPr="00D85E09" w:rsidRDefault="00A41E60" w:rsidP="0043316B">
      <w:pPr>
        <w:widowControl w:val="0"/>
      </w:pPr>
      <w:r w:rsidRPr="00D85E09">
        <w:t xml:space="preserve">As per the health state definitions in the long-term Markov model, clinical efficacy data are measured by mRS scores and are taken at Day 7 and at Day 90. Efficacy data used within the base case model can be found in </w:t>
      </w:r>
      <w:r w:rsidRPr="00D85E09">
        <w:fldChar w:fldCharType="begin"/>
      </w:r>
      <w:r w:rsidRPr="00D85E09">
        <w:instrText xml:space="preserve"> REF _Ref424641697 \h </w:instrText>
      </w:r>
      <w:r w:rsidRPr="00D85E09">
        <w:fldChar w:fldCharType="separate"/>
      </w:r>
      <w:r w:rsidR="00A456ED" w:rsidRPr="00D85E09">
        <w:t xml:space="preserve">Table </w:t>
      </w:r>
      <w:r w:rsidR="00A456ED">
        <w:rPr>
          <w:noProof/>
        </w:rPr>
        <w:t>84</w:t>
      </w:r>
      <w:r w:rsidRPr="00D85E09">
        <w:fldChar w:fldCharType="end"/>
      </w:r>
      <w:r w:rsidRPr="00D85E09">
        <w:t xml:space="preserve"> below. Section </w:t>
      </w:r>
      <w:r w:rsidR="00092415" w:rsidRPr="00D85E09">
        <w:fldChar w:fldCharType="begin"/>
      </w:r>
      <w:r w:rsidR="00092415" w:rsidRPr="00D85E09">
        <w:instrText xml:space="preserve"> REF _Ref452472669 \r \h </w:instrText>
      </w:r>
      <w:r w:rsidR="00092415" w:rsidRPr="00D85E09">
        <w:fldChar w:fldCharType="separate"/>
      </w:r>
      <w:r w:rsidR="00A456ED">
        <w:t>C.2</w:t>
      </w:r>
      <w:r w:rsidR="00092415" w:rsidRPr="00D85E09">
        <w:fldChar w:fldCharType="end"/>
      </w:r>
      <w:r w:rsidR="00092415" w:rsidRPr="00D85E09">
        <w:t xml:space="preserve"> </w:t>
      </w:r>
      <w:r w:rsidRPr="00D85E09">
        <w:t>has justified the application of an ITT approach based on the meta-analysed IPD data provided by the Highly Effective Reperfusion evaluated in Multiple Endovascular Stroke Trials (HERMES) collaboration (Goyal et al, 2016). Sensitivity analysis will explore other data sources.</w:t>
      </w:r>
    </w:p>
    <w:p w14:paraId="20BA6248" w14:textId="290931D2" w:rsidR="00C13682" w:rsidRDefault="00A41E60" w:rsidP="0043316B">
      <w:pPr>
        <w:widowControl w:val="0"/>
        <w:rPr>
          <w:i/>
        </w:rPr>
      </w:pPr>
      <w:r w:rsidRPr="00D85E09">
        <w:t xml:space="preserve">As discussed above, the meta-analysed data could not inform the Day 7 mRS distribution. As shown in </w:t>
      </w:r>
      <w:r w:rsidRPr="00D85E09">
        <w:fldChar w:fldCharType="begin"/>
      </w:r>
      <w:r w:rsidRPr="00D85E09">
        <w:instrText xml:space="preserve"> REF _Ref424641697 \h </w:instrText>
      </w:r>
      <w:r w:rsidRPr="00D85E09">
        <w:fldChar w:fldCharType="separate"/>
      </w:r>
      <w:r w:rsidR="00A456ED" w:rsidRPr="00D85E09">
        <w:t xml:space="preserve">Table </w:t>
      </w:r>
      <w:r w:rsidR="00A456ED">
        <w:rPr>
          <w:noProof/>
        </w:rPr>
        <w:t>84</w:t>
      </w:r>
      <w:r w:rsidRPr="00D85E09">
        <w:fldChar w:fldCharType="end"/>
      </w:r>
      <w:r w:rsidRPr="00D85E09">
        <w:t xml:space="preserve">, </w:t>
      </w:r>
      <w:r w:rsidRPr="00D85E09">
        <w:rPr>
          <w:i/>
        </w:rPr>
        <w:t>this is hence supplemented by the available Day 90 data.</w:t>
      </w:r>
      <w:r w:rsidR="00C13682">
        <w:rPr>
          <w:i/>
        </w:rPr>
        <w:br w:type="page"/>
      </w:r>
    </w:p>
    <w:p w14:paraId="50C220FD" w14:textId="77777777" w:rsidR="00A41E60" w:rsidRPr="00D85E09" w:rsidRDefault="00A41E60" w:rsidP="0043316B">
      <w:pPr>
        <w:widowControl w:val="0"/>
        <w:rPr>
          <w:i/>
        </w:rPr>
      </w:pPr>
    </w:p>
    <w:p w14:paraId="2959269F" w14:textId="592116A3" w:rsidR="00A41E60" w:rsidRPr="00D85E09" w:rsidRDefault="00A41E60" w:rsidP="0043316B">
      <w:pPr>
        <w:pStyle w:val="Caption"/>
        <w:keepNext w:val="0"/>
        <w:widowControl w:val="0"/>
        <w:rPr>
          <w:lang w:val="en-AU"/>
        </w:rPr>
      </w:pPr>
      <w:bookmarkStart w:id="535" w:name="_Ref424641697"/>
      <w:bookmarkStart w:id="536" w:name="_Ref424641684"/>
      <w:bookmarkStart w:id="537" w:name="_Toc45306542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84</w:t>
      </w:r>
      <w:r w:rsidRPr="00D85E09">
        <w:rPr>
          <w:lang w:val="en-AU"/>
        </w:rPr>
        <w:fldChar w:fldCharType="end"/>
      </w:r>
      <w:bookmarkEnd w:id="535"/>
      <w:r w:rsidRPr="00D85E09">
        <w:rPr>
          <w:lang w:val="en-AU"/>
        </w:rPr>
        <w:tab/>
        <w:t>mRS at Day 7 and at Day 90</w:t>
      </w:r>
      <w:bookmarkEnd w:id="536"/>
      <w:r w:rsidRPr="00D85E09">
        <w:rPr>
          <w:lang w:val="en-AU"/>
        </w:rPr>
        <w:t>; meta-analysed RCT data</w:t>
      </w:r>
      <w:bookmarkEnd w:id="5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84 mRS at Day 7 and at Day 90; meta-analysed RCT data"/>
      </w:tblPr>
      <w:tblGrid>
        <w:gridCol w:w="3075"/>
        <w:gridCol w:w="888"/>
        <w:gridCol w:w="888"/>
        <w:gridCol w:w="889"/>
        <w:gridCol w:w="889"/>
        <w:gridCol w:w="889"/>
        <w:gridCol w:w="889"/>
        <w:gridCol w:w="881"/>
      </w:tblGrid>
      <w:tr w:rsidR="00A41E60" w:rsidRPr="00D85E09" w14:paraId="17D4CDDD" w14:textId="77777777" w:rsidTr="00A41E60">
        <w:trPr>
          <w:trHeight w:val="329"/>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5C2B59A8" w14:textId="77777777" w:rsidR="00A41E60" w:rsidRPr="00D85E09" w:rsidRDefault="00A41E60" w:rsidP="0043316B">
            <w:pPr>
              <w:pStyle w:val="Tabletext"/>
              <w:keepNext w:val="0"/>
              <w:widowControl w:val="0"/>
              <w:rPr>
                <w:b/>
              </w:rPr>
            </w:pPr>
            <w:r w:rsidRPr="00D85E09">
              <w:rPr>
                <w:b/>
              </w:rPr>
              <w:t>mRS</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61B6F35" w14:textId="77777777" w:rsidR="00A41E60" w:rsidRPr="00D85E09" w:rsidRDefault="00A41E60" w:rsidP="0043316B">
            <w:pPr>
              <w:pStyle w:val="Tabletext"/>
              <w:keepNext w:val="0"/>
              <w:widowControl w:val="0"/>
              <w:rPr>
                <w:b/>
              </w:rPr>
            </w:pPr>
            <w:r w:rsidRPr="00D85E09">
              <w:rPr>
                <w:b/>
              </w:rPr>
              <w:t>mRS 0</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585EA51" w14:textId="77777777" w:rsidR="00A41E60" w:rsidRPr="00D85E09" w:rsidRDefault="00A41E60" w:rsidP="0043316B">
            <w:pPr>
              <w:pStyle w:val="Tabletext"/>
              <w:keepNext w:val="0"/>
              <w:widowControl w:val="0"/>
              <w:rPr>
                <w:b/>
              </w:rPr>
            </w:pPr>
            <w:r w:rsidRPr="00D85E09">
              <w:rPr>
                <w:b/>
              </w:rPr>
              <w:t>mRS 1</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D7B09C1" w14:textId="77777777" w:rsidR="00A41E60" w:rsidRPr="00D85E09" w:rsidRDefault="00A41E60" w:rsidP="0043316B">
            <w:pPr>
              <w:pStyle w:val="Tabletext"/>
              <w:keepNext w:val="0"/>
              <w:widowControl w:val="0"/>
              <w:rPr>
                <w:b/>
              </w:rPr>
            </w:pPr>
            <w:r w:rsidRPr="00D85E09">
              <w:rPr>
                <w:b/>
              </w:rPr>
              <w:t>mRS 2</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4321345" w14:textId="77777777" w:rsidR="00A41E60" w:rsidRPr="00D85E09" w:rsidRDefault="00A41E60" w:rsidP="0043316B">
            <w:pPr>
              <w:pStyle w:val="Tabletext"/>
              <w:keepNext w:val="0"/>
              <w:widowControl w:val="0"/>
              <w:rPr>
                <w:b/>
              </w:rPr>
            </w:pPr>
            <w:r w:rsidRPr="00D85E09">
              <w:rPr>
                <w:b/>
              </w:rPr>
              <w:t>mRS 3</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01A15F6" w14:textId="77777777" w:rsidR="00A41E60" w:rsidRPr="00D85E09" w:rsidRDefault="00A41E60" w:rsidP="0043316B">
            <w:pPr>
              <w:pStyle w:val="Tabletext"/>
              <w:keepNext w:val="0"/>
              <w:widowControl w:val="0"/>
              <w:rPr>
                <w:b/>
              </w:rPr>
            </w:pPr>
            <w:r w:rsidRPr="00D85E09">
              <w:rPr>
                <w:b/>
              </w:rPr>
              <w:t>mRS 4</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3C93451" w14:textId="77777777" w:rsidR="00A41E60" w:rsidRPr="00D85E09" w:rsidRDefault="00A41E60" w:rsidP="0043316B">
            <w:pPr>
              <w:pStyle w:val="Tabletext"/>
              <w:keepNext w:val="0"/>
              <w:widowControl w:val="0"/>
              <w:rPr>
                <w:b/>
              </w:rPr>
            </w:pPr>
            <w:r w:rsidRPr="00D85E09">
              <w:rPr>
                <w:b/>
              </w:rPr>
              <w:t>mRS 5</w:t>
            </w:r>
          </w:p>
        </w:tc>
        <w:tc>
          <w:tcPr>
            <w:tcW w:w="497" w:type="pct"/>
            <w:tcBorders>
              <w:top w:val="single" w:sz="4" w:space="0" w:color="auto"/>
              <w:left w:val="single" w:sz="4" w:space="0" w:color="auto"/>
              <w:bottom w:val="single" w:sz="4" w:space="0" w:color="auto"/>
              <w:right w:val="single" w:sz="4" w:space="0" w:color="auto"/>
            </w:tcBorders>
            <w:noWrap/>
            <w:vAlign w:val="center"/>
            <w:hideMark/>
          </w:tcPr>
          <w:p w14:paraId="78E8D8DF" w14:textId="77777777" w:rsidR="00A41E60" w:rsidRPr="00D85E09" w:rsidRDefault="00A41E60" w:rsidP="0043316B">
            <w:pPr>
              <w:pStyle w:val="Tabletext"/>
              <w:keepNext w:val="0"/>
              <w:widowControl w:val="0"/>
              <w:rPr>
                <w:b/>
              </w:rPr>
            </w:pPr>
            <w:r w:rsidRPr="00D85E09">
              <w:rPr>
                <w:b/>
              </w:rPr>
              <w:t>Dead</w:t>
            </w:r>
          </w:p>
        </w:tc>
      </w:tr>
      <w:tr w:rsidR="00A41E60" w:rsidRPr="00D85E09" w14:paraId="689E16A2" w14:textId="77777777" w:rsidTr="00A41E60">
        <w:trPr>
          <w:trHeight w:val="329"/>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59EA4BA9" w14:textId="77777777" w:rsidR="00A41E60" w:rsidRPr="00D85E09" w:rsidRDefault="00A41E60" w:rsidP="0043316B">
            <w:pPr>
              <w:pStyle w:val="Tabletext"/>
              <w:keepNext w:val="0"/>
              <w:widowControl w:val="0"/>
              <w:rPr>
                <w:vertAlign w:val="superscript"/>
              </w:rPr>
            </w:pPr>
            <w:r w:rsidRPr="00D85E09">
              <w:t>At Day 7</w:t>
            </w:r>
            <w:r w:rsidRPr="00D85E09">
              <w:rPr>
                <w:vertAlign w:val="superscript"/>
              </w:rPr>
              <w:t>1</w:t>
            </w:r>
          </w:p>
        </w:tc>
        <w:tc>
          <w:tcPr>
            <w:tcW w:w="500" w:type="pct"/>
            <w:tcBorders>
              <w:top w:val="single" w:sz="4" w:space="0" w:color="auto"/>
              <w:left w:val="single" w:sz="4" w:space="0" w:color="auto"/>
              <w:bottom w:val="single" w:sz="4" w:space="0" w:color="auto"/>
              <w:right w:val="single" w:sz="4" w:space="0" w:color="auto"/>
            </w:tcBorders>
            <w:noWrap/>
            <w:vAlign w:val="center"/>
          </w:tcPr>
          <w:p w14:paraId="0C656AF7"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29C52DAB"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0C75CBD8"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1E19E554"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627F8268"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50BAC724" w14:textId="77777777" w:rsidR="00A41E60" w:rsidRPr="00D85E09" w:rsidRDefault="00A41E60" w:rsidP="0043316B">
            <w:pPr>
              <w:pStyle w:val="Tabletext"/>
              <w:keepNext w:val="0"/>
              <w:widowControl w:val="0"/>
            </w:pPr>
          </w:p>
        </w:tc>
        <w:tc>
          <w:tcPr>
            <w:tcW w:w="497" w:type="pct"/>
            <w:tcBorders>
              <w:top w:val="single" w:sz="4" w:space="0" w:color="auto"/>
              <w:left w:val="single" w:sz="4" w:space="0" w:color="auto"/>
              <w:bottom w:val="single" w:sz="4" w:space="0" w:color="auto"/>
              <w:right w:val="single" w:sz="4" w:space="0" w:color="auto"/>
            </w:tcBorders>
            <w:noWrap/>
            <w:vAlign w:val="center"/>
          </w:tcPr>
          <w:p w14:paraId="2876977B" w14:textId="77777777" w:rsidR="00A41E60" w:rsidRPr="00D85E09" w:rsidRDefault="00A41E60" w:rsidP="0043316B">
            <w:pPr>
              <w:pStyle w:val="Tabletext"/>
              <w:keepNext w:val="0"/>
              <w:widowControl w:val="0"/>
            </w:pPr>
          </w:p>
        </w:tc>
      </w:tr>
      <w:tr w:rsidR="00A41E60" w:rsidRPr="00D85E09" w14:paraId="18A03B7C" w14:textId="77777777" w:rsidTr="00A41E60">
        <w:trPr>
          <w:trHeight w:val="330"/>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13D73399" w14:textId="77777777" w:rsidR="00A41E60" w:rsidRPr="00D85E09" w:rsidRDefault="00A41E60" w:rsidP="0043316B">
            <w:pPr>
              <w:pStyle w:val="Tabletext"/>
              <w:keepNext w:val="0"/>
              <w:widowControl w:val="0"/>
            </w:pPr>
            <w:r w:rsidRPr="00D85E09">
              <w:t>Mechanical thrombectomy + usual care</w:t>
            </w:r>
          </w:p>
        </w:tc>
        <w:tc>
          <w:tcPr>
            <w:tcW w:w="500" w:type="pct"/>
            <w:tcBorders>
              <w:top w:val="single" w:sz="4" w:space="0" w:color="auto"/>
              <w:left w:val="single" w:sz="4" w:space="0" w:color="auto"/>
              <w:bottom w:val="single" w:sz="4" w:space="0" w:color="auto"/>
              <w:right w:val="single" w:sz="4" w:space="0" w:color="auto"/>
            </w:tcBorders>
            <w:noWrap/>
            <w:hideMark/>
          </w:tcPr>
          <w:p w14:paraId="41E339E4" w14:textId="77777777" w:rsidR="00A41E60" w:rsidRPr="00D85E09" w:rsidRDefault="00A41E60" w:rsidP="0043316B">
            <w:pPr>
              <w:pStyle w:val="Tabletext"/>
              <w:keepNext w:val="0"/>
              <w:widowControl w:val="0"/>
            </w:pPr>
            <w:r w:rsidRPr="00D85E09">
              <w:t>10.0%</w:t>
            </w:r>
          </w:p>
        </w:tc>
        <w:tc>
          <w:tcPr>
            <w:tcW w:w="500" w:type="pct"/>
            <w:tcBorders>
              <w:top w:val="single" w:sz="4" w:space="0" w:color="auto"/>
              <w:left w:val="single" w:sz="4" w:space="0" w:color="auto"/>
              <w:bottom w:val="single" w:sz="4" w:space="0" w:color="auto"/>
              <w:right w:val="single" w:sz="4" w:space="0" w:color="auto"/>
            </w:tcBorders>
            <w:noWrap/>
            <w:hideMark/>
          </w:tcPr>
          <w:p w14:paraId="4530BA57" w14:textId="77777777" w:rsidR="00A41E60" w:rsidRPr="00D85E09" w:rsidRDefault="00A41E60" w:rsidP="0043316B">
            <w:pPr>
              <w:pStyle w:val="Tabletext"/>
              <w:keepNext w:val="0"/>
              <w:widowControl w:val="0"/>
            </w:pPr>
            <w:r w:rsidRPr="00D85E09">
              <w:t>16.9%</w:t>
            </w:r>
          </w:p>
        </w:tc>
        <w:tc>
          <w:tcPr>
            <w:tcW w:w="500" w:type="pct"/>
            <w:tcBorders>
              <w:top w:val="single" w:sz="4" w:space="0" w:color="auto"/>
              <w:left w:val="single" w:sz="4" w:space="0" w:color="auto"/>
              <w:bottom w:val="single" w:sz="4" w:space="0" w:color="auto"/>
              <w:right w:val="single" w:sz="4" w:space="0" w:color="auto"/>
            </w:tcBorders>
            <w:noWrap/>
            <w:hideMark/>
          </w:tcPr>
          <w:p w14:paraId="796985A0" w14:textId="77777777" w:rsidR="00A41E60" w:rsidRPr="00D85E09" w:rsidRDefault="00A41E60" w:rsidP="0043316B">
            <w:pPr>
              <w:pStyle w:val="Tabletext"/>
              <w:keepNext w:val="0"/>
              <w:widowControl w:val="0"/>
            </w:pPr>
            <w:r w:rsidRPr="00D85E09">
              <w:t>19.1%</w:t>
            </w:r>
          </w:p>
        </w:tc>
        <w:tc>
          <w:tcPr>
            <w:tcW w:w="500" w:type="pct"/>
            <w:tcBorders>
              <w:top w:val="single" w:sz="4" w:space="0" w:color="auto"/>
              <w:left w:val="single" w:sz="4" w:space="0" w:color="auto"/>
              <w:bottom w:val="single" w:sz="4" w:space="0" w:color="auto"/>
              <w:right w:val="single" w:sz="4" w:space="0" w:color="auto"/>
            </w:tcBorders>
            <w:noWrap/>
            <w:hideMark/>
          </w:tcPr>
          <w:p w14:paraId="60384C26" w14:textId="77777777" w:rsidR="00A41E60" w:rsidRPr="00D85E09" w:rsidRDefault="00A41E60" w:rsidP="0043316B">
            <w:pPr>
              <w:pStyle w:val="Tabletext"/>
              <w:keepNext w:val="0"/>
              <w:widowControl w:val="0"/>
            </w:pPr>
            <w:r w:rsidRPr="00D85E09">
              <w:t>16.9%</w:t>
            </w:r>
          </w:p>
        </w:tc>
        <w:tc>
          <w:tcPr>
            <w:tcW w:w="500" w:type="pct"/>
            <w:tcBorders>
              <w:top w:val="single" w:sz="4" w:space="0" w:color="auto"/>
              <w:left w:val="single" w:sz="4" w:space="0" w:color="auto"/>
              <w:bottom w:val="single" w:sz="4" w:space="0" w:color="auto"/>
              <w:right w:val="single" w:sz="4" w:space="0" w:color="auto"/>
            </w:tcBorders>
            <w:noWrap/>
            <w:hideMark/>
          </w:tcPr>
          <w:p w14:paraId="6ACE45EA" w14:textId="77777777" w:rsidR="00A41E60" w:rsidRPr="00D85E09" w:rsidRDefault="00A41E60" w:rsidP="0043316B">
            <w:pPr>
              <w:pStyle w:val="Tabletext"/>
              <w:keepNext w:val="0"/>
              <w:widowControl w:val="0"/>
            </w:pPr>
            <w:r w:rsidRPr="00D85E09">
              <w:t>15.6%</w:t>
            </w:r>
          </w:p>
        </w:tc>
        <w:tc>
          <w:tcPr>
            <w:tcW w:w="500" w:type="pct"/>
            <w:tcBorders>
              <w:top w:val="single" w:sz="4" w:space="0" w:color="auto"/>
              <w:left w:val="single" w:sz="4" w:space="0" w:color="auto"/>
              <w:bottom w:val="single" w:sz="4" w:space="0" w:color="auto"/>
              <w:right w:val="single" w:sz="4" w:space="0" w:color="auto"/>
            </w:tcBorders>
            <w:noWrap/>
            <w:hideMark/>
          </w:tcPr>
          <w:p w14:paraId="065D025F" w14:textId="77777777" w:rsidR="00A41E60" w:rsidRPr="00D85E09" w:rsidRDefault="00A41E60" w:rsidP="0043316B">
            <w:pPr>
              <w:pStyle w:val="Tabletext"/>
              <w:keepNext w:val="0"/>
              <w:widowControl w:val="0"/>
            </w:pPr>
            <w:r w:rsidRPr="00D85E09">
              <w:t>6.2%</w:t>
            </w:r>
          </w:p>
        </w:tc>
        <w:tc>
          <w:tcPr>
            <w:tcW w:w="497" w:type="pct"/>
            <w:tcBorders>
              <w:top w:val="single" w:sz="4" w:space="0" w:color="auto"/>
              <w:left w:val="single" w:sz="4" w:space="0" w:color="auto"/>
              <w:bottom w:val="single" w:sz="4" w:space="0" w:color="auto"/>
              <w:right w:val="single" w:sz="4" w:space="0" w:color="auto"/>
            </w:tcBorders>
            <w:noWrap/>
            <w:hideMark/>
          </w:tcPr>
          <w:p w14:paraId="39309A67" w14:textId="77777777" w:rsidR="00A41E60" w:rsidRPr="00D85E09" w:rsidRDefault="00A41E60" w:rsidP="0043316B">
            <w:pPr>
              <w:pStyle w:val="Tabletext"/>
              <w:keepNext w:val="0"/>
              <w:widowControl w:val="0"/>
            </w:pPr>
            <w:r w:rsidRPr="00D85E09">
              <w:t>15.3%</w:t>
            </w:r>
          </w:p>
        </w:tc>
      </w:tr>
      <w:tr w:rsidR="00A41E60" w:rsidRPr="00D85E09" w14:paraId="3484F313" w14:textId="77777777" w:rsidTr="00A41E60">
        <w:trPr>
          <w:trHeight w:val="329"/>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5616C442" w14:textId="77777777" w:rsidR="00A41E60" w:rsidRPr="00D85E09" w:rsidRDefault="00A41E60" w:rsidP="0043316B">
            <w:pPr>
              <w:pStyle w:val="Tabletext"/>
              <w:keepNext w:val="0"/>
              <w:widowControl w:val="0"/>
            </w:pPr>
            <w:r w:rsidRPr="00D85E09">
              <w:t>Usual care</w:t>
            </w:r>
          </w:p>
        </w:tc>
        <w:tc>
          <w:tcPr>
            <w:tcW w:w="500" w:type="pct"/>
            <w:tcBorders>
              <w:top w:val="single" w:sz="4" w:space="0" w:color="auto"/>
              <w:left w:val="single" w:sz="4" w:space="0" w:color="auto"/>
              <w:bottom w:val="single" w:sz="4" w:space="0" w:color="auto"/>
              <w:right w:val="single" w:sz="4" w:space="0" w:color="auto"/>
            </w:tcBorders>
            <w:noWrap/>
            <w:hideMark/>
          </w:tcPr>
          <w:p w14:paraId="42740B5E" w14:textId="77777777" w:rsidR="00A41E60" w:rsidRPr="00D85E09" w:rsidRDefault="00A41E60" w:rsidP="0043316B">
            <w:pPr>
              <w:pStyle w:val="Tabletext"/>
              <w:keepNext w:val="0"/>
              <w:widowControl w:val="0"/>
            </w:pPr>
            <w:r w:rsidRPr="00D85E09">
              <w:t>5.0%</w:t>
            </w:r>
          </w:p>
        </w:tc>
        <w:tc>
          <w:tcPr>
            <w:tcW w:w="500" w:type="pct"/>
            <w:tcBorders>
              <w:top w:val="single" w:sz="4" w:space="0" w:color="auto"/>
              <w:left w:val="single" w:sz="4" w:space="0" w:color="auto"/>
              <w:bottom w:val="single" w:sz="4" w:space="0" w:color="auto"/>
              <w:right w:val="single" w:sz="4" w:space="0" w:color="auto"/>
            </w:tcBorders>
            <w:noWrap/>
            <w:hideMark/>
          </w:tcPr>
          <w:p w14:paraId="78E4E47F" w14:textId="77777777" w:rsidR="00A41E60" w:rsidRPr="00D85E09" w:rsidRDefault="00A41E60" w:rsidP="0043316B">
            <w:pPr>
              <w:pStyle w:val="Tabletext"/>
              <w:keepNext w:val="0"/>
              <w:widowControl w:val="0"/>
            </w:pPr>
            <w:r w:rsidRPr="00D85E09">
              <w:t>7.9%</w:t>
            </w:r>
          </w:p>
        </w:tc>
        <w:tc>
          <w:tcPr>
            <w:tcW w:w="500" w:type="pct"/>
            <w:tcBorders>
              <w:top w:val="single" w:sz="4" w:space="0" w:color="auto"/>
              <w:left w:val="single" w:sz="4" w:space="0" w:color="auto"/>
              <w:bottom w:val="single" w:sz="4" w:space="0" w:color="auto"/>
              <w:right w:val="single" w:sz="4" w:space="0" w:color="auto"/>
            </w:tcBorders>
            <w:noWrap/>
            <w:hideMark/>
          </w:tcPr>
          <w:p w14:paraId="001EC3B1" w14:textId="77777777" w:rsidR="00A41E60" w:rsidRPr="00D85E09" w:rsidRDefault="00A41E60" w:rsidP="0043316B">
            <w:pPr>
              <w:pStyle w:val="Tabletext"/>
              <w:keepNext w:val="0"/>
              <w:widowControl w:val="0"/>
            </w:pPr>
            <w:r w:rsidRPr="00D85E09">
              <w:t>13.6%</w:t>
            </w:r>
          </w:p>
        </w:tc>
        <w:tc>
          <w:tcPr>
            <w:tcW w:w="500" w:type="pct"/>
            <w:tcBorders>
              <w:top w:val="single" w:sz="4" w:space="0" w:color="auto"/>
              <w:left w:val="single" w:sz="4" w:space="0" w:color="auto"/>
              <w:bottom w:val="single" w:sz="4" w:space="0" w:color="auto"/>
              <w:right w:val="single" w:sz="4" w:space="0" w:color="auto"/>
            </w:tcBorders>
            <w:noWrap/>
            <w:hideMark/>
          </w:tcPr>
          <w:p w14:paraId="374611FA" w14:textId="77777777" w:rsidR="00A41E60" w:rsidRPr="00D85E09" w:rsidRDefault="00A41E60" w:rsidP="0043316B">
            <w:pPr>
              <w:pStyle w:val="Tabletext"/>
              <w:keepNext w:val="0"/>
              <w:widowControl w:val="0"/>
            </w:pPr>
            <w:r w:rsidRPr="00D85E09">
              <w:t>16.4%</w:t>
            </w:r>
          </w:p>
        </w:tc>
        <w:tc>
          <w:tcPr>
            <w:tcW w:w="500" w:type="pct"/>
            <w:tcBorders>
              <w:top w:val="single" w:sz="4" w:space="0" w:color="auto"/>
              <w:left w:val="single" w:sz="4" w:space="0" w:color="auto"/>
              <w:bottom w:val="single" w:sz="4" w:space="0" w:color="auto"/>
              <w:right w:val="single" w:sz="4" w:space="0" w:color="auto"/>
            </w:tcBorders>
            <w:noWrap/>
            <w:hideMark/>
          </w:tcPr>
          <w:p w14:paraId="162C71E6" w14:textId="77777777" w:rsidR="00A41E60" w:rsidRPr="00D85E09" w:rsidRDefault="00A41E60" w:rsidP="0043316B">
            <w:pPr>
              <w:pStyle w:val="Tabletext"/>
              <w:keepNext w:val="0"/>
              <w:widowControl w:val="0"/>
            </w:pPr>
            <w:r w:rsidRPr="00D85E09">
              <w:t>24.7%</w:t>
            </w:r>
          </w:p>
        </w:tc>
        <w:tc>
          <w:tcPr>
            <w:tcW w:w="500" w:type="pct"/>
            <w:tcBorders>
              <w:top w:val="single" w:sz="4" w:space="0" w:color="auto"/>
              <w:left w:val="single" w:sz="4" w:space="0" w:color="auto"/>
              <w:bottom w:val="single" w:sz="4" w:space="0" w:color="auto"/>
              <w:right w:val="single" w:sz="4" w:space="0" w:color="auto"/>
            </w:tcBorders>
            <w:noWrap/>
            <w:hideMark/>
          </w:tcPr>
          <w:p w14:paraId="421A50C2" w14:textId="77777777" w:rsidR="00A41E60" w:rsidRPr="00D85E09" w:rsidRDefault="00A41E60" w:rsidP="0043316B">
            <w:pPr>
              <w:pStyle w:val="Tabletext"/>
              <w:keepNext w:val="0"/>
              <w:widowControl w:val="0"/>
            </w:pPr>
            <w:r w:rsidRPr="00D85E09">
              <w:t>13.5%</w:t>
            </w:r>
          </w:p>
        </w:tc>
        <w:tc>
          <w:tcPr>
            <w:tcW w:w="497" w:type="pct"/>
            <w:tcBorders>
              <w:top w:val="single" w:sz="4" w:space="0" w:color="auto"/>
              <w:left w:val="single" w:sz="4" w:space="0" w:color="auto"/>
              <w:bottom w:val="single" w:sz="4" w:space="0" w:color="auto"/>
              <w:right w:val="single" w:sz="4" w:space="0" w:color="auto"/>
            </w:tcBorders>
            <w:noWrap/>
            <w:hideMark/>
          </w:tcPr>
          <w:p w14:paraId="0698F1E8" w14:textId="77777777" w:rsidR="00A41E60" w:rsidRPr="00D85E09" w:rsidRDefault="00A41E60" w:rsidP="0043316B">
            <w:pPr>
              <w:pStyle w:val="Tabletext"/>
              <w:keepNext w:val="0"/>
              <w:widowControl w:val="0"/>
            </w:pPr>
            <w:r w:rsidRPr="00D85E09">
              <w:t>18.9%</w:t>
            </w:r>
          </w:p>
        </w:tc>
      </w:tr>
      <w:tr w:rsidR="00A41E60" w:rsidRPr="00D85E09" w14:paraId="7A9B1A14" w14:textId="77777777" w:rsidTr="00A41E60">
        <w:trPr>
          <w:trHeight w:val="330"/>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6B6DF6AB" w14:textId="77777777" w:rsidR="00A41E60" w:rsidRPr="00D85E09" w:rsidRDefault="00A41E60" w:rsidP="0043316B">
            <w:pPr>
              <w:pStyle w:val="Tabletext"/>
              <w:keepNext w:val="0"/>
              <w:widowControl w:val="0"/>
            </w:pPr>
            <w:r w:rsidRPr="00D85E09">
              <w:t>At Day 90</w:t>
            </w:r>
          </w:p>
        </w:tc>
        <w:tc>
          <w:tcPr>
            <w:tcW w:w="500" w:type="pct"/>
            <w:tcBorders>
              <w:top w:val="single" w:sz="4" w:space="0" w:color="auto"/>
              <w:left w:val="single" w:sz="4" w:space="0" w:color="auto"/>
              <w:bottom w:val="single" w:sz="4" w:space="0" w:color="auto"/>
              <w:right w:val="single" w:sz="4" w:space="0" w:color="auto"/>
            </w:tcBorders>
            <w:noWrap/>
            <w:vAlign w:val="center"/>
          </w:tcPr>
          <w:p w14:paraId="749CE4FF"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4209F39D"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12D393F2"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59DF7072"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6BE9B4D4" w14:textId="77777777" w:rsidR="00A41E60" w:rsidRPr="00D85E09" w:rsidRDefault="00A41E60" w:rsidP="0043316B">
            <w:pPr>
              <w:pStyle w:val="Tabletext"/>
              <w:keepNext w:val="0"/>
              <w:widowControl w:val="0"/>
            </w:pPr>
          </w:p>
        </w:tc>
        <w:tc>
          <w:tcPr>
            <w:tcW w:w="500" w:type="pct"/>
            <w:tcBorders>
              <w:top w:val="single" w:sz="4" w:space="0" w:color="auto"/>
              <w:left w:val="single" w:sz="4" w:space="0" w:color="auto"/>
              <w:bottom w:val="single" w:sz="4" w:space="0" w:color="auto"/>
              <w:right w:val="single" w:sz="4" w:space="0" w:color="auto"/>
            </w:tcBorders>
            <w:noWrap/>
            <w:vAlign w:val="center"/>
          </w:tcPr>
          <w:p w14:paraId="7FCB2D09" w14:textId="77777777" w:rsidR="00A41E60" w:rsidRPr="00D85E09" w:rsidRDefault="00A41E60" w:rsidP="0043316B">
            <w:pPr>
              <w:pStyle w:val="Tabletext"/>
              <w:keepNext w:val="0"/>
              <w:widowControl w:val="0"/>
            </w:pPr>
          </w:p>
        </w:tc>
        <w:tc>
          <w:tcPr>
            <w:tcW w:w="497" w:type="pct"/>
            <w:tcBorders>
              <w:top w:val="single" w:sz="4" w:space="0" w:color="auto"/>
              <w:left w:val="single" w:sz="4" w:space="0" w:color="auto"/>
              <w:bottom w:val="single" w:sz="4" w:space="0" w:color="auto"/>
              <w:right w:val="single" w:sz="4" w:space="0" w:color="auto"/>
            </w:tcBorders>
            <w:noWrap/>
            <w:vAlign w:val="center"/>
          </w:tcPr>
          <w:p w14:paraId="308BB492" w14:textId="77777777" w:rsidR="00A41E60" w:rsidRPr="00D85E09" w:rsidRDefault="00A41E60" w:rsidP="0043316B">
            <w:pPr>
              <w:pStyle w:val="Tabletext"/>
              <w:keepNext w:val="0"/>
              <w:widowControl w:val="0"/>
            </w:pPr>
          </w:p>
        </w:tc>
      </w:tr>
      <w:tr w:rsidR="00A41E60" w:rsidRPr="00D85E09" w14:paraId="6B95C1C5" w14:textId="77777777" w:rsidTr="00A41E60">
        <w:trPr>
          <w:trHeight w:val="329"/>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2B4477B0" w14:textId="77777777" w:rsidR="00A41E60" w:rsidRPr="00D85E09" w:rsidRDefault="00A41E60" w:rsidP="0043316B">
            <w:pPr>
              <w:pStyle w:val="Tabletext"/>
              <w:keepNext w:val="0"/>
              <w:widowControl w:val="0"/>
            </w:pPr>
            <w:r w:rsidRPr="00D85E09">
              <w:t>Mechanical thrombectomy + usual care</w:t>
            </w:r>
          </w:p>
        </w:tc>
        <w:tc>
          <w:tcPr>
            <w:tcW w:w="500" w:type="pct"/>
            <w:tcBorders>
              <w:top w:val="single" w:sz="4" w:space="0" w:color="auto"/>
              <w:left w:val="single" w:sz="4" w:space="0" w:color="auto"/>
              <w:bottom w:val="single" w:sz="4" w:space="0" w:color="auto"/>
              <w:right w:val="single" w:sz="4" w:space="0" w:color="auto"/>
            </w:tcBorders>
            <w:noWrap/>
            <w:hideMark/>
          </w:tcPr>
          <w:p w14:paraId="7CB06FAE" w14:textId="77777777" w:rsidR="00A41E60" w:rsidRPr="00D85E09" w:rsidRDefault="00A41E60" w:rsidP="0043316B">
            <w:pPr>
              <w:pStyle w:val="Tabletext"/>
              <w:keepNext w:val="0"/>
              <w:widowControl w:val="0"/>
            </w:pPr>
            <w:r w:rsidRPr="00D85E09">
              <w:t>10.0%</w:t>
            </w:r>
          </w:p>
        </w:tc>
        <w:tc>
          <w:tcPr>
            <w:tcW w:w="500" w:type="pct"/>
            <w:tcBorders>
              <w:top w:val="single" w:sz="4" w:space="0" w:color="auto"/>
              <w:left w:val="single" w:sz="4" w:space="0" w:color="auto"/>
              <w:bottom w:val="single" w:sz="4" w:space="0" w:color="auto"/>
              <w:right w:val="single" w:sz="4" w:space="0" w:color="auto"/>
            </w:tcBorders>
            <w:noWrap/>
            <w:hideMark/>
          </w:tcPr>
          <w:p w14:paraId="17B950C3" w14:textId="77777777" w:rsidR="00A41E60" w:rsidRPr="00D85E09" w:rsidRDefault="00A41E60" w:rsidP="0043316B">
            <w:pPr>
              <w:pStyle w:val="Tabletext"/>
              <w:keepNext w:val="0"/>
              <w:widowControl w:val="0"/>
            </w:pPr>
            <w:r w:rsidRPr="00D85E09">
              <w:t>16.9%</w:t>
            </w:r>
          </w:p>
        </w:tc>
        <w:tc>
          <w:tcPr>
            <w:tcW w:w="500" w:type="pct"/>
            <w:tcBorders>
              <w:top w:val="single" w:sz="4" w:space="0" w:color="auto"/>
              <w:left w:val="single" w:sz="4" w:space="0" w:color="auto"/>
              <w:bottom w:val="single" w:sz="4" w:space="0" w:color="auto"/>
              <w:right w:val="single" w:sz="4" w:space="0" w:color="auto"/>
            </w:tcBorders>
            <w:noWrap/>
            <w:hideMark/>
          </w:tcPr>
          <w:p w14:paraId="3B5C07B5" w14:textId="77777777" w:rsidR="00A41E60" w:rsidRPr="00D85E09" w:rsidRDefault="00A41E60" w:rsidP="0043316B">
            <w:pPr>
              <w:pStyle w:val="Tabletext"/>
              <w:keepNext w:val="0"/>
              <w:widowControl w:val="0"/>
            </w:pPr>
            <w:r w:rsidRPr="00D85E09">
              <w:t>19.1%</w:t>
            </w:r>
          </w:p>
        </w:tc>
        <w:tc>
          <w:tcPr>
            <w:tcW w:w="500" w:type="pct"/>
            <w:tcBorders>
              <w:top w:val="single" w:sz="4" w:space="0" w:color="auto"/>
              <w:left w:val="single" w:sz="4" w:space="0" w:color="auto"/>
              <w:bottom w:val="single" w:sz="4" w:space="0" w:color="auto"/>
              <w:right w:val="single" w:sz="4" w:space="0" w:color="auto"/>
            </w:tcBorders>
            <w:noWrap/>
            <w:hideMark/>
          </w:tcPr>
          <w:p w14:paraId="54A06D70" w14:textId="77777777" w:rsidR="00A41E60" w:rsidRPr="00D85E09" w:rsidRDefault="00A41E60" w:rsidP="0043316B">
            <w:pPr>
              <w:pStyle w:val="Tabletext"/>
              <w:keepNext w:val="0"/>
              <w:widowControl w:val="0"/>
            </w:pPr>
            <w:r w:rsidRPr="00D85E09">
              <w:t>16.9%</w:t>
            </w:r>
          </w:p>
        </w:tc>
        <w:tc>
          <w:tcPr>
            <w:tcW w:w="500" w:type="pct"/>
            <w:tcBorders>
              <w:top w:val="single" w:sz="4" w:space="0" w:color="auto"/>
              <w:left w:val="single" w:sz="4" w:space="0" w:color="auto"/>
              <w:bottom w:val="single" w:sz="4" w:space="0" w:color="auto"/>
              <w:right w:val="single" w:sz="4" w:space="0" w:color="auto"/>
            </w:tcBorders>
            <w:noWrap/>
            <w:hideMark/>
          </w:tcPr>
          <w:p w14:paraId="299354DB" w14:textId="77777777" w:rsidR="00A41E60" w:rsidRPr="00D85E09" w:rsidRDefault="00A41E60" w:rsidP="0043316B">
            <w:pPr>
              <w:pStyle w:val="Tabletext"/>
              <w:keepNext w:val="0"/>
              <w:widowControl w:val="0"/>
            </w:pPr>
            <w:r w:rsidRPr="00D85E09">
              <w:t>15.6%</w:t>
            </w:r>
          </w:p>
        </w:tc>
        <w:tc>
          <w:tcPr>
            <w:tcW w:w="500" w:type="pct"/>
            <w:tcBorders>
              <w:top w:val="single" w:sz="4" w:space="0" w:color="auto"/>
              <w:left w:val="single" w:sz="4" w:space="0" w:color="auto"/>
              <w:bottom w:val="single" w:sz="4" w:space="0" w:color="auto"/>
              <w:right w:val="single" w:sz="4" w:space="0" w:color="auto"/>
            </w:tcBorders>
            <w:noWrap/>
            <w:hideMark/>
          </w:tcPr>
          <w:p w14:paraId="142B1001" w14:textId="77777777" w:rsidR="00A41E60" w:rsidRPr="00D85E09" w:rsidRDefault="00A41E60" w:rsidP="0043316B">
            <w:pPr>
              <w:pStyle w:val="Tabletext"/>
              <w:keepNext w:val="0"/>
              <w:widowControl w:val="0"/>
            </w:pPr>
            <w:r w:rsidRPr="00D85E09">
              <w:t>6.2%</w:t>
            </w:r>
          </w:p>
        </w:tc>
        <w:tc>
          <w:tcPr>
            <w:tcW w:w="497" w:type="pct"/>
            <w:tcBorders>
              <w:top w:val="single" w:sz="4" w:space="0" w:color="auto"/>
              <w:left w:val="single" w:sz="4" w:space="0" w:color="auto"/>
              <w:bottom w:val="single" w:sz="4" w:space="0" w:color="auto"/>
              <w:right w:val="single" w:sz="4" w:space="0" w:color="auto"/>
            </w:tcBorders>
            <w:noWrap/>
            <w:hideMark/>
          </w:tcPr>
          <w:p w14:paraId="5311C3EA" w14:textId="77777777" w:rsidR="00A41E60" w:rsidRPr="00D85E09" w:rsidRDefault="00A41E60" w:rsidP="0043316B">
            <w:pPr>
              <w:pStyle w:val="Tabletext"/>
              <w:keepNext w:val="0"/>
              <w:widowControl w:val="0"/>
            </w:pPr>
            <w:r w:rsidRPr="00D85E09">
              <w:t>15.3%</w:t>
            </w:r>
          </w:p>
        </w:tc>
      </w:tr>
      <w:tr w:rsidR="00A41E60" w:rsidRPr="00D85E09" w14:paraId="283F4805" w14:textId="77777777" w:rsidTr="00A41E60">
        <w:trPr>
          <w:trHeight w:val="330"/>
        </w:trPr>
        <w:tc>
          <w:tcPr>
            <w:tcW w:w="1504" w:type="pct"/>
            <w:tcBorders>
              <w:top w:val="single" w:sz="4" w:space="0" w:color="auto"/>
              <w:left w:val="single" w:sz="4" w:space="0" w:color="auto"/>
              <w:bottom w:val="single" w:sz="4" w:space="0" w:color="auto"/>
              <w:right w:val="single" w:sz="4" w:space="0" w:color="auto"/>
            </w:tcBorders>
            <w:noWrap/>
            <w:vAlign w:val="center"/>
            <w:hideMark/>
          </w:tcPr>
          <w:p w14:paraId="6B3793A2" w14:textId="77777777" w:rsidR="00A41E60" w:rsidRPr="00D85E09" w:rsidRDefault="00A41E60" w:rsidP="0043316B">
            <w:pPr>
              <w:pStyle w:val="Tabletext"/>
              <w:keepNext w:val="0"/>
              <w:widowControl w:val="0"/>
            </w:pPr>
            <w:r w:rsidRPr="00D85E09">
              <w:t>Usual care</w:t>
            </w:r>
          </w:p>
        </w:tc>
        <w:tc>
          <w:tcPr>
            <w:tcW w:w="500" w:type="pct"/>
            <w:tcBorders>
              <w:top w:val="single" w:sz="4" w:space="0" w:color="auto"/>
              <w:left w:val="single" w:sz="4" w:space="0" w:color="auto"/>
              <w:bottom w:val="single" w:sz="4" w:space="0" w:color="auto"/>
              <w:right w:val="single" w:sz="4" w:space="0" w:color="auto"/>
            </w:tcBorders>
            <w:noWrap/>
            <w:hideMark/>
          </w:tcPr>
          <w:p w14:paraId="4E278B70" w14:textId="77777777" w:rsidR="00A41E60" w:rsidRPr="00D85E09" w:rsidRDefault="00A41E60" w:rsidP="0043316B">
            <w:pPr>
              <w:pStyle w:val="Tabletext"/>
              <w:keepNext w:val="0"/>
              <w:widowControl w:val="0"/>
            </w:pPr>
            <w:r w:rsidRPr="00D85E09">
              <w:t>5.0%</w:t>
            </w:r>
          </w:p>
        </w:tc>
        <w:tc>
          <w:tcPr>
            <w:tcW w:w="500" w:type="pct"/>
            <w:tcBorders>
              <w:top w:val="single" w:sz="4" w:space="0" w:color="auto"/>
              <w:left w:val="single" w:sz="4" w:space="0" w:color="auto"/>
              <w:bottom w:val="single" w:sz="4" w:space="0" w:color="auto"/>
              <w:right w:val="single" w:sz="4" w:space="0" w:color="auto"/>
            </w:tcBorders>
            <w:noWrap/>
            <w:hideMark/>
          </w:tcPr>
          <w:p w14:paraId="5E1D1C94" w14:textId="77777777" w:rsidR="00A41E60" w:rsidRPr="00D85E09" w:rsidRDefault="00A41E60" w:rsidP="0043316B">
            <w:pPr>
              <w:pStyle w:val="Tabletext"/>
              <w:keepNext w:val="0"/>
              <w:widowControl w:val="0"/>
            </w:pPr>
            <w:r w:rsidRPr="00D85E09">
              <w:t>7.9%</w:t>
            </w:r>
          </w:p>
        </w:tc>
        <w:tc>
          <w:tcPr>
            <w:tcW w:w="500" w:type="pct"/>
            <w:tcBorders>
              <w:top w:val="single" w:sz="4" w:space="0" w:color="auto"/>
              <w:left w:val="single" w:sz="4" w:space="0" w:color="auto"/>
              <w:bottom w:val="single" w:sz="4" w:space="0" w:color="auto"/>
              <w:right w:val="single" w:sz="4" w:space="0" w:color="auto"/>
            </w:tcBorders>
            <w:noWrap/>
            <w:hideMark/>
          </w:tcPr>
          <w:p w14:paraId="1DDE5241" w14:textId="77777777" w:rsidR="00A41E60" w:rsidRPr="00D85E09" w:rsidRDefault="00A41E60" w:rsidP="0043316B">
            <w:pPr>
              <w:pStyle w:val="Tabletext"/>
              <w:keepNext w:val="0"/>
              <w:widowControl w:val="0"/>
            </w:pPr>
            <w:r w:rsidRPr="00D85E09">
              <w:t>13.6%</w:t>
            </w:r>
          </w:p>
        </w:tc>
        <w:tc>
          <w:tcPr>
            <w:tcW w:w="500" w:type="pct"/>
            <w:tcBorders>
              <w:top w:val="single" w:sz="4" w:space="0" w:color="auto"/>
              <w:left w:val="single" w:sz="4" w:space="0" w:color="auto"/>
              <w:bottom w:val="single" w:sz="4" w:space="0" w:color="auto"/>
              <w:right w:val="single" w:sz="4" w:space="0" w:color="auto"/>
            </w:tcBorders>
            <w:noWrap/>
            <w:hideMark/>
          </w:tcPr>
          <w:p w14:paraId="75063E15" w14:textId="77777777" w:rsidR="00A41E60" w:rsidRPr="00D85E09" w:rsidRDefault="00A41E60" w:rsidP="0043316B">
            <w:pPr>
              <w:pStyle w:val="Tabletext"/>
              <w:keepNext w:val="0"/>
              <w:widowControl w:val="0"/>
            </w:pPr>
            <w:r w:rsidRPr="00D85E09">
              <w:t>16.4%</w:t>
            </w:r>
          </w:p>
        </w:tc>
        <w:tc>
          <w:tcPr>
            <w:tcW w:w="500" w:type="pct"/>
            <w:tcBorders>
              <w:top w:val="single" w:sz="4" w:space="0" w:color="auto"/>
              <w:left w:val="single" w:sz="4" w:space="0" w:color="auto"/>
              <w:bottom w:val="single" w:sz="4" w:space="0" w:color="auto"/>
              <w:right w:val="single" w:sz="4" w:space="0" w:color="auto"/>
            </w:tcBorders>
            <w:noWrap/>
            <w:hideMark/>
          </w:tcPr>
          <w:p w14:paraId="0B88ADDC" w14:textId="77777777" w:rsidR="00A41E60" w:rsidRPr="00D85E09" w:rsidRDefault="00A41E60" w:rsidP="0043316B">
            <w:pPr>
              <w:pStyle w:val="Tabletext"/>
              <w:keepNext w:val="0"/>
              <w:widowControl w:val="0"/>
            </w:pPr>
            <w:r w:rsidRPr="00D85E09">
              <w:t>24.7%</w:t>
            </w:r>
          </w:p>
        </w:tc>
        <w:tc>
          <w:tcPr>
            <w:tcW w:w="500" w:type="pct"/>
            <w:tcBorders>
              <w:top w:val="single" w:sz="4" w:space="0" w:color="auto"/>
              <w:left w:val="single" w:sz="4" w:space="0" w:color="auto"/>
              <w:bottom w:val="single" w:sz="4" w:space="0" w:color="auto"/>
              <w:right w:val="single" w:sz="4" w:space="0" w:color="auto"/>
            </w:tcBorders>
            <w:noWrap/>
            <w:hideMark/>
          </w:tcPr>
          <w:p w14:paraId="158278B6" w14:textId="77777777" w:rsidR="00A41E60" w:rsidRPr="00D85E09" w:rsidRDefault="00A41E60" w:rsidP="0043316B">
            <w:pPr>
              <w:pStyle w:val="Tabletext"/>
              <w:keepNext w:val="0"/>
              <w:widowControl w:val="0"/>
            </w:pPr>
            <w:r w:rsidRPr="00D85E09">
              <w:t>13.5%</w:t>
            </w:r>
          </w:p>
        </w:tc>
        <w:tc>
          <w:tcPr>
            <w:tcW w:w="497" w:type="pct"/>
            <w:tcBorders>
              <w:top w:val="single" w:sz="4" w:space="0" w:color="auto"/>
              <w:left w:val="single" w:sz="4" w:space="0" w:color="auto"/>
              <w:bottom w:val="single" w:sz="4" w:space="0" w:color="auto"/>
              <w:right w:val="single" w:sz="4" w:space="0" w:color="auto"/>
            </w:tcBorders>
            <w:noWrap/>
            <w:hideMark/>
          </w:tcPr>
          <w:p w14:paraId="495DA2E7" w14:textId="77777777" w:rsidR="00A41E60" w:rsidRPr="00D85E09" w:rsidRDefault="00A41E60" w:rsidP="0043316B">
            <w:pPr>
              <w:pStyle w:val="Tabletext"/>
              <w:keepNext w:val="0"/>
              <w:widowControl w:val="0"/>
            </w:pPr>
            <w:r w:rsidRPr="00D85E09">
              <w:t>18.9%</w:t>
            </w:r>
          </w:p>
        </w:tc>
      </w:tr>
    </w:tbl>
    <w:p w14:paraId="1EBAA1F7" w14:textId="77777777" w:rsidR="00A41E60" w:rsidRPr="00D85E09" w:rsidRDefault="00A41E60" w:rsidP="0043316B">
      <w:pPr>
        <w:pStyle w:val="Tablefootnote"/>
        <w:widowControl w:val="0"/>
        <w:rPr>
          <w:lang w:val="en-AU"/>
        </w:rPr>
      </w:pPr>
      <w:r w:rsidRPr="00D85E09">
        <w:rPr>
          <w:lang w:val="en-AU"/>
        </w:rPr>
        <w:t>Abbreviations: mRS, modified Rankin Score</w:t>
      </w:r>
    </w:p>
    <w:p w14:paraId="78E43268" w14:textId="5E7CCD54" w:rsidR="00A41E60" w:rsidRPr="00D85E09" w:rsidRDefault="00A41E60" w:rsidP="0043316B">
      <w:pPr>
        <w:pStyle w:val="Tablefootnote"/>
        <w:widowControl w:val="0"/>
        <w:rPr>
          <w:lang w:val="en-AU"/>
        </w:rPr>
      </w:pPr>
      <w:r w:rsidRPr="00D85E09">
        <w:rPr>
          <w:vertAlign w:val="superscript"/>
          <w:lang w:val="en-AU"/>
        </w:rPr>
        <w:t>1</w:t>
      </w:r>
      <w:r w:rsidRPr="00D85E09">
        <w:rPr>
          <w:lang w:val="en-AU"/>
        </w:rPr>
        <w:t xml:space="preserve"> Assumed to be same as the Day 90 distribution. As noted above, the Day 7 data are available only in SWIFT PRIME. Sensitivity analysis will demonstrate that when the Day 90 data from SWIFT PRIME are used to inform the Day 7 mRS distribution (vice versa), the ICER changes from $10,972 to $10,832; indicating that this assumption has a very limited overall impact on the ICER.</w:t>
      </w:r>
    </w:p>
    <w:p w14:paraId="656EAA07" w14:textId="77777777" w:rsidR="00A41E60" w:rsidRPr="00D85E09" w:rsidRDefault="00A41E60" w:rsidP="0043316B">
      <w:pPr>
        <w:pStyle w:val="Heading5"/>
        <w:widowControl w:val="0"/>
        <w:rPr>
          <w:lang w:val="en-AU"/>
        </w:rPr>
      </w:pPr>
      <w:bookmarkStart w:id="538" w:name="_Ref424641709"/>
      <w:r w:rsidRPr="00D85E09">
        <w:rPr>
          <w:lang w:val="en-AU"/>
        </w:rPr>
        <w:t>Distribution of mRS scores during the mid-term phase (to Day 365)</w:t>
      </w:r>
    </w:p>
    <w:bookmarkEnd w:id="538"/>
    <w:p w14:paraId="617DBE42" w14:textId="71CCE52F" w:rsidR="00A41E60" w:rsidRPr="00D85E09" w:rsidRDefault="00A41E60" w:rsidP="0043316B">
      <w:pPr>
        <w:widowControl w:val="0"/>
        <w:rPr>
          <w:highlight w:val="yellow"/>
        </w:rPr>
      </w:pPr>
      <w:r w:rsidRPr="00D85E09">
        <w:t xml:space="preserve">Patients are able to improve or deteriorate from their Day 90 mRS scores. The transition probabilities used in this phase are taken from Gensicke et al (2013), as shown in </w:t>
      </w:r>
      <w:r w:rsidRPr="00D85E09">
        <w:fldChar w:fldCharType="begin"/>
      </w:r>
      <w:r w:rsidRPr="00D85E09">
        <w:instrText xml:space="preserve"> REF _Ref451523096 \h  \* MERGEFORMAT </w:instrText>
      </w:r>
      <w:r w:rsidRPr="00D85E09">
        <w:fldChar w:fldCharType="separate"/>
      </w:r>
      <w:r w:rsidR="00A456ED" w:rsidRPr="00D85E09">
        <w:t xml:space="preserve">Table </w:t>
      </w:r>
      <w:r w:rsidR="00A456ED">
        <w:rPr>
          <w:noProof/>
        </w:rPr>
        <w:t>85</w:t>
      </w:r>
      <w:r w:rsidRPr="00D85E09">
        <w:fldChar w:fldCharType="end"/>
      </w:r>
      <w:r w:rsidRPr="00D85E09">
        <w:t xml:space="preserve"> below.</w:t>
      </w:r>
    </w:p>
    <w:p w14:paraId="2FF8E383" w14:textId="7EED7ECC" w:rsidR="00A41E60" w:rsidRPr="00D85E09" w:rsidRDefault="00A41E60" w:rsidP="0043316B">
      <w:pPr>
        <w:pStyle w:val="Caption"/>
        <w:keepNext w:val="0"/>
        <w:widowControl w:val="0"/>
        <w:rPr>
          <w:lang w:val="en-AU"/>
        </w:rPr>
      </w:pPr>
      <w:bookmarkStart w:id="539" w:name="_Ref451523096"/>
      <w:bookmarkStart w:id="540" w:name="_Toc45306542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85</w:t>
      </w:r>
      <w:r w:rsidRPr="00D85E09">
        <w:rPr>
          <w:lang w:val="en-AU"/>
        </w:rPr>
        <w:fldChar w:fldCharType="end"/>
      </w:r>
      <w:bookmarkEnd w:id="539"/>
      <w:r w:rsidRPr="00D85E09">
        <w:rPr>
          <w:lang w:val="en-AU"/>
        </w:rPr>
        <w:tab/>
        <w:t>Transition matrix depicting mRS changes from Day 90 to 12 months as informed by Gensicke 2013</w:t>
      </w:r>
      <w:bookmarkEnd w:id="540"/>
    </w:p>
    <w:tbl>
      <w:tblPr>
        <w:tblStyle w:val="TableGrid"/>
        <w:tblW w:w="0" w:type="auto"/>
        <w:tblLook w:val="04A0" w:firstRow="1" w:lastRow="0" w:firstColumn="1" w:lastColumn="0" w:noHBand="0" w:noVBand="1"/>
        <w:tblDescription w:val="Table 85 Transition matrix depicting mRS changes from Day 90 to 12 months as informed by Gensicke 2013"/>
      </w:tblPr>
      <w:tblGrid>
        <w:gridCol w:w="562"/>
        <w:gridCol w:w="993"/>
        <w:gridCol w:w="1031"/>
        <w:gridCol w:w="1032"/>
        <w:gridCol w:w="1032"/>
        <w:gridCol w:w="1032"/>
        <w:gridCol w:w="1032"/>
        <w:gridCol w:w="1032"/>
        <w:gridCol w:w="1032"/>
      </w:tblGrid>
      <w:tr w:rsidR="00A41E60" w:rsidRPr="00D85E09" w14:paraId="4F992069" w14:textId="77777777" w:rsidTr="00BE6331">
        <w:trPr>
          <w:cantSplit/>
          <w:trHeight w:val="123"/>
          <w:tblHeader/>
        </w:trPr>
        <w:tc>
          <w:tcPr>
            <w:tcW w:w="562" w:type="dxa"/>
            <w:tcBorders>
              <w:top w:val="single" w:sz="4" w:space="0" w:color="000000"/>
              <w:left w:val="single" w:sz="4" w:space="0" w:color="000000"/>
              <w:bottom w:val="nil"/>
              <w:right w:val="nil"/>
            </w:tcBorders>
          </w:tcPr>
          <w:p w14:paraId="7A3CE3E4" w14:textId="77777777" w:rsidR="00A41E60" w:rsidRPr="00D85E09" w:rsidRDefault="00A41E60" w:rsidP="0043316B">
            <w:pPr>
              <w:pStyle w:val="Tabletext"/>
              <w:keepNext w:val="0"/>
              <w:widowControl w:val="0"/>
            </w:pPr>
          </w:p>
        </w:tc>
        <w:tc>
          <w:tcPr>
            <w:tcW w:w="993" w:type="dxa"/>
            <w:tcBorders>
              <w:top w:val="single" w:sz="4" w:space="0" w:color="000000"/>
              <w:left w:val="nil"/>
              <w:bottom w:val="nil"/>
              <w:right w:val="single" w:sz="4" w:space="0" w:color="000000"/>
            </w:tcBorders>
          </w:tcPr>
          <w:p w14:paraId="0CFF90BA" w14:textId="77777777" w:rsidR="00A41E60" w:rsidRPr="00D85E09" w:rsidRDefault="00A41E60" w:rsidP="0043316B">
            <w:pPr>
              <w:pStyle w:val="Tabletext"/>
              <w:keepNext w:val="0"/>
              <w:widowControl w:val="0"/>
            </w:pPr>
          </w:p>
        </w:tc>
        <w:tc>
          <w:tcPr>
            <w:tcW w:w="7223" w:type="dxa"/>
            <w:gridSpan w:val="7"/>
            <w:tcBorders>
              <w:top w:val="single" w:sz="4" w:space="0" w:color="000000"/>
              <w:left w:val="single" w:sz="4" w:space="0" w:color="000000"/>
              <w:bottom w:val="single" w:sz="4" w:space="0" w:color="000000"/>
              <w:right w:val="single" w:sz="4" w:space="0" w:color="000000"/>
            </w:tcBorders>
            <w:hideMark/>
          </w:tcPr>
          <w:p w14:paraId="435FDC74" w14:textId="77777777" w:rsidR="00A41E60" w:rsidRPr="00D85E09" w:rsidRDefault="00A41E60" w:rsidP="0043316B">
            <w:pPr>
              <w:pStyle w:val="Tabletext"/>
              <w:keepNext w:val="0"/>
              <w:widowControl w:val="0"/>
              <w:jc w:val="center"/>
            </w:pPr>
            <w:r w:rsidRPr="00D85E09">
              <w:t>At 12 months</w:t>
            </w:r>
          </w:p>
        </w:tc>
      </w:tr>
      <w:tr w:rsidR="00A41E60" w:rsidRPr="00D85E09" w14:paraId="26FA5A0E" w14:textId="77777777" w:rsidTr="00A41E60">
        <w:tc>
          <w:tcPr>
            <w:tcW w:w="562" w:type="dxa"/>
            <w:tcBorders>
              <w:top w:val="nil"/>
              <w:left w:val="single" w:sz="4" w:space="0" w:color="000000"/>
              <w:bottom w:val="single" w:sz="4" w:space="0" w:color="000000"/>
              <w:right w:val="nil"/>
            </w:tcBorders>
          </w:tcPr>
          <w:p w14:paraId="407D46EB" w14:textId="77777777" w:rsidR="00A41E60" w:rsidRPr="00D85E09" w:rsidRDefault="00A41E60" w:rsidP="0043316B">
            <w:pPr>
              <w:pStyle w:val="Tabletext"/>
              <w:keepNext w:val="0"/>
              <w:widowControl w:val="0"/>
            </w:pPr>
          </w:p>
        </w:tc>
        <w:tc>
          <w:tcPr>
            <w:tcW w:w="993" w:type="dxa"/>
            <w:tcBorders>
              <w:top w:val="nil"/>
              <w:left w:val="nil"/>
              <w:bottom w:val="single" w:sz="4" w:space="0" w:color="000000"/>
              <w:right w:val="single" w:sz="4" w:space="0" w:color="000000"/>
            </w:tcBorders>
          </w:tcPr>
          <w:p w14:paraId="211678FE" w14:textId="77777777" w:rsidR="00A41E60" w:rsidRPr="00D85E09" w:rsidRDefault="00A41E60" w:rsidP="0043316B">
            <w:pPr>
              <w:pStyle w:val="Tabletext"/>
              <w:keepNext w:val="0"/>
              <w:widowControl w:val="0"/>
            </w:pP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762C7705" w14:textId="77777777" w:rsidR="00A41E60" w:rsidRPr="00D85E09" w:rsidRDefault="00A41E60" w:rsidP="0043316B">
            <w:pPr>
              <w:pStyle w:val="Tabletext"/>
              <w:keepNext w:val="0"/>
              <w:widowControl w:val="0"/>
              <w:jc w:val="center"/>
            </w:pPr>
            <w:r w:rsidRPr="00D85E09">
              <w:t>mRS 0</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22DEF759" w14:textId="77777777" w:rsidR="00A41E60" w:rsidRPr="00D85E09" w:rsidRDefault="00A41E60" w:rsidP="0043316B">
            <w:pPr>
              <w:pStyle w:val="Tabletext"/>
              <w:keepNext w:val="0"/>
              <w:widowControl w:val="0"/>
              <w:jc w:val="center"/>
            </w:pPr>
            <w:r w:rsidRPr="00D85E09">
              <w:t>mRS 1</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5EC3E6F9" w14:textId="77777777" w:rsidR="00A41E60" w:rsidRPr="00D85E09" w:rsidRDefault="00A41E60" w:rsidP="0043316B">
            <w:pPr>
              <w:pStyle w:val="Tabletext"/>
              <w:keepNext w:val="0"/>
              <w:widowControl w:val="0"/>
              <w:jc w:val="center"/>
            </w:pPr>
            <w:r w:rsidRPr="00D85E09">
              <w:t>mRS 2</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C80CFE7" w14:textId="77777777" w:rsidR="00A41E60" w:rsidRPr="00D85E09" w:rsidRDefault="00A41E60" w:rsidP="0043316B">
            <w:pPr>
              <w:pStyle w:val="Tabletext"/>
              <w:keepNext w:val="0"/>
              <w:widowControl w:val="0"/>
              <w:jc w:val="center"/>
            </w:pPr>
            <w:r w:rsidRPr="00D85E09">
              <w:t>mRS 3</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14B4848C" w14:textId="77777777" w:rsidR="00A41E60" w:rsidRPr="00D85E09" w:rsidRDefault="00A41E60" w:rsidP="0043316B">
            <w:pPr>
              <w:pStyle w:val="Tabletext"/>
              <w:keepNext w:val="0"/>
              <w:widowControl w:val="0"/>
              <w:jc w:val="center"/>
            </w:pPr>
            <w:r w:rsidRPr="00D85E09">
              <w:t>mRS 4</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6C4DA81A" w14:textId="77777777" w:rsidR="00A41E60" w:rsidRPr="00D85E09" w:rsidRDefault="00A41E60" w:rsidP="0043316B">
            <w:pPr>
              <w:pStyle w:val="Tabletext"/>
              <w:keepNext w:val="0"/>
              <w:widowControl w:val="0"/>
              <w:jc w:val="center"/>
            </w:pPr>
            <w:r w:rsidRPr="00D85E09">
              <w:t>mRS 5</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7A36E4F4" w14:textId="77777777" w:rsidR="00A41E60" w:rsidRPr="00D85E09" w:rsidRDefault="00A41E60" w:rsidP="0043316B">
            <w:pPr>
              <w:pStyle w:val="Tabletext"/>
              <w:keepNext w:val="0"/>
              <w:widowControl w:val="0"/>
              <w:jc w:val="center"/>
            </w:pPr>
            <w:r w:rsidRPr="00D85E09">
              <w:t>mRS 6</w:t>
            </w:r>
          </w:p>
        </w:tc>
      </w:tr>
      <w:tr w:rsidR="00A41E60" w:rsidRPr="00D85E09" w14:paraId="7C68C4DD" w14:textId="77777777" w:rsidTr="00A41E60">
        <w:tc>
          <w:tcPr>
            <w:tcW w:w="562" w:type="dxa"/>
            <w:vMerge w:val="restart"/>
            <w:tcBorders>
              <w:top w:val="single" w:sz="4" w:space="0" w:color="000000"/>
              <w:left w:val="single" w:sz="4" w:space="0" w:color="000000"/>
              <w:bottom w:val="single" w:sz="4" w:space="0" w:color="000000"/>
              <w:right w:val="single" w:sz="4" w:space="0" w:color="000000"/>
            </w:tcBorders>
            <w:textDirection w:val="btLr"/>
            <w:hideMark/>
          </w:tcPr>
          <w:p w14:paraId="6D5D96D6" w14:textId="77777777" w:rsidR="00A41E60" w:rsidRPr="00D85E09" w:rsidRDefault="00A41E60" w:rsidP="0043316B">
            <w:pPr>
              <w:pStyle w:val="Tabletext"/>
              <w:keepNext w:val="0"/>
              <w:widowControl w:val="0"/>
              <w:ind w:left="113" w:right="113"/>
              <w:jc w:val="center"/>
            </w:pPr>
            <w:r w:rsidRPr="00D85E09">
              <w:t>At Day 90</w:t>
            </w:r>
          </w:p>
        </w:tc>
        <w:tc>
          <w:tcPr>
            <w:tcW w:w="993" w:type="dxa"/>
            <w:tcBorders>
              <w:top w:val="single" w:sz="4" w:space="0" w:color="000000"/>
              <w:left w:val="single" w:sz="4" w:space="0" w:color="000000"/>
              <w:bottom w:val="single" w:sz="4" w:space="0" w:color="000000"/>
              <w:right w:val="single" w:sz="4" w:space="0" w:color="000000"/>
            </w:tcBorders>
            <w:hideMark/>
          </w:tcPr>
          <w:p w14:paraId="3A708215" w14:textId="77777777" w:rsidR="00A41E60" w:rsidRPr="00D85E09" w:rsidRDefault="00A41E60" w:rsidP="0043316B">
            <w:pPr>
              <w:pStyle w:val="Tabletext"/>
              <w:keepNext w:val="0"/>
              <w:widowControl w:val="0"/>
            </w:pPr>
            <w:r w:rsidRPr="00D85E09">
              <w:t>mRS 0</w:t>
            </w:r>
          </w:p>
        </w:tc>
        <w:tc>
          <w:tcPr>
            <w:tcW w:w="1031" w:type="dxa"/>
            <w:tcBorders>
              <w:top w:val="single" w:sz="4" w:space="0" w:color="000000"/>
              <w:left w:val="single" w:sz="4" w:space="0" w:color="000000"/>
              <w:bottom w:val="single" w:sz="4" w:space="0" w:color="000000"/>
              <w:right w:val="single" w:sz="4" w:space="0" w:color="000000"/>
            </w:tcBorders>
            <w:hideMark/>
          </w:tcPr>
          <w:p w14:paraId="093B40AA" w14:textId="77777777" w:rsidR="00A41E60" w:rsidRPr="00D85E09" w:rsidRDefault="00A41E60" w:rsidP="0043316B">
            <w:pPr>
              <w:pStyle w:val="Tabletext"/>
              <w:keepNext w:val="0"/>
              <w:widowControl w:val="0"/>
              <w:jc w:val="center"/>
            </w:pPr>
            <w:r w:rsidRPr="00D85E09">
              <w:t>66.7%</w:t>
            </w:r>
          </w:p>
        </w:tc>
        <w:tc>
          <w:tcPr>
            <w:tcW w:w="1032" w:type="dxa"/>
            <w:tcBorders>
              <w:top w:val="single" w:sz="4" w:space="0" w:color="000000"/>
              <w:left w:val="single" w:sz="4" w:space="0" w:color="000000"/>
              <w:bottom w:val="single" w:sz="4" w:space="0" w:color="000000"/>
              <w:right w:val="single" w:sz="4" w:space="0" w:color="000000"/>
            </w:tcBorders>
            <w:hideMark/>
          </w:tcPr>
          <w:p w14:paraId="412C75DA" w14:textId="77777777" w:rsidR="00A41E60" w:rsidRPr="00D85E09" w:rsidRDefault="00A41E60" w:rsidP="0043316B">
            <w:pPr>
              <w:pStyle w:val="Tabletext"/>
              <w:keepNext w:val="0"/>
              <w:widowControl w:val="0"/>
              <w:jc w:val="center"/>
            </w:pPr>
            <w:r w:rsidRPr="00D85E09">
              <w:t>7.7%</w:t>
            </w:r>
          </w:p>
        </w:tc>
        <w:tc>
          <w:tcPr>
            <w:tcW w:w="1032" w:type="dxa"/>
            <w:tcBorders>
              <w:top w:val="single" w:sz="4" w:space="0" w:color="000000"/>
              <w:left w:val="single" w:sz="4" w:space="0" w:color="000000"/>
              <w:bottom w:val="single" w:sz="4" w:space="0" w:color="000000"/>
              <w:right w:val="single" w:sz="4" w:space="0" w:color="000000"/>
            </w:tcBorders>
            <w:hideMark/>
          </w:tcPr>
          <w:p w14:paraId="61B1F998" w14:textId="77777777" w:rsidR="00A41E60" w:rsidRPr="00D85E09" w:rsidRDefault="00A41E60" w:rsidP="0043316B">
            <w:pPr>
              <w:pStyle w:val="Tabletext"/>
              <w:keepNext w:val="0"/>
              <w:widowControl w:val="0"/>
              <w:jc w:val="center"/>
            </w:pPr>
            <w:r w:rsidRPr="00D85E09">
              <w:t>7.7%</w:t>
            </w:r>
          </w:p>
        </w:tc>
        <w:tc>
          <w:tcPr>
            <w:tcW w:w="1032" w:type="dxa"/>
            <w:tcBorders>
              <w:top w:val="single" w:sz="4" w:space="0" w:color="000000"/>
              <w:left w:val="single" w:sz="4" w:space="0" w:color="000000"/>
              <w:bottom w:val="single" w:sz="4" w:space="0" w:color="000000"/>
              <w:right w:val="single" w:sz="4" w:space="0" w:color="000000"/>
            </w:tcBorders>
            <w:hideMark/>
          </w:tcPr>
          <w:p w14:paraId="03C12E6A"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251E4518" w14:textId="77777777" w:rsidR="00A41E60" w:rsidRPr="00D85E09" w:rsidRDefault="00A41E60" w:rsidP="0043316B">
            <w:pPr>
              <w:pStyle w:val="Tabletext"/>
              <w:keepNext w:val="0"/>
              <w:widowControl w:val="0"/>
              <w:jc w:val="center"/>
            </w:pPr>
            <w:r w:rsidRPr="00D85E09">
              <w:t>5.1%</w:t>
            </w:r>
          </w:p>
        </w:tc>
        <w:tc>
          <w:tcPr>
            <w:tcW w:w="1032" w:type="dxa"/>
            <w:tcBorders>
              <w:top w:val="single" w:sz="4" w:space="0" w:color="000000"/>
              <w:left w:val="single" w:sz="4" w:space="0" w:color="000000"/>
              <w:bottom w:val="single" w:sz="4" w:space="0" w:color="000000"/>
              <w:right w:val="single" w:sz="4" w:space="0" w:color="000000"/>
            </w:tcBorders>
            <w:hideMark/>
          </w:tcPr>
          <w:p w14:paraId="154D601F"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546D33CB" w14:textId="77777777" w:rsidR="00A41E60" w:rsidRPr="00D85E09" w:rsidRDefault="00A41E60" w:rsidP="0043316B">
            <w:pPr>
              <w:pStyle w:val="Tabletext"/>
              <w:keepNext w:val="0"/>
              <w:widowControl w:val="0"/>
              <w:jc w:val="center"/>
            </w:pPr>
            <w:r w:rsidRPr="00D85E09">
              <w:t>12.8%</w:t>
            </w:r>
          </w:p>
        </w:tc>
      </w:tr>
      <w:tr w:rsidR="00A41E60" w:rsidRPr="00D85E09" w14:paraId="2BFBEF6F"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5557C"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16BD51FD" w14:textId="77777777" w:rsidR="00A41E60" w:rsidRPr="00D85E09" w:rsidRDefault="00A41E60" w:rsidP="0043316B">
            <w:pPr>
              <w:pStyle w:val="Tabletext"/>
              <w:keepNext w:val="0"/>
              <w:widowControl w:val="0"/>
            </w:pPr>
            <w:r w:rsidRPr="00D85E09">
              <w:t>mRS 1</w:t>
            </w:r>
          </w:p>
        </w:tc>
        <w:tc>
          <w:tcPr>
            <w:tcW w:w="1031" w:type="dxa"/>
            <w:tcBorders>
              <w:top w:val="single" w:sz="4" w:space="0" w:color="000000"/>
              <w:left w:val="single" w:sz="4" w:space="0" w:color="000000"/>
              <w:bottom w:val="single" w:sz="4" w:space="0" w:color="000000"/>
              <w:right w:val="single" w:sz="4" w:space="0" w:color="000000"/>
            </w:tcBorders>
            <w:hideMark/>
          </w:tcPr>
          <w:p w14:paraId="77FF0583" w14:textId="77777777" w:rsidR="00A41E60" w:rsidRPr="00D85E09" w:rsidRDefault="00A41E60" w:rsidP="0043316B">
            <w:pPr>
              <w:pStyle w:val="Tabletext"/>
              <w:keepNext w:val="0"/>
              <w:widowControl w:val="0"/>
              <w:jc w:val="center"/>
            </w:pPr>
            <w:r w:rsidRPr="00D85E09">
              <w:t>60.0%</w:t>
            </w:r>
          </w:p>
        </w:tc>
        <w:tc>
          <w:tcPr>
            <w:tcW w:w="1032" w:type="dxa"/>
            <w:tcBorders>
              <w:top w:val="single" w:sz="4" w:space="0" w:color="000000"/>
              <w:left w:val="single" w:sz="4" w:space="0" w:color="000000"/>
              <w:bottom w:val="single" w:sz="4" w:space="0" w:color="000000"/>
              <w:right w:val="single" w:sz="4" w:space="0" w:color="000000"/>
            </w:tcBorders>
            <w:hideMark/>
          </w:tcPr>
          <w:p w14:paraId="0D83720C" w14:textId="77777777" w:rsidR="00A41E60" w:rsidRPr="00D85E09" w:rsidRDefault="00A41E60" w:rsidP="0043316B">
            <w:pPr>
              <w:pStyle w:val="Tabletext"/>
              <w:keepNext w:val="0"/>
              <w:widowControl w:val="0"/>
              <w:jc w:val="center"/>
            </w:pPr>
            <w:r w:rsidRPr="00D85E09">
              <w:t>7.3%</w:t>
            </w:r>
          </w:p>
        </w:tc>
        <w:tc>
          <w:tcPr>
            <w:tcW w:w="1032" w:type="dxa"/>
            <w:tcBorders>
              <w:top w:val="single" w:sz="4" w:space="0" w:color="000000"/>
              <w:left w:val="single" w:sz="4" w:space="0" w:color="000000"/>
              <w:bottom w:val="single" w:sz="4" w:space="0" w:color="000000"/>
              <w:right w:val="single" w:sz="4" w:space="0" w:color="000000"/>
            </w:tcBorders>
            <w:hideMark/>
          </w:tcPr>
          <w:p w14:paraId="06BAE8CA" w14:textId="77777777" w:rsidR="00A41E60" w:rsidRPr="00D85E09" w:rsidRDefault="00A41E60" w:rsidP="0043316B">
            <w:pPr>
              <w:pStyle w:val="Tabletext"/>
              <w:keepNext w:val="0"/>
              <w:widowControl w:val="0"/>
              <w:jc w:val="center"/>
            </w:pPr>
            <w:r w:rsidRPr="00D85E09">
              <w:t>1.8%</w:t>
            </w:r>
          </w:p>
        </w:tc>
        <w:tc>
          <w:tcPr>
            <w:tcW w:w="1032" w:type="dxa"/>
            <w:tcBorders>
              <w:top w:val="single" w:sz="4" w:space="0" w:color="000000"/>
              <w:left w:val="single" w:sz="4" w:space="0" w:color="000000"/>
              <w:bottom w:val="single" w:sz="4" w:space="0" w:color="000000"/>
              <w:right w:val="single" w:sz="4" w:space="0" w:color="000000"/>
            </w:tcBorders>
            <w:hideMark/>
          </w:tcPr>
          <w:p w14:paraId="4B814A39" w14:textId="77777777" w:rsidR="00A41E60" w:rsidRPr="00D85E09" w:rsidRDefault="00A41E60" w:rsidP="0043316B">
            <w:pPr>
              <w:pStyle w:val="Tabletext"/>
              <w:keepNext w:val="0"/>
              <w:widowControl w:val="0"/>
              <w:jc w:val="center"/>
            </w:pPr>
            <w:r w:rsidRPr="00D85E09">
              <w:t>5.5%</w:t>
            </w:r>
          </w:p>
        </w:tc>
        <w:tc>
          <w:tcPr>
            <w:tcW w:w="1032" w:type="dxa"/>
            <w:tcBorders>
              <w:top w:val="single" w:sz="4" w:space="0" w:color="000000"/>
              <w:left w:val="single" w:sz="4" w:space="0" w:color="000000"/>
              <w:bottom w:val="single" w:sz="4" w:space="0" w:color="000000"/>
              <w:right w:val="single" w:sz="4" w:space="0" w:color="000000"/>
            </w:tcBorders>
            <w:hideMark/>
          </w:tcPr>
          <w:p w14:paraId="3A09596E" w14:textId="77777777" w:rsidR="00A41E60" w:rsidRPr="00D85E09" w:rsidRDefault="00A41E60" w:rsidP="0043316B">
            <w:pPr>
              <w:pStyle w:val="Tabletext"/>
              <w:keepNext w:val="0"/>
              <w:widowControl w:val="0"/>
              <w:jc w:val="center"/>
            </w:pPr>
            <w:r w:rsidRPr="00D85E09">
              <w:t>7.3%</w:t>
            </w:r>
          </w:p>
        </w:tc>
        <w:tc>
          <w:tcPr>
            <w:tcW w:w="1032" w:type="dxa"/>
            <w:tcBorders>
              <w:top w:val="single" w:sz="4" w:space="0" w:color="000000"/>
              <w:left w:val="single" w:sz="4" w:space="0" w:color="000000"/>
              <w:bottom w:val="single" w:sz="4" w:space="0" w:color="000000"/>
              <w:right w:val="single" w:sz="4" w:space="0" w:color="000000"/>
            </w:tcBorders>
            <w:hideMark/>
          </w:tcPr>
          <w:p w14:paraId="13B899F2" w14:textId="77777777" w:rsidR="00A41E60" w:rsidRPr="00D85E09" w:rsidRDefault="00A41E60" w:rsidP="0043316B">
            <w:pPr>
              <w:pStyle w:val="Tabletext"/>
              <w:keepNext w:val="0"/>
              <w:widowControl w:val="0"/>
              <w:jc w:val="center"/>
            </w:pPr>
            <w:r w:rsidRPr="00D85E09">
              <w:t>3.6%</w:t>
            </w:r>
          </w:p>
        </w:tc>
        <w:tc>
          <w:tcPr>
            <w:tcW w:w="1032" w:type="dxa"/>
            <w:tcBorders>
              <w:top w:val="single" w:sz="4" w:space="0" w:color="000000"/>
              <w:left w:val="single" w:sz="4" w:space="0" w:color="000000"/>
              <w:bottom w:val="single" w:sz="4" w:space="0" w:color="000000"/>
              <w:right w:val="single" w:sz="4" w:space="0" w:color="000000"/>
            </w:tcBorders>
            <w:hideMark/>
          </w:tcPr>
          <w:p w14:paraId="2BF6893F" w14:textId="77777777" w:rsidR="00A41E60" w:rsidRPr="00D85E09" w:rsidRDefault="00A41E60" w:rsidP="0043316B">
            <w:pPr>
              <w:pStyle w:val="Tabletext"/>
              <w:keepNext w:val="0"/>
              <w:widowControl w:val="0"/>
              <w:jc w:val="center"/>
            </w:pPr>
            <w:r w:rsidRPr="00D85E09">
              <w:t>14.5%</w:t>
            </w:r>
          </w:p>
        </w:tc>
      </w:tr>
      <w:tr w:rsidR="00A41E60" w:rsidRPr="00D85E09" w14:paraId="7B563636"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1D3BFA"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2B92F10A" w14:textId="77777777" w:rsidR="00A41E60" w:rsidRPr="00D85E09" w:rsidRDefault="00A41E60" w:rsidP="0043316B">
            <w:pPr>
              <w:pStyle w:val="Tabletext"/>
              <w:keepNext w:val="0"/>
              <w:widowControl w:val="0"/>
            </w:pPr>
            <w:r w:rsidRPr="00D85E09">
              <w:t>mRS 2</w:t>
            </w:r>
          </w:p>
        </w:tc>
        <w:tc>
          <w:tcPr>
            <w:tcW w:w="1031" w:type="dxa"/>
            <w:tcBorders>
              <w:top w:val="single" w:sz="4" w:space="0" w:color="000000"/>
              <w:left w:val="single" w:sz="4" w:space="0" w:color="000000"/>
              <w:bottom w:val="single" w:sz="4" w:space="0" w:color="000000"/>
              <w:right w:val="single" w:sz="4" w:space="0" w:color="000000"/>
            </w:tcBorders>
            <w:hideMark/>
          </w:tcPr>
          <w:p w14:paraId="3F35D2FE" w14:textId="77777777" w:rsidR="00A41E60" w:rsidRPr="00D85E09" w:rsidRDefault="00A41E60" w:rsidP="0043316B">
            <w:pPr>
              <w:pStyle w:val="Tabletext"/>
              <w:keepNext w:val="0"/>
              <w:widowControl w:val="0"/>
              <w:jc w:val="center"/>
            </w:pPr>
            <w:r w:rsidRPr="00D85E09">
              <w:t>30.9%</w:t>
            </w:r>
          </w:p>
        </w:tc>
        <w:tc>
          <w:tcPr>
            <w:tcW w:w="1032" w:type="dxa"/>
            <w:tcBorders>
              <w:top w:val="single" w:sz="4" w:space="0" w:color="000000"/>
              <w:left w:val="single" w:sz="4" w:space="0" w:color="000000"/>
              <w:bottom w:val="single" w:sz="4" w:space="0" w:color="000000"/>
              <w:right w:val="single" w:sz="4" w:space="0" w:color="000000"/>
            </w:tcBorders>
            <w:hideMark/>
          </w:tcPr>
          <w:p w14:paraId="0EEC2342" w14:textId="77777777" w:rsidR="00A41E60" w:rsidRPr="00D85E09" w:rsidRDefault="00A41E60" w:rsidP="0043316B">
            <w:pPr>
              <w:pStyle w:val="Tabletext"/>
              <w:keepNext w:val="0"/>
              <w:widowControl w:val="0"/>
              <w:jc w:val="center"/>
            </w:pPr>
            <w:r w:rsidRPr="00D85E09">
              <w:t>12.7%</w:t>
            </w:r>
          </w:p>
        </w:tc>
        <w:tc>
          <w:tcPr>
            <w:tcW w:w="1032" w:type="dxa"/>
            <w:tcBorders>
              <w:top w:val="single" w:sz="4" w:space="0" w:color="000000"/>
              <w:left w:val="single" w:sz="4" w:space="0" w:color="000000"/>
              <w:bottom w:val="single" w:sz="4" w:space="0" w:color="000000"/>
              <w:right w:val="single" w:sz="4" w:space="0" w:color="000000"/>
            </w:tcBorders>
            <w:hideMark/>
          </w:tcPr>
          <w:p w14:paraId="14114B4F" w14:textId="77777777" w:rsidR="00A41E60" w:rsidRPr="00D85E09" w:rsidRDefault="00A41E60" w:rsidP="0043316B">
            <w:pPr>
              <w:pStyle w:val="Tabletext"/>
              <w:keepNext w:val="0"/>
              <w:widowControl w:val="0"/>
              <w:jc w:val="center"/>
            </w:pPr>
            <w:r w:rsidRPr="00D85E09">
              <w:t>18.2%</w:t>
            </w:r>
          </w:p>
        </w:tc>
        <w:tc>
          <w:tcPr>
            <w:tcW w:w="1032" w:type="dxa"/>
            <w:tcBorders>
              <w:top w:val="single" w:sz="4" w:space="0" w:color="000000"/>
              <w:left w:val="single" w:sz="4" w:space="0" w:color="000000"/>
              <w:bottom w:val="single" w:sz="4" w:space="0" w:color="000000"/>
              <w:right w:val="single" w:sz="4" w:space="0" w:color="000000"/>
            </w:tcBorders>
            <w:hideMark/>
          </w:tcPr>
          <w:p w14:paraId="7682CF3E" w14:textId="77777777" w:rsidR="00A41E60" w:rsidRPr="00D85E09" w:rsidRDefault="00A41E60" w:rsidP="0043316B">
            <w:pPr>
              <w:pStyle w:val="Tabletext"/>
              <w:keepNext w:val="0"/>
              <w:widowControl w:val="0"/>
              <w:jc w:val="center"/>
            </w:pPr>
            <w:r w:rsidRPr="00D85E09">
              <w:t>14.5%</w:t>
            </w:r>
          </w:p>
        </w:tc>
        <w:tc>
          <w:tcPr>
            <w:tcW w:w="1032" w:type="dxa"/>
            <w:tcBorders>
              <w:top w:val="single" w:sz="4" w:space="0" w:color="000000"/>
              <w:left w:val="single" w:sz="4" w:space="0" w:color="000000"/>
              <w:bottom w:val="single" w:sz="4" w:space="0" w:color="000000"/>
              <w:right w:val="single" w:sz="4" w:space="0" w:color="000000"/>
            </w:tcBorders>
            <w:hideMark/>
          </w:tcPr>
          <w:p w14:paraId="13556A8C" w14:textId="77777777" w:rsidR="00A41E60" w:rsidRPr="00D85E09" w:rsidRDefault="00A41E60" w:rsidP="0043316B">
            <w:pPr>
              <w:pStyle w:val="Tabletext"/>
              <w:keepNext w:val="0"/>
              <w:widowControl w:val="0"/>
              <w:jc w:val="center"/>
            </w:pPr>
            <w:r w:rsidRPr="00D85E09">
              <w:t>7.3%</w:t>
            </w:r>
          </w:p>
        </w:tc>
        <w:tc>
          <w:tcPr>
            <w:tcW w:w="1032" w:type="dxa"/>
            <w:tcBorders>
              <w:top w:val="single" w:sz="4" w:space="0" w:color="000000"/>
              <w:left w:val="single" w:sz="4" w:space="0" w:color="000000"/>
              <w:bottom w:val="single" w:sz="4" w:space="0" w:color="000000"/>
              <w:right w:val="single" w:sz="4" w:space="0" w:color="000000"/>
            </w:tcBorders>
            <w:hideMark/>
          </w:tcPr>
          <w:p w14:paraId="4EE53B6D" w14:textId="77777777" w:rsidR="00A41E60" w:rsidRPr="00D85E09" w:rsidRDefault="00A41E60" w:rsidP="0043316B">
            <w:pPr>
              <w:pStyle w:val="Tabletext"/>
              <w:keepNext w:val="0"/>
              <w:widowControl w:val="0"/>
              <w:jc w:val="center"/>
            </w:pPr>
            <w:r w:rsidRPr="00D85E09">
              <w:t>3.6%</w:t>
            </w:r>
          </w:p>
        </w:tc>
        <w:tc>
          <w:tcPr>
            <w:tcW w:w="1032" w:type="dxa"/>
            <w:tcBorders>
              <w:top w:val="single" w:sz="4" w:space="0" w:color="000000"/>
              <w:left w:val="single" w:sz="4" w:space="0" w:color="000000"/>
              <w:bottom w:val="single" w:sz="4" w:space="0" w:color="000000"/>
              <w:right w:val="single" w:sz="4" w:space="0" w:color="000000"/>
            </w:tcBorders>
            <w:hideMark/>
          </w:tcPr>
          <w:p w14:paraId="4B2591C6" w14:textId="77777777" w:rsidR="00A41E60" w:rsidRPr="00D85E09" w:rsidRDefault="00A41E60" w:rsidP="0043316B">
            <w:pPr>
              <w:pStyle w:val="Tabletext"/>
              <w:keepNext w:val="0"/>
              <w:widowControl w:val="0"/>
              <w:jc w:val="center"/>
            </w:pPr>
            <w:r w:rsidRPr="00D85E09">
              <w:t>12.7%</w:t>
            </w:r>
          </w:p>
        </w:tc>
      </w:tr>
      <w:tr w:rsidR="00A41E60" w:rsidRPr="00D85E09" w14:paraId="4863FACA"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6ABB4A"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5A9FE185" w14:textId="77777777" w:rsidR="00A41E60" w:rsidRPr="00D85E09" w:rsidRDefault="00A41E60" w:rsidP="0043316B">
            <w:pPr>
              <w:pStyle w:val="Tabletext"/>
              <w:keepNext w:val="0"/>
              <w:widowControl w:val="0"/>
            </w:pPr>
            <w:r w:rsidRPr="00D85E09">
              <w:t>mRS 3</w:t>
            </w:r>
          </w:p>
        </w:tc>
        <w:tc>
          <w:tcPr>
            <w:tcW w:w="1031" w:type="dxa"/>
            <w:tcBorders>
              <w:top w:val="single" w:sz="4" w:space="0" w:color="000000"/>
              <w:left w:val="single" w:sz="4" w:space="0" w:color="000000"/>
              <w:bottom w:val="single" w:sz="4" w:space="0" w:color="000000"/>
              <w:right w:val="single" w:sz="4" w:space="0" w:color="000000"/>
            </w:tcBorders>
            <w:hideMark/>
          </w:tcPr>
          <w:p w14:paraId="429B8AC6" w14:textId="77777777" w:rsidR="00A41E60" w:rsidRPr="00D85E09" w:rsidRDefault="00A41E60" w:rsidP="0043316B">
            <w:pPr>
              <w:pStyle w:val="Tabletext"/>
              <w:keepNext w:val="0"/>
              <w:widowControl w:val="0"/>
              <w:jc w:val="center"/>
            </w:pPr>
            <w:r w:rsidRPr="00D85E09">
              <w:t>17.6%</w:t>
            </w:r>
          </w:p>
        </w:tc>
        <w:tc>
          <w:tcPr>
            <w:tcW w:w="1032" w:type="dxa"/>
            <w:tcBorders>
              <w:top w:val="single" w:sz="4" w:space="0" w:color="000000"/>
              <w:left w:val="single" w:sz="4" w:space="0" w:color="000000"/>
              <w:bottom w:val="single" w:sz="4" w:space="0" w:color="000000"/>
              <w:right w:val="single" w:sz="4" w:space="0" w:color="000000"/>
            </w:tcBorders>
            <w:hideMark/>
          </w:tcPr>
          <w:p w14:paraId="6427B780" w14:textId="77777777" w:rsidR="00A41E60" w:rsidRPr="00D85E09" w:rsidRDefault="00A41E60" w:rsidP="0043316B">
            <w:pPr>
              <w:pStyle w:val="Tabletext"/>
              <w:keepNext w:val="0"/>
              <w:widowControl w:val="0"/>
              <w:jc w:val="center"/>
            </w:pPr>
            <w:r w:rsidRPr="00D85E09">
              <w:t>11.8%</w:t>
            </w:r>
          </w:p>
        </w:tc>
        <w:tc>
          <w:tcPr>
            <w:tcW w:w="1032" w:type="dxa"/>
            <w:tcBorders>
              <w:top w:val="single" w:sz="4" w:space="0" w:color="000000"/>
              <w:left w:val="single" w:sz="4" w:space="0" w:color="000000"/>
              <w:bottom w:val="single" w:sz="4" w:space="0" w:color="000000"/>
              <w:right w:val="single" w:sz="4" w:space="0" w:color="000000"/>
            </w:tcBorders>
            <w:hideMark/>
          </w:tcPr>
          <w:p w14:paraId="62B7A714" w14:textId="77777777" w:rsidR="00A41E60" w:rsidRPr="00D85E09" w:rsidRDefault="00A41E60" w:rsidP="0043316B">
            <w:pPr>
              <w:pStyle w:val="Tabletext"/>
              <w:keepNext w:val="0"/>
              <w:widowControl w:val="0"/>
              <w:jc w:val="center"/>
            </w:pPr>
            <w:r w:rsidRPr="00D85E09">
              <w:t>17.6%</w:t>
            </w:r>
          </w:p>
        </w:tc>
        <w:tc>
          <w:tcPr>
            <w:tcW w:w="1032" w:type="dxa"/>
            <w:tcBorders>
              <w:top w:val="single" w:sz="4" w:space="0" w:color="000000"/>
              <w:left w:val="single" w:sz="4" w:space="0" w:color="000000"/>
              <w:bottom w:val="single" w:sz="4" w:space="0" w:color="000000"/>
              <w:right w:val="single" w:sz="4" w:space="0" w:color="000000"/>
            </w:tcBorders>
            <w:hideMark/>
          </w:tcPr>
          <w:p w14:paraId="3A919497" w14:textId="77777777" w:rsidR="00A41E60" w:rsidRPr="00D85E09" w:rsidRDefault="00A41E60" w:rsidP="0043316B">
            <w:pPr>
              <w:pStyle w:val="Tabletext"/>
              <w:keepNext w:val="0"/>
              <w:widowControl w:val="0"/>
              <w:jc w:val="center"/>
            </w:pPr>
            <w:r w:rsidRPr="00D85E09">
              <w:t>17.6%</w:t>
            </w:r>
          </w:p>
        </w:tc>
        <w:tc>
          <w:tcPr>
            <w:tcW w:w="1032" w:type="dxa"/>
            <w:tcBorders>
              <w:top w:val="single" w:sz="4" w:space="0" w:color="000000"/>
              <w:left w:val="single" w:sz="4" w:space="0" w:color="000000"/>
              <w:bottom w:val="single" w:sz="4" w:space="0" w:color="000000"/>
              <w:right w:val="single" w:sz="4" w:space="0" w:color="000000"/>
            </w:tcBorders>
            <w:hideMark/>
          </w:tcPr>
          <w:p w14:paraId="7DFE3506" w14:textId="77777777" w:rsidR="00A41E60" w:rsidRPr="00D85E09" w:rsidRDefault="00A41E60" w:rsidP="0043316B">
            <w:pPr>
              <w:pStyle w:val="Tabletext"/>
              <w:keepNext w:val="0"/>
              <w:widowControl w:val="0"/>
              <w:jc w:val="center"/>
            </w:pPr>
            <w:r w:rsidRPr="00D85E09">
              <w:t>11.8%</w:t>
            </w:r>
          </w:p>
        </w:tc>
        <w:tc>
          <w:tcPr>
            <w:tcW w:w="1032" w:type="dxa"/>
            <w:tcBorders>
              <w:top w:val="single" w:sz="4" w:space="0" w:color="000000"/>
              <w:left w:val="single" w:sz="4" w:space="0" w:color="000000"/>
              <w:bottom w:val="single" w:sz="4" w:space="0" w:color="000000"/>
              <w:right w:val="single" w:sz="4" w:space="0" w:color="000000"/>
            </w:tcBorders>
            <w:hideMark/>
          </w:tcPr>
          <w:p w14:paraId="1C453505" w14:textId="77777777" w:rsidR="00A41E60" w:rsidRPr="00D85E09" w:rsidRDefault="00A41E60" w:rsidP="0043316B">
            <w:pPr>
              <w:pStyle w:val="Tabletext"/>
              <w:keepNext w:val="0"/>
              <w:widowControl w:val="0"/>
              <w:jc w:val="center"/>
            </w:pPr>
            <w:r w:rsidRPr="00D85E09">
              <w:t>5.9%</w:t>
            </w:r>
          </w:p>
        </w:tc>
        <w:tc>
          <w:tcPr>
            <w:tcW w:w="1032" w:type="dxa"/>
            <w:tcBorders>
              <w:top w:val="single" w:sz="4" w:space="0" w:color="000000"/>
              <w:left w:val="single" w:sz="4" w:space="0" w:color="000000"/>
              <w:bottom w:val="single" w:sz="4" w:space="0" w:color="000000"/>
              <w:right w:val="single" w:sz="4" w:space="0" w:color="000000"/>
            </w:tcBorders>
            <w:hideMark/>
          </w:tcPr>
          <w:p w14:paraId="260FD4D0" w14:textId="77777777" w:rsidR="00A41E60" w:rsidRPr="00D85E09" w:rsidRDefault="00A41E60" w:rsidP="0043316B">
            <w:pPr>
              <w:pStyle w:val="Tabletext"/>
              <w:keepNext w:val="0"/>
              <w:widowControl w:val="0"/>
              <w:jc w:val="center"/>
            </w:pPr>
            <w:r w:rsidRPr="00D85E09">
              <w:t>17.6%</w:t>
            </w:r>
          </w:p>
        </w:tc>
      </w:tr>
      <w:tr w:rsidR="00A41E60" w:rsidRPr="00D85E09" w14:paraId="6343F64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8FF4F"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0E875112" w14:textId="77777777" w:rsidR="00A41E60" w:rsidRPr="00D85E09" w:rsidRDefault="00A41E60" w:rsidP="0043316B">
            <w:pPr>
              <w:pStyle w:val="Tabletext"/>
              <w:keepNext w:val="0"/>
              <w:widowControl w:val="0"/>
            </w:pPr>
            <w:r w:rsidRPr="00D85E09">
              <w:t>mRS 4</w:t>
            </w:r>
          </w:p>
        </w:tc>
        <w:tc>
          <w:tcPr>
            <w:tcW w:w="1031" w:type="dxa"/>
            <w:tcBorders>
              <w:top w:val="single" w:sz="4" w:space="0" w:color="000000"/>
              <w:left w:val="single" w:sz="4" w:space="0" w:color="000000"/>
              <w:bottom w:val="single" w:sz="4" w:space="0" w:color="000000"/>
              <w:right w:val="single" w:sz="4" w:space="0" w:color="000000"/>
            </w:tcBorders>
            <w:hideMark/>
          </w:tcPr>
          <w:p w14:paraId="783DCB12" w14:textId="77777777" w:rsidR="00A41E60" w:rsidRPr="00D85E09" w:rsidRDefault="00A41E60" w:rsidP="0043316B">
            <w:pPr>
              <w:pStyle w:val="Tabletext"/>
              <w:keepNext w:val="0"/>
              <w:widowControl w:val="0"/>
              <w:jc w:val="center"/>
            </w:pPr>
            <w:r w:rsidRPr="00D85E09">
              <w:t>2.5%</w:t>
            </w:r>
          </w:p>
        </w:tc>
        <w:tc>
          <w:tcPr>
            <w:tcW w:w="1032" w:type="dxa"/>
            <w:tcBorders>
              <w:top w:val="single" w:sz="4" w:space="0" w:color="000000"/>
              <w:left w:val="single" w:sz="4" w:space="0" w:color="000000"/>
              <w:bottom w:val="single" w:sz="4" w:space="0" w:color="000000"/>
              <w:right w:val="single" w:sz="4" w:space="0" w:color="000000"/>
            </w:tcBorders>
            <w:hideMark/>
          </w:tcPr>
          <w:p w14:paraId="75A45FD5"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3DFD569B" w14:textId="77777777" w:rsidR="00A41E60" w:rsidRPr="00D85E09" w:rsidRDefault="00A41E60" w:rsidP="0043316B">
            <w:pPr>
              <w:pStyle w:val="Tabletext"/>
              <w:keepNext w:val="0"/>
              <w:widowControl w:val="0"/>
              <w:jc w:val="center"/>
            </w:pPr>
            <w:r w:rsidRPr="00D85E09">
              <w:t>7.5%</w:t>
            </w:r>
          </w:p>
        </w:tc>
        <w:tc>
          <w:tcPr>
            <w:tcW w:w="1032" w:type="dxa"/>
            <w:tcBorders>
              <w:top w:val="single" w:sz="4" w:space="0" w:color="000000"/>
              <w:left w:val="single" w:sz="4" w:space="0" w:color="000000"/>
              <w:bottom w:val="single" w:sz="4" w:space="0" w:color="000000"/>
              <w:right w:val="single" w:sz="4" w:space="0" w:color="000000"/>
            </w:tcBorders>
            <w:hideMark/>
          </w:tcPr>
          <w:p w14:paraId="3AF04543" w14:textId="77777777" w:rsidR="00A41E60" w:rsidRPr="00D85E09" w:rsidRDefault="00A41E60" w:rsidP="0043316B">
            <w:pPr>
              <w:pStyle w:val="Tabletext"/>
              <w:keepNext w:val="0"/>
              <w:widowControl w:val="0"/>
              <w:jc w:val="center"/>
            </w:pPr>
            <w:r w:rsidRPr="00D85E09">
              <w:t>10.0%</w:t>
            </w:r>
          </w:p>
        </w:tc>
        <w:tc>
          <w:tcPr>
            <w:tcW w:w="1032" w:type="dxa"/>
            <w:tcBorders>
              <w:top w:val="single" w:sz="4" w:space="0" w:color="000000"/>
              <w:left w:val="single" w:sz="4" w:space="0" w:color="000000"/>
              <w:bottom w:val="single" w:sz="4" w:space="0" w:color="000000"/>
              <w:right w:val="single" w:sz="4" w:space="0" w:color="000000"/>
            </w:tcBorders>
            <w:hideMark/>
          </w:tcPr>
          <w:p w14:paraId="2E9DE3B9" w14:textId="77777777" w:rsidR="00A41E60" w:rsidRPr="00D85E09" w:rsidRDefault="00A41E60" w:rsidP="0043316B">
            <w:pPr>
              <w:pStyle w:val="Tabletext"/>
              <w:keepNext w:val="0"/>
              <w:widowControl w:val="0"/>
              <w:jc w:val="center"/>
            </w:pPr>
            <w:r w:rsidRPr="00D85E09">
              <w:t>27.5%</w:t>
            </w:r>
          </w:p>
        </w:tc>
        <w:tc>
          <w:tcPr>
            <w:tcW w:w="1032" w:type="dxa"/>
            <w:tcBorders>
              <w:top w:val="single" w:sz="4" w:space="0" w:color="000000"/>
              <w:left w:val="single" w:sz="4" w:space="0" w:color="000000"/>
              <w:bottom w:val="single" w:sz="4" w:space="0" w:color="000000"/>
              <w:right w:val="single" w:sz="4" w:space="0" w:color="000000"/>
            </w:tcBorders>
            <w:hideMark/>
          </w:tcPr>
          <w:p w14:paraId="7A35F583" w14:textId="77777777" w:rsidR="00A41E60" w:rsidRPr="00D85E09" w:rsidRDefault="00A41E60" w:rsidP="0043316B">
            <w:pPr>
              <w:pStyle w:val="Tabletext"/>
              <w:keepNext w:val="0"/>
              <w:widowControl w:val="0"/>
              <w:jc w:val="center"/>
            </w:pPr>
            <w:r w:rsidRPr="00D85E09">
              <w:t>37.5%</w:t>
            </w:r>
          </w:p>
        </w:tc>
        <w:tc>
          <w:tcPr>
            <w:tcW w:w="1032" w:type="dxa"/>
            <w:tcBorders>
              <w:top w:val="single" w:sz="4" w:space="0" w:color="000000"/>
              <w:left w:val="single" w:sz="4" w:space="0" w:color="000000"/>
              <w:bottom w:val="single" w:sz="4" w:space="0" w:color="000000"/>
              <w:right w:val="single" w:sz="4" w:space="0" w:color="000000"/>
            </w:tcBorders>
            <w:hideMark/>
          </w:tcPr>
          <w:p w14:paraId="0318A378" w14:textId="77777777" w:rsidR="00A41E60" w:rsidRPr="00D85E09" w:rsidRDefault="00A41E60" w:rsidP="0043316B">
            <w:pPr>
              <w:pStyle w:val="Tabletext"/>
              <w:keepNext w:val="0"/>
              <w:widowControl w:val="0"/>
              <w:jc w:val="center"/>
            </w:pPr>
            <w:r w:rsidRPr="00D85E09">
              <w:t>15.0%</w:t>
            </w:r>
          </w:p>
        </w:tc>
      </w:tr>
      <w:tr w:rsidR="00A41E60" w:rsidRPr="00D85E09" w14:paraId="455F2BC9"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AF647"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hideMark/>
          </w:tcPr>
          <w:p w14:paraId="73D6EA64" w14:textId="77777777" w:rsidR="00A41E60" w:rsidRPr="00D85E09" w:rsidRDefault="00A41E60" w:rsidP="0043316B">
            <w:pPr>
              <w:pStyle w:val="Tabletext"/>
              <w:keepNext w:val="0"/>
              <w:widowControl w:val="0"/>
            </w:pPr>
            <w:r w:rsidRPr="00D85E09">
              <w:t>mRS 5</w:t>
            </w:r>
          </w:p>
        </w:tc>
        <w:tc>
          <w:tcPr>
            <w:tcW w:w="1031" w:type="dxa"/>
            <w:tcBorders>
              <w:top w:val="single" w:sz="4" w:space="0" w:color="000000"/>
              <w:left w:val="single" w:sz="4" w:space="0" w:color="000000"/>
              <w:bottom w:val="single" w:sz="4" w:space="0" w:color="000000"/>
              <w:right w:val="single" w:sz="4" w:space="0" w:color="000000"/>
            </w:tcBorders>
            <w:hideMark/>
          </w:tcPr>
          <w:p w14:paraId="16EAEE0D"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4DBB159B"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1D38AD95"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2267F18A"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08AA0EC2" w14:textId="77777777" w:rsidR="00A41E60" w:rsidRPr="00D85E09" w:rsidRDefault="00A41E60" w:rsidP="0043316B">
            <w:pPr>
              <w:pStyle w:val="Tabletext"/>
              <w:keepNext w:val="0"/>
              <w:widowControl w:val="0"/>
              <w:jc w:val="center"/>
            </w:pPr>
            <w:r w:rsidRPr="00D85E09">
              <w:t>0.0%</w:t>
            </w:r>
          </w:p>
        </w:tc>
        <w:tc>
          <w:tcPr>
            <w:tcW w:w="1032" w:type="dxa"/>
            <w:tcBorders>
              <w:top w:val="single" w:sz="4" w:space="0" w:color="000000"/>
              <w:left w:val="single" w:sz="4" w:space="0" w:color="000000"/>
              <w:bottom w:val="single" w:sz="4" w:space="0" w:color="000000"/>
              <w:right w:val="single" w:sz="4" w:space="0" w:color="000000"/>
            </w:tcBorders>
            <w:hideMark/>
          </w:tcPr>
          <w:p w14:paraId="7F04D0DC" w14:textId="77777777" w:rsidR="00A41E60" w:rsidRPr="00D85E09" w:rsidRDefault="00A41E60" w:rsidP="0043316B">
            <w:pPr>
              <w:pStyle w:val="Tabletext"/>
              <w:keepNext w:val="0"/>
              <w:widowControl w:val="0"/>
              <w:jc w:val="center"/>
            </w:pPr>
            <w:r w:rsidRPr="00D85E09">
              <w:t>31.3%</w:t>
            </w:r>
          </w:p>
        </w:tc>
        <w:tc>
          <w:tcPr>
            <w:tcW w:w="1032" w:type="dxa"/>
            <w:tcBorders>
              <w:top w:val="single" w:sz="4" w:space="0" w:color="000000"/>
              <w:left w:val="single" w:sz="4" w:space="0" w:color="000000"/>
              <w:bottom w:val="single" w:sz="4" w:space="0" w:color="000000"/>
              <w:right w:val="single" w:sz="4" w:space="0" w:color="000000"/>
            </w:tcBorders>
            <w:hideMark/>
          </w:tcPr>
          <w:p w14:paraId="76CD8473" w14:textId="77777777" w:rsidR="00A41E60" w:rsidRPr="00D85E09" w:rsidRDefault="00A41E60" w:rsidP="0043316B">
            <w:pPr>
              <w:pStyle w:val="Tabletext"/>
              <w:keepNext w:val="0"/>
              <w:widowControl w:val="0"/>
              <w:jc w:val="center"/>
            </w:pPr>
            <w:r w:rsidRPr="00D85E09">
              <w:t>68.8%</w:t>
            </w:r>
          </w:p>
        </w:tc>
      </w:tr>
    </w:tbl>
    <w:p w14:paraId="6F1F892C" w14:textId="627CBDC9" w:rsidR="00A41E60" w:rsidRPr="00D85E09" w:rsidRDefault="00A41E60" w:rsidP="0043316B">
      <w:pPr>
        <w:pStyle w:val="Tablefooter"/>
        <w:widowControl w:val="0"/>
      </w:pPr>
      <w:r w:rsidRPr="00D85E09">
        <w:t>Abbreviations: mRS, modified Rankin Score</w:t>
      </w:r>
      <w:r w:rsidRPr="00D85E09">
        <w:br/>
        <w:t xml:space="preserve">Source: Gensicke et al 2013 (see Section </w:t>
      </w:r>
      <w:r w:rsidR="00092415" w:rsidRPr="00D85E09">
        <w:fldChar w:fldCharType="begin"/>
      </w:r>
      <w:r w:rsidR="00092415" w:rsidRPr="00D85E09">
        <w:instrText xml:space="preserve"> REF _Ref452371484 \r \h </w:instrText>
      </w:r>
      <w:r w:rsidR="00092415" w:rsidRPr="00D85E09">
        <w:fldChar w:fldCharType="separate"/>
      </w:r>
      <w:r w:rsidR="00A456ED">
        <w:t>C.7</w:t>
      </w:r>
      <w:r w:rsidR="00092415" w:rsidRPr="00D85E09">
        <w:fldChar w:fldCharType="end"/>
      </w:r>
      <w:r w:rsidRPr="00D85E09">
        <w:t>)</w:t>
      </w:r>
    </w:p>
    <w:p w14:paraId="27DE3DF2" w14:textId="18F4766B" w:rsidR="00A41E60" w:rsidRPr="00D85E09" w:rsidRDefault="00A41E60" w:rsidP="0043316B">
      <w:pPr>
        <w:pStyle w:val="Heading5"/>
        <w:widowControl w:val="0"/>
        <w:rPr>
          <w:lang w:val="en-AU"/>
        </w:rPr>
      </w:pPr>
      <w:r w:rsidRPr="00D85E09">
        <w:rPr>
          <w:lang w:val="en-AU"/>
        </w:rPr>
        <w:t>Risk of recurrent stroke</w:t>
      </w:r>
    </w:p>
    <w:p w14:paraId="13FB2231" w14:textId="4C074495" w:rsidR="00A41E60" w:rsidRPr="00D85E09" w:rsidRDefault="00A41E60" w:rsidP="0043316B">
      <w:pPr>
        <w:widowControl w:val="0"/>
      </w:pPr>
      <w:r w:rsidRPr="00D85E09">
        <w:t xml:space="preserve">Section </w:t>
      </w:r>
      <w:r w:rsidR="00092415" w:rsidRPr="00D85E09">
        <w:fldChar w:fldCharType="begin"/>
      </w:r>
      <w:r w:rsidR="00092415" w:rsidRPr="00D85E09">
        <w:instrText xml:space="preserve"> REF _Ref451421814 \r \h </w:instrText>
      </w:r>
      <w:r w:rsidR="00092415" w:rsidRPr="00D85E09">
        <w:fldChar w:fldCharType="separate"/>
      </w:r>
      <w:r w:rsidR="00A456ED">
        <w:t>C.6</w:t>
      </w:r>
      <w:r w:rsidR="00092415" w:rsidRPr="00D85E09">
        <w:fldChar w:fldCharType="end"/>
      </w:r>
      <w:r w:rsidR="00092415" w:rsidRPr="00D85E09">
        <w:t xml:space="preserve"> </w:t>
      </w:r>
      <w:r w:rsidRPr="00D85E09">
        <w:t>estimated the risk of recurrent stroke during this phase to be 4.91% (Mohan et al 2011).</w:t>
      </w:r>
    </w:p>
    <w:p w14:paraId="245B6AE6" w14:textId="77777777" w:rsidR="00A41E60" w:rsidRPr="00D85E09" w:rsidRDefault="00A41E60" w:rsidP="0043316B">
      <w:pPr>
        <w:pStyle w:val="Heading5"/>
        <w:widowControl w:val="0"/>
        <w:rPr>
          <w:lang w:val="en-AU"/>
        </w:rPr>
      </w:pPr>
      <w:r w:rsidRPr="00D85E09">
        <w:rPr>
          <w:lang w:val="en-AU"/>
        </w:rPr>
        <w:t>Derivation of Day 365 mRS distribution (after mRS changes during the mid-term phase)</w:t>
      </w:r>
    </w:p>
    <w:p w14:paraId="6220BCC3" w14:textId="0A16FA1B" w:rsidR="00A41E60" w:rsidRPr="00D85E09" w:rsidRDefault="00A41E60" w:rsidP="0043316B">
      <w:pPr>
        <w:widowControl w:val="0"/>
      </w:pPr>
      <w:r w:rsidRPr="00D85E09">
        <w:t>All clinical inputs relevant to the modelling of mRS distributions to Day 365 have been presented above.</w:t>
      </w:r>
    </w:p>
    <w:p w14:paraId="1CF6826C" w14:textId="5FD4D302" w:rsidR="00A41E60" w:rsidRPr="00D85E09" w:rsidRDefault="00A41E60" w:rsidP="0043316B">
      <w:pPr>
        <w:widowControl w:val="0"/>
      </w:pPr>
      <w:r w:rsidRPr="00D85E09">
        <w:t xml:space="preserve">The employed cost-effectiveness model during the acute / mid-term phases takes the form of </w:t>
      </w:r>
      <w:r w:rsidRPr="00D85E09">
        <w:lastRenderedPageBreak/>
        <w:t xml:space="preserve">decision tree analysis, as shown in </w:t>
      </w:r>
      <w:r w:rsidRPr="00D85E09">
        <w:fldChar w:fldCharType="begin"/>
      </w:r>
      <w:r w:rsidRPr="00D85E09">
        <w:instrText xml:space="preserve"> REF _Ref448412889 \h </w:instrText>
      </w:r>
      <w:r w:rsidRPr="00D85E09">
        <w:fldChar w:fldCharType="separate"/>
      </w:r>
      <w:r w:rsidR="00A456ED" w:rsidRPr="00D85E09">
        <w:t xml:space="preserve">Figure </w:t>
      </w:r>
      <w:r w:rsidR="00A456ED">
        <w:rPr>
          <w:noProof/>
        </w:rPr>
        <w:t>14</w:t>
      </w:r>
      <w:r w:rsidRPr="00D85E09">
        <w:fldChar w:fldCharType="end"/>
      </w:r>
      <w:r w:rsidRPr="00D85E09">
        <w:t>. While visually represented in a “decision tree” form, the derivation of Day 365 mRS distribution is performed through a series of matrix multiplications in order to account for the improvement / deterioration of mRS as well as the incidence of recurrent stroke (thus in turn leads to further functional deterioration in these patients). This process is described here.</w:t>
      </w:r>
    </w:p>
    <w:p w14:paraId="37F62D32" w14:textId="77777777" w:rsidR="00A41E60" w:rsidRPr="00D85E09" w:rsidRDefault="00A41E60" w:rsidP="0043316B">
      <w:pPr>
        <w:widowControl w:val="0"/>
        <w:rPr>
          <w:i/>
          <w:u w:val="single"/>
        </w:rPr>
      </w:pPr>
      <w:r w:rsidRPr="00D85E09">
        <w:rPr>
          <w:i/>
          <w:u w:val="single"/>
        </w:rPr>
        <w:t>Day 365 mRS distribution for patients who do not experience recurrent stroke between Day 90 and Day 365</w:t>
      </w:r>
    </w:p>
    <w:p w14:paraId="7A30A756" w14:textId="54EE6D18" w:rsidR="00A41E60" w:rsidRPr="00D85E09" w:rsidRDefault="00A41E60" w:rsidP="0043316B">
      <w:pPr>
        <w:widowControl w:val="0"/>
      </w:pPr>
      <w:r w:rsidRPr="00D85E09">
        <w:t xml:space="preserve">For those who do not experience a recurrent stroke, their mRS changes between Day 90 and Day 365 are simply informed by the observational study data to account for the “rehabilitation effects” (see Section </w:t>
      </w:r>
      <w:r w:rsidR="00092415" w:rsidRPr="00D85E09">
        <w:fldChar w:fldCharType="begin"/>
      </w:r>
      <w:r w:rsidR="00092415" w:rsidRPr="00D85E09">
        <w:instrText xml:space="preserve"> REF _Ref452371484 \r \h </w:instrText>
      </w:r>
      <w:r w:rsidR="00092415" w:rsidRPr="00D85E09">
        <w:fldChar w:fldCharType="separate"/>
      </w:r>
      <w:r w:rsidR="00A456ED">
        <w:t>C.7</w:t>
      </w:r>
      <w:r w:rsidR="00092415" w:rsidRPr="00D85E09">
        <w:fldChar w:fldCharType="end"/>
      </w:r>
      <w:r w:rsidRPr="00D85E09">
        <w:t xml:space="preserve">). Matrix multiplication relevant for this process involves </w:t>
      </w:r>
      <w:r w:rsidRPr="00D85E09">
        <w:fldChar w:fldCharType="begin"/>
      </w:r>
      <w:r w:rsidRPr="00D85E09">
        <w:instrText xml:space="preserve"> REF _Ref424641697 \h </w:instrText>
      </w:r>
      <w:r w:rsidRPr="00D85E09">
        <w:fldChar w:fldCharType="separate"/>
      </w:r>
      <w:r w:rsidR="00A456ED" w:rsidRPr="00D85E09">
        <w:t xml:space="preserve">Table </w:t>
      </w:r>
      <w:r w:rsidR="00A456ED">
        <w:rPr>
          <w:noProof/>
        </w:rPr>
        <w:t>84</w:t>
      </w:r>
      <w:r w:rsidRPr="00D85E09">
        <w:fldChar w:fldCharType="end"/>
      </w:r>
      <w:r w:rsidRPr="00D85E09">
        <w:t xml:space="preserve"> (Day 90 values only) and </w:t>
      </w:r>
      <w:r w:rsidRPr="00D85E09">
        <w:fldChar w:fldCharType="begin"/>
      </w:r>
      <w:r w:rsidRPr="00D85E09">
        <w:instrText xml:space="preserve"> REF _Ref451523096 \h  \* MERGEFORMAT </w:instrText>
      </w:r>
      <w:r w:rsidRPr="00D85E09">
        <w:fldChar w:fldCharType="separate"/>
      </w:r>
      <w:r w:rsidR="00A456ED" w:rsidRPr="00D85E09">
        <w:t xml:space="preserve">Table </w:t>
      </w:r>
      <w:r w:rsidR="00A456ED">
        <w:rPr>
          <w:noProof/>
        </w:rPr>
        <w:t>85</w:t>
      </w:r>
      <w:r w:rsidRPr="00D85E09">
        <w:fldChar w:fldCharType="end"/>
      </w:r>
      <w:r w:rsidRPr="00D85E09">
        <w:t xml:space="preserve">. The resulting mRS distribution at Day 365 is presented in </w:t>
      </w:r>
      <w:r w:rsidRPr="00D85E09">
        <w:fldChar w:fldCharType="begin"/>
      </w:r>
      <w:r w:rsidRPr="00D85E09">
        <w:instrText xml:space="preserve"> REF _Ref448415573 \h </w:instrText>
      </w:r>
      <w:r w:rsidRPr="00D85E09">
        <w:fldChar w:fldCharType="separate"/>
      </w:r>
      <w:r w:rsidR="00A456ED" w:rsidRPr="00D85E09">
        <w:t xml:space="preserve">Table </w:t>
      </w:r>
      <w:r w:rsidR="00A456ED">
        <w:rPr>
          <w:noProof/>
        </w:rPr>
        <w:t>86</w:t>
      </w:r>
      <w:r w:rsidRPr="00D85E09">
        <w:fldChar w:fldCharType="end"/>
      </w:r>
      <w:r w:rsidRPr="00D85E09">
        <w:t>. For example, the mRS 0 figure for the mechanical thrombectomy arm is derived as 26.1% = 66.7%*10.0% + 60.0%*16.9% + 30.9%*19.1% + 17.6%*16.9% + 2.5%*15.6% + 0.0%*6.2%; which accounts for patients staying at mRS 0 from Day 90 and those improving from mRS 1-5 during the mid-term phase.</w:t>
      </w:r>
    </w:p>
    <w:p w14:paraId="379075B8" w14:textId="698DF8BF" w:rsidR="00A41E60" w:rsidRPr="00D85E09" w:rsidRDefault="00A41E60" w:rsidP="0043316B">
      <w:pPr>
        <w:pStyle w:val="Caption"/>
        <w:keepNext w:val="0"/>
        <w:widowControl w:val="0"/>
        <w:rPr>
          <w:lang w:val="en-AU"/>
        </w:rPr>
      </w:pPr>
      <w:bookmarkStart w:id="541" w:name="_Ref448415573"/>
      <w:bookmarkStart w:id="542" w:name="_Toc45306542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86</w:t>
      </w:r>
      <w:r w:rsidRPr="00D85E09">
        <w:rPr>
          <w:lang w:val="en-AU"/>
        </w:rPr>
        <w:fldChar w:fldCharType="end"/>
      </w:r>
      <w:bookmarkEnd w:id="541"/>
      <w:r w:rsidRPr="00D85E09">
        <w:rPr>
          <w:lang w:val="en-AU"/>
        </w:rPr>
        <w:tab/>
        <w:t>mRS at Day 365 after rehabilitation effects, no recurrent stroke</w:t>
      </w:r>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86 mRS at Day 365 after rehabilitation effects, no recurrent stroke"/>
      </w:tblPr>
      <w:tblGrid>
        <w:gridCol w:w="3173"/>
        <w:gridCol w:w="873"/>
        <w:gridCol w:w="873"/>
        <w:gridCol w:w="875"/>
        <w:gridCol w:w="875"/>
        <w:gridCol w:w="875"/>
        <w:gridCol w:w="875"/>
        <w:gridCol w:w="869"/>
      </w:tblGrid>
      <w:tr w:rsidR="00A41E60" w:rsidRPr="00D85E09" w14:paraId="59B4E340"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3C00E7D7" w14:textId="77777777" w:rsidR="00A41E60" w:rsidRPr="00D85E09" w:rsidRDefault="00A41E60" w:rsidP="0043316B">
            <w:pPr>
              <w:pStyle w:val="Tabletext"/>
              <w:keepNext w:val="0"/>
              <w:widowControl w:val="0"/>
            </w:pPr>
            <w:r w:rsidRPr="00D85E09">
              <w:t>mRS</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09CAEE56" w14:textId="77777777" w:rsidR="00A41E60" w:rsidRPr="00D85E09" w:rsidRDefault="00A41E60" w:rsidP="0043316B">
            <w:pPr>
              <w:pStyle w:val="Tabletext"/>
              <w:keepNext w:val="0"/>
              <w:widowControl w:val="0"/>
            </w:pPr>
            <w:r w:rsidRPr="00D85E09">
              <w:t>mRS 0</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49261ACE" w14:textId="77777777" w:rsidR="00A41E60" w:rsidRPr="00D85E09" w:rsidRDefault="00A41E60" w:rsidP="0043316B">
            <w:pPr>
              <w:pStyle w:val="Tabletext"/>
              <w:keepNext w:val="0"/>
              <w:widowControl w:val="0"/>
            </w:pPr>
            <w:r w:rsidRPr="00D85E09">
              <w:t>mRS 1</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55DF2834" w14:textId="77777777" w:rsidR="00A41E60" w:rsidRPr="00D85E09" w:rsidRDefault="00A41E60" w:rsidP="0043316B">
            <w:pPr>
              <w:pStyle w:val="Tabletext"/>
              <w:keepNext w:val="0"/>
              <w:widowControl w:val="0"/>
            </w:pPr>
            <w:r w:rsidRPr="00D85E09">
              <w:t>mRS 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6D1624C9" w14:textId="77777777" w:rsidR="00A41E60" w:rsidRPr="00D85E09" w:rsidRDefault="00A41E60" w:rsidP="0043316B">
            <w:pPr>
              <w:pStyle w:val="Tabletext"/>
              <w:keepNext w:val="0"/>
              <w:widowControl w:val="0"/>
            </w:pPr>
            <w:r w:rsidRPr="00D85E09">
              <w:t>mRS 3</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058E2151" w14:textId="77777777" w:rsidR="00A41E60" w:rsidRPr="00D85E09" w:rsidRDefault="00A41E60" w:rsidP="0043316B">
            <w:pPr>
              <w:pStyle w:val="Tabletext"/>
              <w:keepNext w:val="0"/>
              <w:widowControl w:val="0"/>
            </w:pPr>
            <w:r w:rsidRPr="00D85E09">
              <w:t>mRS 4</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38A0E24A" w14:textId="77777777" w:rsidR="00A41E60" w:rsidRPr="00D85E09" w:rsidRDefault="00A41E60" w:rsidP="0043316B">
            <w:pPr>
              <w:pStyle w:val="Tabletext"/>
              <w:keepNext w:val="0"/>
              <w:widowControl w:val="0"/>
            </w:pPr>
            <w:r w:rsidRPr="00D85E09">
              <w:t>mRS 5</w:t>
            </w:r>
          </w:p>
        </w:tc>
        <w:tc>
          <w:tcPr>
            <w:tcW w:w="468" w:type="pct"/>
            <w:tcBorders>
              <w:top w:val="single" w:sz="4" w:space="0" w:color="auto"/>
              <w:left w:val="single" w:sz="4" w:space="0" w:color="auto"/>
              <w:bottom w:val="single" w:sz="4" w:space="0" w:color="auto"/>
              <w:right w:val="single" w:sz="4" w:space="0" w:color="auto"/>
            </w:tcBorders>
            <w:noWrap/>
            <w:vAlign w:val="center"/>
            <w:hideMark/>
          </w:tcPr>
          <w:p w14:paraId="0F15FDC3" w14:textId="77777777" w:rsidR="00A41E60" w:rsidRPr="00D85E09" w:rsidRDefault="00A41E60" w:rsidP="0043316B">
            <w:pPr>
              <w:pStyle w:val="Tabletext"/>
              <w:keepNext w:val="0"/>
              <w:widowControl w:val="0"/>
            </w:pPr>
            <w:r w:rsidRPr="00D85E09">
              <w:t>Dead</w:t>
            </w:r>
          </w:p>
        </w:tc>
      </w:tr>
      <w:tr w:rsidR="00A41E60" w:rsidRPr="00D85E09" w14:paraId="180025A8" w14:textId="77777777" w:rsidTr="00A41E60">
        <w:trPr>
          <w:trHeight w:val="330"/>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0B7EFE0C" w14:textId="77777777" w:rsidR="00A41E60" w:rsidRPr="00D85E09" w:rsidRDefault="00A41E60" w:rsidP="0043316B">
            <w:pPr>
              <w:pStyle w:val="Tabletext"/>
              <w:keepNext w:val="0"/>
              <w:widowControl w:val="0"/>
            </w:pPr>
            <w:r w:rsidRPr="00D85E09">
              <w:t>Mechanical thrombectomy + usual care</w:t>
            </w:r>
          </w:p>
        </w:tc>
        <w:tc>
          <w:tcPr>
            <w:tcW w:w="470" w:type="pct"/>
            <w:tcBorders>
              <w:top w:val="single" w:sz="4" w:space="0" w:color="auto"/>
              <w:left w:val="single" w:sz="4" w:space="0" w:color="auto"/>
              <w:bottom w:val="single" w:sz="4" w:space="0" w:color="auto"/>
              <w:right w:val="single" w:sz="4" w:space="0" w:color="auto"/>
            </w:tcBorders>
            <w:noWrap/>
            <w:hideMark/>
          </w:tcPr>
          <w:p w14:paraId="21E4C623" w14:textId="77777777" w:rsidR="00A41E60" w:rsidRPr="00D85E09" w:rsidRDefault="00A41E60" w:rsidP="0043316B">
            <w:pPr>
              <w:pStyle w:val="Tabletext"/>
              <w:keepNext w:val="0"/>
              <w:widowControl w:val="0"/>
            </w:pPr>
            <w:r w:rsidRPr="00D85E09">
              <w:t>26.1%</w:t>
            </w:r>
          </w:p>
        </w:tc>
        <w:tc>
          <w:tcPr>
            <w:tcW w:w="470" w:type="pct"/>
            <w:tcBorders>
              <w:top w:val="single" w:sz="4" w:space="0" w:color="auto"/>
              <w:left w:val="single" w:sz="4" w:space="0" w:color="auto"/>
              <w:bottom w:val="single" w:sz="4" w:space="0" w:color="auto"/>
              <w:right w:val="single" w:sz="4" w:space="0" w:color="auto"/>
            </w:tcBorders>
            <w:noWrap/>
            <w:hideMark/>
          </w:tcPr>
          <w:p w14:paraId="6091F3E5" w14:textId="77777777" w:rsidR="00A41E60" w:rsidRPr="00D85E09" w:rsidRDefault="00A41E60" w:rsidP="0043316B">
            <w:pPr>
              <w:pStyle w:val="Tabletext"/>
              <w:keepNext w:val="0"/>
              <w:widowControl w:val="0"/>
            </w:pPr>
            <w:r w:rsidRPr="00D85E09">
              <w:t>6.4%</w:t>
            </w:r>
          </w:p>
        </w:tc>
        <w:tc>
          <w:tcPr>
            <w:tcW w:w="471" w:type="pct"/>
            <w:tcBorders>
              <w:top w:val="single" w:sz="4" w:space="0" w:color="auto"/>
              <w:left w:val="single" w:sz="4" w:space="0" w:color="auto"/>
              <w:bottom w:val="single" w:sz="4" w:space="0" w:color="auto"/>
              <w:right w:val="single" w:sz="4" w:space="0" w:color="auto"/>
            </w:tcBorders>
            <w:noWrap/>
            <w:hideMark/>
          </w:tcPr>
          <w:p w14:paraId="5A468775" w14:textId="77777777" w:rsidR="00A41E60" w:rsidRPr="00D85E09" w:rsidRDefault="00A41E60" w:rsidP="0043316B">
            <w:pPr>
              <w:pStyle w:val="Tabletext"/>
              <w:keepNext w:val="0"/>
              <w:widowControl w:val="0"/>
            </w:pPr>
            <w:r w:rsidRPr="00D85E09">
              <w:t>8.7%</w:t>
            </w:r>
          </w:p>
        </w:tc>
        <w:tc>
          <w:tcPr>
            <w:tcW w:w="471" w:type="pct"/>
            <w:tcBorders>
              <w:top w:val="single" w:sz="4" w:space="0" w:color="auto"/>
              <w:left w:val="single" w:sz="4" w:space="0" w:color="auto"/>
              <w:bottom w:val="single" w:sz="4" w:space="0" w:color="auto"/>
              <w:right w:val="single" w:sz="4" w:space="0" w:color="auto"/>
            </w:tcBorders>
            <w:noWrap/>
            <w:hideMark/>
          </w:tcPr>
          <w:p w14:paraId="5EC78997" w14:textId="77777777" w:rsidR="00A41E60" w:rsidRPr="00D85E09" w:rsidRDefault="00A41E60" w:rsidP="0043316B">
            <w:pPr>
              <w:pStyle w:val="Tabletext"/>
              <w:keepNext w:val="0"/>
              <w:widowControl w:val="0"/>
            </w:pPr>
            <w:r w:rsidRPr="00D85E09">
              <w:t>8.2%</w:t>
            </w:r>
          </w:p>
        </w:tc>
        <w:tc>
          <w:tcPr>
            <w:tcW w:w="471" w:type="pct"/>
            <w:tcBorders>
              <w:top w:val="single" w:sz="4" w:space="0" w:color="auto"/>
              <w:left w:val="single" w:sz="4" w:space="0" w:color="auto"/>
              <w:bottom w:val="single" w:sz="4" w:space="0" w:color="auto"/>
              <w:right w:val="single" w:sz="4" w:space="0" w:color="auto"/>
            </w:tcBorders>
            <w:noWrap/>
            <w:hideMark/>
          </w:tcPr>
          <w:p w14:paraId="27F649E3" w14:textId="77777777" w:rsidR="00A41E60" w:rsidRPr="00D85E09" w:rsidRDefault="00A41E60" w:rsidP="0043316B">
            <w:pPr>
              <w:pStyle w:val="Tabletext"/>
              <w:keepNext w:val="0"/>
              <w:widowControl w:val="0"/>
            </w:pPr>
            <w:r w:rsidRPr="00D85E09">
              <w:t>9.4%</w:t>
            </w:r>
          </w:p>
        </w:tc>
        <w:tc>
          <w:tcPr>
            <w:tcW w:w="471" w:type="pct"/>
            <w:tcBorders>
              <w:top w:val="single" w:sz="4" w:space="0" w:color="auto"/>
              <w:left w:val="single" w:sz="4" w:space="0" w:color="auto"/>
              <w:bottom w:val="single" w:sz="4" w:space="0" w:color="auto"/>
              <w:right w:val="single" w:sz="4" w:space="0" w:color="auto"/>
            </w:tcBorders>
            <w:noWrap/>
            <w:hideMark/>
          </w:tcPr>
          <w:p w14:paraId="2E7D4FC0" w14:textId="77777777" w:rsidR="00A41E60" w:rsidRPr="00D85E09" w:rsidRDefault="00A41E60" w:rsidP="0043316B">
            <w:pPr>
              <w:pStyle w:val="Tabletext"/>
              <w:keepNext w:val="0"/>
              <w:widowControl w:val="0"/>
            </w:pPr>
            <w:r w:rsidRPr="00D85E09">
              <w:t>10.1%</w:t>
            </w:r>
          </w:p>
        </w:tc>
        <w:tc>
          <w:tcPr>
            <w:tcW w:w="468" w:type="pct"/>
            <w:tcBorders>
              <w:top w:val="single" w:sz="4" w:space="0" w:color="auto"/>
              <w:left w:val="single" w:sz="4" w:space="0" w:color="auto"/>
              <w:bottom w:val="single" w:sz="4" w:space="0" w:color="auto"/>
              <w:right w:val="single" w:sz="4" w:space="0" w:color="auto"/>
            </w:tcBorders>
            <w:noWrap/>
            <w:hideMark/>
          </w:tcPr>
          <w:p w14:paraId="18693AC4" w14:textId="77777777" w:rsidR="00A41E60" w:rsidRPr="00D85E09" w:rsidRDefault="00A41E60" w:rsidP="0043316B">
            <w:pPr>
              <w:pStyle w:val="Tabletext"/>
              <w:keepNext w:val="0"/>
              <w:widowControl w:val="0"/>
            </w:pPr>
            <w:r w:rsidRPr="00D85E09">
              <w:t>31.1%</w:t>
            </w:r>
          </w:p>
        </w:tc>
      </w:tr>
      <w:tr w:rsidR="00A41E60" w:rsidRPr="00D85E09" w14:paraId="7EA7C398"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58B15733" w14:textId="77777777" w:rsidR="00A41E60" w:rsidRPr="00D85E09" w:rsidRDefault="00A41E60" w:rsidP="0043316B">
            <w:pPr>
              <w:pStyle w:val="Tabletext"/>
              <w:keepNext w:val="0"/>
              <w:widowControl w:val="0"/>
            </w:pPr>
            <w:r w:rsidRPr="00D85E09">
              <w:t>Usual care alone</w:t>
            </w:r>
          </w:p>
        </w:tc>
        <w:tc>
          <w:tcPr>
            <w:tcW w:w="470" w:type="pct"/>
            <w:tcBorders>
              <w:top w:val="single" w:sz="4" w:space="0" w:color="auto"/>
              <w:left w:val="single" w:sz="4" w:space="0" w:color="auto"/>
              <w:bottom w:val="single" w:sz="4" w:space="0" w:color="auto"/>
              <w:right w:val="single" w:sz="4" w:space="0" w:color="auto"/>
            </w:tcBorders>
            <w:noWrap/>
            <w:hideMark/>
          </w:tcPr>
          <w:p w14:paraId="266B3012" w14:textId="77777777" w:rsidR="00A41E60" w:rsidRPr="00D85E09" w:rsidRDefault="00A41E60" w:rsidP="0043316B">
            <w:pPr>
              <w:pStyle w:val="Tabletext"/>
              <w:keepNext w:val="0"/>
              <w:widowControl w:val="0"/>
            </w:pPr>
            <w:r w:rsidRPr="00D85E09">
              <w:t>15.8%</w:t>
            </w:r>
          </w:p>
        </w:tc>
        <w:tc>
          <w:tcPr>
            <w:tcW w:w="470" w:type="pct"/>
            <w:tcBorders>
              <w:top w:val="single" w:sz="4" w:space="0" w:color="auto"/>
              <w:left w:val="single" w:sz="4" w:space="0" w:color="auto"/>
              <w:bottom w:val="single" w:sz="4" w:space="0" w:color="auto"/>
              <w:right w:val="single" w:sz="4" w:space="0" w:color="auto"/>
            </w:tcBorders>
            <w:noWrap/>
            <w:hideMark/>
          </w:tcPr>
          <w:p w14:paraId="791FF5A2" w14:textId="77777777" w:rsidR="00A41E60" w:rsidRPr="00D85E09" w:rsidRDefault="00A41E60" w:rsidP="0043316B">
            <w:pPr>
              <w:pStyle w:val="Tabletext"/>
              <w:keepNext w:val="0"/>
              <w:widowControl w:val="0"/>
            </w:pPr>
            <w:r w:rsidRPr="00D85E09">
              <w:t>4.6%</w:t>
            </w:r>
          </w:p>
        </w:tc>
        <w:tc>
          <w:tcPr>
            <w:tcW w:w="471" w:type="pct"/>
            <w:tcBorders>
              <w:top w:val="single" w:sz="4" w:space="0" w:color="auto"/>
              <w:left w:val="single" w:sz="4" w:space="0" w:color="auto"/>
              <w:bottom w:val="single" w:sz="4" w:space="0" w:color="auto"/>
              <w:right w:val="single" w:sz="4" w:space="0" w:color="auto"/>
            </w:tcBorders>
            <w:noWrap/>
            <w:hideMark/>
          </w:tcPr>
          <w:p w14:paraId="5A1F328C" w14:textId="77777777" w:rsidR="00A41E60" w:rsidRPr="00D85E09" w:rsidRDefault="00A41E60" w:rsidP="0043316B">
            <w:pPr>
              <w:pStyle w:val="Tabletext"/>
              <w:keepNext w:val="0"/>
              <w:widowControl w:val="0"/>
            </w:pPr>
            <w:r w:rsidRPr="00D85E09">
              <w:t>7.7%</w:t>
            </w:r>
          </w:p>
        </w:tc>
        <w:tc>
          <w:tcPr>
            <w:tcW w:w="471" w:type="pct"/>
            <w:tcBorders>
              <w:top w:val="single" w:sz="4" w:space="0" w:color="auto"/>
              <w:left w:val="single" w:sz="4" w:space="0" w:color="auto"/>
              <w:bottom w:val="single" w:sz="4" w:space="0" w:color="auto"/>
              <w:right w:val="single" w:sz="4" w:space="0" w:color="auto"/>
            </w:tcBorders>
            <w:noWrap/>
            <w:hideMark/>
          </w:tcPr>
          <w:p w14:paraId="79E317DF" w14:textId="77777777" w:rsidR="00A41E60" w:rsidRPr="00D85E09" w:rsidRDefault="00A41E60" w:rsidP="0043316B">
            <w:pPr>
              <w:pStyle w:val="Tabletext"/>
              <w:keepNext w:val="0"/>
              <w:widowControl w:val="0"/>
            </w:pPr>
            <w:r w:rsidRPr="00D85E09">
              <w:t>7.8%</w:t>
            </w:r>
          </w:p>
        </w:tc>
        <w:tc>
          <w:tcPr>
            <w:tcW w:w="471" w:type="pct"/>
            <w:tcBorders>
              <w:top w:val="single" w:sz="4" w:space="0" w:color="auto"/>
              <w:left w:val="single" w:sz="4" w:space="0" w:color="auto"/>
              <w:bottom w:val="single" w:sz="4" w:space="0" w:color="auto"/>
              <w:right w:val="single" w:sz="4" w:space="0" w:color="auto"/>
            </w:tcBorders>
            <w:noWrap/>
            <w:hideMark/>
          </w:tcPr>
          <w:p w14:paraId="1817BF40" w14:textId="77777777" w:rsidR="00A41E60" w:rsidRPr="00D85E09" w:rsidRDefault="00A41E60" w:rsidP="0043316B">
            <w:pPr>
              <w:pStyle w:val="Tabletext"/>
              <w:keepNext w:val="0"/>
              <w:widowControl w:val="0"/>
            </w:pPr>
            <w:r w:rsidRPr="00D85E09">
              <w:t>10.5%</w:t>
            </w:r>
          </w:p>
        </w:tc>
        <w:tc>
          <w:tcPr>
            <w:tcW w:w="471" w:type="pct"/>
            <w:tcBorders>
              <w:top w:val="single" w:sz="4" w:space="0" w:color="auto"/>
              <w:left w:val="single" w:sz="4" w:space="0" w:color="auto"/>
              <w:bottom w:val="single" w:sz="4" w:space="0" w:color="auto"/>
              <w:right w:val="single" w:sz="4" w:space="0" w:color="auto"/>
            </w:tcBorders>
            <w:noWrap/>
            <w:hideMark/>
          </w:tcPr>
          <w:p w14:paraId="6210A9D4" w14:textId="77777777" w:rsidR="00A41E60" w:rsidRPr="00D85E09" w:rsidRDefault="00A41E60" w:rsidP="0043316B">
            <w:pPr>
              <w:pStyle w:val="Tabletext"/>
              <w:keepNext w:val="0"/>
              <w:widowControl w:val="0"/>
            </w:pPr>
            <w:r w:rsidRPr="00D85E09">
              <w:t>15.2%</w:t>
            </w:r>
          </w:p>
        </w:tc>
        <w:tc>
          <w:tcPr>
            <w:tcW w:w="468" w:type="pct"/>
            <w:tcBorders>
              <w:top w:val="single" w:sz="4" w:space="0" w:color="auto"/>
              <w:left w:val="single" w:sz="4" w:space="0" w:color="auto"/>
              <w:bottom w:val="single" w:sz="4" w:space="0" w:color="auto"/>
              <w:right w:val="single" w:sz="4" w:space="0" w:color="auto"/>
            </w:tcBorders>
            <w:noWrap/>
            <w:hideMark/>
          </w:tcPr>
          <w:p w14:paraId="345010F8" w14:textId="77777777" w:rsidR="00A41E60" w:rsidRPr="00D85E09" w:rsidRDefault="00A41E60" w:rsidP="0043316B">
            <w:pPr>
              <w:pStyle w:val="Tabletext"/>
              <w:keepNext w:val="0"/>
              <w:widowControl w:val="0"/>
            </w:pPr>
            <w:r w:rsidRPr="00D85E09">
              <w:t>38.3%</w:t>
            </w:r>
          </w:p>
        </w:tc>
      </w:tr>
    </w:tbl>
    <w:p w14:paraId="0507A5B1" w14:textId="77777777" w:rsidR="00A41E60" w:rsidRPr="00D85E09" w:rsidRDefault="00A41E60" w:rsidP="0043316B">
      <w:pPr>
        <w:widowControl w:val="0"/>
      </w:pPr>
    </w:p>
    <w:p w14:paraId="116C3A5D" w14:textId="6BDC25CA" w:rsidR="00A41E60" w:rsidRPr="00D85E09" w:rsidRDefault="00A41E60" w:rsidP="0043316B">
      <w:pPr>
        <w:widowControl w:val="0"/>
      </w:pPr>
      <w:r w:rsidRPr="00D85E09">
        <w:t xml:space="preserve">As extensively discussed in Section </w:t>
      </w:r>
      <w:r w:rsidR="00092415" w:rsidRPr="00D85E09">
        <w:fldChar w:fldCharType="begin"/>
      </w:r>
      <w:r w:rsidR="00092415" w:rsidRPr="00D85E09">
        <w:instrText xml:space="preserve"> REF _Ref452113564 \r \h </w:instrText>
      </w:r>
      <w:r w:rsidR="00092415" w:rsidRPr="00D85E09">
        <w:fldChar w:fldCharType="separate"/>
      </w:r>
      <w:r w:rsidR="00A456ED">
        <w:t>C.7.3</w:t>
      </w:r>
      <w:r w:rsidR="00092415" w:rsidRPr="00D85E09">
        <w:fldChar w:fldCharType="end"/>
      </w:r>
      <w:r w:rsidRPr="00D85E09">
        <w:t xml:space="preserve">, the mRS transition data reported by Gensicke et al (2013) are based on a follow-up period of three years. To retain an otherwise very simple model design (i.e., the model in principle simply follows post-stroke mRS changes of the modelled cohort over time) and, more importantly, to provide transparency, </w:t>
      </w:r>
      <w:r w:rsidRPr="00D85E09">
        <w:rPr>
          <w:i/>
        </w:rPr>
        <w:t>it is assumed that the reported 3-year mRS transitions are to be absorbed by 12 months.</w:t>
      </w:r>
      <w:r w:rsidRPr="00D85E09">
        <w:t xml:space="preserve"> This assumption should be reasonable because the majority of mRS changes would generally occur during the mid-term phase (i.e, Day 90 to Day 365).</w:t>
      </w:r>
    </w:p>
    <w:p w14:paraId="0007CB12" w14:textId="77777777" w:rsidR="00A41E60" w:rsidRPr="00D85E09" w:rsidRDefault="00A41E60" w:rsidP="0043316B">
      <w:pPr>
        <w:widowControl w:val="0"/>
        <w:rPr>
          <w:i/>
          <w:u w:val="single"/>
        </w:rPr>
      </w:pPr>
      <w:r w:rsidRPr="00D85E09">
        <w:rPr>
          <w:i/>
          <w:u w:val="single"/>
        </w:rPr>
        <w:t>Day 365 mRS distribution with the risk of stroke recurrence between Day 90 and Day 365</w:t>
      </w:r>
    </w:p>
    <w:p w14:paraId="46061761" w14:textId="24BD19F2" w:rsidR="00A41E60" w:rsidRPr="00D85E09" w:rsidRDefault="00A41E60" w:rsidP="0043316B">
      <w:pPr>
        <w:widowControl w:val="0"/>
      </w:pPr>
      <w:r w:rsidRPr="00D85E09">
        <w:t xml:space="preserve">As discussed above, for simplicity, the mRS distribution for patients experiencing a recurrent stroke is calculated based on the Day 365 mRS distributions in </w:t>
      </w:r>
      <w:r w:rsidRPr="00D85E09">
        <w:fldChar w:fldCharType="begin"/>
      </w:r>
      <w:r w:rsidRPr="00D85E09">
        <w:instrText xml:space="preserve"> REF _Ref448415573 \h </w:instrText>
      </w:r>
      <w:r w:rsidRPr="00D85E09">
        <w:fldChar w:fldCharType="separate"/>
      </w:r>
      <w:r w:rsidR="00A456ED" w:rsidRPr="00D85E09">
        <w:t xml:space="preserve">Table </w:t>
      </w:r>
      <w:r w:rsidR="00A456ED">
        <w:rPr>
          <w:noProof/>
        </w:rPr>
        <w:t>86</w:t>
      </w:r>
      <w:r w:rsidRPr="00D85E09">
        <w:fldChar w:fldCharType="end"/>
      </w:r>
      <w:r w:rsidRPr="00D85E09">
        <w:rPr>
          <w:i/>
        </w:rPr>
        <w:t>.</w:t>
      </w:r>
      <w:r w:rsidRPr="00D85E09">
        <w:t xml:space="preserve"> This is a conservative approach because recurrent stoke is generally associated with a poorer prognosis than that for a first-ever stroke (Lee et al 2004). </w:t>
      </w:r>
      <w:r w:rsidRPr="00D85E09">
        <w:rPr>
          <w:i/>
        </w:rPr>
        <w:t>This approach assumes that all mRS changes caused by a recurrent stroke (including acute as well as rehabilitation effects) would be completed by Day 365 regardless of the timing of recurrence onset.</w:t>
      </w:r>
    </w:p>
    <w:p w14:paraId="72BBB3A9" w14:textId="521EBD83" w:rsidR="00A41E60" w:rsidRPr="00D85E09" w:rsidRDefault="00A41E60" w:rsidP="0043316B">
      <w:pPr>
        <w:widowControl w:val="0"/>
      </w:pPr>
      <w:r w:rsidRPr="00D85E09">
        <w:fldChar w:fldCharType="begin"/>
      </w:r>
      <w:r w:rsidRPr="00D85E09">
        <w:instrText xml:space="preserve"> REF _Ref448834902 \h </w:instrText>
      </w:r>
      <w:r w:rsidRPr="00D85E09">
        <w:fldChar w:fldCharType="separate"/>
      </w:r>
      <w:r w:rsidR="00A456ED" w:rsidRPr="00D85E09">
        <w:t xml:space="preserve">Table </w:t>
      </w:r>
      <w:r w:rsidR="00A456ED">
        <w:rPr>
          <w:noProof/>
        </w:rPr>
        <w:t>87</w:t>
      </w:r>
      <w:r w:rsidRPr="00D85E09">
        <w:fldChar w:fldCharType="end"/>
      </w:r>
      <w:r w:rsidRPr="00D85E09">
        <w:t xml:space="preserve"> below presents a transition matrix depicting possible mRS changes between Day </w:t>
      </w:r>
      <w:r w:rsidRPr="00D85E09">
        <w:lastRenderedPageBreak/>
        <w:t xml:space="preserve">90 and Day 365 after accounting for the risk of stroke recurrence. Again, </w:t>
      </w:r>
      <w:r w:rsidRPr="00D85E09">
        <w:rPr>
          <w:i/>
        </w:rPr>
        <w:t>usual care is given to treat all recurrent strokes under the base case assumption.</w:t>
      </w:r>
    </w:p>
    <w:p w14:paraId="25E8568D" w14:textId="191C9A49" w:rsidR="00A41E60" w:rsidRPr="00D85E09" w:rsidRDefault="00A41E60" w:rsidP="0043316B">
      <w:pPr>
        <w:widowControl w:val="0"/>
      </w:pPr>
      <w:r w:rsidRPr="00D85E09">
        <w:rPr>
          <w:i/>
        </w:rPr>
        <w:t xml:space="preserve">An important assumption in this process is that the probability of a patient remaining in their previous mRS state following a recurrent stroke was equal to the probability of remaining in the same health state and the sum of all probabilities of entering a lower disability mRS state. </w:t>
      </w:r>
      <w:r w:rsidRPr="00D85E09">
        <w:t>That is, patients cannot improve on their pre-recurrence mRS. The probabilities of a recurrent stroke resulting in any states with higher disability remained the same as for the first stroke. For example, if a patient had mRS 4 before experiencing a recurrent stroke, the probability of moving to mRS 5 or to mRS 6 would be the same as for their first stroke in the analysis, and the probability of remaining in mRS 4 would be equal to the sum of probabilities of having mRS 0, 1, 2, 3 and 4 following their first stroke.</w:t>
      </w:r>
    </w:p>
    <w:p w14:paraId="5D4D3850" w14:textId="240B5C10" w:rsidR="00A41E60" w:rsidRPr="00D85E09" w:rsidRDefault="00A41E60" w:rsidP="0043316B">
      <w:pPr>
        <w:pStyle w:val="Caption"/>
        <w:keepNext w:val="0"/>
        <w:widowControl w:val="0"/>
        <w:rPr>
          <w:lang w:val="en-AU"/>
        </w:rPr>
      </w:pPr>
      <w:bookmarkStart w:id="543" w:name="_Ref448834902"/>
      <w:bookmarkStart w:id="544" w:name="_Toc45306542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87</w:t>
      </w:r>
      <w:r w:rsidRPr="00D85E09">
        <w:rPr>
          <w:lang w:val="en-AU"/>
        </w:rPr>
        <w:fldChar w:fldCharType="end"/>
      </w:r>
      <w:bookmarkEnd w:id="543"/>
      <w:r w:rsidRPr="00D85E09">
        <w:rPr>
          <w:lang w:val="en-AU"/>
        </w:rPr>
        <w:tab/>
        <w:t>Transition matrix depicting possible mRS changes between Day 90 and Day 365 after accounting for the risk of stroke recurrence (usual care given to treat all recurrent strokes)</w:t>
      </w:r>
      <w:bookmarkEnd w:id="544"/>
    </w:p>
    <w:tbl>
      <w:tblPr>
        <w:tblStyle w:val="TableGrid"/>
        <w:tblW w:w="0" w:type="auto"/>
        <w:tblLook w:val="04A0" w:firstRow="1" w:lastRow="0" w:firstColumn="1" w:lastColumn="0" w:noHBand="0" w:noVBand="1"/>
        <w:tblDescription w:val="Table 87 Transition matrix depicting possible mRS changes between Day 90 and Day 365 after accounting for the risk of stroke recurrence (usual care given to treat all recurrent strokes)"/>
      </w:tblPr>
      <w:tblGrid>
        <w:gridCol w:w="704"/>
        <w:gridCol w:w="851"/>
        <w:gridCol w:w="1031"/>
        <w:gridCol w:w="1032"/>
        <w:gridCol w:w="1032"/>
        <w:gridCol w:w="1032"/>
        <w:gridCol w:w="1032"/>
        <w:gridCol w:w="1032"/>
        <w:gridCol w:w="1032"/>
      </w:tblGrid>
      <w:tr w:rsidR="00A41E60" w:rsidRPr="00D85E09" w14:paraId="460FCAF1" w14:textId="77777777" w:rsidTr="00BE6331">
        <w:trPr>
          <w:cantSplit/>
          <w:trHeight w:val="123"/>
          <w:tblHeader/>
        </w:trPr>
        <w:tc>
          <w:tcPr>
            <w:tcW w:w="704" w:type="dxa"/>
            <w:tcBorders>
              <w:top w:val="single" w:sz="4" w:space="0" w:color="000000"/>
              <w:left w:val="single" w:sz="4" w:space="0" w:color="000000"/>
              <w:bottom w:val="nil"/>
              <w:right w:val="nil"/>
            </w:tcBorders>
          </w:tcPr>
          <w:p w14:paraId="76762DC6" w14:textId="77777777" w:rsidR="00A41E60" w:rsidRPr="00D85E09" w:rsidRDefault="00A41E60" w:rsidP="0043316B">
            <w:pPr>
              <w:pStyle w:val="Tabletext"/>
              <w:keepNext w:val="0"/>
              <w:widowControl w:val="0"/>
            </w:pPr>
          </w:p>
        </w:tc>
        <w:tc>
          <w:tcPr>
            <w:tcW w:w="851" w:type="dxa"/>
            <w:tcBorders>
              <w:top w:val="single" w:sz="4" w:space="0" w:color="000000"/>
              <w:left w:val="nil"/>
              <w:bottom w:val="nil"/>
              <w:right w:val="single" w:sz="4" w:space="0" w:color="000000"/>
            </w:tcBorders>
          </w:tcPr>
          <w:p w14:paraId="2EC70788" w14:textId="77777777" w:rsidR="00A41E60" w:rsidRPr="00D85E09" w:rsidRDefault="00A41E60" w:rsidP="0043316B">
            <w:pPr>
              <w:pStyle w:val="Tabletext"/>
              <w:keepNext w:val="0"/>
              <w:widowControl w:val="0"/>
            </w:pPr>
          </w:p>
        </w:tc>
        <w:tc>
          <w:tcPr>
            <w:tcW w:w="7223" w:type="dxa"/>
            <w:gridSpan w:val="7"/>
            <w:tcBorders>
              <w:top w:val="single" w:sz="4" w:space="0" w:color="000000"/>
              <w:left w:val="single" w:sz="4" w:space="0" w:color="000000"/>
              <w:bottom w:val="single" w:sz="4" w:space="0" w:color="000000"/>
              <w:right w:val="single" w:sz="4" w:space="0" w:color="000000"/>
            </w:tcBorders>
            <w:hideMark/>
          </w:tcPr>
          <w:p w14:paraId="2478B6F6" w14:textId="77777777" w:rsidR="00A41E60" w:rsidRPr="00D85E09" w:rsidRDefault="00A41E60" w:rsidP="0043316B">
            <w:pPr>
              <w:pStyle w:val="Tabletext"/>
              <w:keepNext w:val="0"/>
              <w:widowControl w:val="0"/>
              <w:jc w:val="center"/>
            </w:pPr>
            <w:r w:rsidRPr="00D85E09">
              <w:t>At Day 365 (stroke recurrence at 4.91%)</w:t>
            </w:r>
          </w:p>
        </w:tc>
      </w:tr>
      <w:tr w:rsidR="00A41E60" w:rsidRPr="00D85E09" w14:paraId="23F2E308" w14:textId="77777777" w:rsidTr="00A41E60">
        <w:tc>
          <w:tcPr>
            <w:tcW w:w="704" w:type="dxa"/>
            <w:tcBorders>
              <w:top w:val="nil"/>
              <w:left w:val="single" w:sz="4" w:space="0" w:color="000000"/>
              <w:bottom w:val="single" w:sz="4" w:space="0" w:color="000000"/>
              <w:right w:val="nil"/>
            </w:tcBorders>
          </w:tcPr>
          <w:p w14:paraId="66E955A4" w14:textId="77777777" w:rsidR="00A41E60" w:rsidRPr="00D85E09" w:rsidRDefault="00A41E60" w:rsidP="0043316B">
            <w:pPr>
              <w:pStyle w:val="Tabletext"/>
              <w:keepNext w:val="0"/>
              <w:widowControl w:val="0"/>
            </w:pPr>
          </w:p>
        </w:tc>
        <w:tc>
          <w:tcPr>
            <w:tcW w:w="851" w:type="dxa"/>
            <w:tcBorders>
              <w:top w:val="nil"/>
              <w:left w:val="nil"/>
              <w:bottom w:val="single" w:sz="4" w:space="0" w:color="000000"/>
              <w:right w:val="single" w:sz="4" w:space="0" w:color="000000"/>
            </w:tcBorders>
          </w:tcPr>
          <w:p w14:paraId="20876978" w14:textId="77777777" w:rsidR="00A41E60" w:rsidRPr="00D85E09" w:rsidRDefault="00A41E60" w:rsidP="0043316B">
            <w:pPr>
              <w:pStyle w:val="Tabletext"/>
              <w:keepNext w:val="0"/>
              <w:widowControl w:val="0"/>
            </w:pPr>
          </w:p>
        </w:tc>
        <w:tc>
          <w:tcPr>
            <w:tcW w:w="1031" w:type="dxa"/>
            <w:tcBorders>
              <w:top w:val="single" w:sz="4" w:space="0" w:color="000000"/>
              <w:left w:val="single" w:sz="4" w:space="0" w:color="000000"/>
              <w:bottom w:val="single" w:sz="4" w:space="0" w:color="000000"/>
              <w:right w:val="single" w:sz="4" w:space="0" w:color="000000"/>
            </w:tcBorders>
            <w:vAlign w:val="center"/>
            <w:hideMark/>
          </w:tcPr>
          <w:p w14:paraId="05E5E1DC" w14:textId="77777777" w:rsidR="00A41E60" w:rsidRPr="00D85E09" w:rsidRDefault="00A41E60" w:rsidP="0043316B">
            <w:pPr>
              <w:pStyle w:val="Tabletext"/>
              <w:keepNext w:val="0"/>
              <w:widowControl w:val="0"/>
              <w:jc w:val="center"/>
            </w:pPr>
            <w:r w:rsidRPr="00D85E09">
              <w:t>mRS 0</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5F16706A" w14:textId="77777777" w:rsidR="00A41E60" w:rsidRPr="00D85E09" w:rsidRDefault="00A41E60" w:rsidP="0043316B">
            <w:pPr>
              <w:pStyle w:val="Tabletext"/>
              <w:keepNext w:val="0"/>
              <w:widowControl w:val="0"/>
              <w:jc w:val="center"/>
            </w:pPr>
            <w:r w:rsidRPr="00D85E09">
              <w:t>mRS 1</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7AE374E3" w14:textId="77777777" w:rsidR="00A41E60" w:rsidRPr="00D85E09" w:rsidRDefault="00A41E60" w:rsidP="0043316B">
            <w:pPr>
              <w:pStyle w:val="Tabletext"/>
              <w:keepNext w:val="0"/>
              <w:widowControl w:val="0"/>
              <w:jc w:val="center"/>
            </w:pPr>
            <w:r w:rsidRPr="00D85E09">
              <w:t>mRS 2</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03081544" w14:textId="77777777" w:rsidR="00A41E60" w:rsidRPr="00D85E09" w:rsidRDefault="00A41E60" w:rsidP="0043316B">
            <w:pPr>
              <w:pStyle w:val="Tabletext"/>
              <w:keepNext w:val="0"/>
              <w:widowControl w:val="0"/>
              <w:jc w:val="center"/>
            </w:pPr>
            <w:r w:rsidRPr="00D85E09">
              <w:t>mRS 3</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68247B49" w14:textId="77777777" w:rsidR="00A41E60" w:rsidRPr="00D85E09" w:rsidRDefault="00A41E60" w:rsidP="0043316B">
            <w:pPr>
              <w:pStyle w:val="Tabletext"/>
              <w:keepNext w:val="0"/>
              <w:widowControl w:val="0"/>
              <w:jc w:val="center"/>
            </w:pPr>
            <w:r w:rsidRPr="00D85E09">
              <w:t>mRS 4</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5A9A9874" w14:textId="77777777" w:rsidR="00A41E60" w:rsidRPr="00D85E09" w:rsidRDefault="00A41E60" w:rsidP="0043316B">
            <w:pPr>
              <w:pStyle w:val="Tabletext"/>
              <w:keepNext w:val="0"/>
              <w:widowControl w:val="0"/>
              <w:jc w:val="center"/>
            </w:pPr>
            <w:r w:rsidRPr="00D85E09">
              <w:t>mRS 5</w:t>
            </w:r>
          </w:p>
        </w:tc>
        <w:tc>
          <w:tcPr>
            <w:tcW w:w="1032" w:type="dxa"/>
            <w:tcBorders>
              <w:top w:val="single" w:sz="4" w:space="0" w:color="000000"/>
              <w:left w:val="single" w:sz="4" w:space="0" w:color="000000"/>
              <w:bottom w:val="single" w:sz="4" w:space="0" w:color="000000"/>
              <w:right w:val="single" w:sz="4" w:space="0" w:color="000000"/>
            </w:tcBorders>
            <w:vAlign w:val="center"/>
            <w:hideMark/>
          </w:tcPr>
          <w:p w14:paraId="77D7916C" w14:textId="77777777" w:rsidR="00A41E60" w:rsidRPr="00D85E09" w:rsidRDefault="00A41E60" w:rsidP="0043316B">
            <w:pPr>
              <w:pStyle w:val="Tabletext"/>
              <w:keepNext w:val="0"/>
              <w:widowControl w:val="0"/>
              <w:jc w:val="center"/>
            </w:pPr>
            <w:r w:rsidRPr="00D85E09">
              <w:t>mRS 6</w:t>
            </w:r>
          </w:p>
        </w:tc>
      </w:tr>
      <w:tr w:rsidR="00A41E60" w:rsidRPr="00D85E09" w14:paraId="2D9529F2" w14:textId="77777777" w:rsidTr="00A41E60">
        <w:tc>
          <w:tcPr>
            <w:tcW w:w="70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37FC7B0E" w14:textId="77777777" w:rsidR="00A41E60" w:rsidRPr="00D85E09" w:rsidRDefault="00A41E60" w:rsidP="0043316B">
            <w:pPr>
              <w:pStyle w:val="Tabletext"/>
              <w:keepNext w:val="0"/>
              <w:widowControl w:val="0"/>
              <w:ind w:left="113" w:right="113"/>
              <w:jc w:val="center"/>
            </w:pPr>
            <w:r w:rsidRPr="00D85E09">
              <w:t>At Day 90 (no stroke recurrence so far)</w:t>
            </w:r>
          </w:p>
        </w:tc>
        <w:tc>
          <w:tcPr>
            <w:tcW w:w="851" w:type="dxa"/>
            <w:tcBorders>
              <w:top w:val="single" w:sz="4" w:space="0" w:color="000000"/>
              <w:left w:val="single" w:sz="4" w:space="0" w:color="000000"/>
              <w:bottom w:val="single" w:sz="4" w:space="0" w:color="000000"/>
              <w:right w:val="single" w:sz="4" w:space="0" w:color="000000"/>
            </w:tcBorders>
            <w:hideMark/>
          </w:tcPr>
          <w:p w14:paraId="6C09970F" w14:textId="77777777" w:rsidR="00A41E60" w:rsidRPr="00D85E09" w:rsidRDefault="00A41E60" w:rsidP="0043316B">
            <w:pPr>
              <w:pStyle w:val="Tabletext"/>
              <w:keepNext w:val="0"/>
              <w:widowControl w:val="0"/>
            </w:pPr>
            <w:r w:rsidRPr="00D85E09">
              <w:t>mRS 0</w:t>
            </w:r>
          </w:p>
        </w:tc>
        <w:tc>
          <w:tcPr>
            <w:tcW w:w="1031" w:type="dxa"/>
            <w:tcBorders>
              <w:top w:val="single" w:sz="4" w:space="0" w:color="000000"/>
              <w:left w:val="single" w:sz="4" w:space="0" w:color="000000"/>
              <w:bottom w:val="single" w:sz="4" w:space="0" w:color="000000"/>
              <w:right w:val="single" w:sz="4" w:space="0" w:color="000000"/>
            </w:tcBorders>
            <w:hideMark/>
          </w:tcPr>
          <w:p w14:paraId="46F50586" w14:textId="77777777" w:rsidR="00A41E60" w:rsidRPr="00D85E09" w:rsidRDefault="00A41E60" w:rsidP="0043316B">
            <w:pPr>
              <w:pStyle w:val="Tabletext"/>
              <w:keepNext w:val="0"/>
              <w:widowControl w:val="0"/>
              <w:jc w:val="center"/>
            </w:pPr>
            <w:r w:rsidRPr="00D85E09">
              <w:t>95.9%</w:t>
            </w:r>
          </w:p>
        </w:tc>
        <w:tc>
          <w:tcPr>
            <w:tcW w:w="1032" w:type="dxa"/>
            <w:tcBorders>
              <w:top w:val="single" w:sz="4" w:space="0" w:color="000000"/>
              <w:left w:val="single" w:sz="4" w:space="0" w:color="000000"/>
              <w:bottom w:val="single" w:sz="4" w:space="0" w:color="000000"/>
              <w:right w:val="single" w:sz="4" w:space="0" w:color="000000"/>
            </w:tcBorders>
            <w:hideMark/>
          </w:tcPr>
          <w:p w14:paraId="40E1AEE3" w14:textId="77777777" w:rsidR="00A41E60" w:rsidRPr="00D85E09" w:rsidRDefault="00A41E60" w:rsidP="0043316B">
            <w:pPr>
              <w:pStyle w:val="Tabletext"/>
              <w:keepNext w:val="0"/>
              <w:widowControl w:val="0"/>
              <w:jc w:val="center"/>
            </w:pPr>
            <w:r w:rsidRPr="00D85E09">
              <w:t>0.2%</w:t>
            </w:r>
          </w:p>
        </w:tc>
        <w:tc>
          <w:tcPr>
            <w:tcW w:w="1032" w:type="dxa"/>
            <w:tcBorders>
              <w:top w:val="single" w:sz="4" w:space="0" w:color="000000"/>
              <w:left w:val="single" w:sz="4" w:space="0" w:color="000000"/>
              <w:bottom w:val="single" w:sz="4" w:space="0" w:color="000000"/>
              <w:right w:val="single" w:sz="4" w:space="0" w:color="000000"/>
            </w:tcBorders>
            <w:hideMark/>
          </w:tcPr>
          <w:p w14:paraId="2CFEFFB3" w14:textId="77777777" w:rsidR="00A41E60" w:rsidRPr="00D85E09" w:rsidRDefault="00A41E60" w:rsidP="0043316B">
            <w:pPr>
              <w:pStyle w:val="Tabletext"/>
              <w:keepNext w:val="0"/>
              <w:widowControl w:val="0"/>
              <w:jc w:val="center"/>
            </w:pPr>
            <w:r w:rsidRPr="00D85E09">
              <w:t>0.4%</w:t>
            </w:r>
          </w:p>
        </w:tc>
        <w:tc>
          <w:tcPr>
            <w:tcW w:w="1032" w:type="dxa"/>
            <w:tcBorders>
              <w:top w:val="single" w:sz="4" w:space="0" w:color="000000"/>
              <w:left w:val="single" w:sz="4" w:space="0" w:color="000000"/>
              <w:bottom w:val="single" w:sz="4" w:space="0" w:color="000000"/>
              <w:right w:val="single" w:sz="4" w:space="0" w:color="000000"/>
            </w:tcBorders>
            <w:hideMark/>
          </w:tcPr>
          <w:p w14:paraId="4DA44992" w14:textId="77777777" w:rsidR="00A41E60" w:rsidRPr="00D85E09" w:rsidRDefault="00A41E60" w:rsidP="0043316B">
            <w:pPr>
              <w:pStyle w:val="Tabletext"/>
              <w:keepNext w:val="0"/>
              <w:widowControl w:val="0"/>
              <w:jc w:val="center"/>
            </w:pPr>
            <w:r w:rsidRPr="00D85E09">
              <w:t>0.4%</w:t>
            </w:r>
          </w:p>
        </w:tc>
        <w:tc>
          <w:tcPr>
            <w:tcW w:w="1032" w:type="dxa"/>
            <w:tcBorders>
              <w:top w:val="single" w:sz="4" w:space="0" w:color="000000"/>
              <w:left w:val="single" w:sz="4" w:space="0" w:color="000000"/>
              <w:bottom w:val="single" w:sz="4" w:space="0" w:color="000000"/>
              <w:right w:val="single" w:sz="4" w:space="0" w:color="000000"/>
            </w:tcBorders>
            <w:hideMark/>
          </w:tcPr>
          <w:p w14:paraId="32A7542F" w14:textId="77777777" w:rsidR="00A41E60" w:rsidRPr="00D85E09" w:rsidRDefault="00A41E60" w:rsidP="0043316B">
            <w:pPr>
              <w:pStyle w:val="Tabletext"/>
              <w:keepNext w:val="0"/>
              <w:widowControl w:val="0"/>
              <w:jc w:val="center"/>
            </w:pPr>
            <w:r w:rsidRPr="00D85E09">
              <w:t>0.5%</w:t>
            </w:r>
          </w:p>
        </w:tc>
        <w:tc>
          <w:tcPr>
            <w:tcW w:w="1032" w:type="dxa"/>
            <w:tcBorders>
              <w:top w:val="single" w:sz="4" w:space="0" w:color="000000"/>
              <w:left w:val="single" w:sz="4" w:space="0" w:color="000000"/>
              <w:bottom w:val="single" w:sz="4" w:space="0" w:color="000000"/>
              <w:right w:val="single" w:sz="4" w:space="0" w:color="000000"/>
            </w:tcBorders>
            <w:hideMark/>
          </w:tcPr>
          <w:p w14:paraId="5855695D" w14:textId="77777777" w:rsidR="00A41E60" w:rsidRPr="00D85E09" w:rsidRDefault="00A41E60" w:rsidP="0043316B">
            <w:pPr>
              <w:pStyle w:val="Tabletext"/>
              <w:keepNext w:val="0"/>
              <w:widowControl w:val="0"/>
              <w:jc w:val="center"/>
            </w:pPr>
            <w:r w:rsidRPr="00D85E09">
              <w:t>0.7%</w:t>
            </w:r>
          </w:p>
        </w:tc>
        <w:tc>
          <w:tcPr>
            <w:tcW w:w="1032" w:type="dxa"/>
            <w:tcBorders>
              <w:top w:val="single" w:sz="4" w:space="0" w:color="000000"/>
              <w:left w:val="single" w:sz="4" w:space="0" w:color="000000"/>
              <w:bottom w:val="single" w:sz="4" w:space="0" w:color="000000"/>
              <w:right w:val="single" w:sz="4" w:space="0" w:color="000000"/>
            </w:tcBorders>
            <w:hideMark/>
          </w:tcPr>
          <w:p w14:paraId="5FB7E9E7" w14:textId="77777777" w:rsidR="00A41E60" w:rsidRPr="00D85E09" w:rsidRDefault="00A41E60" w:rsidP="0043316B">
            <w:pPr>
              <w:pStyle w:val="Tabletext"/>
              <w:keepNext w:val="0"/>
              <w:widowControl w:val="0"/>
              <w:jc w:val="center"/>
            </w:pPr>
            <w:r w:rsidRPr="00D85E09">
              <w:t>1.9%</w:t>
            </w:r>
          </w:p>
        </w:tc>
      </w:tr>
      <w:tr w:rsidR="00A41E60" w:rsidRPr="00D85E09" w14:paraId="4D956D7D"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76F963"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14:paraId="454A27F3" w14:textId="77777777" w:rsidR="00A41E60" w:rsidRPr="00D85E09" w:rsidRDefault="00A41E60" w:rsidP="0043316B">
            <w:pPr>
              <w:pStyle w:val="Tabletext"/>
              <w:keepNext w:val="0"/>
              <w:widowControl w:val="0"/>
            </w:pPr>
            <w:r w:rsidRPr="00D85E09">
              <w:t>mRS 1</w:t>
            </w:r>
          </w:p>
        </w:tc>
        <w:tc>
          <w:tcPr>
            <w:tcW w:w="1031" w:type="dxa"/>
            <w:tcBorders>
              <w:top w:val="single" w:sz="4" w:space="0" w:color="000000"/>
              <w:left w:val="single" w:sz="4" w:space="0" w:color="000000"/>
              <w:bottom w:val="single" w:sz="4" w:space="0" w:color="000000"/>
              <w:right w:val="single" w:sz="4" w:space="0" w:color="000000"/>
            </w:tcBorders>
            <w:hideMark/>
          </w:tcPr>
          <w:p w14:paraId="48EB7F13" w14:textId="495387C2"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0D76E807" w14:textId="77777777" w:rsidR="00A41E60" w:rsidRPr="00D85E09" w:rsidRDefault="00A41E60" w:rsidP="0043316B">
            <w:pPr>
              <w:pStyle w:val="Tabletext"/>
              <w:keepNext w:val="0"/>
              <w:widowControl w:val="0"/>
              <w:jc w:val="center"/>
            </w:pPr>
            <w:r w:rsidRPr="00D85E09">
              <w:t>96.1%</w:t>
            </w:r>
          </w:p>
        </w:tc>
        <w:tc>
          <w:tcPr>
            <w:tcW w:w="1032" w:type="dxa"/>
            <w:tcBorders>
              <w:top w:val="single" w:sz="4" w:space="0" w:color="000000"/>
              <w:left w:val="single" w:sz="4" w:space="0" w:color="000000"/>
              <w:bottom w:val="single" w:sz="4" w:space="0" w:color="000000"/>
              <w:right w:val="single" w:sz="4" w:space="0" w:color="000000"/>
            </w:tcBorders>
            <w:hideMark/>
          </w:tcPr>
          <w:p w14:paraId="25B00C24" w14:textId="77777777" w:rsidR="00A41E60" w:rsidRPr="00D85E09" w:rsidRDefault="00A41E60" w:rsidP="0043316B">
            <w:pPr>
              <w:pStyle w:val="Tabletext"/>
              <w:keepNext w:val="0"/>
              <w:widowControl w:val="0"/>
              <w:jc w:val="center"/>
            </w:pPr>
            <w:r w:rsidRPr="00D85E09">
              <w:t>0.4%</w:t>
            </w:r>
          </w:p>
        </w:tc>
        <w:tc>
          <w:tcPr>
            <w:tcW w:w="1032" w:type="dxa"/>
            <w:tcBorders>
              <w:top w:val="single" w:sz="4" w:space="0" w:color="000000"/>
              <w:left w:val="single" w:sz="4" w:space="0" w:color="000000"/>
              <w:bottom w:val="single" w:sz="4" w:space="0" w:color="000000"/>
              <w:right w:val="single" w:sz="4" w:space="0" w:color="000000"/>
            </w:tcBorders>
            <w:hideMark/>
          </w:tcPr>
          <w:p w14:paraId="6DCE925F" w14:textId="77777777" w:rsidR="00A41E60" w:rsidRPr="00D85E09" w:rsidRDefault="00A41E60" w:rsidP="0043316B">
            <w:pPr>
              <w:pStyle w:val="Tabletext"/>
              <w:keepNext w:val="0"/>
              <w:widowControl w:val="0"/>
              <w:jc w:val="center"/>
            </w:pPr>
            <w:r w:rsidRPr="00D85E09">
              <w:t>0.4%</w:t>
            </w:r>
          </w:p>
        </w:tc>
        <w:tc>
          <w:tcPr>
            <w:tcW w:w="1032" w:type="dxa"/>
            <w:tcBorders>
              <w:top w:val="single" w:sz="4" w:space="0" w:color="000000"/>
              <w:left w:val="single" w:sz="4" w:space="0" w:color="000000"/>
              <w:bottom w:val="single" w:sz="4" w:space="0" w:color="000000"/>
              <w:right w:val="single" w:sz="4" w:space="0" w:color="000000"/>
            </w:tcBorders>
            <w:hideMark/>
          </w:tcPr>
          <w:p w14:paraId="28D249CA" w14:textId="77777777" w:rsidR="00A41E60" w:rsidRPr="00D85E09" w:rsidRDefault="00A41E60" w:rsidP="0043316B">
            <w:pPr>
              <w:pStyle w:val="Tabletext"/>
              <w:keepNext w:val="0"/>
              <w:widowControl w:val="0"/>
              <w:jc w:val="center"/>
            </w:pPr>
            <w:r w:rsidRPr="00D85E09">
              <w:t>0.5%</w:t>
            </w:r>
          </w:p>
        </w:tc>
        <w:tc>
          <w:tcPr>
            <w:tcW w:w="1032" w:type="dxa"/>
            <w:tcBorders>
              <w:top w:val="single" w:sz="4" w:space="0" w:color="000000"/>
              <w:left w:val="single" w:sz="4" w:space="0" w:color="000000"/>
              <w:bottom w:val="single" w:sz="4" w:space="0" w:color="000000"/>
              <w:right w:val="single" w:sz="4" w:space="0" w:color="000000"/>
            </w:tcBorders>
            <w:hideMark/>
          </w:tcPr>
          <w:p w14:paraId="266586DA" w14:textId="77777777" w:rsidR="00A41E60" w:rsidRPr="00D85E09" w:rsidRDefault="00A41E60" w:rsidP="0043316B">
            <w:pPr>
              <w:pStyle w:val="Tabletext"/>
              <w:keepNext w:val="0"/>
              <w:widowControl w:val="0"/>
              <w:jc w:val="center"/>
            </w:pPr>
            <w:r w:rsidRPr="00D85E09">
              <w:t>0.7%</w:t>
            </w:r>
          </w:p>
        </w:tc>
        <w:tc>
          <w:tcPr>
            <w:tcW w:w="1032" w:type="dxa"/>
            <w:tcBorders>
              <w:top w:val="single" w:sz="4" w:space="0" w:color="000000"/>
              <w:left w:val="single" w:sz="4" w:space="0" w:color="000000"/>
              <w:bottom w:val="single" w:sz="4" w:space="0" w:color="000000"/>
              <w:right w:val="single" w:sz="4" w:space="0" w:color="000000"/>
            </w:tcBorders>
            <w:hideMark/>
          </w:tcPr>
          <w:p w14:paraId="1FF32314" w14:textId="77777777" w:rsidR="00A41E60" w:rsidRPr="00D85E09" w:rsidRDefault="00A41E60" w:rsidP="0043316B">
            <w:pPr>
              <w:pStyle w:val="Tabletext"/>
              <w:keepNext w:val="0"/>
              <w:widowControl w:val="0"/>
              <w:jc w:val="center"/>
            </w:pPr>
            <w:r w:rsidRPr="00D85E09">
              <w:t>1.9%</w:t>
            </w:r>
          </w:p>
        </w:tc>
      </w:tr>
      <w:tr w:rsidR="00A41E60" w:rsidRPr="00D85E09" w14:paraId="10321300"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6293A"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14:paraId="33B88796" w14:textId="77777777" w:rsidR="00A41E60" w:rsidRPr="00D85E09" w:rsidRDefault="00A41E60" w:rsidP="0043316B">
            <w:pPr>
              <w:pStyle w:val="Tabletext"/>
              <w:keepNext w:val="0"/>
              <w:widowControl w:val="0"/>
            </w:pPr>
            <w:r w:rsidRPr="00D85E09">
              <w:t>mRS 2</w:t>
            </w:r>
          </w:p>
        </w:tc>
        <w:tc>
          <w:tcPr>
            <w:tcW w:w="1031" w:type="dxa"/>
            <w:tcBorders>
              <w:top w:val="single" w:sz="4" w:space="0" w:color="000000"/>
              <w:left w:val="single" w:sz="4" w:space="0" w:color="000000"/>
              <w:bottom w:val="single" w:sz="4" w:space="0" w:color="000000"/>
              <w:right w:val="single" w:sz="4" w:space="0" w:color="000000"/>
            </w:tcBorders>
            <w:hideMark/>
          </w:tcPr>
          <w:p w14:paraId="49366686" w14:textId="2025A66C"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47080523" w14:textId="359EE35B"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19B9DD1E" w14:textId="77777777" w:rsidR="00A41E60" w:rsidRPr="00D85E09" w:rsidRDefault="00A41E60" w:rsidP="0043316B">
            <w:pPr>
              <w:pStyle w:val="Tabletext"/>
              <w:keepNext w:val="0"/>
              <w:widowControl w:val="0"/>
              <w:jc w:val="center"/>
            </w:pPr>
            <w:r w:rsidRPr="00D85E09">
              <w:t>96.5%</w:t>
            </w:r>
          </w:p>
        </w:tc>
        <w:tc>
          <w:tcPr>
            <w:tcW w:w="1032" w:type="dxa"/>
            <w:tcBorders>
              <w:top w:val="single" w:sz="4" w:space="0" w:color="000000"/>
              <w:left w:val="single" w:sz="4" w:space="0" w:color="000000"/>
              <w:bottom w:val="single" w:sz="4" w:space="0" w:color="000000"/>
              <w:right w:val="single" w:sz="4" w:space="0" w:color="000000"/>
            </w:tcBorders>
            <w:hideMark/>
          </w:tcPr>
          <w:p w14:paraId="0A6493BB" w14:textId="77777777" w:rsidR="00A41E60" w:rsidRPr="00D85E09" w:rsidRDefault="00A41E60" w:rsidP="0043316B">
            <w:pPr>
              <w:pStyle w:val="Tabletext"/>
              <w:keepNext w:val="0"/>
              <w:widowControl w:val="0"/>
              <w:jc w:val="center"/>
            </w:pPr>
            <w:r w:rsidRPr="00D85E09">
              <w:t>0.4%</w:t>
            </w:r>
          </w:p>
        </w:tc>
        <w:tc>
          <w:tcPr>
            <w:tcW w:w="1032" w:type="dxa"/>
            <w:tcBorders>
              <w:top w:val="single" w:sz="4" w:space="0" w:color="000000"/>
              <w:left w:val="single" w:sz="4" w:space="0" w:color="000000"/>
              <w:bottom w:val="single" w:sz="4" w:space="0" w:color="000000"/>
              <w:right w:val="single" w:sz="4" w:space="0" w:color="000000"/>
            </w:tcBorders>
            <w:hideMark/>
          </w:tcPr>
          <w:p w14:paraId="4F841984" w14:textId="77777777" w:rsidR="00A41E60" w:rsidRPr="00D85E09" w:rsidRDefault="00A41E60" w:rsidP="0043316B">
            <w:pPr>
              <w:pStyle w:val="Tabletext"/>
              <w:keepNext w:val="0"/>
              <w:widowControl w:val="0"/>
              <w:jc w:val="center"/>
            </w:pPr>
            <w:r w:rsidRPr="00D85E09">
              <w:t>0.5%</w:t>
            </w:r>
          </w:p>
        </w:tc>
        <w:tc>
          <w:tcPr>
            <w:tcW w:w="1032" w:type="dxa"/>
            <w:tcBorders>
              <w:top w:val="single" w:sz="4" w:space="0" w:color="000000"/>
              <w:left w:val="single" w:sz="4" w:space="0" w:color="000000"/>
              <w:bottom w:val="single" w:sz="4" w:space="0" w:color="000000"/>
              <w:right w:val="single" w:sz="4" w:space="0" w:color="000000"/>
            </w:tcBorders>
            <w:hideMark/>
          </w:tcPr>
          <w:p w14:paraId="19D3B9B8" w14:textId="77777777" w:rsidR="00A41E60" w:rsidRPr="00D85E09" w:rsidRDefault="00A41E60" w:rsidP="0043316B">
            <w:pPr>
              <w:pStyle w:val="Tabletext"/>
              <w:keepNext w:val="0"/>
              <w:widowControl w:val="0"/>
              <w:jc w:val="center"/>
            </w:pPr>
            <w:r w:rsidRPr="00D85E09">
              <w:t>0.7%</w:t>
            </w:r>
          </w:p>
        </w:tc>
        <w:tc>
          <w:tcPr>
            <w:tcW w:w="1032" w:type="dxa"/>
            <w:tcBorders>
              <w:top w:val="single" w:sz="4" w:space="0" w:color="000000"/>
              <w:left w:val="single" w:sz="4" w:space="0" w:color="000000"/>
              <w:bottom w:val="single" w:sz="4" w:space="0" w:color="000000"/>
              <w:right w:val="single" w:sz="4" w:space="0" w:color="000000"/>
            </w:tcBorders>
            <w:hideMark/>
          </w:tcPr>
          <w:p w14:paraId="6A88765F" w14:textId="77777777" w:rsidR="00A41E60" w:rsidRPr="00D85E09" w:rsidRDefault="00A41E60" w:rsidP="0043316B">
            <w:pPr>
              <w:pStyle w:val="Tabletext"/>
              <w:keepNext w:val="0"/>
              <w:widowControl w:val="0"/>
              <w:jc w:val="center"/>
            </w:pPr>
            <w:r w:rsidRPr="00D85E09">
              <w:t>1.9%</w:t>
            </w:r>
          </w:p>
        </w:tc>
      </w:tr>
      <w:tr w:rsidR="00A41E60" w:rsidRPr="00D85E09" w14:paraId="4D1B7B8B"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0F9D7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14:paraId="2E1906D2" w14:textId="77777777" w:rsidR="00A41E60" w:rsidRPr="00D85E09" w:rsidRDefault="00A41E60" w:rsidP="0043316B">
            <w:pPr>
              <w:pStyle w:val="Tabletext"/>
              <w:keepNext w:val="0"/>
              <w:widowControl w:val="0"/>
            </w:pPr>
            <w:r w:rsidRPr="00D85E09">
              <w:t>mRS 3</w:t>
            </w:r>
          </w:p>
        </w:tc>
        <w:tc>
          <w:tcPr>
            <w:tcW w:w="1031" w:type="dxa"/>
            <w:tcBorders>
              <w:top w:val="single" w:sz="4" w:space="0" w:color="000000"/>
              <w:left w:val="single" w:sz="4" w:space="0" w:color="000000"/>
              <w:bottom w:val="single" w:sz="4" w:space="0" w:color="000000"/>
              <w:right w:val="single" w:sz="4" w:space="0" w:color="000000"/>
            </w:tcBorders>
            <w:hideMark/>
          </w:tcPr>
          <w:p w14:paraId="11277471" w14:textId="55721B1B"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31AAD7D6" w14:textId="6C7E590F"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0226FCD8" w14:textId="2BAB5A01"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2CBEA49D" w14:textId="77777777" w:rsidR="00A41E60" w:rsidRPr="00D85E09" w:rsidRDefault="00A41E60" w:rsidP="0043316B">
            <w:pPr>
              <w:pStyle w:val="Tabletext"/>
              <w:keepNext w:val="0"/>
              <w:widowControl w:val="0"/>
              <w:jc w:val="center"/>
            </w:pPr>
            <w:r w:rsidRPr="00D85E09">
              <w:t>96.9%</w:t>
            </w:r>
          </w:p>
        </w:tc>
        <w:tc>
          <w:tcPr>
            <w:tcW w:w="1032" w:type="dxa"/>
            <w:tcBorders>
              <w:top w:val="single" w:sz="4" w:space="0" w:color="000000"/>
              <w:left w:val="single" w:sz="4" w:space="0" w:color="000000"/>
              <w:bottom w:val="single" w:sz="4" w:space="0" w:color="000000"/>
              <w:right w:val="single" w:sz="4" w:space="0" w:color="000000"/>
            </w:tcBorders>
            <w:hideMark/>
          </w:tcPr>
          <w:p w14:paraId="28BDF314" w14:textId="77777777" w:rsidR="00A41E60" w:rsidRPr="00D85E09" w:rsidRDefault="00A41E60" w:rsidP="0043316B">
            <w:pPr>
              <w:pStyle w:val="Tabletext"/>
              <w:keepNext w:val="0"/>
              <w:widowControl w:val="0"/>
              <w:jc w:val="center"/>
            </w:pPr>
            <w:r w:rsidRPr="00D85E09">
              <w:t>0.5%</w:t>
            </w:r>
          </w:p>
        </w:tc>
        <w:tc>
          <w:tcPr>
            <w:tcW w:w="1032" w:type="dxa"/>
            <w:tcBorders>
              <w:top w:val="single" w:sz="4" w:space="0" w:color="000000"/>
              <w:left w:val="single" w:sz="4" w:space="0" w:color="000000"/>
              <w:bottom w:val="single" w:sz="4" w:space="0" w:color="000000"/>
              <w:right w:val="single" w:sz="4" w:space="0" w:color="000000"/>
            </w:tcBorders>
            <w:hideMark/>
          </w:tcPr>
          <w:p w14:paraId="1A232128" w14:textId="77777777" w:rsidR="00A41E60" w:rsidRPr="00D85E09" w:rsidRDefault="00A41E60" w:rsidP="0043316B">
            <w:pPr>
              <w:pStyle w:val="Tabletext"/>
              <w:keepNext w:val="0"/>
              <w:widowControl w:val="0"/>
              <w:jc w:val="center"/>
            </w:pPr>
            <w:r w:rsidRPr="00D85E09">
              <w:t>0.7%</w:t>
            </w:r>
          </w:p>
        </w:tc>
        <w:tc>
          <w:tcPr>
            <w:tcW w:w="1032" w:type="dxa"/>
            <w:tcBorders>
              <w:top w:val="single" w:sz="4" w:space="0" w:color="000000"/>
              <w:left w:val="single" w:sz="4" w:space="0" w:color="000000"/>
              <w:bottom w:val="single" w:sz="4" w:space="0" w:color="000000"/>
              <w:right w:val="single" w:sz="4" w:space="0" w:color="000000"/>
            </w:tcBorders>
            <w:hideMark/>
          </w:tcPr>
          <w:p w14:paraId="50BBBBAB" w14:textId="77777777" w:rsidR="00A41E60" w:rsidRPr="00D85E09" w:rsidRDefault="00A41E60" w:rsidP="0043316B">
            <w:pPr>
              <w:pStyle w:val="Tabletext"/>
              <w:keepNext w:val="0"/>
              <w:widowControl w:val="0"/>
              <w:jc w:val="center"/>
            </w:pPr>
            <w:r w:rsidRPr="00D85E09">
              <w:t>1.9%</w:t>
            </w:r>
          </w:p>
        </w:tc>
      </w:tr>
      <w:tr w:rsidR="00A41E60" w:rsidRPr="00D85E09" w14:paraId="6FB7563D"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F56F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14:paraId="0E9828E9" w14:textId="77777777" w:rsidR="00A41E60" w:rsidRPr="00D85E09" w:rsidRDefault="00A41E60" w:rsidP="0043316B">
            <w:pPr>
              <w:pStyle w:val="Tabletext"/>
              <w:keepNext w:val="0"/>
              <w:widowControl w:val="0"/>
            </w:pPr>
            <w:r w:rsidRPr="00D85E09">
              <w:t>mRS 4</w:t>
            </w:r>
          </w:p>
        </w:tc>
        <w:tc>
          <w:tcPr>
            <w:tcW w:w="1031" w:type="dxa"/>
            <w:tcBorders>
              <w:top w:val="single" w:sz="4" w:space="0" w:color="000000"/>
              <w:left w:val="single" w:sz="4" w:space="0" w:color="000000"/>
              <w:bottom w:val="single" w:sz="4" w:space="0" w:color="000000"/>
              <w:right w:val="single" w:sz="4" w:space="0" w:color="000000"/>
            </w:tcBorders>
            <w:hideMark/>
          </w:tcPr>
          <w:p w14:paraId="7E662AB0" w14:textId="6D9F7878"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30809D0C" w14:textId="6286E424"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5115999E" w14:textId="7E11B870"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44B32E72" w14:textId="72118FB4"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2909A268" w14:textId="77777777" w:rsidR="00A41E60" w:rsidRPr="00D85E09" w:rsidRDefault="00A41E60" w:rsidP="0043316B">
            <w:pPr>
              <w:pStyle w:val="Tabletext"/>
              <w:keepNext w:val="0"/>
              <w:widowControl w:val="0"/>
              <w:jc w:val="center"/>
            </w:pPr>
            <w:r w:rsidRPr="00D85E09">
              <w:t>97.4%</w:t>
            </w:r>
          </w:p>
        </w:tc>
        <w:tc>
          <w:tcPr>
            <w:tcW w:w="1032" w:type="dxa"/>
            <w:tcBorders>
              <w:top w:val="single" w:sz="4" w:space="0" w:color="000000"/>
              <w:left w:val="single" w:sz="4" w:space="0" w:color="000000"/>
              <w:bottom w:val="single" w:sz="4" w:space="0" w:color="000000"/>
              <w:right w:val="single" w:sz="4" w:space="0" w:color="000000"/>
            </w:tcBorders>
            <w:hideMark/>
          </w:tcPr>
          <w:p w14:paraId="71A84532" w14:textId="77777777" w:rsidR="00A41E60" w:rsidRPr="00D85E09" w:rsidRDefault="00A41E60" w:rsidP="0043316B">
            <w:pPr>
              <w:pStyle w:val="Tabletext"/>
              <w:keepNext w:val="0"/>
              <w:widowControl w:val="0"/>
              <w:jc w:val="center"/>
            </w:pPr>
            <w:r w:rsidRPr="00D85E09">
              <w:t>0.7%</w:t>
            </w:r>
          </w:p>
        </w:tc>
        <w:tc>
          <w:tcPr>
            <w:tcW w:w="1032" w:type="dxa"/>
            <w:tcBorders>
              <w:top w:val="single" w:sz="4" w:space="0" w:color="000000"/>
              <w:left w:val="single" w:sz="4" w:space="0" w:color="000000"/>
              <w:bottom w:val="single" w:sz="4" w:space="0" w:color="000000"/>
              <w:right w:val="single" w:sz="4" w:space="0" w:color="000000"/>
            </w:tcBorders>
            <w:hideMark/>
          </w:tcPr>
          <w:p w14:paraId="5F739210" w14:textId="77777777" w:rsidR="00A41E60" w:rsidRPr="00D85E09" w:rsidRDefault="00A41E60" w:rsidP="0043316B">
            <w:pPr>
              <w:pStyle w:val="Tabletext"/>
              <w:keepNext w:val="0"/>
              <w:widowControl w:val="0"/>
              <w:jc w:val="center"/>
            </w:pPr>
            <w:r w:rsidRPr="00D85E09">
              <w:t>1.9%</w:t>
            </w:r>
          </w:p>
        </w:tc>
      </w:tr>
      <w:tr w:rsidR="00A41E60" w:rsidRPr="00D85E09" w14:paraId="33BC48E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74479C"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14:paraId="72EC29C6" w14:textId="77777777" w:rsidR="00A41E60" w:rsidRPr="00D85E09" w:rsidRDefault="00A41E60" w:rsidP="0043316B">
            <w:pPr>
              <w:pStyle w:val="Tabletext"/>
              <w:keepNext w:val="0"/>
              <w:widowControl w:val="0"/>
            </w:pPr>
            <w:r w:rsidRPr="00D85E09">
              <w:t>mRS 5</w:t>
            </w:r>
          </w:p>
        </w:tc>
        <w:tc>
          <w:tcPr>
            <w:tcW w:w="1031" w:type="dxa"/>
            <w:tcBorders>
              <w:top w:val="single" w:sz="4" w:space="0" w:color="000000"/>
              <w:left w:val="single" w:sz="4" w:space="0" w:color="000000"/>
              <w:bottom w:val="single" w:sz="4" w:space="0" w:color="000000"/>
              <w:right w:val="single" w:sz="4" w:space="0" w:color="000000"/>
            </w:tcBorders>
            <w:hideMark/>
          </w:tcPr>
          <w:p w14:paraId="690B85AA" w14:textId="2CB9AA9E"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7A13CAF5" w14:textId="0915969A"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645E110A" w14:textId="407B468E"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07C0862D" w14:textId="20F23BD2"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7FE82225" w14:textId="666D9164"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0772CF52" w14:textId="77777777" w:rsidR="00A41E60" w:rsidRPr="00D85E09" w:rsidRDefault="00A41E60" w:rsidP="0043316B">
            <w:pPr>
              <w:pStyle w:val="Tabletext"/>
              <w:keepNext w:val="0"/>
              <w:widowControl w:val="0"/>
              <w:jc w:val="center"/>
            </w:pPr>
            <w:r w:rsidRPr="00D85E09">
              <w:t>98.1%</w:t>
            </w:r>
          </w:p>
        </w:tc>
        <w:tc>
          <w:tcPr>
            <w:tcW w:w="1032" w:type="dxa"/>
            <w:tcBorders>
              <w:top w:val="single" w:sz="4" w:space="0" w:color="000000"/>
              <w:left w:val="single" w:sz="4" w:space="0" w:color="000000"/>
              <w:bottom w:val="single" w:sz="4" w:space="0" w:color="000000"/>
              <w:right w:val="single" w:sz="4" w:space="0" w:color="000000"/>
            </w:tcBorders>
            <w:hideMark/>
          </w:tcPr>
          <w:p w14:paraId="5A88233A" w14:textId="77777777" w:rsidR="00A41E60" w:rsidRPr="00D85E09" w:rsidRDefault="00A41E60" w:rsidP="0043316B">
            <w:pPr>
              <w:pStyle w:val="Tabletext"/>
              <w:keepNext w:val="0"/>
              <w:widowControl w:val="0"/>
              <w:jc w:val="center"/>
            </w:pPr>
            <w:r w:rsidRPr="00D85E09">
              <w:t>1.9%</w:t>
            </w:r>
          </w:p>
        </w:tc>
      </w:tr>
      <w:tr w:rsidR="00A41E60" w:rsidRPr="00D85E09" w14:paraId="3669D3FA"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44AD4A"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14:paraId="3AB8C9A6" w14:textId="77777777" w:rsidR="00A41E60" w:rsidRPr="00D85E09" w:rsidRDefault="00A41E60" w:rsidP="0043316B">
            <w:pPr>
              <w:pStyle w:val="Tabletext"/>
              <w:keepNext w:val="0"/>
              <w:widowControl w:val="0"/>
            </w:pPr>
            <w:r w:rsidRPr="00D85E09">
              <w:t>mRS 6</w:t>
            </w:r>
          </w:p>
        </w:tc>
        <w:tc>
          <w:tcPr>
            <w:tcW w:w="1031" w:type="dxa"/>
            <w:tcBorders>
              <w:top w:val="single" w:sz="4" w:space="0" w:color="000000"/>
              <w:left w:val="single" w:sz="4" w:space="0" w:color="000000"/>
              <w:bottom w:val="single" w:sz="4" w:space="0" w:color="000000"/>
              <w:right w:val="single" w:sz="4" w:space="0" w:color="000000"/>
            </w:tcBorders>
            <w:hideMark/>
          </w:tcPr>
          <w:p w14:paraId="5E1CB002" w14:textId="15DACAF3"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0D991A3E" w14:textId="7388ACDD"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45906403" w14:textId="6BE85E86"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4F59965D" w14:textId="5DF70EE7"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3AEA4E5E" w14:textId="7A181234"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49CD4B28" w14:textId="5F488761" w:rsidR="00A41E60" w:rsidRPr="00D85E09" w:rsidRDefault="00A41E60" w:rsidP="0043316B">
            <w:pPr>
              <w:pStyle w:val="Tabletext"/>
              <w:keepNext w:val="0"/>
              <w:widowControl w:val="0"/>
              <w:jc w:val="center"/>
            </w:pPr>
            <w:r w:rsidRPr="00D85E09">
              <w:t xml:space="preserve"> - </w:t>
            </w:r>
          </w:p>
        </w:tc>
        <w:tc>
          <w:tcPr>
            <w:tcW w:w="1032" w:type="dxa"/>
            <w:tcBorders>
              <w:top w:val="single" w:sz="4" w:space="0" w:color="000000"/>
              <w:left w:val="single" w:sz="4" w:space="0" w:color="000000"/>
              <w:bottom w:val="single" w:sz="4" w:space="0" w:color="000000"/>
              <w:right w:val="single" w:sz="4" w:space="0" w:color="000000"/>
            </w:tcBorders>
            <w:hideMark/>
          </w:tcPr>
          <w:p w14:paraId="63C923A8" w14:textId="77777777" w:rsidR="00A41E60" w:rsidRPr="00D85E09" w:rsidRDefault="00A41E60" w:rsidP="0043316B">
            <w:pPr>
              <w:pStyle w:val="Tabletext"/>
              <w:keepNext w:val="0"/>
              <w:widowControl w:val="0"/>
              <w:jc w:val="center"/>
            </w:pPr>
            <w:r w:rsidRPr="00D85E09">
              <w:t>100.0%</w:t>
            </w:r>
          </w:p>
        </w:tc>
      </w:tr>
    </w:tbl>
    <w:p w14:paraId="14F5DF89" w14:textId="607D413C" w:rsidR="00A41E60" w:rsidRPr="00D85E09" w:rsidRDefault="00A41E60" w:rsidP="0043316B">
      <w:pPr>
        <w:pStyle w:val="Tablefooter"/>
        <w:widowControl w:val="0"/>
      </w:pPr>
      <w:r w:rsidRPr="00D85E09">
        <w:t xml:space="preserve">Note: See “Clinical inputs” worksheet of “MT MSAC June 2016 Section D.xlsx”. For example, the probability of remaining mRS0 (95.7%) = (1 - 4.91%) + 4.91% x 15.8% (see </w:t>
      </w:r>
      <w:r w:rsidRPr="00D85E09">
        <w:fldChar w:fldCharType="begin"/>
      </w:r>
      <w:r w:rsidRPr="00D85E09">
        <w:instrText xml:space="preserve"> REF _Ref448415573 \h  \* MERGEFORMAT </w:instrText>
      </w:r>
      <w:r w:rsidRPr="00D85E09">
        <w:fldChar w:fldCharType="separate"/>
      </w:r>
      <w:r w:rsidR="00A456ED" w:rsidRPr="00D85E09">
        <w:t xml:space="preserve">Table </w:t>
      </w:r>
      <w:r w:rsidR="00A456ED">
        <w:t>86</w:t>
      </w:r>
      <w:r w:rsidRPr="00D85E09">
        <w:fldChar w:fldCharType="end"/>
      </w:r>
      <w:r w:rsidRPr="00D85E09">
        <w:t>; all recurrent events receive usual care under the base case assumption).</w:t>
      </w:r>
    </w:p>
    <w:p w14:paraId="378D49B6" w14:textId="77777777" w:rsidR="00A41E60" w:rsidRPr="00D85E09" w:rsidRDefault="00A41E60" w:rsidP="0043316B">
      <w:pPr>
        <w:widowControl w:val="0"/>
      </w:pPr>
    </w:p>
    <w:p w14:paraId="425194C6" w14:textId="377A48C1" w:rsidR="00A41E60" w:rsidRPr="00D85E09" w:rsidRDefault="00A41E60" w:rsidP="0043316B">
      <w:pPr>
        <w:widowControl w:val="0"/>
      </w:pPr>
      <w:r w:rsidRPr="00D85E09">
        <w:fldChar w:fldCharType="begin"/>
      </w:r>
      <w:r w:rsidRPr="00D85E09">
        <w:instrText xml:space="preserve"> REF _Ref448834596 \h </w:instrText>
      </w:r>
      <w:r w:rsidRPr="00D85E09">
        <w:fldChar w:fldCharType="separate"/>
      </w:r>
      <w:r w:rsidR="00A456ED" w:rsidRPr="00D85E09">
        <w:t xml:space="preserve">Table </w:t>
      </w:r>
      <w:r w:rsidR="00A456ED">
        <w:rPr>
          <w:noProof/>
        </w:rPr>
        <w:t>88</w:t>
      </w:r>
      <w:r w:rsidRPr="00D85E09">
        <w:fldChar w:fldCharType="end"/>
      </w:r>
      <w:r w:rsidRPr="00D85E09">
        <w:t xml:space="preserve"> below hence summarises the Day 365 mRS distributions for the modelled treatment arms after accounting for the risk of recurrent stroke; derived as a product of matrix multiplication using </w:t>
      </w:r>
      <w:r w:rsidRPr="00D85E09">
        <w:fldChar w:fldCharType="begin"/>
      </w:r>
      <w:r w:rsidRPr="00D85E09">
        <w:instrText xml:space="preserve"> REF _Ref448415573 \h </w:instrText>
      </w:r>
      <w:r w:rsidRPr="00D85E09">
        <w:fldChar w:fldCharType="separate"/>
      </w:r>
      <w:r w:rsidR="00A456ED" w:rsidRPr="00D85E09">
        <w:t xml:space="preserve">Table </w:t>
      </w:r>
      <w:r w:rsidR="00A456ED">
        <w:rPr>
          <w:noProof/>
        </w:rPr>
        <w:t>86</w:t>
      </w:r>
      <w:r w:rsidRPr="00D85E09">
        <w:fldChar w:fldCharType="end"/>
      </w:r>
      <w:r w:rsidRPr="00D85E09">
        <w:t xml:space="preserve"> and </w:t>
      </w:r>
      <w:r w:rsidRPr="00D85E09">
        <w:fldChar w:fldCharType="begin"/>
      </w:r>
      <w:r w:rsidRPr="00D85E09">
        <w:instrText xml:space="preserve"> REF _Ref448834902 \h </w:instrText>
      </w:r>
      <w:r w:rsidRPr="00D85E09">
        <w:fldChar w:fldCharType="separate"/>
      </w:r>
      <w:r w:rsidR="00A456ED" w:rsidRPr="00D85E09">
        <w:t xml:space="preserve">Table </w:t>
      </w:r>
      <w:r w:rsidR="00A456ED">
        <w:rPr>
          <w:noProof/>
        </w:rPr>
        <w:t>87</w:t>
      </w:r>
      <w:r w:rsidRPr="00D85E09">
        <w:fldChar w:fldCharType="end"/>
      </w:r>
      <w:r w:rsidRPr="00D85E09">
        <w:t>. Again, the base case analysis assumes that all recurrent cases will receive usual care.</w:t>
      </w:r>
    </w:p>
    <w:p w14:paraId="4EC5389C" w14:textId="53660E03" w:rsidR="00A41E60" w:rsidRPr="00D85E09" w:rsidRDefault="00A41E60" w:rsidP="0043316B">
      <w:pPr>
        <w:pStyle w:val="Caption"/>
        <w:keepNext w:val="0"/>
        <w:widowControl w:val="0"/>
        <w:rPr>
          <w:lang w:val="en-AU"/>
        </w:rPr>
      </w:pPr>
      <w:bookmarkStart w:id="545" w:name="_Ref448834596"/>
      <w:bookmarkStart w:id="546" w:name="_Toc45306542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88</w:t>
      </w:r>
      <w:r w:rsidRPr="00D85E09">
        <w:rPr>
          <w:lang w:val="en-AU"/>
        </w:rPr>
        <w:fldChar w:fldCharType="end"/>
      </w:r>
      <w:bookmarkEnd w:id="545"/>
      <w:r w:rsidRPr="00D85E09">
        <w:rPr>
          <w:lang w:val="en-AU"/>
        </w:rPr>
        <w:tab/>
        <w:t>mRS at Day 365 after rehabilitation effects and after accounting for the risk of recurrent stroke (usual care given to treat all recurrent strokes)</w:t>
      </w:r>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88 mRS at Day 365 after rehabilitation effects and after accounting for the risk of recurrent stroke (usual care given to treat all recurrent strokes)"/>
      </w:tblPr>
      <w:tblGrid>
        <w:gridCol w:w="3173"/>
        <w:gridCol w:w="873"/>
        <w:gridCol w:w="873"/>
        <w:gridCol w:w="875"/>
        <w:gridCol w:w="875"/>
        <w:gridCol w:w="875"/>
        <w:gridCol w:w="875"/>
        <w:gridCol w:w="869"/>
      </w:tblGrid>
      <w:tr w:rsidR="00A41E60" w:rsidRPr="00D85E09" w14:paraId="1425B947"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7F1999DA" w14:textId="77777777" w:rsidR="00A41E60" w:rsidRPr="00D85E09" w:rsidRDefault="00A41E60" w:rsidP="0043316B">
            <w:pPr>
              <w:pStyle w:val="Tabletext"/>
              <w:keepNext w:val="0"/>
              <w:widowControl w:val="0"/>
            </w:pPr>
            <w:r w:rsidRPr="00D85E09">
              <w:t>mRS</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14303097" w14:textId="77777777" w:rsidR="00A41E60" w:rsidRPr="00D85E09" w:rsidRDefault="00A41E60" w:rsidP="0043316B">
            <w:pPr>
              <w:pStyle w:val="Tabletext"/>
              <w:keepNext w:val="0"/>
              <w:widowControl w:val="0"/>
              <w:jc w:val="center"/>
            </w:pPr>
            <w:r w:rsidRPr="00D85E09">
              <w:t>mRS 0</w:t>
            </w:r>
          </w:p>
        </w:tc>
        <w:tc>
          <w:tcPr>
            <w:tcW w:w="470" w:type="pct"/>
            <w:tcBorders>
              <w:top w:val="single" w:sz="4" w:space="0" w:color="auto"/>
              <w:left w:val="single" w:sz="4" w:space="0" w:color="auto"/>
              <w:bottom w:val="single" w:sz="4" w:space="0" w:color="auto"/>
              <w:right w:val="single" w:sz="4" w:space="0" w:color="auto"/>
            </w:tcBorders>
            <w:noWrap/>
            <w:vAlign w:val="center"/>
            <w:hideMark/>
          </w:tcPr>
          <w:p w14:paraId="17C4D604" w14:textId="77777777" w:rsidR="00A41E60" w:rsidRPr="00D85E09" w:rsidRDefault="00A41E60" w:rsidP="0043316B">
            <w:pPr>
              <w:pStyle w:val="Tabletext"/>
              <w:keepNext w:val="0"/>
              <w:widowControl w:val="0"/>
              <w:jc w:val="center"/>
            </w:pPr>
            <w:r w:rsidRPr="00D85E09">
              <w:t>mRS 1</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75532407" w14:textId="77777777" w:rsidR="00A41E60" w:rsidRPr="00D85E09" w:rsidRDefault="00A41E60" w:rsidP="0043316B">
            <w:pPr>
              <w:pStyle w:val="Tabletext"/>
              <w:keepNext w:val="0"/>
              <w:widowControl w:val="0"/>
              <w:jc w:val="center"/>
            </w:pPr>
            <w:r w:rsidRPr="00D85E09">
              <w:t>mRS 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119A12D0" w14:textId="77777777" w:rsidR="00A41E60" w:rsidRPr="00D85E09" w:rsidRDefault="00A41E60" w:rsidP="0043316B">
            <w:pPr>
              <w:pStyle w:val="Tabletext"/>
              <w:keepNext w:val="0"/>
              <w:widowControl w:val="0"/>
              <w:jc w:val="center"/>
            </w:pPr>
            <w:r w:rsidRPr="00D85E09">
              <w:t>mRS 3</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5ED06930" w14:textId="77777777" w:rsidR="00A41E60" w:rsidRPr="00D85E09" w:rsidRDefault="00A41E60" w:rsidP="0043316B">
            <w:pPr>
              <w:pStyle w:val="Tabletext"/>
              <w:keepNext w:val="0"/>
              <w:widowControl w:val="0"/>
              <w:jc w:val="center"/>
            </w:pPr>
            <w:r w:rsidRPr="00D85E09">
              <w:t>mRS 4</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7C60360B" w14:textId="77777777" w:rsidR="00A41E60" w:rsidRPr="00D85E09" w:rsidRDefault="00A41E60" w:rsidP="0043316B">
            <w:pPr>
              <w:pStyle w:val="Tabletext"/>
              <w:keepNext w:val="0"/>
              <w:widowControl w:val="0"/>
              <w:jc w:val="center"/>
            </w:pPr>
            <w:r w:rsidRPr="00D85E09">
              <w:t>mRS 5</w:t>
            </w:r>
          </w:p>
        </w:tc>
        <w:tc>
          <w:tcPr>
            <w:tcW w:w="468" w:type="pct"/>
            <w:tcBorders>
              <w:top w:val="single" w:sz="4" w:space="0" w:color="auto"/>
              <w:left w:val="single" w:sz="4" w:space="0" w:color="auto"/>
              <w:bottom w:val="single" w:sz="4" w:space="0" w:color="auto"/>
              <w:right w:val="single" w:sz="4" w:space="0" w:color="auto"/>
            </w:tcBorders>
            <w:noWrap/>
            <w:vAlign w:val="center"/>
            <w:hideMark/>
          </w:tcPr>
          <w:p w14:paraId="12063B83" w14:textId="77777777" w:rsidR="00A41E60" w:rsidRPr="00D85E09" w:rsidRDefault="00A41E60" w:rsidP="0043316B">
            <w:pPr>
              <w:pStyle w:val="Tabletext"/>
              <w:keepNext w:val="0"/>
              <w:widowControl w:val="0"/>
              <w:jc w:val="center"/>
            </w:pPr>
            <w:r w:rsidRPr="00D85E09">
              <w:t>Dead</w:t>
            </w:r>
          </w:p>
        </w:tc>
      </w:tr>
      <w:tr w:rsidR="00A41E60" w:rsidRPr="00D85E09" w14:paraId="07D12485" w14:textId="77777777" w:rsidTr="00A41E60">
        <w:trPr>
          <w:trHeight w:val="330"/>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0641A479" w14:textId="77777777" w:rsidR="00A41E60" w:rsidRPr="00D85E09" w:rsidRDefault="00A41E60" w:rsidP="0043316B">
            <w:pPr>
              <w:pStyle w:val="Tabletext"/>
              <w:keepNext w:val="0"/>
              <w:widowControl w:val="0"/>
            </w:pPr>
            <w:r w:rsidRPr="00D85E09">
              <w:t>Mechanical thrombectomy + usual care</w:t>
            </w:r>
          </w:p>
        </w:tc>
        <w:tc>
          <w:tcPr>
            <w:tcW w:w="470" w:type="pct"/>
            <w:tcBorders>
              <w:top w:val="single" w:sz="4" w:space="0" w:color="auto"/>
              <w:left w:val="single" w:sz="4" w:space="0" w:color="auto"/>
              <w:bottom w:val="single" w:sz="4" w:space="0" w:color="auto"/>
              <w:right w:val="single" w:sz="4" w:space="0" w:color="auto"/>
            </w:tcBorders>
            <w:noWrap/>
            <w:hideMark/>
          </w:tcPr>
          <w:p w14:paraId="1F4F7AF8" w14:textId="77777777" w:rsidR="00A41E60" w:rsidRPr="00D85E09" w:rsidRDefault="00A41E60" w:rsidP="0043316B">
            <w:pPr>
              <w:pStyle w:val="Tabletext"/>
              <w:keepNext w:val="0"/>
              <w:widowControl w:val="0"/>
              <w:jc w:val="center"/>
            </w:pPr>
            <w:r w:rsidRPr="00D85E09">
              <w:t>25.0%</w:t>
            </w:r>
          </w:p>
        </w:tc>
        <w:tc>
          <w:tcPr>
            <w:tcW w:w="470" w:type="pct"/>
            <w:tcBorders>
              <w:top w:val="single" w:sz="4" w:space="0" w:color="auto"/>
              <w:left w:val="single" w:sz="4" w:space="0" w:color="auto"/>
              <w:bottom w:val="single" w:sz="4" w:space="0" w:color="auto"/>
              <w:right w:val="single" w:sz="4" w:space="0" w:color="auto"/>
            </w:tcBorders>
            <w:noWrap/>
            <w:hideMark/>
          </w:tcPr>
          <w:p w14:paraId="472D3ABC" w14:textId="77777777" w:rsidR="00A41E60" w:rsidRPr="00D85E09" w:rsidRDefault="00A41E60" w:rsidP="0043316B">
            <w:pPr>
              <w:pStyle w:val="Tabletext"/>
              <w:keepNext w:val="0"/>
              <w:widowControl w:val="0"/>
              <w:jc w:val="center"/>
            </w:pPr>
            <w:r w:rsidRPr="00D85E09">
              <w:t>6.2%</w:t>
            </w:r>
          </w:p>
        </w:tc>
        <w:tc>
          <w:tcPr>
            <w:tcW w:w="471" w:type="pct"/>
            <w:tcBorders>
              <w:top w:val="single" w:sz="4" w:space="0" w:color="auto"/>
              <w:left w:val="single" w:sz="4" w:space="0" w:color="auto"/>
              <w:bottom w:val="single" w:sz="4" w:space="0" w:color="auto"/>
              <w:right w:val="single" w:sz="4" w:space="0" w:color="auto"/>
            </w:tcBorders>
            <w:noWrap/>
            <w:hideMark/>
          </w:tcPr>
          <w:p w14:paraId="2D331271" w14:textId="77777777" w:rsidR="00A41E60" w:rsidRPr="00D85E09" w:rsidRDefault="00A41E60" w:rsidP="0043316B">
            <w:pPr>
              <w:pStyle w:val="Tabletext"/>
              <w:keepNext w:val="0"/>
              <w:widowControl w:val="0"/>
              <w:jc w:val="center"/>
            </w:pPr>
            <w:r w:rsidRPr="00D85E09">
              <w:t>8.5%</w:t>
            </w:r>
          </w:p>
        </w:tc>
        <w:tc>
          <w:tcPr>
            <w:tcW w:w="471" w:type="pct"/>
            <w:tcBorders>
              <w:top w:val="single" w:sz="4" w:space="0" w:color="auto"/>
              <w:left w:val="single" w:sz="4" w:space="0" w:color="auto"/>
              <w:bottom w:val="single" w:sz="4" w:space="0" w:color="auto"/>
              <w:right w:val="single" w:sz="4" w:space="0" w:color="auto"/>
            </w:tcBorders>
            <w:noWrap/>
            <w:hideMark/>
          </w:tcPr>
          <w:p w14:paraId="1B575238" w14:textId="77777777" w:rsidR="00A41E60" w:rsidRPr="00D85E09" w:rsidRDefault="00A41E60" w:rsidP="0043316B">
            <w:pPr>
              <w:pStyle w:val="Tabletext"/>
              <w:keepNext w:val="0"/>
              <w:widowControl w:val="0"/>
              <w:jc w:val="center"/>
            </w:pPr>
            <w:r w:rsidRPr="00D85E09">
              <w:t>8.1%</w:t>
            </w:r>
          </w:p>
        </w:tc>
        <w:tc>
          <w:tcPr>
            <w:tcW w:w="471" w:type="pct"/>
            <w:tcBorders>
              <w:top w:val="single" w:sz="4" w:space="0" w:color="auto"/>
              <w:left w:val="single" w:sz="4" w:space="0" w:color="auto"/>
              <w:bottom w:val="single" w:sz="4" w:space="0" w:color="auto"/>
              <w:right w:val="single" w:sz="4" w:space="0" w:color="auto"/>
            </w:tcBorders>
            <w:noWrap/>
            <w:hideMark/>
          </w:tcPr>
          <w:p w14:paraId="7FF9E7A9" w14:textId="77777777" w:rsidR="00A41E60" w:rsidRPr="00D85E09" w:rsidRDefault="00A41E60" w:rsidP="0043316B">
            <w:pPr>
              <w:pStyle w:val="Tabletext"/>
              <w:keepNext w:val="0"/>
              <w:widowControl w:val="0"/>
              <w:jc w:val="center"/>
            </w:pPr>
            <w:r w:rsidRPr="00D85E09">
              <w:t>9.4%</w:t>
            </w:r>
          </w:p>
        </w:tc>
        <w:tc>
          <w:tcPr>
            <w:tcW w:w="471" w:type="pct"/>
            <w:tcBorders>
              <w:top w:val="single" w:sz="4" w:space="0" w:color="auto"/>
              <w:left w:val="single" w:sz="4" w:space="0" w:color="auto"/>
              <w:bottom w:val="single" w:sz="4" w:space="0" w:color="auto"/>
              <w:right w:val="single" w:sz="4" w:space="0" w:color="auto"/>
            </w:tcBorders>
            <w:noWrap/>
            <w:hideMark/>
          </w:tcPr>
          <w:p w14:paraId="31393CE0" w14:textId="77777777" w:rsidR="00A41E60" w:rsidRPr="00D85E09" w:rsidRDefault="00A41E60" w:rsidP="0043316B">
            <w:pPr>
              <w:pStyle w:val="Tabletext"/>
              <w:keepNext w:val="0"/>
              <w:widowControl w:val="0"/>
              <w:jc w:val="center"/>
            </w:pPr>
            <w:r w:rsidRPr="00D85E09">
              <w:t>10.3%</w:t>
            </w:r>
          </w:p>
        </w:tc>
        <w:tc>
          <w:tcPr>
            <w:tcW w:w="468" w:type="pct"/>
            <w:tcBorders>
              <w:top w:val="single" w:sz="4" w:space="0" w:color="auto"/>
              <w:left w:val="single" w:sz="4" w:space="0" w:color="auto"/>
              <w:bottom w:val="single" w:sz="4" w:space="0" w:color="auto"/>
              <w:right w:val="single" w:sz="4" w:space="0" w:color="auto"/>
            </w:tcBorders>
            <w:noWrap/>
            <w:hideMark/>
          </w:tcPr>
          <w:p w14:paraId="7BE1283A" w14:textId="77777777" w:rsidR="00A41E60" w:rsidRPr="00D85E09" w:rsidRDefault="00A41E60" w:rsidP="0043316B">
            <w:pPr>
              <w:pStyle w:val="Tabletext"/>
              <w:keepNext w:val="0"/>
              <w:widowControl w:val="0"/>
              <w:jc w:val="center"/>
            </w:pPr>
            <w:r w:rsidRPr="00D85E09">
              <w:t>32.4%</w:t>
            </w:r>
          </w:p>
        </w:tc>
      </w:tr>
      <w:tr w:rsidR="00A41E60" w:rsidRPr="00D85E09" w14:paraId="13D9E813"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7D72C812" w14:textId="77777777" w:rsidR="00A41E60" w:rsidRPr="00D85E09" w:rsidRDefault="00A41E60" w:rsidP="0043316B">
            <w:pPr>
              <w:pStyle w:val="Tabletext"/>
              <w:keepNext w:val="0"/>
              <w:widowControl w:val="0"/>
            </w:pPr>
            <w:r w:rsidRPr="00D85E09">
              <w:t>Usual care alone</w:t>
            </w:r>
          </w:p>
        </w:tc>
        <w:tc>
          <w:tcPr>
            <w:tcW w:w="470" w:type="pct"/>
            <w:tcBorders>
              <w:top w:val="single" w:sz="4" w:space="0" w:color="auto"/>
              <w:left w:val="single" w:sz="4" w:space="0" w:color="auto"/>
              <w:bottom w:val="single" w:sz="4" w:space="0" w:color="auto"/>
              <w:right w:val="single" w:sz="4" w:space="0" w:color="auto"/>
            </w:tcBorders>
            <w:noWrap/>
            <w:hideMark/>
          </w:tcPr>
          <w:p w14:paraId="37725EDD" w14:textId="77777777" w:rsidR="00A41E60" w:rsidRPr="00D85E09" w:rsidRDefault="00A41E60" w:rsidP="0043316B">
            <w:pPr>
              <w:pStyle w:val="Tabletext"/>
              <w:keepNext w:val="0"/>
              <w:widowControl w:val="0"/>
              <w:jc w:val="center"/>
            </w:pPr>
            <w:r w:rsidRPr="00D85E09">
              <w:t>15.1%</w:t>
            </w:r>
          </w:p>
        </w:tc>
        <w:tc>
          <w:tcPr>
            <w:tcW w:w="470" w:type="pct"/>
            <w:tcBorders>
              <w:top w:val="single" w:sz="4" w:space="0" w:color="auto"/>
              <w:left w:val="single" w:sz="4" w:space="0" w:color="auto"/>
              <w:bottom w:val="single" w:sz="4" w:space="0" w:color="auto"/>
              <w:right w:val="single" w:sz="4" w:space="0" w:color="auto"/>
            </w:tcBorders>
            <w:noWrap/>
            <w:hideMark/>
          </w:tcPr>
          <w:p w14:paraId="39AE15BC" w14:textId="77777777" w:rsidR="00A41E60" w:rsidRPr="00D85E09" w:rsidRDefault="00A41E60" w:rsidP="0043316B">
            <w:pPr>
              <w:pStyle w:val="Tabletext"/>
              <w:keepNext w:val="0"/>
              <w:widowControl w:val="0"/>
              <w:jc w:val="center"/>
            </w:pPr>
            <w:r w:rsidRPr="00D85E09">
              <w:t>4.5%</w:t>
            </w:r>
          </w:p>
        </w:tc>
        <w:tc>
          <w:tcPr>
            <w:tcW w:w="471" w:type="pct"/>
            <w:tcBorders>
              <w:top w:val="single" w:sz="4" w:space="0" w:color="auto"/>
              <w:left w:val="single" w:sz="4" w:space="0" w:color="auto"/>
              <w:bottom w:val="single" w:sz="4" w:space="0" w:color="auto"/>
              <w:right w:val="single" w:sz="4" w:space="0" w:color="auto"/>
            </w:tcBorders>
            <w:noWrap/>
            <w:hideMark/>
          </w:tcPr>
          <w:p w14:paraId="668491C8" w14:textId="77777777" w:rsidR="00A41E60" w:rsidRPr="00D85E09" w:rsidRDefault="00A41E60" w:rsidP="0043316B">
            <w:pPr>
              <w:pStyle w:val="Tabletext"/>
              <w:keepNext w:val="0"/>
              <w:widowControl w:val="0"/>
              <w:jc w:val="center"/>
            </w:pPr>
            <w:r w:rsidRPr="00D85E09">
              <w:t>7.6%</w:t>
            </w:r>
          </w:p>
        </w:tc>
        <w:tc>
          <w:tcPr>
            <w:tcW w:w="471" w:type="pct"/>
            <w:tcBorders>
              <w:top w:val="single" w:sz="4" w:space="0" w:color="auto"/>
              <w:left w:val="single" w:sz="4" w:space="0" w:color="auto"/>
              <w:bottom w:val="single" w:sz="4" w:space="0" w:color="auto"/>
              <w:right w:val="single" w:sz="4" w:space="0" w:color="auto"/>
            </w:tcBorders>
            <w:noWrap/>
            <w:hideMark/>
          </w:tcPr>
          <w:p w14:paraId="06D98040" w14:textId="77777777" w:rsidR="00A41E60" w:rsidRPr="00D85E09" w:rsidRDefault="00A41E60" w:rsidP="0043316B">
            <w:pPr>
              <w:pStyle w:val="Tabletext"/>
              <w:keepNext w:val="0"/>
              <w:widowControl w:val="0"/>
              <w:jc w:val="center"/>
            </w:pPr>
            <w:r w:rsidRPr="00D85E09">
              <w:t>7.6%</w:t>
            </w:r>
          </w:p>
        </w:tc>
        <w:tc>
          <w:tcPr>
            <w:tcW w:w="471" w:type="pct"/>
            <w:tcBorders>
              <w:top w:val="single" w:sz="4" w:space="0" w:color="auto"/>
              <w:left w:val="single" w:sz="4" w:space="0" w:color="auto"/>
              <w:bottom w:val="single" w:sz="4" w:space="0" w:color="auto"/>
              <w:right w:val="single" w:sz="4" w:space="0" w:color="auto"/>
            </w:tcBorders>
            <w:noWrap/>
            <w:hideMark/>
          </w:tcPr>
          <w:p w14:paraId="6119BB83" w14:textId="77777777" w:rsidR="00A41E60" w:rsidRPr="00D85E09" w:rsidRDefault="00A41E60" w:rsidP="0043316B">
            <w:pPr>
              <w:pStyle w:val="Tabletext"/>
              <w:keepNext w:val="0"/>
              <w:widowControl w:val="0"/>
              <w:jc w:val="center"/>
            </w:pPr>
            <w:r w:rsidRPr="00D85E09">
              <w:t>10.5%</w:t>
            </w:r>
          </w:p>
        </w:tc>
        <w:tc>
          <w:tcPr>
            <w:tcW w:w="471" w:type="pct"/>
            <w:tcBorders>
              <w:top w:val="single" w:sz="4" w:space="0" w:color="auto"/>
              <w:left w:val="single" w:sz="4" w:space="0" w:color="auto"/>
              <w:bottom w:val="single" w:sz="4" w:space="0" w:color="auto"/>
              <w:right w:val="single" w:sz="4" w:space="0" w:color="auto"/>
            </w:tcBorders>
            <w:noWrap/>
            <w:hideMark/>
          </w:tcPr>
          <w:p w14:paraId="333B8D7F" w14:textId="77777777" w:rsidR="00A41E60" w:rsidRPr="00D85E09" w:rsidRDefault="00A41E60" w:rsidP="0043316B">
            <w:pPr>
              <w:pStyle w:val="Tabletext"/>
              <w:keepNext w:val="0"/>
              <w:widowControl w:val="0"/>
              <w:jc w:val="center"/>
            </w:pPr>
            <w:r w:rsidRPr="00D85E09">
              <w:t>15.3%</w:t>
            </w:r>
          </w:p>
        </w:tc>
        <w:tc>
          <w:tcPr>
            <w:tcW w:w="468" w:type="pct"/>
            <w:tcBorders>
              <w:top w:val="single" w:sz="4" w:space="0" w:color="auto"/>
              <w:left w:val="single" w:sz="4" w:space="0" w:color="auto"/>
              <w:bottom w:val="single" w:sz="4" w:space="0" w:color="auto"/>
              <w:right w:val="single" w:sz="4" w:space="0" w:color="auto"/>
            </w:tcBorders>
            <w:noWrap/>
            <w:hideMark/>
          </w:tcPr>
          <w:p w14:paraId="0EB0131D" w14:textId="77777777" w:rsidR="00A41E60" w:rsidRPr="00D85E09" w:rsidRDefault="00A41E60" w:rsidP="0043316B">
            <w:pPr>
              <w:pStyle w:val="Tabletext"/>
              <w:keepNext w:val="0"/>
              <w:widowControl w:val="0"/>
              <w:jc w:val="center"/>
            </w:pPr>
            <w:r w:rsidRPr="00D85E09">
              <w:t>39.5%</w:t>
            </w:r>
          </w:p>
        </w:tc>
      </w:tr>
    </w:tbl>
    <w:p w14:paraId="29A8DEA5" w14:textId="09516D3A" w:rsidR="00A41E60" w:rsidRPr="00D85E09" w:rsidRDefault="00A41E60" w:rsidP="0043316B">
      <w:pPr>
        <w:pStyle w:val="Tablefooter"/>
        <w:widowControl w:val="0"/>
      </w:pPr>
      <w:r w:rsidRPr="00D85E09">
        <w:t xml:space="preserve">Note: See “Clinical inputs” worksheet of “MT MSAC June 2016 Section D.xlsx”. For example, the probability of being mRS1 in the mechanical thrombectomy arm (6.2%) = (26.1% x 0.2%) + (6.4% x 96.3%) (see </w:t>
      </w:r>
      <w:r w:rsidRPr="00D85E09">
        <w:fldChar w:fldCharType="begin"/>
      </w:r>
      <w:r w:rsidRPr="00D85E09">
        <w:instrText xml:space="preserve"> REF _Ref448415573 \h  \* MERGEFORMAT </w:instrText>
      </w:r>
      <w:r w:rsidRPr="00D85E09">
        <w:fldChar w:fldCharType="separate"/>
      </w:r>
      <w:r w:rsidR="00A456ED" w:rsidRPr="00D85E09">
        <w:t xml:space="preserve">Table </w:t>
      </w:r>
      <w:r w:rsidR="00A456ED">
        <w:rPr>
          <w:noProof/>
        </w:rPr>
        <w:t>86</w:t>
      </w:r>
      <w:r w:rsidRPr="00D85E09">
        <w:fldChar w:fldCharType="end"/>
      </w:r>
      <w:r w:rsidRPr="00D85E09">
        <w:t xml:space="preserve"> and </w:t>
      </w:r>
      <w:r w:rsidRPr="00D85E09">
        <w:fldChar w:fldCharType="begin"/>
      </w:r>
      <w:r w:rsidRPr="00D85E09">
        <w:instrText xml:space="preserve"> REF _Ref448834902 \h  \* MERGEFORMAT </w:instrText>
      </w:r>
      <w:r w:rsidRPr="00D85E09">
        <w:fldChar w:fldCharType="separate"/>
      </w:r>
      <w:r w:rsidR="00A456ED" w:rsidRPr="00D85E09">
        <w:t xml:space="preserve">Table </w:t>
      </w:r>
      <w:r w:rsidR="00A456ED">
        <w:rPr>
          <w:noProof/>
        </w:rPr>
        <w:t>87</w:t>
      </w:r>
      <w:r w:rsidRPr="00D85E09">
        <w:fldChar w:fldCharType="end"/>
      </w:r>
      <w:r w:rsidRPr="00D85E09">
        <w:t>; all recurrent events receive SoC under the base case assumption).</w:t>
      </w:r>
    </w:p>
    <w:p w14:paraId="4E722D31" w14:textId="77777777" w:rsidR="00A41E60" w:rsidRPr="00D85E09" w:rsidRDefault="00A41E60" w:rsidP="0043316B">
      <w:pPr>
        <w:widowControl w:val="0"/>
      </w:pPr>
    </w:p>
    <w:p w14:paraId="0D3C950F" w14:textId="33815E68" w:rsidR="00A41E60" w:rsidRPr="00D85E09" w:rsidRDefault="00A41E60" w:rsidP="0043316B">
      <w:pPr>
        <w:widowControl w:val="0"/>
        <w:rPr>
          <w:i/>
        </w:rPr>
      </w:pPr>
      <w:r w:rsidRPr="00D85E09">
        <w:lastRenderedPageBreak/>
        <w:t xml:space="preserve">As set out above, sensitivity analysis will explore an alternative scenario where recurrent stroke in the mechanical thrombectomy can receive another mechanical thrombectomy procedure. The calculation of the Day 365 mRS distribution under this assumption is done in the same manner but accounting for the efficacy (i.e., mRS scores) of mechanical thrombectomy. </w:t>
      </w:r>
      <w:r w:rsidRPr="00D85E09">
        <w:rPr>
          <w:i/>
        </w:rPr>
        <w:t>This is a simplification because in reality these recurrent cases may not meet eligibility criteria.</w:t>
      </w:r>
    </w:p>
    <w:p w14:paraId="682F1546" w14:textId="17CC2F98" w:rsidR="00A41E60" w:rsidRPr="00D85E09" w:rsidRDefault="00A41E60" w:rsidP="0043316B">
      <w:pPr>
        <w:widowControl w:val="0"/>
      </w:pPr>
      <w:r w:rsidRPr="00D85E09">
        <w:t>The modelling of recurrent stroke adds considerable complexity to the presented economic model. As discussed above, the presented Excel worksheet also includes two separate models without the stroke recurrence modelling. Results from these simplified model are presented in Section D.5.3 as sensitivity analysis.</w:t>
      </w:r>
    </w:p>
    <w:p w14:paraId="714FFA70" w14:textId="77777777" w:rsidR="00A41E60" w:rsidRPr="00D85E09" w:rsidRDefault="00A41E60" w:rsidP="0043316B">
      <w:pPr>
        <w:pStyle w:val="Heading5"/>
        <w:widowControl w:val="0"/>
        <w:rPr>
          <w:lang w:val="en-AU"/>
        </w:rPr>
      </w:pPr>
      <w:r w:rsidRPr="00D85E09">
        <w:rPr>
          <w:lang w:val="en-AU"/>
        </w:rPr>
        <w:t>Transition in mRS health states during the long-term phase</w:t>
      </w:r>
    </w:p>
    <w:p w14:paraId="24479CFD" w14:textId="77777777" w:rsidR="00A41E60" w:rsidRPr="00D85E09" w:rsidRDefault="00A41E60" w:rsidP="0043316B">
      <w:pPr>
        <w:widowControl w:val="0"/>
      </w:pPr>
      <w:r w:rsidRPr="00D85E09">
        <w:t>Health state transitions during the long-term Markov phase of the model can only be triggered either by a recurrent stroke or deaths.</w:t>
      </w:r>
    </w:p>
    <w:p w14:paraId="6A5E6AF4" w14:textId="58115F95" w:rsidR="00A41E60" w:rsidRPr="00D85E09" w:rsidRDefault="00A41E60" w:rsidP="0043316B">
      <w:pPr>
        <w:widowControl w:val="0"/>
      </w:pPr>
      <w:r w:rsidRPr="00D85E09">
        <w:t xml:space="preserve">The mRS health state transitions following a recurrent stroke are informed by the transition matrix presented in </w:t>
      </w:r>
      <w:r w:rsidRPr="00D85E09">
        <w:fldChar w:fldCharType="begin"/>
      </w:r>
      <w:r w:rsidRPr="00D85E09">
        <w:instrText xml:space="preserve"> REF _Ref448834596 \h </w:instrText>
      </w:r>
      <w:r w:rsidRPr="00D85E09">
        <w:fldChar w:fldCharType="separate"/>
      </w:r>
      <w:r w:rsidR="00A456ED" w:rsidRPr="00D85E09">
        <w:t xml:space="preserve">Table </w:t>
      </w:r>
      <w:r w:rsidR="00A456ED">
        <w:rPr>
          <w:noProof/>
        </w:rPr>
        <w:t>88</w:t>
      </w:r>
      <w:r w:rsidRPr="00D85E09">
        <w:fldChar w:fldCharType="end"/>
      </w:r>
      <w:r w:rsidRPr="00D85E09">
        <w:t xml:space="preserve">; only applicable to those experiencing a stroke recurrence (otherwise no transitions except for death). Again, </w:t>
      </w:r>
      <w:r w:rsidRPr="00D85E09">
        <w:rPr>
          <w:i/>
        </w:rPr>
        <w:t>usual care is given to treat all recurrent strokes under the base case assumption.</w:t>
      </w:r>
    </w:p>
    <w:p w14:paraId="212091A0" w14:textId="0D929C0C" w:rsidR="00A41E60" w:rsidRPr="00D85E09" w:rsidRDefault="00A41E60" w:rsidP="0043316B">
      <w:pPr>
        <w:widowControl w:val="0"/>
        <w:rPr>
          <w:i/>
        </w:rPr>
      </w:pPr>
      <w:r w:rsidRPr="00D85E09">
        <w:t xml:space="preserve">The risk of death during this phase is informed by the Australian life table. Relevant data inputs are presented in Section </w:t>
      </w:r>
      <w:r w:rsidRPr="00D85E09">
        <w:fldChar w:fldCharType="begin"/>
      </w:r>
      <w:r w:rsidRPr="00D85E09">
        <w:instrText xml:space="preserve"> REF _Ref448835771 \r \h </w:instrText>
      </w:r>
      <w:r w:rsidRPr="00D85E09">
        <w:fldChar w:fldCharType="separate"/>
      </w:r>
      <w:r w:rsidR="00A456ED">
        <w:t>D.4.4</w:t>
      </w:r>
      <w:r w:rsidRPr="00D85E09">
        <w:fldChar w:fldCharType="end"/>
      </w:r>
      <w:r w:rsidRPr="00D85E09">
        <w:t xml:space="preserve"> below. </w:t>
      </w:r>
      <w:r w:rsidRPr="00D85E09">
        <w:rPr>
          <w:i/>
        </w:rPr>
        <w:t>As noted above, Alternative Model 2 will assume a constant mortality rate to be applicable throughout the long-term phase (as informed by Gensicke et al 2013).</w:t>
      </w:r>
    </w:p>
    <w:p w14:paraId="797F5D5F" w14:textId="77777777" w:rsidR="00A41E60" w:rsidRPr="00D85E09" w:rsidRDefault="00A41E60" w:rsidP="0043316B">
      <w:pPr>
        <w:pStyle w:val="Heading3"/>
        <w:keepNext w:val="0"/>
        <w:widowControl w:val="0"/>
        <w:ind w:left="993" w:hanging="993"/>
        <w:rPr>
          <w:lang w:val="en-AU"/>
        </w:rPr>
      </w:pPr>
      <w:bookmarkStart w:id="547" w:name="_Toc453065317"/>
      <w:r w:rsidRPr="00D85E09">
        <w:rPr>
          <w:lang w:val="en-AU"/>
        </w:rPr>
        <w:t>Utility inputs</w:t>
      </w:r>
      <w:bookmarkEnd w:id="547"/>
    </w:p>
    <w:p w14:paraId="262DF2D6" w14:textId="1FB017A9" w:rsidR="00A41E60" w:rsidRPr="00D85E09" w:rsidRDefault="00A41E60" w:rsidP="0043316B">
      <w:pPr>
        <w:widowControl w:val="0"/>
      </w:pPr>
      <w:r w:rsidRPr="00D85E09">
        <w:t xml:space="preserve">Section </w:t>
      </w:r>
      <w:r w:rsidR="00092415" w:rsidRPr="00D85E09">
        <w:fldChar w:fldCharType="begin"/>
      </w:r>
      <w:r w:rsidR="00092415" w:rsidRPr="00D85E09">
        <w:instrText xml:space="preserve"> REF _Ref452473633 \r \h </w:instrText>
      </w:r>
      <w:r w:rsidR="00092415" w:rsidRPr="00D85E09">
        <w:fldChar w:fldCharType="separate"/>
      </w:r>
      <w:r w:rsidR="00A456ED">
        <w:t>C.4</w:t>
      </w:r>
      <w:r w:rsidR="00092415" w:rsidRPr="00D85E09">
        <w:fldChar w:fldCharType="end"/>
      </w:r>
      <w:r w:rsidR="00092415" w:rsidRPr="00D85E09">
        <w:t xml:space="preserve"> </w:t>
      </w:r>
      <w:r w:rsidRPr="00D85E09">
        <w:t xml:space="preserve">has detailed utility estimates applied to inform QALY transformations in the economic model. All base case utility scores are presented in </w:t>
      </w:r>
      <w:r w:rsidRPr="00D85E09">
        <w:fldChar w:fldCharType="begin"/>
      </w:r>
      <w:r w:rsidRPr="00D85E09">
        <w:instrText xml:space="preserve"> REF _Ref450663731 \h </w:instrText>
      </w:r>
      <w:r w:rsidRPr="00D85E09">
        <w:fldChar w:fldCharType="separate"/>
      </w:r>
      <w:r w:rsidR="00A456ED" w:rsidRPr="00D85E09">
        <w:t xml:space="preserve">Table </w:t>
      </w:r>
      <w:r w:rsidR="00A456ED">
        <w:rPr>
          <w:noProof/>
        </w:rPr>
        <w:t>89</w:t>
      </w:r>
      <w:r w:rsidRPr="00D85E09">
        <w:fldChar w:fldCharType="end"/>
      </w:r>
      <w:r w:rsidRPr="00D85E09">
        <w:t>. As described above, utilities are assigned to each mRS health state. Utility values for the health states ranged from 0.63 to 0.02 (Sturm et al 2002).</w:t>
      </w:r>
    </w:p>
    <w:p w14:paraId="4BC9AFD1" w14:textId="42F6BBCB" w:rsidR="00A41E60" w:rsidRPr="00D85E09" w:rsidRDefault="00A41E60" w:rsidP="0043316B">
      <w:pPr>
        <w:widowControl w:val="0"/>
      </w:pPr>
      <w:r w:rsidRPr="00D85E09">
        <w:t xml:space="preserve">Of note, while providing Australian data, the balance of evidence provided in Section </w:t>
      </w:r>
      <w:r w:rsidR="00092415" w:rsidRPr="00D85E09">
        <w:fldChar w:fldCharType="begin"/>
      </w:r>
      <w:r w:rsidR="00092415" w:rsidRPr="00D85E09">
        <w:instrText xml:space="preserve"> REF _Ref452473633 \r \h </w:instrText>
      </w:r>
      <w:r w:rsidR="00092415" w:rsidRPr="00D85E09">
        <w:fldChar w:fldCharType="separate"/>
      </w:r>
      <w:r w:rsidR="00A456ED">
        <w:t>C.4</w:t>
      </w:r>
      <w:r w:rsidR="00092415" w:rsidRPr="00D85E09">
        <w:fldChar w:fldCharType="end"/>
      </w:r>
      <w:r w:rsidR="00092415" w:rsidRPr="00D85E09">
        <w:t xml:space="preserve"> </w:t>
      </w:r>
      <w:r w:rsidRPr="00D85E09">
        <w:t xml:space="preserve">suggested that these base case utility values are relatively conservative, likely biasing against mechanical thrombectomy in the assessment of its relative cost-effectiveness (i.e., underestimation of incremental QALYs vs usual care). For example, a large EQ-5D evaluation study (Rivero-Arias et al 2010) demonstrated that utility values for the health states ranged from 0.935 to -0.054, where a mRS score of 5 resulted in a negative utility, indicating that living with a score of mRS 5 is worse than death. This trend was observed in other studies reviewed in Section </w:t>
      </w:r>
      <w:r w:rsidR="00092415" w:rsidRPr="00D85E09">
        <w:fldChar w:fldCharType="begin"/>
      </w:r>
      <w:r w:rsidR="00092415" w:rsidRPr="00D85E09">
        <w:instrText xml:space="preserve"> REF _Ref452473633 \r \h </w:instrText>
      </w:r>
      <w:r w:rsidR="00092415" w:rsidRPr="00D85E09">
        <w:fldChar w:fldCharType="separate"/>
      </w:r>
      <w:r w:rsidR="00A456ED">
        <w:t>C.4</w:t>
      </w:r>
      <w:r w:rsidR="00092415" w:rsidRPr="00D85E09">
        <w:fldChar w:fldCharType="end"/>
      </w:r>
      <w:r w:rsidR="00092415" w:rsidRPr="00D85E09">
        <w:t xml:space="preserve"> </w:t>
      </w:r>
      <w:r w:rsidRPr="00D85E09">
        <w:t xml:space="preserve">(e.g., Noto et al 2011 and Murphy et al 2001). These </w:t>
      </w:r>
      <w:r w:rsidRPr="00D85E09">
        <w:lastRenderedPageBreak/>
        <w:t>values are considered in sensitivity analysis.</w:t>
      </w:r>
      <w:r w:rsidRPr="00D85E09">
        <w:rPr>
          <w:rStyle w:val="FootnoteReference"/>
        </w:rPr>
        <w:footnoteReference w:id="17"/>
      </w:r>
    </w:p>
    <w:p w14:paraId="136AC7FC" w14:textId="66AF7A86" w:rsidR="00A41E60" w:rsidRPr="00D85E09" w:rsidRDefault="00A41E60" w:rsidP="0043316B">
      <w:pPr>
        <w:pStyle w:val="Caption"/>
        <w:keepNext w:val="0"/>
        <w:widowControl w:val="0"/>
        <w:rPr>
          <w:lang w:val="en-AU"/>
        </w:rPr>
      </w:pPr>
      <w:bookmarkStart w:id="548" w:name="_Ref450663731"/>
      <w:bookmarkStart w:id="549" w:name="_Toc45306542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89</w:t>
      </w:r>
      <w:r w:rsidRPr="00D85E09">
        <w:rPr>
          <w:lang w:val="en-AU"/>
        </w:rPr>
        <w:fldChar w:fldCharType="end"/>
      </w:r>
      <w:bookmarkEnd w:id="548"/>
      <w:r w:rsidRPr="00D85E09">
        <w:rPr>
          <w:lang w:val="en-AU"/>
        </w:rPr>
        <w:tab/>
        <w:t>Utility inputs considered in the base case analysis</w:t>
      </w:r>
      <w:bookmarkEnd w:id="5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89 Utility inputs considered in the base case analysis"/>
      </w:tblPr>
      <w:tblGrid>
        <w:gridCol w:w="3178"/>
        <w:gridCol w:w="3110"/>
        <w:gridCol w:w="3000"/>
      </w:tblGrid>
      <w:tr w:rsidR="00A41E60" w:rsidRPr="00D85E09" w14:paraId="37027A18"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0286C6F9" w14:textId="77777777" w:rsidR="00A41E60" w:rsidRPr="00D85E09" w:rsidRDefault="00A41E60" w:rsidP="0043316B">
            <w:pPr>
              <w:pStyle w:val="Tabletext"/>
              <w:keepNext w:val="0"/>
              <w:widowControl w:val="0"/>
              <w:rPr>
                <w:b/>
              </w:rPr>
            </w:pPr>
            <w:r w:rsidRPr="00D85E09">
              <w:rPr>
                <w:b/>
              </w:rPr>
              <w:t>Rankin score</w:t>
            </w:r>
          </w:p>
        </w:tc>
        <w:tc>
          <w:tcPr>
            <w:tcW w:w="1674" w:type="pct"/>
            <w:tcBorders>
              <w:top w:val="single" w:sz="4" w:space="0" w:color="auto"/>
              <w:left w:val="single" w:sz="4" w:space="0" w:color="auto"/>
              <w:bottom w:val="single" w:sz="4" w:space="0" w:color="auto"/>
              <w:right w:val="single" w:sz="4" w:space="0" w:color="auto"/>
            </w:tcBorders>
            <w:noWrap/>
            <w:vAlign w:val="center"/>
            <w:hideMark/>
          </w:tcPr>
          <w:p w14:paraId="078BE952" w14:textId="77777777" w:rsidR="00A41E60" w:rsidRPr="00D85E09" w:rsidRDefault="00A41E60" w:rsidP="0043316B">
            <w:pPr>
              <w:pStyle w:val="Tabletext"/>
              <w:keepNext w:val="0"/>
              <w:widowControl w:val="0"/>
              <w:rPr>
                <w:b/>
              </w:rPr>
            </w:pPr>
            <w:r w:rsidRPr="00D85E09">
              <w:rPr>
                <w:b/>
              </w:rPr>
              <w:t>Utility</w:t>
            </w:r>
          </w:p>
        </w:tc>
        <w:tc>
          <w:tcPr>
            <w:tcW w:w="1615" w:type="pct"/>
            <w:tcBorders>
              <w:top w:val="single" w:sz="4" w:space="0" w:color="auto"/>
              <w:left w:val="single" w:sz="4" w:space="0" w:color="auto"/>
              <w:bottom w:val="single" w:sz="4" w:space="0" w:color="auto"/>
              <w:right w:val="single" w:sz="4" w:space="0" w:color="auto"/>
            </w:tcBorders>
            <w:hideMark/>
          </w:tcPr>
          <w:p w14:paraId="1D829E60" w14:textId="77777777" w:rsidR="00A41E60" w:rsidRPr="00D85E09" w:rsidRDefault="00A41E60" w:rsidP="0043316B">
            <w:pPr>
              <w:pStyle w:val="Tabletext"/>
              <w:keepNext w:val="0"/>
              <w:widowControl w:val="0"/>
              <w:rPr>
                <w:b/>
              </w:rPr>
            </w:pPr>
            <w:r w:rsidRPr="00D85E09">
              <w:rPr>
                <w:b/>
              </w:rPr>
              <w:t>Reference</w:t>
            </w:r>
          </w:p>
        </w:tc>
      </w:tr>
      <w:tr w:rsidR="00A41E60" w:rsidRPr="00D85E09" w14:paraId="118930F9"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7512C245" w14:textId="77777777" w:rsidR="00A41E60" w:rsidRPr="00D85E09" w:rsidRDefault="00A41E60" w:rsidP="0043316B">
            <w:pPr>
              <w:pStyle w:val="Tabletext"/>
              <w:keepNext w:val="0"/>
              <w:widowControl w:val="0"/>
            </w:pPr>
            <w:r w:rsidRPr="00D85E09">
              <w:t>mRS 0</w:t>
            </w:r>
          </w:p>
        </w:tc>
        <w:tc>
          <w:tcPr>
            <w:tcW w:w="1674" w:type="pct"/>
            <w:tcBorders>
              <w:top w:val="single" w:sz="4" w:space="0" w:color="auto"/>
              <w:left w:val="single" w:sz="4" w:space="0" w:color="auto"/>
              <w:bottom w:val="single" w:sz="4" w:space="0" w:color="auto"/>
              <w:right w:val="single" w:sz="4" w:space="0" w:color="auto"/>
            </w:tcBorders>
            <w:noWrap/>
            <w:hideMark/>
          </w:tcPr>
          <w:p w14:paraId="6BB3C79A" w14:textId="77777777" w:rsidR="00A41E60" w:rsidRPr="00D85E09" w:rsidRDefault="00A41E60" w:rsidP="0043316B">
            <w:pPr>
              <w:pStyle w:val="Tabletext"/>
              <w:keepNext w:val="0"/>
              <w:widowControl w:val="0"/>
            </w:pPr>
            <w:r w:rsidRPr="00D85E09">
              <w:t>0.630</w:t>
            </w:r>
          </w:p>
        </w:tc>
        <w:tc>
          <w:tcPr>
            <w:tcW w:w="1615" w:type="pct"/>
            <w:vMerge w:val="restart"/>
            <w:tcBorders>
              <w:top w:val="single" w:sz="4" w:space="0" w:color="auto"/>
              <w:left w:val="single" w:sz="4" w:space="0" w:color="auto"/>
              <w:bottom w:val="single" w:sz="4" w:space="0" w:color="auto"/>
              <w:right w:val="single" w:sz="4" w:space="0" w:color="auto"/>
            </w:tcBorders>
            <w:vAlign w:val="center"/>
            <w:hideMark/>
          </w:tcPr>
          <w:p w14:paraId="6AFD4692" w14:textId="77777777" w:rsidR="00A41E60" w:rsidRPr="00D85E09" w:rsidRDefault="00A41E60" w:rsidP="0043316B">
            <w:pPr>
              <w:pStyle w:val="Tabletext"/>
              <w:keepNext w:val="0"/>
              <w:widowControl w:val="0"/>
            </w:pPr>
            <w:r w:rsidRPr="00D85E09">
              <w:t>Sturm et al 2002</w:t>
            </w:r>
          </w:p>
        </w:tc>
      </w:tr>
      <w:tr w:rsidR="00A41E60" w:rsidRPr="00D85E09" w14:paraId="14886172"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57288384" w14:textId="77777777" w:rsidR="00A41E60" w:rsidRPr="00D85E09" w:rsidRDefault="00A41E60" w:rsidP="0043316B">
            <w:pPr>
              <w:pStyle w:val="Tabletext"/>
              <w:keepNext w:val="0"/>
              <w:widowControl w:val="0"/>
            </w:pPr>
            <w:r w:rsidRPr="00D85E09">
              <w:t>mRS 1</w:t>
            </w:r>
          </w:p>
        </w:tc>
        <w:tc>
          <w:tcPr>
            <w:tcW w:w="1674" w:type="pct"/>
            <w:tcBorders>
              <w:top w:val="single" w:sz="4" w:space="0" w:color="auto"/>
              <w:left w:val="single" w:sz="4" w:space="0" w:color="auto"/>
              <w:bottom w:val="single" w:sz="4" w:space="0" w:color="auto"/>
              <w:right w:val="single" w:sz="4" w:space="0" w:color="auto"/>
            </w:tcBorders>
            <w:noWrap/>
            <w:hideMark/>
          </w:tcPr>
          <w:p w14:paraId="484A4E99" w14:textId="77777777" w:rsidR="00A41E60" w:rsidRPr="00D85E09" w:rsidRDefault="00A41E60" w:rsidP="0043316B">
            <w:pPr>
              <w:pStyle w:val="Tabletext"/>
              <w:keepNext w:val="0"/>
              <w:widowControl w:val="0"/>
            </w:pPr>
            <w:r w:rsidRPr="00D85E09">
              <w:t>0.630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60FC8"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744F105"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4F0F1A92" w14:textId="77777777" w:rsidR="00A41E60" w:rsidRPr="00D85E09" w:rsidRDefault="00A41E60" w:rsidP="0043316B">
            <w:pPr>
              <w:pStyle w:val="Tabletext"/>
              <w:keepNext w:val="0"/>
              <w:widowControl w:val="0"/>
            </w:pPr>
            <w:r w:rsidRPr="00D85E09">
              <w:t>mRS 2</w:t>
            </w:r>
          </w:p>
        </w:tc>
        <w:tc>
          <w:tcPr>
            <w:tcW w:w="1674" w:type="pct"/>
            <w:tcBorders>
              <w:top w:val="single" w:sz="4" w:space="0" w:color="auto"/>
              <w:left w:val="single" w:sz="4" w:space="0" w:color="auto"/>
              <w:bottom w:val="single" w:sz="4" w:space="0" w:color="auto"/>
              <w:right w:val="single" w:sz="4" w:space="0" w:color="auto"/>
            </w:tcBorders>
            <w:noWrap/>
            <w:hideMark/>
          </w:tcPr>
          <w:p w14:paraId="117B29CF" w14:textId="77777777" w:rsidR="00A41E60" w:rsidRPr="00D85E09" w:rsidRDefault="00A41E60" w:rsidP="0043316B">
            <w:pPr>
              <w:pStyle w:val="Tabletext"/>
              <w:keepNext w:val="0"/>
              <w:widowControl w:val="0"/>
            </w:pPr>
            <w:r w:rsidRPr="00D85E09">
              <w:t>0.400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FAAB7"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BE933A0"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6ADF0BAE" w14:textId="77777777" w:rsidR="00A41E60" w:rsidRPr="00D85E09" w:rsidRDefault="00A41E60" w:rsidP="0043316B">
            <w:pPr>
              <w:pStyle w:val="Tabletext"/>
              <w:keepNext w:val="0"/>
              <w:widowControl w:val="0"/>
            </w:pPr>
            <w:r w:rsidRPr="00D85E09">
              <w:t>mRS 3</w:t>
            </w:r>
          </w:p>
        </w:tc>
        <w:tc>
          <w:tcPr>
            <w:tcW w:w="1674" w:type="pct"/>
            <w:tcBorders>
              <w:top w:val="single" w:sz="4" w:space="0" w:color="auto"/>
              <w:left w:val="single" w:sz="4" w:space="0" w:color="auto"/>
              <w:bottom w:val="single" w:sz="4" w:space="0" w:color="auto"/>
              <w:right w:val="single" w:sz="4" w:space="0" w:color="auto"/>
            </w:tcBorders>
            <w:noWrap/>
            <w:hideMark/>
          </w:tcPr>
          <w:p w14:paraId="09CFFB44" w14:textId="77777777" w:rsidR="00A41E60" w:rsidRPr="00D85E09" w:rsidRDefault="00A41E60" w:rsidP="0043316B">
            <w:pPr>
              <w:pStyle w:val="Tabletext"/>
              <w:keepNext w:val="0"/>
              <w:widowControl w:val="0"/>
            </w:pPr>
            <w:r w:rsidRPr="00D85E09">
              <w:t>0.180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7064B"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9ED8AAF"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1C6E6CCD" w14:textId="77777777" w:rsidR="00A41E60" w:rsidRPr="00D85E09" w:rsidRDefault="00A41E60" w:rsidP="0043316B">
            <w:pPr>
              <w:pStyle w:val="Tabletext"/>
              <w:keepNext w:val="0"/>
              <w:widowControl w:val="0"/>
            </w:pPr>
            <w:r w:rsidRPr="00D85E09">
              <w:t>mRS 4</w:t>
            </w:r>
          </w:p>
        </w:tc>
        <w:tc>
          <w:tcPr>
            <w:tcW w:w="1674" w:type="pct"/>
            <w:tcBorders>
              <w:top w:val="single" w:sz="4" w:space="0" w:color="auto"/>
              <w:left w:val="single" w:sz="4" w:space="0" w:color="auto"/>
              <w:bottom w:val="single" w:sz="4" w:space="0" w:color="auto"/>
              <w:right w:val="single" w:sz="4" w:space="0" w:color="auto"/>
            </w:tcBorders>
            <w:noWrap/>
            <w:hideMark/>
          </w:tcPr>
          <w:p w14:paraId="5350A89F" w14:textId="77777777" w:rsidR="00A41E60" w:rsidRPr="00D85E09" w:rsidRDefault="00A41E60" w:rsidP="0043316B">
            <w:pPr>
              <w:pStyle w:val="Tabletext"/>
              <w:keepNext w:val="0"/>
              <w:widowControl w:val="0"/>
            </w:pPr>
            <w:r w:rsidRPr="00D85E09">
              <w:t>0.060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1C5C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1022A05F"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68EE2D2B" w14:textId="77777777" w:rsidR="00A41E60" w:rsidRPr="00D85E09" w:rsidRDefault="00A41E60" w:rsidP="0043316B">
            <w:pPr>
              <w:pStyle w:val="Tabletext"/>
              <w:keepNext w:val="0"/>
              <w:widowControl w:val="0"/>
            </w:pPr>
            <w:r w:rsidRPr="00D85E09">
              <w:t>mRS 5</w:t>
            </w:r>
          </w:p>
        </w:tc>
        <w:tc>
          <w:tcPr>
            <w:tcW w:w="1674" w:type="pct"/>
            <w:tcBorders>
              <w:top w:val="single" w:sz="4" w:space="0" w:color="auto"/>
              <w:left w:val="single" w:sz="4" w:space="0" w:color="auto"/>
              <w:bottom w:val="single" w:sz="4" w:space="0" w:color="auto"/>
              <w:right w:val="single" w:sz="4" w:space="0" w:color="auto"/>
            </w:tcBorders>
            <w:noWrap/>
            <w:hideMark/>
          </w:tcPr>
          <w:p w14:paraId="1447C369" w14:textId="77777777" w:rsidR="00A41E60" w:rsidRPr="00D85E09" w:rsidRDefault="00A41E60" w:rsidP="0043316B">
            <w:pPr>
              <w:pStyle w:val="Tabletext"/>
              <w:keepNext w:val="0"/>
              <w:widowControl w:val="0"/>
            </w:pPr>
            <w:r w:rsidRPr="00D85E09">
              <w:t>0.020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203F21"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639F78F" w14:textId="77777777" w:rsidTr="00A41E60">
        <w:trPr>
          <w:trHeight w:val="113"/>
        </w:trPr>
        <w:tc>
          <w:tcPr>
            <w:tcW w:w="1711" w:type="pct"/>
            <w:tcBorders>
              <w:top w:val="single" w:sz="4" w:space="0" w:color="auto"/>
              <w:left w:val="single" w:sz="4" w:space="0" w:color="auto"/>
              <w:bottom w:val="single" w:sz="4" w:space="0" w:color="auto"/>
              <w:right w:val="single" w:sz="4" w:space="0" w:color="auto"/>
            </w:tcBorders>
            <w:noWrap/>
            <w:vAlign w:val="center"/>
            <w:hideMark/>
          </w:tcPr>
          <w:p w14:paraId="1B6F05A6" w14:textId="77777777" w:rsidR="00A41E60" w:rsidRPr="00D85E09" w:rsidRDefault="00A41E60" w:rsidP="0043316B">
            <w:pPr>
              <w:pStyle w:val="Tabletext"/>
              <w:keepNext w:val="0"/>
              <w:widowControl w:val="0"/>
            </w:pPr>
            <w:r w:rsidRPr="00D85E09">
              <w:t>mRS 6</w:t>
            </w:r>
          </w:p>
        </w:tc>
        <w:tc>
          <w:tcPr>
            <w:tcW w:w="1674" w:type="pct"/>
            <w:tcBorders>
              <w:top w:val="single" w:sz="4" w:space="0" w:color="auto"/>
              <w:left w:val="single" w:sz="4" w:space="0" w:color="auto"/>
              <w:bottom w:val="single" w:sz="4" w:space="0" w:color="auto"/>
              <w:right w:val="single" w:sz="4" w:space="0" w:color="auto"/>
            </w:tcBorders>
            <w:noWrap/>
            <w:hideMark/>
          </w:tcPr>
          <w:p w14:paraId="0D38806F" w14:textId="77777777" w:rsidR="00A41E60" w:rsidRPr="00D85E09" w:rsidRDefault="00A41E60" w:rsidP="0043316B">
            <w:pPr>
              <w:pStyle w:val="Tabletext"/>
              <w:keepNext w:val="0"/>
              <w:widowControl w:val="0"/>
            </w:pPr>
            <w:r w:rsidRPr="00D85E09">
              <w:t>0.000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3CE9B" w14:textId="77777777" w:rsidR="00A41E60" w:rsidRPr="00D85E09" w:rsidRDefault="00A41E60" w:rsidP="0043316B">
            <w:pPr>
              <w:widowControl w:val="0"/>
              <w:spacing w:after="0" w:line="240" w:lineRule="auto"/>
              <w:rPr>
                <w:rFonts w:ascii="Arial Narrow" w:hAnsi="Arial Narrow" w:cs="Times New Roman"/>
                <w:sz w:val="20"/>
                <w:szCs w:val="20"/>
              </w:rPr>
            </w:pPr>
          </w:p>
        </w:tc>
      </w:tr>
    </w:tbl>
    <w:p w14:paraId="58DB0E53" w14:textId="77777777" w:rsidR="00A41E60" w:rsidRPr="00D85E09" w:rsidRDefault="00A41E60" w:rsidP="0043316B">
      <w:pPr>
        <w:pStyle w:val="Tablefooter"/>
        <w:widowControl w:val="0"/>
      </w:pPr>
      <w:r w:rsidRPr="00D85E09">
        <w:t>Note: See “Utility inputs” worksheet of “MT MSAC June 2016 Section D.xlsx”.</w:t>
      </w:r>
    </w:p>
    <w:p w14:paraId="66C17D23" w14:textId="77777777" w:rsidR="00A41E60" w:rsidRPr="00D85E09" w:rsidRDefault="00A41E60" w:rsidP="0043316B">
      <w:pPr>
        <w:widowControl w:val="0"/>
      </w:pPr>
    </w:p>
    <w:p w14:paraId="27EA92A4" w14:textId="77777777" w:rsidR="00A41E60" w:rsidRPr="00D85E09" w:rsidRDefault="00A41E60" w:rsidP="0043316B">
      <w:pPr>
        <w:pStyle w:val="Heading3"/>
        <w:keepNext w:val="0"/>
        <w:widowControl w:val="0"/>
        <w:ind w:left="993" w:hanging="993"/>
        <w:rPr>
          <w:lang w:val="en-AU"/>
        </w:rPr>
      </w:pPr>
      <w:bookmarkStart w:id="550" w:name="_Toc453065318"/>
      <w:r w:rsidRPr="00D85E09">
        <w:rPr>
          <w:lang w:val="en-AU"/>
        </w:rPr>
        <w:t>Cost inputs</w:t>
      </w:r>
      <w:bookmarkEnd w:id="534"/>
      <w:bookmarkEnd w:id="550"/>
    </w:p>
    <w:p w14:paraId="6D0858C5" w14:textId="58B22C6F" w:rsidR="00A41E60" w:rsidRPr="00D85E09" w:rsidRDefault="00A41E60" w:rsidP="0043316B">
      <w:pPr>
        <w:widowControl w:val="0"/>
      </w:pPr>
      <w:r w:rsidRPr="00D85E09">
        <w:t xml:space="preserve">Section </w:t>
      </w:r>
      <w:r w:rsidR="00092415" w:rsidRPr="00D85E09">
        <w:fldChar w:fldCharType="begin"/>
      </w:r>
      <w:r w:rsidR="00092415" w:rsidRPr="00D85E09">
        <w:instrText xml:space="preserve"> REF _Ref452371316 \r \h </w:instrText>
      </w:r>
      <w:r w:rsidR="00092415" w:rsidRPr="00D85E09">
        <w:fldChar w:fldCharType="separate"/>
      </w:r>
      <w:r w:rsidR="00A456ED">
        <w:t>C.5</w:t>
      </w:r>
      <w:r w:rsidR="00092415" w:rsidRPr="00D85E09">
        <w:fldChar w:fldCharType="end"/>
      </w:r>
      <w:r w:rsidR="00092415" w:rsidRPr="00D85E09">
        <w:t xml:space="preserve"> </w:t>
      </w:r>
      <w:r w:rsidRPr="00D85E09">
        <w:t xml:space="preserve">has detailed cost inputs applied to quantify the costs of resource use in the economic model. All base case cost inputs are presented in </w:t>
      </w:r>
      <w:r w:rsidRPr="00D85E09">
        <w:fldChar w:fldCharType="begin"/>
      </w:r>
      <w:r w:rsidRPr="00D85E09">
        <w:instrText xml:space="preserve"> REF _Ref450663393 \h </w:instrText>
      </w:r>
      <w:r w:rsidRPr="00D85E09">
        <w:fldChar w:fldCharType="separate"/>
      </w:r>
      <w:r w:rsidR="00A456ED" w:rsidRPr="00D85E09">
        <w:t xml:space="preserve">Table </w:t>
      </w:r>
      <w:r w:rsidR="00A456ED">
        <w:rPr>
          <w:noProof/>
        </w:rPr>
        <w:t>90</w:t>
      </w:r>
      <w:r w:rsidRPr="00D85E09">
        <w:fldChar w:fldCharType="end"/>
      </w:r>
      <w:r w:rsidRPr="00D85E09">
        <w:t>.</w:t>
      </w:r>
    </w:p>
    <w:p w14:paraId="74426A6F" w14:textId="6DD64BF3" w:rsidR="00A41E60" w:rsidRPr="00D85E09" w:rsidRDefault="00A41E60" w:rsidP="0043316B">
      <w:pPr>
        <w:widowControl w:val="0"/>
      </w:pPr>
      <w:r w:rsidRPr="00D85E09">
        <w:t xml:space="preserve">The treatment of stroke recurrence incurs additional cost. </w:t>
      </w:r>
      <w:r w:rsidRPr="00D85E09">
        <w:rPr>
          <w:i/>
        </w:rPr>
        <w:t>The model conservatively assumes that for stroke recurrence in the mid-term phase (i.e., Day 90 to Day 365) only acute treatment cost is applied</w:t>
      </w:r>
      <w:r w:rsidRPr="00D85E09">
        <w:t xml:space="preserve">. For simplicity, a simple mean of the acute costs by mRS is employed for this purpose ($21,057; see </w:t>
      </w:r>
      <w:r w:rsidRPr="00D85E09">
        <w:fldChar w:fldCharType="begin"/>
      </w:r>
      <w:r w:rsidRPr="00D85E09">
        <w:instrText xml:space="preserve"> REF _Ref450663393 \h </w:instrText>
      </w:r>
      <w:r w:rsidRPr="00D85E09">
        <w:fldChar w:fldCharType="separate"/>
      </w:r>
      <w:r w:rsidR="00A456ED" w:rsidRPr="00D85E09">
        <w:t xml:space="preserve">Table </w:t>
      </w:r>
      <w:r w:rsidR="00A456ED">
        <w:rPr>
          <w:noProof/>
        </w:rPr>
        <w:t>90</w:t>
      </w:r>
      <w:r w:rsidRPr="00D85E09">
        <w:fldChar w:fldCharType="end"/>
      </w:r>
      <w:r w:rsidRPr="00D85E09">
        <w:t xml:space="preserve">). For stroke recurrence occurring during the long-term phase, the total acute / mid-term cost is accrued. Again, a simple mean value is calculated and applied (a total of $35,651 = $21,057 + $17,025; see </w:t>
      </w:r>
      <w:r w:rsidRPr="00D85E09">
        <w:fldChar w:fldCharType="begin"/>
      </w:r>
      <w:r w:rsidRPr="00D85E09">
        <w:instrText xml:space="preserve"> REF _Ref450663393 \h </w:instrText>
      </w:r>
      <w:r w:rsidRPr="00D85E09">
        <w:fldChar w:fldCharType="separate"/>
      </w:r>
      <w:r w:rsidR="00A456ED" w:rsidRPr="00D85E09">
        <w:t xml:space="preserve">Table </w:t>
      </w:r>
      <w:r w:rsidR="00A456ED">
        <w:rPr>
          <w:noProof/>
        </w:rPr>
        <w:t>90</w:t>
      </w:r>
      <w:r w:rsidRPr="00D85E09">
        <w:fldChar w:fldCharType="end"/>
      </w:r>
      <w:r w:rsidRPr="00D85E09">
        <w:t>).</w:t>
      </w:r>
    </w:p>
    <w:p w14:paraId="32FA21AE" w14:textId="45FFE841" w:rsidR="00A41E60" w:rsidRPr="00D85E09" w:rsidRDefault="00A41E60" w:rsidP="0043316B">
      <w:pPr>
        <w:pStyle w:val="Caption"/>
        <w:keepNext w:val="0"/>
        <w:widowControl w:val="0"/>
        <w:rPr>
          <w:lang w:val="en-AU"/>
        </w:rPr>
      </w:pPr>
      <w:bookmarkStart w:id="551" w:name="_Ref450663393"/>
      <w:bookmarkStart w:id="552" w:name="_Toc45306542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90</w:t>
      </w:r>
      <w:r w:rsidRPr="00D85E09">
        <w:rPr>
          <w:lang w:val="en-AU"/>
        </w:rPr>
        <w:fldChar w:fldCharType="end"/>
      </w:r>
      <w:bookmarkEnd w:id="551"/>
      <w:r w:rsidRPr="00D85E09">
        <w:rPr>
          <w:lang w:val="en-AU"/>
        </w:rPr>
        <w:tab/>
        <w:t>Cost inputs considered in the base case analysis</w:t>
      </w:r>
      <w:bookmarkEnd w:id="552"/>
    </w:p>
    <w:tbl>
      <w:tblPr>
        <w:tblStyle w:val="TableGrid"/>
        <w:tblW w:w="5000" w:type="pct"/>
        <w:tblLook w:val="04A0" w:firstRow="1" w:lastRow="0" w:firstColumn="1" w:lastColumn="0" w:noHBand="0" w:noVBand="1"/>
        <w:tblDescription w:val="Table 90 Cost inputs considered in the base case analysis"/>
      </w:tblPr>
      <w:tblGrid>
        <w:gridCol w:w="3895"/>
        <w:gridCol w:w="2296"/>
        <w:gridCol w:w="3097"/>
      </w:tblGrid>
      <w:tr w:rsidR="00A41E60" w:rsidRPr="00D85E09" w14:paraId="670ACA17" w14:textId="77777777" w:rsidTr="00BE6331">
        <w:trPr>
          <w:tblHeader/>
        </w:trPr>
        <w:tc>
          <w:tcPr>
            <w:tcW w:w="2097" w:type="pct"/>
            <w:tcBorders>
              <w:top w:val="single" w:sz="4" w:space="0" w:color="000000"/>
              <w:left w:val="single" w:sz="4" w:space="0" w:color="000000"/>
              <w:bottom w:val="single" w:sz="4" w:space="0" w:color="000000"/>
              <w:right w:val="single" w:sz="4" w:space="0" w:color="000000"/>
            </w:tcBorders>
            <w:hideMark/>
          </w:tcPr>
          <w:p w14:paraId="40EAE5B4" w14:textId="77777777" w:rsidR="00A41E60" w:rsidRPr="00D85E09" w:rsidRDefault="00A41E60" w:rsidP="0043316B">
            <w:pPr>
              <w:pStyle w:val="Tabletext"/>
              <w:keepNext w:val="0"/>
              <w:widowControl w:val="0"/>
              <w:rPr>
                <w:b/>
              </w:rPr>
            </w:pPr>
            <w:r w:rsidRPr="00D85E09">
              <w:rPr>
                <w:b/>
              </w:rPr>
              <w:t>Resource use</w:t>
            </w:r>
          </w:p>
        </w:tc>
        <w:tc>
          <w:tcPr>
            <w:tcW w:w="1236" w:type="pct"/>
            <w:tcBorders>
              <w:top w:val="single" w:sz="4" w:space="0" w:color="000000"/>
              <w:left w:val="single" w:sz="4" w:space="0" w:color="000000"/>
              <w:bottom w:val="single" w:sz="4" w:space="0" w:color="000000"/>
              <w:right w:val="single" w:sz="4" w:space="0" w:color="000000"/>
            </w:tcBorders>
            <w:hideMark/>
          </w:tcPr>
          <w:p w14:paraId="0E7B0DE6" w14:textId="77777777" w:rsidR="00A41E60" w:rsidRPr="00D85E09" w:rsidRDefault="00A41E60" w:rsidP="0043316B">
            <w:pPr>
              <w:pStyle w:val="Tabletext"/>
              <w:keepNext w:val="0"/>
              <w:widowControl w:val="0"/>
              <w:rPr>
                <w:b/>
              </w:rPr>
            </w:pPr>
            <w:r w:rsidRPr="00D85E09">
              <w:rPr>
                <w:b/>
              </w:rPr>
              <w:t>Cost input (base case)</w:t>
            </w:r>
          </w:p>
        </w:tc>
        <w:tc>
          <w:tcPr>
            <w:tcW w:w="1667" w:type="pct"/>
            <w:tcBorders>
              <w:top w:val="single" w:sz="4" w:space="0" w:color="000000"/>
              <w:left w:val="single" w:sz="4" w:space="0" w:color="000000"/>
              <w:bottom w:val="single" w:sz="4" w:space="0" w:color="000000"/>
              <w:right w:val="single" w:sz="4" w:space="0" w:color="000000"/>
            </w:tcBorders>
            <w:hideMark/>
          </w:tcPr>
          <w:p w14:paraId="21D0EC6D" w14:textId="77777777" w:rsidR="00A41E60" w:rsidRPr="00D85E09" w:rsidRDefault="00A41E60" w:rsidP="0043316B">
            <w:pPr>
              <w:pStyle w:val="Tabletext"/>
              <w:keepNext w:val="0"/>
              <w:widowControl w:val="0"/>
              <w:rPr>
                <w:b/>
              </w:rPr>
            </w:pPr>
            <w:r w:rsidRPr="00D85E09">
              <w:rPr>
                <w:b/>
              </w:rPr>
              <w:t>Source / notes</w:t>
            </w:r>
          </w:p>
        </w:tc>
      </w:tr>
      <w:tr w:rsidR="00A41E60" w:rsidRPr="00D85E09" w14:paraId="45623602"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3F7D2E9" w14:textId="77777777" w:rsidR="00A41E60" w:rsidRPr="00D85E09" w:rsidRDefault="00A41E60" w:rsidP="0043316B">
            <w:pPr>
              <w:pStyle w:val="Tabletext"/>
              <w:keepNext w:val="0"/>
              <w:widowControl w:val="0"/>
            </w:pPr>
            <w:r w:rsidRPr="00D85E09">
              <w:t>Mechanical thrombectomy</w:t>
            </w:r>
          </w:p>
        </w:tc>
        <w:tc>
          <w:tcPr>
            <w:tcW w:w="1236" w:type="pct"/>
            <w:tcBorders>
              <w:top w:val="single" w:sz="4" w:space="0" w:color="000000"/>
              <w:left w:val="single" w:sz="4" w:space="0" w:color="000000"/>
              <w:bottom w:val="single" w:sz="4" w:space="0" w:color="000000"/>
              <w:right w:val="single" w:sz="4" w:space="0" w:color="000000"/>
            </w:tcBorders>
            <w:hideMark/>
          </w:tcPr>
          <w:p w14:paraId="75630677" w14:textId="77777777" w:rsidR="00A41E60" w:rsidRPr="00D85E09" w:rsidRDefault="00A41E60" w:rsidP="0043316B">
            <w:pPr>
              <w:pStyle w:val="Tabletext"/>
              <w:keepNext w:val="0"/>
              <w:widowControl w:val="0"/>
            </w:pPr>
            <w:r w:rsidRPr="00D85E09">
              <w:t>$18,308.49</w:t>
            </w:r>
          </w:p>
        </w:tc>
        <w:tc>
          <w:tcPr>
            <w:tcW w:w="1667" w:type="pct"/>
            <w:tcBorders>
              <w:top w:val="single" w:sz="4" w:space="0" w:color="000000"/>
              <w:left w:val="single" w:sz="4" w:space="0" w:color="000000"/>
              <w:bottom w:val="single" w:sz="4" w:space="0" w:color="000000"/>
              <w:right w:val="single" w:sz="4" w:space="0" w:color="000000"/>
            </w:tcBorders>
            <w:hideMark/>
          </w:tcPr>
          <w:p w14:paraId="72FBEA8E" w14:textId="363E4A29" w:rsidR="00A41E60" w:rsidRPr="00D85E09" w:rsidRDefault="00A41E60" w:rsidP="0043316B">
            <w:pPr>
              <w:pStyle w:val="Tabletext"/>
              <w:keepNext w:val="0"/>
              <w:widowControl w:val="0"/>
            </w:pPr>
            <w:r w:rsidRPr="00D85E09">
              <w:t xml:space="preserve">See Section </w:t>
            </w:r>
            <w:r w:rsidR="00092415" w:rsidRPr="00D85E09">
              <w:fldChar w:fldCharType="begin"/>
            </w:r>
            <w:r w:rsidR="00092415" w:rsidRPr="00D85E09">
              <w:instrText xml:space="preserve"> REF _Ref452371316 \r \h </w:instrText>
            </w:r>
            <w:r w:rsidR="00092415" w:rsidRPr="00D85E09">
              <w:fldChar w:fldCharType="separate"/>
            </w:r>
            <w:r w:rsidR="00A456ED">
              <w:t>C.5</w:t>
            </w:r>
            <w:r w:rsidR="00092415" w:rsidRPr="00D85E09">
              <w:fldChar w:fldCharType="end"/>
            </w:r>
          </w:p>
        </w:tc>
      </w:tr>
      <w:tr w:rsidR="00A41E60" w:rsidRPr="00D85E09" w14:paraId="31AFFD6F"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63BEBE45" w14:textId="77777777" w:rsidR="00A41E60" w:rsidRPr="00D85E09" w:rsidRDefault="00A41E60" w:rsidP="0043316B">
            <w:pPr>
              <w:pStyle w:val="Tabletext"/>
              <w:keepNext w:val="0"/>
              <w:widowControl w:val="0"/>
            </w:pPr>
            <w:r w:rsidRPr="00D85E09">
              <w:t>In-hospital acute stroke care cost by mRS</w:t>
            </w:r>
          </w:p>
        </w:tc>
        <w:tc>
          <w:tcPr>
            <w:tcW w:w="1236" w:type="pct"/>
            <w:tcBorders>
              <w:top w:val="single" w:sz="4" w:space="0" w:color="000000"/>
              <w:left w:val="single" w:sz="4" w:space="0" w:color="000000"/>
              <w:bottom w:val="single" w:sz="4" w:space="0" w:color="000000"/>
              <w:right w:val="single" w:sz="4" w:space="0" w:color="000000"/>
            </w:tcBorders>
          </w:tcPr>
          <w:p w14:paraId="27964B36"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nil"/>
              <w:right w:val="single" w:sz="4" w:space="0" w:color="000000"/>
            </w:tcBorders>
            <w:hideMark/>
          </w:tcPr>
          <w:p w14:paraId="4BD030E8" w14:textId="77777777" w:rsidR="00A41E60" w:rsidRPr="00D85E09" w:rsidRDefault="00A41E60" w:rsidP="0043316B">
            <w:pPr>
              <w:pStyle w:val="Tabletext"/>
              <w:keepNext w:val="0"/>
              <w:widowControl w:val="0"/>
            </w:pPr>
            <w:r w:rsidRPr="00D85E09">
              <w:t>Tanny et al 2013, updated to 2016 values.</w:t>
            </w:r>
          </w:p>
          <w:p w14:paraId="0CF10967" w14:textId="3EA68D95" w:rsidR="00A41E60" w:rsidRPr="00D85E09" w:rsidRDefault="00A41E60" w:rsidP="0043316B">
            <w:pPr>
              <w:pStyle w:val="Tabletext"/>
              <w:keepNext w:val="0"/>
              <w:widowControl w:val="0"/>
            </w:pPr>
            <w:r w:rsidRPr="00D85E09">
              <w:t>Rate of concomitant IV</w:t>
            </w:r>
            <w:r w:rsidR="00D32933" w:rsidRPr="00D85E09">
              <w:t>-</w:t>
            </w:r>
            <w:r w:rsidRPr="00D85E09">
              <w:t>tPA use assumed to be 50%.</w:t>
            </w:r>
          </w:p>
          <w:p w14:paraId="16027515" w14:textId="765002FB" w:rsidR="00A41E60" w:rsidRPr="00D85E09" w:rsidRDefault="00A41E60" w:rsidP="0043316B">
            <w:pPr>
              <w:pStyle w:val="Tabletext"/>
              <w:keepNext w:val="0"/>
              <w:widowControl w:val="0"/>
            </w:pPr>
            <w:r w:rsidRPr="00D85E09">
              <w:t>Average cost across mRS applied for recurrent strokes to 12 months.</w:t>
            </w:r>
          </w:p>
          <w:p w14:paraId="77527719" w14:textId="0A731350" w:rsidR="00A41E60" w:rsidRPr="00D85E09" w:rsidRDefault="00092415" w:rsidP="0043316B">
            <w:pPr>
              <w:pStyle w:val="Tabletext"/>
              <w:keepNext w:val="0"/>
              <w:widowControl w:val="0"/>
            </w:pPr>
            <w:r w:rsidRPr="00D85E09">
              <w:t xml:space="preserve">See Section </w:t>
            </w:r>
            <w:r w:rsidRPr="00D85E09">
              <w:fldChar w:fldCharType="begin"/>
            </w:r>
            <w:r w:rsidRPr="00D85E09">
              <w:instrText xml:space="preserve"> REF _Ref452371316 \r \h </w:instrText>
            </w:r>
            <w:r w:rsidRPr="00D85E09">
              <w:fldChar w:fldCharType="separate"/>
            </w:r>
            <w:r w:rsidR="00A456ED">
              <w:t>C.5</w:t>
            </w:r>
            <w:r w:rsidRPr="00D85E09">
              <w:fldChar w:fldCharType="end"/>
            </w:r>
          </w:p>
        </w:tc>
      </w:tr>
      <w:tr w:rsidR="00A41E60" w:rsidRPr="00D85E09" w14:paraId="5E02A8FF"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479A4ED6" w14:textId="08E91741" w:rsidR="00A41E60" w:rsidRPr="00D85E09" w:rsidRDefault="00A41E60" w:rsidP="0043316B">
            <w:pPr>
              <w:pStyle w:val="Tabletext"/>
              <w:keepNext w:val="0"/>
              <w:widowControl w:val="0"/>
            </w:pPr>
            <w:r w:rsidRPr="00D85E09">
              <w:t xml:space="preserve"> mRS 0</w:t>
            </w:r>
          </w:p>
        </w:tc>
        <w:tc>
          <w:tcPr>
            <w:tcW w:w="1236" w:type="pct"/>
            <w:tcBorders>
              <w:top w:val="single" w:sz="4" w:space="0" w:color="000000"/>
              <w:left w:val="single" w:sz="4" w:space="0" w:color="000000"/>
              <w:bottom w:val="single" w:sz="4" w:space="0" w:color="000000"/>
              <w:right w:val="single" w:sz="4" w:space="0" w:color="000000"/>
            </w:tcBorders>
            <w:hideMark/>
          </w:tcPr>
          <w:p w14:paraId="05CF3479" w14:textId="77777777" w:rsidR="00A41E60" w:rsidRPr="00D85E09" w:rsidRDefault="00A41E60" w:rsidP="0043316B">
            <w:pPr>
              <w:pStyle w:val="Tabletext"/>
              <w:keepNext w:val="0"/>
              <w:widowControl w:val="0"/>
            </w:pPr>
            <w:r w:rsidRPr="00D85E09">
              <w:t>$21,581</w:t>
            </w:r>
          </w:p>
        </w:tc>
        <w:tc>
          <w:tcPr>
            <w:tcW w:w="0" w:type="auto"/>
            <w:vMerge/>
            <w:tcBorders>
              <w:top w:val="single" w:sz="4" w:space="0" w:color="000000"/>
              <w:left w:val="single" w:sz="4" w:space="0" w:color="000000"/>
              <w:bottom w:val="nil"/>
              <w:right w:val="single" w:sz="4" w:space="0" w:color="000000"/>
            </w:tcBorders>
            <w:vAlign w:val="center"/>
            <w:hideMark/>
          </w:tcPr>
          <w:p w14:paraId="791CB96E"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42BC52C"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71A182E" w14:textId="70AB80DD" w:rsidR="00A41E60" w:rsidRPr="00D85E09" w:rsidRDefault="00A41E60" w:rsidP="0043316B">
            <w:pPr>
              <w:pStyle w:val="Tabletext"/>
              <w:keepNext w:val="0"/>
              <w:widowControl w:val="0"/>
            </w:pPr>
            <w:r w:rsidRPr="00D85E09">
              <w:t xml:space="preserve"> mRS 1</w:t>
            </w:r>
          </w:p>
        </w:tc>
        <w:tc>
          <w:tcPr>
            <w:tcW w:w="1236" w:type="pct"/>
            <w:tcBorders>
              <w:top w:val="single" w:sz="4" w:space="0" w:color="000000"/>
              <w:left w:val="single" w:sz="4" w:space="0" w:color="000000"/>
              <w:bottom w:val="single" w:sz="4" w:space="0" w:color="000000"/>
              <w:right w:val="single" w:sz="4" w:space="0" w:color="000000"/>
            </w:tcBorders>
            <w:hideMark/>
          </w:tcPr>
          <w:p w14:paraId="2F1E5283" w14:textId="77777777" w:rsidR="00A41E60" w:rsidRPr="00D85E09" w:rsidRDefault="00A41E60" w:rsidP="0043316B">
            <w:pPr>
              <w:pStyle w:val="Tabletext"/>
              <w:keepNext w:val="0"/>
              <w:widowControl w:val="0"/>
            </w:pPr>
            <w:r w:rsidRPr="00D85E09">
              <w:t>$21,861</w:t>
            </w:r>
          </w:p>
        </w:tc>
        <w:tc>
          <w:tcPr>
            <w:tcW w:w="0" w:type="auto"/>
            <w:vMerge/>
            <w:tcBorders>
              <w:top w:val="single" w:sz="4" w:space="0" w:color="000000"/>
              <w:left w:val="single" w:sz="4" w:space="0" w:color="000000"/>
              <w:bottom w:val="nil"/>
              <w:right w:val="single" w:sz="4" w:space="0" w:color="000000"/>
            </w:tcBorders>
            <w:vAlign w:val="center"/>
            <w:hideMark/>
          </w:tcPr>
          <w:p w14:paraId="39502F1A"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76321B9"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E3802D3" w14:textId="24FF440D" w:rsidR="00A41E60" w:rsidRPr="00D85E09" w:rsidRDefault="00A41E60" w:rsidP="0043316B">
            <w:pPr>
              <w:pStyle w:val="Tabletext"/>
              <w:keepNext w:val="0"/>
              <w:widowControl w:val="0"/>
            </w:pPr>
            <w:r w:rsidRPr="00D85E09">
              <w:t xml:space="preserve"> mRS 2</w:t>
            </w:r>
          </w:p>
        </w:tc>
        <w:tc>
          <w:tcPr>
            <w:tcW w:w="1236" w:type="pct"/>
            <w:tcBorders>
              <w:top w:val="single" w:sz="4" w:space="0" w:color="000000"/>
              <w:left w:val="single" w:sz="4" w:space="0" w:color="000000"/>
              <w:bottom w:val="single" w:sz="4" w:space="0" w:color="000000"/>
              <w:right w:val="single" w:sz="4" w:space="0" w:color="000000"/>
            </w:tcBorders>
            <w:hideMark/>
          </w:tcPr>
          <w:p w14:paraId="35D12A53" w14:textId="77777777" w:rsidR="00A41E60" w:rsidRPr="00D85E09" w:rsidRDefault="00A41E60" w:rsidP="0043316B">
            <w:pPr>
              <w:pStyle w:val="Tabletext"/>
              <w:keepNext w:val="0"/>
              <w:widowControl w:val="0"/>
            </w:pPr>
            <w:r w:rsidRPr="00D85E09">
              <w:t>$23,695</w:t>
            </w:r>
          </w:p>
        </w:tc>
        <w:tc>
          <w:tcPr>
            <w:tcW w:w="0" w:type="auto"/>
            <w:vMerge/>
            <w:tcBorders>
              <w:top w:val="single" w:sz="4" w:space="0" w:color="000000"/>
              <w:left w:val="single" w:sz="4" w:space="0" w:color="000000"/>
              <w:bottom w:val="nil"/>
              <w:right w:val="single" w:sz="4" w:space="0" w:color="000000"/>
            </w:tcBorders>
            <w:vAlign w:val="center"/>
            <w:hideMark/>
          </w:tcPr>
          <w:p w14:paraId="34518B8B"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21ED4575"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11181F5" w14:textId="07019E5F" w:rsidR="00A41E60" w:rsidRPr="00D85E09" w:rsidRDefault="00A41E60" w:rsidP="0043316B">
            <w:pPr>
              <w:pStyle w:val="Tabletext"/>
              <w:keepNext w:val="0"/>
              <w:widowControl w:val="0"/>
            </w:pPr>
            <w:r w:rsidRPr="00D85E09">
              <w:t xml:space="preserve"> mRS 3</w:t>
            </w:r>
          </w:p>
        </w:tc>
        <w:tc>
          <w:tcPr>
            <w:tcW w:w="1236" w:type="pct"/>
            <w:tcBorders>
              <w:top w:val="single" w:sz="4" w:space="0" w:color="000000"/>
              <w:left w:val="single" w:sz="4" w:space="0" w:color="000000"/>
              <w:bottom w:val="single" w:sz="4" w:space="0" w:color="000000"/>
              <w:right w:val="single" w:sz="4" w:space="0" w:color="000000"/>
            </w:tcBorders>
            <w:hideMark/>
          </w:tcPr>
          <w:p w14:paraId="47B38658" w14:textId="77777777" w:rsidR="00A41E60" w:rsidRPr="00D85E09" w:rsidRDefault="00A41E60" w:rsidP="0043316B">
            <w:pPr>
              <w:pStyle w:val="Tabletext"/>
              <w:keepNext w:val="0"/>
              <w:widowControl w:val="0"/>
            </w:pPr>
            <w:r w:rsidRPr="00D85E09">
              <w:t>$23,695</w:t>
            </w:r>
          </w:p>
        </w:tc>
        <w:tc>
          <w:tcPr>
            <w:tcW w:w="0" w:type="auto"/>
            <w:vMerge/>
            <w:tcBorders>
              <w:top w:val="single" w:sz="4" w:space="0" w:color="000000"/>
              <w:left w:val="single" w:sz="4" w:space="0" w:color="000000"/>
              <w:bottom w:val="nil"/>
              <w:right w:val="single" w:sz="4" w:space="0" w:color="000000"/>
            </w:tcBorders>
            <w:vAlign w:val="center"/>
            <w:hideMark/>
          </w:tcPr>
          <w:p w14:paraId="4D35BF00"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F1E3AA8"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68E66E8" w14:textId="5AEBFCA2" w:rsidR="00A41E60" w:rsidRPr="00D85E09" w:rsidRDefault="00A41E60" w:rsidP="0043316B">
            <w:pPr>
              <w:pStyle w:val="Tabletext"/>
              <w:keepNext w:val="0"/>
              <w:widowControl w:val="0"/>
            </w:pPr>
            <w:r w:rsidRPr="00D85E09">
              <w:t xml:space="preserve"> mRS 4</w:t>
            </w:r>
          </w:p>
        </w:tc>
        <w:tc>
          <w:tcPr>
            <w:tcW w:w="1236" w:type="pct"/>
            <w:tcBorders>
              <w:top w:val="single" w:sz="4" w:space="0" w:color="000000"/>
              <w:left w:val="single" w:sz="4" w:space="0" w:color="000000"/>
              <w:bottom w:val="single" w:sz="4" w:space="0" w:color="000000"/>
              <w:right w:val="single" w:sz="4" w:space="0" w:color="000000"/>
            </w:tcBorders>
            <w:hideMark/>
          </w:tcPr>
          <w:p w14:paraId="400E9E1C" w14:textId="77777777" w:rsidR="00A41E60" w:rsidRPr="00D85E09" w:rsidRDefault="00A41E60" w:rsidP="0043316B">
            <w:pPr>
              <w:pStyle w:val="Tabletext"/>
              <w:keepNext w:val="0"/>
              <w:widowControl w:val="0"/>
            </w:pPr>
            <w:r w:rsidRPr="00D85E09">
              <w:t>$20,962</w:t>
            </w:r>
          </w:p>
        </w:tc>
        <w:tc>
          <w:tcPr>
            <w:tcW w:w="0" w:type="auto"/>
            <w:vMerge/>
            <w:tcBorders>
              <w:top w:val="single" w:sz="4" w:space="0" w:color="000000"/>
              <w:left w:val="single" w:sz="4" w:space="0" w:color="000000"/>
              <w:bottom w:val="nil"/>
              <w:right w:val="single" w:sz="4" w:space="0" w:color="000000"/>
            </w:tcBorders>
            <w:vAlign w:val="center"/>
            <w:hideMark/>
          </w:tcPr>
          <w:p w14:paraId="0BD46B1F"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7F56F439"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5BD3A49" w14:textId="1C18A3A3" w:rsidR="00A41E60" w:rsidRPr="00D85E09" w:rsidRDefault="00A41E60" w:rsidP="0043316B">
            <w:pPr>
              <w:pStyle w:val="Tabletext"/>
              <w:keepNext w:val="0"/>
              <w:widowControl w:val="0"/>
            </w:pPr>
            <w:r w:rsidRPr="00D85E09">
              <w:t xml:space="preserve"> mRS 5</w:t>
            </w:r>
          </w:p>
        </w:tc>
        <w:tc>
          <w:tcPr>
            <w:tcW w:w="1236" w:type="pct"/>
            <w:tcBorders>
              <w:top w:val="single" w:sz="4" w:space="0" w:color="000000"/>
              <w:left w:val="single" w:sz="4" w:space="0" w:color="000000"/>
              <w:bottom w:val="single" w:sz="4" w:space="0" w:color="000000"/>
              <w:right w:val="single" w:sz="4" w:space="0" w:color="000000"/>
            </w:tcBorders>
            <w:hideMark/>
          </w:tcPr>
          <w:p w14:paraId="7771FB13" w14:textId="77777777" w:rsidR="00A41E60" w:rsidRPr="00D85E09" w:rsidRDefault="00A41E60" w:rsidP="0043316B">
            <w:pPr>
              <w:pStyle w:val="Tabletext"/>
              <w:keepNext w:val="0"/>
              <w:widowControl w:val="0"/>
            </w:pPr>
            <w:r w:rsidRPr="00D85E09">
              <w:t>$20,962</w:t>
            </w:r>
          </w:p>
        </w:tc>
        <w:tc>
          <w:tcPr>
            <w:tcW w:w="0" w:type="auto"/>
            <w:vMerge/>
            <w:tcBorders>
              <w:top w:val="single" w:sz="4" w:space="0" w:color="000000"/>
              <w:left w:val="single" w:sz="4" w:space="0" w:color="000000"/>
              <w:bottom w:val="nil"/>
              <w:right w:val="single" w:sz="4" w:space="0" w:color="000000"/>
            </w:tcBorders>
            <w:vAlign w:val="center"/>
            <w:hideMark/>
          </w:tcPr>
          <w:p w14:paraId="6ABA1225"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130B26D6"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45E4264B" w14:textId="00431CA8" w:rsidR="00A41E60" w:rsidRPr="00D85E09" w:rsidRDefault="00A41E60" w:rsidP="0043316B">
            <w:pPr>
              <w:pStyle w:val="Tabletext"/>
              <w:keepNext w:val="0"/>
              <w:widowControl w:val="0"/>
            </w:pPr>
            <w:r w:rsidRPr="00D85E09">
              <w:t xml:space="preserve"> mRS 6</w:t>
            </w:r>
          </w:p>
        </w:tc>
        <w:tc>
          <w:tcPr>
            <w:tcW w:w="1236" w:type="pct"/>
            <w:tcBorders>
              <w:top w:val="single" w:sz="4" w:space="0" w:color="000000"/>
              <w:left w:val="single" w:sz="4" w:space="0" w:color="000000"/>
              <w:bottom w:val="single" w:sz="4" w:space="0" w:color="000000"/>
              <w:right w:val="single" w:sz="4" w:space="0" w:color="000000"/>
            </w:tcBorders>
            <w:hideMark/>
          </w:tcPr>
          <w:p w14:paraId="5C9DE130" w14:textId="77777777" w:rsidR="00A41E60" w:rsidRPr="00D85E09" w:rsidRDefault="00A41E60" w:rsidP="0043316B">
            <w:pPr>
              <w:pStyle w:val="Tabletext"/>
              <w:keepNext w:val="0"/>
              <w:widowControl w:val="0"/>
            </w:pPr>
            <w:r w:rsidRPr="00D85E09">
              <w:t>$14,647</w:t>
            </w:r>
          </w:p>
        </w:tc>
        <w:tc>
          <w:tcPr>
            <w:tcW w:w="0" w:type="auto"/>
            <w:vMerge/>
            <w:tcBorders>
              <w:top w:val="single" w:sz="4" w:space="0" w:color="000000"/>
              <w:left w:val="single" w:sz="4" w:space="0" w:color="000000"/>
              <w:bottom w:val="nil"/>
              <w:right w:val="single" w:sz="4" w:space="0" w:color="000000"/>
            </w:tcBorders>
            <w:vAlign w:val="center"/>
            <w:hideMark/>
          </w:tcPr>
          <w:p w14:paraId="2FD4D564"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D973F5E"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DDD9A7D" w14:textId="4686B214" w:rsidR="00A41E60" w:rsidRPr="00D85E09" w:rsidRDefault="00A41E60" w:rsidP="0043316B">
            <w:pPr>
              <w:pStyle w:val="Tabletext"/>
              <w:keepNext w:val="0"/>
              <w:widowControl w:val="0"/>
            </w:pPr>
            <w:r w:rsidRPr="00D85E09">
              <w:t xml:space="preserve"> Average across all mRS scores </w:t>
            </w:r>
          </w:p>
        </w:tc>
        <w:tc>
          <w:tcPr>
            <w:tcW w:w="1236" w:type="pct"/>
            <w:tcBorders>
              <w:top w:val="single" w:sz="4" w:space="0" w:color="000000"/>
              <w:left w:val="single" w:sz="4" w:space="0" w:color="000000"/>
              <w:bottom w:val="single" w:sz="4" w:space="0" w:color="000000"/>
              <w:right w:val="single" w:sz="4" w:space="0" w:color="000000"/>
            </w:tcBorders>
            <w:hideMark/>
          </w:tcPr>
          <w:p w14:paraId="297C7079" w14:textId="77777777" w:rsidR="00A41E60" w:rsidRPr="00D85E09" w:rsidRDefault="00A41E60" w:rsidP="0043316B">
            <w:pPr>
              <w:pStyle w:val="Tabletext"/>
              <w:keepNext w:val="0"/>
              <w:widowControl w:val="0"/>
            </w:pPr>
            <w:r w:rsidRPr="00D85E09">
              <w:t>$21,057</w:t>
            </w:r>
          </w:p>
        </w:tc>
        <w:tc>
          <w:tcPr>
            <w:tcW w:w="1667" w:type="pct"/>
            <w:tcBorders>
              <w:top w:val="nil"/>
              <w:left w:val="single" w:sz="4" w:space="0" w:color="000000"/>
              <w:bottom w:val="single" w:sz="4" w:space="0" w:color="000000"/>
              <w:right w:val="single" w:sz="4" w:space="0" w:color="000000"/>
            </w:tcBorders>
          </w:tcPr>
          <w:p w14:paraId="25F39B3D" w14:textId="77777777" w:rsidR="00A41E60" w:rsidRPr="00D85E09" w:rsidRDefault="00A41E60" w:rsidP="0043316B">
            <w:pPr>
              <w:pStyle w:val="Tabletext"/>
              <w:keepNext w:val="0"/>
              <w:widowControl w:val="0"/>
            </w:pPr>
          </w:p>
        </w:tc>
      </w:tr>
      <w:tr w:rsidR="00A41E60" w:rsidRPr="00D85E09" w14:paraId="71BB0114"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E66A235" w14:textId="77777777" w:rsidR="00A41E60" w:rsidRPr="00D85E09" w:rsidRDefault="00A41E60" w:rsidP="0043316B">
            <w:pPr>
              <w:pStyle w:val="Tabletext"/>
              <w:keepNext w:val="0"/>
              <w:widowControl w:val="0"/>
            </w:pPr>
            <w:r w:rsidRPr="00D85E09">
              <w:t>Mid-term stroke care cost by mRS (to Day 365)</w:t>
            </w:r>
          </w:p>
        </w:tc>
        <w:tc>
          <w:tcPr>
            <w:tcW w:w="1236" w:type="pct"/>
            <w:tcBorders>
              <w:top w:val="single" w:sz="4" w:space="0" w:color="000000"/>
              <w:left w:val="single" w:sz="4" w:space="0" w:color="000000"/>
              <w:bottom w:val="single" w:sz="4" w:space="0" w:color="000000"/>
              <w:right w:val="single" w:sz="4" w:space="0" w:color="000000"/>
            </w:tcBorders>
          </w:tcPr>
          <w:p w14:paraId="4269B9C6"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nil"/>
              <w:right w:val="single" w:sz="4" w:space="0" w:color="000000"/>
            </w:tcBorders>
            <w:hideMark/>
          </w:tcPr>
          <w:p w14:paraId="6D08B7C5" w14:textId="77777777" w:rsidR="00A41E60" w:rsidRPr="00D85E09" w:rsidRDefault="00A41E60" w:rsidP="0043316B">
            <w:pPr>
              <w:pStyle w:val="Tabletext"/>
              <w:keepNext w:val="0"/>
              <w:widowControl w:val="0"/>
            </w:pPr>
            <w:r w:rsidRPr="00D85E09">
              <w:t>Tanny et al 2013, updated to 2016 values.</w:t>
            </w:r>
          </w:p>
          <w:p w14:paraId="027EEE6A" w14:textId="70F2057E" w:rsidR="00A41E60" w:rsidRPr="00D85E09" w:rsidRDefault="00A41E60" w:rsidP="0043316B">
            <w:pPr>
              <w:pStyle w:val="Tabletext"/>
              <w:keepNext w:val="0"/>
              <w:widowControl w:val="0"/>
            </w:pPr>
            <w:r w:rsidRPr="00D85E09">
              <w:lastRenderedPageBreak/>
              <w:t>Average cost across mRS applied for recurrent strokes.</w:t>
            </w:r>
          </w:p>
          <w:p w14:paraId="5A8D1712" w14:textId="71F3CDD0" w:rsidR="00A41E60" w:rsidRPr="00D85E09" w:rsidRDefault="00A41E60" w:rsidP="0043316B">
            <w:pPr>
              <w:pStyle w:val="Tabletext"/>
              <w:keepNext w:val="0"/>
              <w:widowControl w:val="0"/>
            </w:pPr>
            <w:r w:rsidRPr="00D85E09">
              <w:t xml:space="preserve">See Section </w:t>
            </w:r>
            <w:r w:rsidR="00092415" w:rsidRPr="00D85E09">
              <w:fldChar w:fldCharType="begin"/>
            </w:r>
            <w:r w:rsidR="00092415" w:rsidRPr="00D85E09">
              <w:instrText xml:space="preserve"> REF _Ref452371316 \r \h </w:instrText>
            </w:r>
            <w:r w:rsidR="00092415" w:rsidRPr="00D85E09">
              <w:fldChar w:fldCharType="separate"/>
            </w:r>
            <w:r w:rsidR="00A456ED">
              <w:t>C.5</w:t>
            </w:r>
            <w:r w:rsidR="00092415" w:rsidRPr="00D85E09">
              <w:fldChar w:fldCharType="end"/>
            </w:r>
          </w:p>
        </w:tc>
      </w:tr>
      <w:tr w:rsidR="00A41E60" w:rsidRPr="00D85E09" w14:paraId="37A7F9B4"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2E25508E" w14:textId="72439AE4" w:rsidR="00A41E60" w:rsidRPr="00D85E09" w:rsidRDefault="00A41E60" w:rsidP="0043316B">
            <w:pPr>
              <w:pStyle w:val="Tabletext"/>
              <w:keepNext w:val="0"/>
              <w:widowControl w:val="0"/>
            </w:pPr>
            <w:r w:rsidRPr="00D85E09">
              <w:t xml:space="preserve"> mRS 0</w:t>
            </w:r>
          </w:p>
        </w:tc>
        <w:tc>
          <w:tcPr>
            <w:tcW w:w="1236" w:type="pct"/>
            <w:tcBorders>
              <w:top w:val="single" w:sz="4" w:space="0" w:color="000000"/>
              <w:left w:val="single" w:sz="4" w:space="0" w:color="000000"/>
              <w:bottom w:val="single" w:sz="4" w:space="0" w:color="000000"/>
              <w:right w:val="single" w:sz="4" w:space="0" w:color="000000"/>
            </w:tcBorders>
            <w:hideMark/>
          </w:tcPr>
          <w:p w14:paraId="68902DD4" w14:textId="77777777" w:rsidR="00A41E60" w:rsidRPr="00D85E09" w:rsidRDefault="00A41E60" w:rsidP="0043316B">
            <w:pPr>
              <w:pStyle w:val="Tabletext"/>
              <w:keepNext w:val="0"/>
              <w:widowControl w:val="0"/>
            </w:pPr>
            <w:r w:rsidRPr="00D85E09">
              <w:t>$10,499</w:t>
            </w:r>
          </w:p>
        </w:tc>
        <w:tc>
          <w:tcPr>
            <w:tcW w:w="0" w:type="auto"/>
            <w:vMerge/>
            <w:tcBorders>
              <w:top w:val="single" w:sz="4" w:space="0" w:color="000000"/>
              <w:left w:val="single" w:sz="4" w:space="0" w:color="000000"/>
              <w:bottom w:val="nil"/>
              <w:right w:val="single" w:sz="4" w:space="0" w:color="000000"/>
            </w:tcBorders>
            <w:vAlign w:val="center"/>
            <w:hideMark/>
          </w:tcPr>
          <w:p w14:paraId="7E3AFA7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319B4AF"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42235112" w14:textId="06C2A965" w:rsidR="00A41E60" w:rsidRPr="00D85E09" w:rsidRDefault="00A41E60" w:rsidP="0043316B">
            <w:pPr>
              <w:pStyle w:val="Tabletext"/>
              <w:keepNext w:val="0"/>
              <w:widowControl w:val="0"/>
            </w:pPr>
            <w:r w:rsidRPr="00D85E09">
              <w:lastRenderedPageBreak/>
              <w:t xml:space="preserve"> mRS 1</w:t>
            </w:r>
          </w:p>
        </w:tc>
        <w:tc>
          <w:tcPr>
            <w:tcW w:w="1236" w:type="pct"/>
            <w:tcBorders>
              <w:top w:val="single" w:sz="4" w:space="0" w:color="000000"/>
              <w:left w:val="single" w:sz="4" w:space="0" w:color="000000"/>
              <w:bottom w:val="single" w:sz="4" w:space="0" w:color="000000"/>
              <w:right w:val="single" w:sz="4" w:space="0" w:color="000000"/>
            </w:tcBorders>
            <w:hideMark/>
          </w:tcPr>
          <w:p w14:paraId="5FEA01D8" w14:textId="77777777" w:rsidR="00A41E60" w:rsidRPr="00D85E09" w:rsidRDefault="00A41E60" w:rsidP="0043316B">
            <w:pPr>
              <w:pStyle w:val="Tabletext"/>
              <w:keepNext w:val="0"/>
              <w:widowControl w:val="0"/>
            </w:pPr>
            <w:r w:rsidRPr="00D85E09">
              <w:t>$13,230</w:t>
            </w:r>
          </w:p>
        </w:tc>
        <w:tc>
          <w:tcPr>
            <w:tcW w:w="0" w:type="auto"/>
            <w:vMerge/>
            <w:tcBorders>
              <w:top w:val="single" w:sz="4" w:space="0" w:color="000000"/>
              <w:left w:val="single" w:sz="4" w:space="0" w:color="000000"/>
              <w:bottom w:val="nil"/>
              <w:right w:val="single" w:sz="4" w:space="0" w:color="000000"/>
            </w:tcBorders>
            <w:vAlign w:val="center"/>
            <w:hideMark/>
          </w:tcPr>
          <w:p w14:paraId="2F55A14C"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74B209B"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C354969" w14:textId="3EE196BF" w:rsidR="00A41E60" w:rsidRPr="00D85E09" w:rsidRDefault="00A41E60" w:rsidP="0043316B">
            <w:pPr>
              <w:pStyle w:val="Tabletext"/>
              <w:keepNext w:val="0"/>
              <w:widowControl w:val="0"/>
            </w:pPr>
            <w:r w:rsidRPr="00D85E09">
              <w:lastRenderedPageBreak/>
              <w:t xml:space="preserve"> mRS 2</w:t>
            </w:r>
          </w:p>
        </w:tc>
        <w:tc>
          <w:tcPr>
            <w:tcW w:w="1236" w:type="pct"/>
            <w:tcBorders>
              <w:top w:val="single" w:sz="4" w:space="0" w:color="000000"/>
              <w:left w:val="single" w:sz="4" w:space="0" w:color="000000"/>
              <w:bottom w:val="single" w:sz="4" w:space="0" w:color="000000"/>
              <w:right w:val="single" w:sz="4" w:space="0" w:color="000000"/>
            </w:tcBorders>
            <w:hideMark/>
          </w:tcPr>
          <w:p w14:paraId="734DFE96" w14:textId="77777777" w:rsidR="00A41E60" w:rsidRPr="00D85E09" w:rsidRDefault="00A41E60" w:rsidP="0043316B">
            <w:pPr>
              <w:pStyle w:val="Tabletext"/>
              <w:keepNext w:val="0"/>
              <w:widowControl w:val="0"/>
            </w:pPr>
            <w:r w:rsidRPr="00D85E09">
              <w:t>$15,943</w:t>
            </w:r>
          </w:p>
        </w:tc>
        <w:tc>
          <w:tcPr>
            <w:tcW w:w="0" w:type="auto"/>
            <w:vMerge/>
            <w:tcBorders>
              <w:top w:val="single" w:sz="4" w:space="0" w:color="000000"/>
              <w:left w:val="single" w:sz="4" w:space="0" w:color="000000"/>
              <w:bottom w:val="nil"/>
              <w:right w:val="single" w:sz="4" w:space="0" w:color="000000"/>
            </w:tcBorders>
            <w:vAlign w:val="center"/>
            <w:hideMark/>
          </w:tcPr>
          <w:p w14:paraId="122CAF3B"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15F1A214"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82EC0A8" w14:textId="47A43D68" w:rsidR="00A41E60" w:rsidRPr="00D85E09" w:rsidRDefault="00A41E60" w:rsidP="0043316B">
            <w:pPr>
              <w:pStyle w:val="Tabletext"/>
              <w:keepNext w:val="0"/>
              <w:widowControl w:val="0"/>
            </w:pPr>
            <w:r w:rsidRPr="00D85E09">
              <w:t xml:space="preserve"> mRS 3</w:t>
            </w:r>
          </w:p>
        </w:tc>
        <w:tc>
          <w:tcPr>
            <w:tcW w:w="1236" w:type="pct"/>
            <w:tcBorders>
              <w:top w:val="single" w:sz="4" w:space="0" w:color="000000"/>
              <w:left w:val="single" w:sz="4" w:space="0" w:color="000000"/>
              <w:bottom w:val="single" w:sz="4" w:space="0" w:color="000000"/>
              <w:right w:val="single" w:sz="4" w:space="0" w:color="000000"/>
            </w:tcBorders>
            <w:hideMark/>
          </w:tcPr>
          <w:p w14:paraId="34A1F1E1" w14:textId="77777777" w:rsidR="00A41E60" w:rsidRPr="00D85E09" w:rsidRDefault="00A41E60" w:rsidP="0043316B">
            <w:pPr>
              <w:pStyle w:val="Tabletext"/>
              <w:keepNext w:val="0"/>
              <w:widowControl w:val="0"/>
            </w:pPr>
            <w:r w:rsidRPr="00D85E09">
              <w:t>$17,540</w:t>
            </w:r>
          </w:p>
        </w:tc>
        <w:tc>
          <w:tcPr>
            <w:tcW w:w="0" w:type="auto"/>
            <w:vMerge/>
            <w:tcBorders>
              <w:top w:val="single" w:sz="4" w:space="0" w:color="000000"/>
              <w:left w:val="single" w:sz="4" w:space="0" w:color="000000"/>
              <w:bottom w:val="nil"/>
              <w:right w:val="single" w:sz="4" w:space="0" w:color="000000"/>
            </w:tcBorders>
            <w:vAlign w:val="center"/>
            <w:hideMark/>
          </w:tcPr>
          <w:p w14:paraId="43C92087"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8027F55"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1E3943B" w14:textId="0900805B" w:rsidR="00A41E60" w:rsidRPr="00D85E09" w:rsidRDefault="00A41E60" w:rsidP="0043316B">
            <w:pPr>
              <w:pStyle w:val="Tabletext"/>
              <w:keepNext w:val="0"/>
              <w:widowControl w:val="0"/>
            </w:pPr>
            <w:r w:rsidRPr="00D85E09">
              <w:t xml:space="preserve"> mRS 4</w:t>
            </w:r>
          </w:p>
        </w:tc>
        <w:tc>
          <w:tcPr>
            <w:tcW w:w="1236" w:type="pct"/>
            <w:tcBorders>
              <w:top w:val="single" w:sz="4" w:space="0" w:color="000000"/>
              <w:left w:val="single" w:sz="4" w:space="0" w:color="000000"/>
              <w:bottom w:val="single" w:sz="4" w:space="0" w:color="000000"/>
              <w:right w:val="single" w:sz="4" w:space="0" w:color="000000"/>
            </w:tcBorders>
            <w:hideMark/>
          </w:tcPr>
          <w:p w14:paraId="42BA99C3" w14:textId="77777777" w:rsidR="00A41E60" w:rsidRPr="00D85E09" w:rsidRDefault="00A41E60" w:rsidP="0043316B">
            <w:pPr>
              <w:pStyle w:val="Tabletext"/>
              <w:keepNext w:val="0"/>
              <w:widowControl w:val="0"/>
            </w:pPr>
            <w:r w:rsidRPr="00D85E09">
              <w:t>$20,772</w:t>
            </w:r>
          </w:p>
        </w:tc>
        <w:tc>
          <w:tcPr>
            <w:tcW w:w="0" w:type="auto"/>
            <w:vMerge/>
            <w:tcBorders>
              <w:top w:val="single" w:sz="4" w:space="0" w:color="000000"/>
              <w:left w:val="single" w:sz="4" w:space="0" w:color="000000"/>
              <w:bottom w:val="nil"/>
              <w:right w:val="single" w:sz="4" w:space="0" w:color="000000"/>
            </w:tcBorders>
            <w:vAlign w:val="center"/>
            <w:hideMark/>
          </w:tcPr>
          <w:p w14:paraId="0BA9B146"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19F56D1E"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62DB9C7E" w14:textId="2E9B0E96" w:rsidR="00A41E60" w:rsidRPr="00D85E09" w:rsidRDefault="00A41E60" w:rsidP="0043316B">
            <w:pPr>
              <w:pStyle w:val="Tabletext"/>
              <w:keepNext w:val="0"/>
              <w:widowControl w:val="0"/>
            </w:pPr>
            <w:r w:rsidRPr="00D85E09">
              <w:t xml:space="preserve"> mRS 5</w:t>
            </w:r>
          </w:p>
        </w:tc>
        <w:tc>
          <w:tcPr>
            <w:tcW w:w="1236" w:type="pct"/>
            <w:tcBorders>
              <w:top w:val="single" w:sz="4" w:space="0" w:color="000000"/>
              <w:left w:val="single" w:sz="4" w:space="0" w:color="000000"/>
              <w:bottom w:val="single" w:sz="4" w:space="0" w:color="000000"/>
              <w:right w:val="single" w:sz="4" w:space="0" w:color="000000"/>
            </w:tcBorders>
            <w:hideMark/>
          </w:tcPr>
          <w:p w14:paraId="1E0F8BF4" w14:textId="77777777" w:rsidR="00A41E60" w:rsidRPr="00D85E09" w:rsidRDefault="00A41E60" w:rsidP="0043316B">
            <w:pPr>
              <w:pStyle w:val="Tabletext"/>
              <w:keepNext w:val="0"/>
              <w:widowControl w:val="0"/>
            </w:pPr>
            <w:r w:rsidRPr="00D85E09">
              <w:t>$24,170</w:t>
            </w:r>
          </w:p>
        </w:tc>
        <w:tc>
          <w:tcPr>
            <w:tcW w:w="0" w:type="auto"/>
            <w:vMerge/>
            <w:tcBorders>
              <w:top w:val="single" w:sz="4" w:space="0" w:color="000000"/>
              <w:left w:val="single" w:sz="4" w:space="0" w:color="000000"/>
              <w:bottom w:val="nil"/>
              <w:right w:val="single" w:sz="4" w:space="0" w:color="000000"/>
            </w:tcBorders>
            <w:vAlign w:val="center"/>
            <w:hideMark/>
          </w:tcPr>
          <w:p w14:paraId="5578E4FC"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E64C17D"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767DC01" w14:textId="6AF35ED1" w:rsidR="00A41E60" w:rsidRPr="00D85E09" w:rsidRDefault="00A41E60" w:rsidP="0043316B">
            <w:pPr>
              <w:pStyle w:val="Tabletext"/>
              <w:keepNext w:val="0"/>
              <w:widowControl w:val="0"/>
            </w:pPr>
            <w:r w:rsidRPr="00D85E09">
              <w:t xml:space="preserve"> mRS 6</w:t>
            </w:r>
          </w:p>
        </w:tc>
        <w:tc>
          <w:tcPr>
            <w:tcW w:w="1236" w:type="pct"/>
            <w:tcBorders>
              <w:top w:val="single" w:sz="4" w:space="0" w:color="000000"/>
              <w:left w:val="single" w:sz="4" w:space="0" w:color="000000"/>
              <w:bottom w:val="single" w:sz="4" w:space="0" w:color="000000"/>
              <w:right w:val="single" w:sz="4" w:space="0" w:color="000000"/>
            </w:tcBorders>
            <w:hideMark/>
          </w:tcPr>
          <w:p w14:paraId="667016D6" w14:textId="77777777" w:rsidR="00A41E60" w:rsidRPr="00D85E09" w:rsidRDefault="00A41E60" w:rsidP="0043316B">
            <w:pPr>
              <w:pStyle w:val="Tabletext"/>
              <w:keepNext w:val="0"/>
              <w:widowControl w:val="0"/>
            </w:pPr>
            <w:r w:rsidRPr="00D85E09">
              <w:t>–</w:t>
            </w:r>
          </w:p>
        </w:tc>
        <w:tc>
          <w:tcPr>
            <w:tcW w:w="0" w:type="auto"/>
            <w:vMerge/>
            <w:tcBorders>
              <w:top w:val="single" w:sz="4" w:space="0" w:color="000000"/>
              <w:left w:val="single" w:sz="4" w:space="0" w:color="000000"/>
              <w:bottom w:val="nil"/>
              <w:right w:val="single" w:sz="4" w:space="0" w:color="000000"/>
            </w:tcBorders>
            <w:vAlign w:val="center"/>
            <w:hideMark/>
          </w:tcPr>
          <w:p w14:paraId="7528EEF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B67119D"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A5FBC24" w14:textId="3629B52B" w:rsidR="00A41E60" w:rsidRPr="00D85E09" w:rsidRDefault="00A41E60" w:rsidP="0043316B">
            <w:pPr>
              <w:pStyle w:val="Tabletext"/>
              <w:keepNext w:val="0"/>
              <w:widowControl w:val="0"/>
            </w:pPr>
            <w:r w:rsidRPr="00D85E09">
              <w:t xml:space="preserve"> Average across all mRS scores </w:t>
            </w:r>
          </w:p>
        </w:tc>
        <w:tc>
          <w:tcPr>
            <w:tcW w:w="1236" w:type="pct"/>
            <w:tcBorders>
              <w:top w:val="single" w:sz="4" w:space="0" w:color="000000"/>
              <w:left w:val="single" w:sz="4" w:space="0" w:color="000000"/>
              <w:bottom w:val="single" w:sz="4" w:space="0" w:color="000000"/>
              <w:right w:val="single" w:sz="4" w:space="0" w:color="000000"/>
            </w:tcBorders>
            <w:hideMark/>
          </w:tcPr>
          <w:p w14:paraId="05C181DB" w14:textId="77777777" w:rsidR="00A41E60" w:rsidRPr="00D85E09" w:rsidRDefault="00A41E60" w:rsidP="0043316B">
            <w:pPr>
              <w:pStyle w:val="Tabletext"/>
              <w:keepNext w:val="0"/>
              <w:widowControl w:val="0"/>
            </w:pPr>
            <w:r w:rsidRPr="00D85E09">
              <w:t>$17,025</w:t>
            </w:r>
          </w:p>
        </w:tc>
        <w:tc>
          <w:tcPr>
            <w:tcW w:w="1667" w:type="pct"/>
            <w:tcBorders>
              <w:top w:val="nil"/>
              <w:left w:val="single" w:sz="4" w:space="0" w:color="000000"/>
              <w:bottom w:val="single" w:sz="4" w:space="0" w:color="000000"/>
              <w:right w:val="single" w:sz="4" w:space="0" w:color="000000"/>
            </w:tcBorders>
          </w:tcPr>
          <w:p w14:paraId="6B9F5AB0" w14:textId="77777777" w:rsidR="00A41E60" w:rsidRPr="00D85E09" w:rsidRDefault="00A41E60" w:rsidP="0043316B">
            <w:pPr>
              <w:pStyle w:val="Tabletext"/>
              <w:keepNext w:val="0"/>
              <w:widowControl w:val="0"/>
            </w:pPr>
          </w:p>
        </w:tc>
      </w:tr>
      <w:tr w:rsidR="00A41E60" w:rsidRPr="00D85E09" w14:paraId="2AC93BDC"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C1BA1A8" w14:textId="77777777" w:rsidR="00A41E60" w:rsidRPr="00D85E09" w:rsidRDefault="00A41E60" w:rsidP="0043316B">
            <w:pPr>
              <w:pStyle w:val="Tabletext"/>
              <w:keepNext w:val="0"/>
              <w:widowControl w:val="0"/>
            </w:pPr>
            <w:r w:rsidRPr="00D85E09">
              <w:t xml:space="preserve">Long-term stroke care costs by mRS, annual </w:t>
            </w:r>
          </w:p>
        </w:tc>
        <w:tc>
          <w:tcPr>
            <w:tcW w:w="1236" w:type="pct"/>
            <w:tcBorders>
              <w:top w:val="single" w:sz="4" w:space="0" w:color="000000"/>
              <w:left w:val="single" w:sz="4" w:space="0" w:color="000000"/>
              <w:bottom w:val="single" w:sz="4" w:space="0" w:color="000000"/>
              <w:right w:val="single" w:sz="4" w:space="0" w:color="000000"/>
            </w:tcBorders>
          </w:tcPr>
          <w:p w14:paraId="6B1579E7" w14:textId="77777777" w:rsidR="00A41E60" w:rsidRPr="00D85E09" w:rsidRDefault="00A41E60" w:rsidP="0043316B">
            <w:pPr>
              <w:pStyle w:val="Tabletext"/>
              <w:keepNext w:val="0"/>
              <w:widowControl w:val="0"/>
            </w:pPr>
          </w:p>
        </w:tc>
        <w:tc>
          <w:tcPr>
            <w:tcW w:w="1667" w:type="pct"/>
            <w:vMerge w:val="restart"/>
            <w:tcBorders>
              <w:top w:val="single" w:sz="4" w:space="0" w:color="000000"/>
              <w:left w:val="single" w:sz="4" w:space="0" w:color="000000"/>
              <w:bottom w:val="single" w:sz="4" w:space="0" w:color="auto"/>
              <w:right w:val="single" w:sz="4" w:space="0" w:color="000000"/>
            </w:tcBorders>
            <w:hideMark/>
          </w:tcPr>
          <w:p w14:paraId="31F284E3" w14:textId="4319914F" w:rsidR="00A41E60" w:rsidRPr="00D85E09" w:rsidRDefault="00A41E60" w:rsidP="0043316B">
            <w:pPr>
              <w:pStyle w:val="Tabletext"/>
              <w:keepNext w:val="0"/>
              <w:widowControl w:val="0"/>
            </w:pPr>
            <w:r w:rsidRPr="00D85E09">
              <w:t>Gloede et al 2014, direct medical costs only; callibrated according to mRS cost multipliers from Baeten et al 2013.</w:t>
            </w:r>
          </w:p>
          <w:p w14:paraId="3FE0B695" w14:textId="711AD36F" w:rsidR="00A41E60" w:rsidRPr="00D85E09" w:rsidRDefault="00A41E60" w:rsidP="0043316B">
            <w:pPr>
              <w:pStyle w:val="Tabletext"/>
              <w:keepNext w:val="0"/>
              <w:widowControl w:val="0"/>
            </w:pPr>
            <w:r w:rsidRPr="00D85E09">
              <w:t xml:space="preserve">See Section </w:t>
            </w:r>
            <w:r w:rsidR="00092415" w:rsidRPr="00D85E09">
              <w:fldChar w:fldCharType="begin"/>
            </w:r>
            <w:r w:rsidR="00092415" w:rsidRPr="00D85E09">
              <w:instrText xml:space="preserve"> REF _Ref452371316 \r \h </w:instrText>
            </w:r>
            <w:r w:rsidR="00092415" w:rsidRPr="00D85E09">
              <w:fldChar w:fldCharType="separate"/>
            </w:r>
            <w:r w:rsidR="00A456ED">
              <w:t>C.5</w:t>
            </w:r>
            <w:r w:rsidR="00092415" w:rsidRPr="00D85E09">
              <w:fldChar w:fldCharType="end"/>
            </w:r>
          </w:p>
        </w:tc>
      </w:tr>
      <w:tr w:rsidR="00A41E60" w:rsidRPr="00D85E09" w14:paraId="36273BE9"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50A3693" w14:textId="7FCE8C34" w:rsidR="00A41E60" w:rsidRPr="00D85E09" w:rsidRDefault="00A41E60" w:rsidP="0043316B">
            <w:pPr>
              <w:pStyle w:val="Tabletext"/>
              <w:keepNext w:val="0"/>
              <w:widowControl w:val="0"/>
            </w:pPr>
            <w:r w:rsidRPr="00D85E09">
              <w:t xml:space="preserve"> mRS 0</w:t>
            </w:r>
          </w:p>
        </w:tc>
        <w:tc>
          <w:tcPr>
            <w:tcW w:w="1236" w:type="pct"/>
            <w:tcBorders>
              <w:top w:val="single" w:sz="4" w:space="0" w:color="000000"/>
              <w:left w:val="single" w:sz="4" w:space="0" w:color="000000"/>
              <w:bottom w:val="single" w:sz="4" w:space="0" w:color="000000"/>
              <w:right w:val="single" w:sz="4" w:space="0" w:color="000000"/>
            </w:tcBorders>
            <w:hideMark/>
          </w:tcPr>
          <w:p w14:paraId="73DC5C19" w14:textId="77777777" w:rsidR="00A41E60" w:rsidRPr="00D85E09" w:rsidRDefault="00A41E60" w:rsidP="0043316B">
            <w:pPr>
              <w:pStyle w:val="Tabletext"/>
              <w:keepNext w:val="0"/>
              <w:widowControl w:val="0"/>
            </w:pPr>
            <w:r w:rsidRPr="00D85E09">
              <w:t>$1,431</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7C61BD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3090A43B"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1A321896" w14:textId="4268CE8A" w:rsidR="00A41E60" w:rsidRPr="00D85E09" w:rsidRDefault="00A41E60" w:rsidP="0043316B">
            <w:pPr>
              <w:pStyle w:val="Tabletext"/>
              <w:keepNext w:val="0"/>
              <w:widowControl w:val="0"/>
            </w:pPr>
            <w:r w:rsidRPr="00D85E09">
              <w:t xml:space="preserve"> mRS 1</w:t>
            </w:r>
          </w:p>
        </w:tc>
        <w:tc>
          <w:tcPr>
            <w:tcW w:w="1236" w:type="pct"/>
            <w:tcBorders>
              <w:top w:val="single" w:sz="4" w:space="0" w:color="000000"/>
              <w:left w:val="single" w:sz="4" w:space="0" w:color="000000"/>
              <w:bottom w:val="single" w:sz="4" w:space="0" w:color="000000"/>
              <w:right w:val="single" w:sz="4" w:space="0" w:color="000000"/>
            </w:tcBorders>
            <w:hideMark/>
          </w:tcPr>
          <w:p w14:paraId="0EE5FC26" w14:textId="77777777" w:rsidR="00A41E60" w:rsidRPr="00D85E09" w:rsidRDefault="00A41E60" w:rsidP="0043316B">
            <w:pPr>
              <w:pStyle w:val="Tabletext"/>
              <w:keepNext w:val="0"/>
              <w:widowControl w:val="0"/>
            </w:pPr>
            <w:r w:rsidRPr="00D85E09">
              <w:t>$1,431</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807067D"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4F62B55"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7F93577" w14:textId="2E84B482" w:rsidR="00A41E60" w:rsidRPr="00D85E09" w:rsidRDefault="00A41E60" w:rsidP="0043316B">
            <w:pPr>
              <w:pStyle w:val="Tabletext"/>
              <w:keepNext w:val="0"/>
              <w:widowControl w:val="0"/>
            </w:pPr>
            <w:r w:rsidRPr="00D85E09">
              <w:t xml:space="preserve"> mRS 2</w:t>
            </w:r>
          </w:p>
        </w:tc>
        <w:tc>
          <w:tcPr>
            <w:tcW w:w="1236" w:type="pct"/>
            <w:tcBorders>
              <w:top w:val="single" w:sz="4" w:space="0" w:color="000000"/>
              <w:left w:val="single" w:sz="4" w:space="0" w:color="000000"/>
              <w:bottom w:val="single" w:sz="4" w:space="0" w:color="000000"/>
              <w:right w:val="single" w:sz="4" w:space="0" w:color="000000"/>
            </w:tcBorders>
            <w:hideMark/>
          </w:tcPr>
          <w:p w14:paraId="6E84DB63" w14:textId="77777777" w:rsidR="00A41E60" w:rsidRPr="00D85E09" w:rsidRDefault="00A41E60" w:rsidP="0043316B">
            <w:pPr>
              <w:pStyle w:val="Tabletext"/>
              <w:keepNext w:val="0"/>
              <w:widowControl w:val="0"/>
            </w:pPr>
            <w:r w:rsidRPr="00D85E09">
              <w:t>$1,814</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9E157E7"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69660551"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2E943CF" w14:textId="22467F7E" w:rsidR="00A41E60" w:rsidRPr="00D85E09" w:rsidRDefault="00A41E60" w:rsidP="0043316B">
            <w:pPr>
              <w:pStyle w:val="Tabletext"/>
              <w:keepNext w:val="0"/>
              <w:widowControl w:val="0"/>
            </w:pPr>
            <w:r w:rsidRPr="00D85E09">
              <w:t xml:space="preserve"> mRS 3</w:t>
            </w:r>
          </w:p>
        </w:tc>
        <w:tc>
          <w:tcPr>
            <w:tcW w:w="1236" w:type="pct"/>
            <w:tcBorders>
              <w:top w:val="single" w:sz="4" w:space="0" w:color="000000"/>
              <w:left w:val="single" w:sz="4" w:space="0" w:color="000000"/>
              <w:bottom w:val="single" w:sz="4" w:space="0" w:color="000000"/>
              <w:right w:val="single" w:sz="4" w:space="0" w:color="000000"/>
            </w:tcBorders>
            <w:hideMark/>
          </w:tcPr>
          <w:p w14:paraId="49DB0D34" w14:textId="77777777" w:rsidR="00A41E60" w:rsidRPr="00D85E09" w:rsidRDefault="00A41E60" w:rsidP="0043316B">
            <w:pPr>
              <w:pStyle w:val="Tabletext"/>
              <w:keepNext w:val="0"/>
              <w:widowControl w:val="0"/>
            </w:pPr>
            <w:r w:rsidRPr="00D85E09">
              <w:t>$1,814</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39655C9"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7856F199"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09E6D3AA" w14:textId="684AAA06" w:rsidR="00A41E60" w:rsidRPr="00D85E09" w:rsidRDefault="00A41E60" w:rsidP="0043316B">
            <w:pPr>
              <w:pStyle w:val="Tabletext"/>
              <w:keepNext w:val="0"/>
              <w:widowControl w:val="0"/>
            </w:pPr>
            <w:r w:rsidRPr="00D85E09">
              <w:t xml:space="preserve"> mRS 4</w:t>
            </w:r>
          </w:p>
        </w:tc>
        <w:tc>
          <w:tcPr>
            <w:tcW w:w="1236" w:type="pct"/>
            <w:tcBorders>
              <w:top w:val="single" w:sz="4" w:space="0" w:color="000000"/>
              <w:left w:val="single" w:sz="4" w:space="0" w:color="000000"/>
              <w:bottom w:val="single" w:sz="4" w:space="0" w:color="000000"/>
              <w:right w:val="single" w:sz="4" w:space="0" w:color="000000"/>
            </w:tcBorders>
            <w:hideMark/>
          </w:tcPr>
          <w:p w14:paraId="7752CF0F" w14:textId="77777777" w:rsidR="00A41E60" w:rsidRPr="00D85E09" w:rsidRDefault="00A41E60" w:rsidP="0043316B">
            <w:pPr>
              <w:pStyle w:val="Tabletext"/>
              <w:keepNext w:val="0"/>
              <w:widowControl w:val="0"/>
            </w:pPr>
            <w:r w:rsidRPr="00D85E09">
              <w:t>$14,027</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DE7C65"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0C8F8ED2"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3A7F82A7" w14:textId="50713245" w:rsidR="00A41E60" w:rsidRPr="00D85E09" w:rsidRDefault="00A41E60" w:rsidP="0043316B">
            <w:pPr>
              <w:pStyle w:val="Tabletext"/>
              <w:keepNext w:val="0"/>
              <w:widowControl w:val="0"/>
            </w:pPr>
            <w:r w:rsidRPr="00D85E09">
              <w:t xml:space="preserve"> mRS 5</w:t>
            </w:r>
          </w:p>
        </w:tc>
        <w:tc>
          <w:tcPr>
            <w:tcW w:w="1236" w:type="pct"/>
            <w:tcBorders>
              <w:top w:val="single" w:sz="4" w:space="0" w:color="000000"/>
              <w:left w:val="single" w:sz="4" w:space="0" w:color="000000"/>
              <w:bottom w:val="single" w:sz="4" w:space="0" w:color="000000"/>
              <w:right w:val="single" w:sz="4" w:space="0" w:color="000000"/>
            </w:tcBorders>
            <w:hideMark/>
          </w:tcPr>
          <w:p w14:paraId="48C4151D" w14:textId="77777777" w:rsidR="00A41E60" w:rsidRPr="00D85E09" w:rsidRDefault="00A41E60" w:rsidP="0043316B">
            <w:pPr>
              <w:pStyle w:val="Tabletext"/>
              <w:keepNext w:val="0"/>
              <w:widowControl w:val="0"/>
            </w:pPr>
            <w:r w:rsidRPr="00D85E09">
              <w:t>$17,943</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56AC836" w14:textId="77777777" w:rsidR="00A41E60" w:rsidRPr="00D85E09" w:rsidRDefault="00A41E60" w:rsidP="0043316B">
            <w:pPr>
              <w:widowControl w:val="0"/>
              <w:spacing w:after="0" w:line="240" w:lineRule="auto"/>
              <w:rPr>
                <w:rFonts w:ascii="Arial Narrow" w:hAnsi="Arial Narrow" w:cs="Times New Roman"/>
                <w:sz w:val="20"/>
                <w:szCs w:val="20"/>
              </w:rPr>
            </w:pPr>
          </w:p>
        </w:tc>
      </w:tr>
      <w:tr w:rsidR="00A41E60" w:rsidRPr="00D85E09" w14:paraId="5C3A13B0" w14:textId="77777777" w:rsidTr="00A41E60">
        <w:tc>
          <w:tcPr>
            <w:tcW w:w="2097" w:type="pct"/>
            <w:tcBorders>
              <w:top w:val="single" w:sz="4" w:space="0" w:color="000000"/>
              <w:left w:val="single" w:sz="4" w:space="0" w:color="000000"/>
              <w:bottom w:val="single" w:sz="4" w:space="0" w:color="000000"/>
              <w:right w:val="single" w:sz="4" w:space="0" w:color="000000"/>
            </w:tcBorders>
            <w:hideMark/>
          </w:tcPr>
          <w:p w14:paraId="7A66C189" w14:textId="345B0D2E" w:rsidR="00A41E60" w:rsidRPr="00D85E09" w:rsidRDefault="00A41E60" w:rsidP="0043316B">
            <w:pPr>
              <w:pStyle w:val="Tabletext"/>
              <w:keepNext w:val="0"/>
              <w:widowControl w:val="0"/>
            </w:pPr>
            <w:r w:rsidRPr="00D85E09">
              <w:t xml:space="preserve"> mRS 6</w:t>
            </w:r>
          </w:p>
        </w:tc>
        <w:tc>
          <w:tcPr>
            <w:tcW w:w="1236" w:type="pct"/>
            <w:tcBorders>
              <w:top w:val="single" w:sz="4" w:space="0" w:color="000000"/>
              <w:left w:val="single" w:sz="4" w:space="0" w:color="000000"/>
              <w:bottom w:val="single" w:sz="4" w:space="0" w:color="000000"/>
              <w:right w:val="single" w:sz="4" w:space="0" w:color="000000"/>
            </w:tcBorders>
            <w:hideMark/>
          </w:tcPr>
          <w:p w14:paraId="531BAE43" w14:textId="77777777" w:rsidR="00A41E60" w:rsidRPr="00D85E09" w:rsidRDefault="00A41E60" w:rsidP="0043316B">
            <w:pPr>
              <w:pStyle w:val="Tabletext"/>
              <w:keepNext w:val="0"/>
              <w:widowControl w:val="0"/>
              <w:rPr>
                <w:vertAlign w:val="subscript"/>
              </w:rPr>
            </w:pPr>
            <w:r w:rsidRPr="00D85E09">
              <w:rPr>
                <w:vertAlign w:val="subscript"/>
              </w:rPr>
              <w:softHyphen/>
            </w:r>
            <w:r w:rsidRPr="00D85E09">
              <w:rPr>
                <w:vertAlign w:val="subscript"/>
              </w:rPr>
              <w:softHyphen/>
              <w:t>–</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7F9262A" w14:textId="77777777" w:rsidR="00A41E60" w:rsidRPr="00D85E09" w:rsidRDefault="00A41E60" w:rsidP="0043316B">
            <w:pPr>
              <w:widowControl w:val="0"/>
              <w:spacing w:after="0" w:line="240" w:lineRule="auto"/>
              <w:rPr>
                <w:rFonts w:ascii="Arial Narrow" w:hAnsi="Arial Narrow" w:cs="Times New Roman"/>
                <w:sz w:val="20"/>
                <w:szCs w:val="20"/>
              </w:rPr>
            </w:pPr>
          </w:p>
        </w:tc>
      </w:tr>
    </w:tbl>
    <w:p w14:paraId="3B123F7F" w14:textId="77777777" w:rsidR="00A41E60" w:rsidRPr="00D85E09" w:rsidRDefault="00A41E60" w:rsidP="0043316B">
      <w:pPr>
        <w:pStyle w:val="Tablefooter"/>
        <w:widowControl w:val="0"/>
      </w:pPr>
      <w:r w:rsidRPr="00D85E09">
        <w:t>Note: See “Cost inputs” worksheet of “MT MSAC June 2016 Section D.xlsx”.</w:t>
      </w:r>
    </w:p>
    <w:p w14:paraId="461ACEF1" w14:textId="77777777" w:rsidR="00A41E60" w:rsidRPr="00D85E09" w:rsidRDefault="00A41E60" w:rsidP="0043316B">
      <w:pPr>
        <w:widowControl w:val="0"/>
        <w:rPr>
          <w:i/>
        </w:rPr>
      </w:pPr>
    </w:p>
    <w:p w14:paraId="0D81CB4C" w14:textId="04635383" w:rsidR="00A41E60" w:rsidRPr="00D85E09" w:rsidRDefault="00A41E60" w:rsidP="0043316B">
      <w:pPr>
        <w:widowControl w:val="0"/>
        <w:rPr>
          <w:i/>
        </w:rPr>
      </w:pPr>
      <w:r w:rsidRPr="00D85E09">
        <w:rPr>
          <w:i/>
        </w:rPr>
        <w:t>It is noted that no indirect costs such as productivity loss, carer’s time costs and transportation costs etc are not considered. While this is in line with the application guidelines, this will be a severely conservative approach, underestimating the true economic and broader societal value of post-stroke disability benefits offered by mechanical thrombectomy.</w:t>
      </w:r>
    </w:p>
    <w:p w14:paraId="4760CA9F" w14:textId="77777777" w:rsidR="00A41E60" w:rsidRPr="00D85E09" w:rsidRDefault="00A41E60" w:rsidP="0043316B">
      <w:pPr>
        <w:pStyle w:val="Heading3"/>
        <w:keepNext w:val="0"/>
        <w:widowControl w:val="0"/>
        <w:ind w:left="993" w:hanging="993"/>
        <w:rPr>
          <w:lang w:val="en-AU"/>
        </w:rPr>
      </w:pPr>
      <w:bookmarkStart w:id="553" w:name="_Ref448835771"/>
      <w:bookmarkStart w:id="554" w:name="_Toc453065319"/>
      <w:r w:rsidRPr="00D85E09">
        <w:rPr>
          <w:lang w:val="en-AU"/>
        </w:rPr>
        <w:t>Other inputs</w:t>
      </w:r>
      <w:bookmarkEnd w:id="553"/>
      <w:bookmarkEnd w:id="554"/>
    </w:p>
    <w:p w14:paraId="674A0F73" w14:textId="11EEA0E7" w:rsidR="00A41E60" w:rsidRPr="00D85E09" w:rsidRDefault="00A41E60" w:rsidP="0043316B">
      <w:pPr>
        <w:widowControl w:val="0"/>
      </w:pPr>
      <w:r w:rsidRPr="00D85E09">
        <w:t xml:space="preserve">Age-specific all-cause mortality is applied to patients in the long-term phase of the model (beyond one year) to model deaths. Mortality data from the Australian life table are used (ABS, Life table 3302.0.55.001). </w:t>
      </w:r>
      <w:r w:rsidRPr="00D85E09">
        <w:rPr>
          <w:i/>
        </w:rPr>
        <w:t>According to the Goyal meta-analysis, the baseline age is set to 68 years with 53% being male.</w:t>
      </w:r>
    </w:p>
    <w:p w14:paraId="1F3F98E1" w14:textId="04F64548" w:rsidR="00A41E60" w:rsidRPr="00D85E09" w:rsidRDefault="00A41E60" w:rsidP="0043316B">
      <w:pPr>
        <w:widowControl w:val="0"/>
      </w:pPr>
      <w:r w:rsidRPr="00D85E09">
        <w:rPr>
          <w:i/>
        </w:rPr>
        <w:t xml:space="preserve">It is acknowledged that patients with stroke history face an elevated mortality risk (e.g., Slot et al 2009). It is assumed that this has been already captured by the mid-/long-term mRS transition probabilities (to mRS 6). Accounting for the elevated mortality again would cause double counting, thus not performed here. Considering that patients with more severe post-stoke disability have higher risks of death (Slot et al 2009), then this is a conservative approach, biasing against mechanical thrombectomy in the current model. </w:t>
      </w:r>
      <w:r w:rsidRPr="00D85E09">
        <w:t>As noted above, Alternative Model 2 will be based on a different way of capturing the long-term post-stroke mortality as informed by a 3-year observational study of stroke survivors (Gensicke et al 2013).</w:t>
      </w:r>
      <w:bookmarkStart w:id="555" w:name="_Ref424650336"/>
    </w:p>
    <w:bookmarkEnd w:id="555"/>
    <w:p w14:paraId="65D8AB01" w14:textId="77777777" w:rsidR="00A41E60" w:rsidRPr="00D85E09" w:rsidRDefault="00A41E60" w:rsidP="0043316B">
      <w:pPr>
        <w:widowControl w:val="0"/>
      </w:pPr>
    </w:p>
    <w:p w14:paraId="44253934" w14:textId="77777777" w:rsidR="00A41E60" w:rsidRPr="00D85E09" w:rsidRDefault="00A41E60" w:rsidP="0043316B">
      <w:pPr>
        <w:pStyle w:val="Heading2"/>
        <w:widowControl w:val="0"/>
        <w:ind w:left="851" w:hanging="851"/>
        <w:rPr>
          <w:lang w:val="en-AU"/>
        </w:rPr>
      </w:pPr>
      <w:bookmarkStart w:id="556" w:name="_Ref367438132"/>
      <w:bookmarkStart w:id="557" w:name="_Ref367350216"/>
      <w:bookmarkStart w:id="558" w:name="_Ref367350210"/>
      <w:bookmarkStart w:id="559" w:name="_Ref367347195"/>
      <w:bookmarkStart w:id="560" w:name="_Toc358731922"/>
      <w:bookmarkStart w:id="561" w:name="_Toc453065320"/>
      <w:r w:rsidRPr="00D85E09">
        <w:rPr>
          <w:lang w:val="en-AU"/>
        </w:rPr>
        <w:t>Results of the economic evaluation</w:t>
      </w:r>
      <w:bookmarkEnd w:id="556"/>
      <w:bookmarkEnd w:id="557"/>
      <w:bookmarkEnd w:id="558"/>
      <w:bookmarkEnd w:id="559"/>
      <w:bookmarkEnd w:id="560"/>
      <w:bookmarkEnd w:id="561"/>
    </w:p>
    <w:p w14:paraId="631052AF" w14:textId="77777777" w:rsidR="00A41E60" w:rsidRPr="00D85E09" w:rsidRDefault="00A41E60" w:rsidP="0043316B">
      <w:pPr>
        <w:pStyle w:val="Heading3"/>
        <w:keepNext w:val="0"/>
        <w:widowControl w:val="0"/>
        <w:ind w:left="993" w:hanging="993"/>
        <w:rPr>
          <w:lang w:val="en-AU"/>
        </w:rPr>
      </w:pPr>
      <w:bookmarkStart w:id="562" w:name="_Toc453065321"/>
      <w:r w:rsidRPr="00D85E09">
        <w:rPr>
          <w:lang w:val="en-AU"/>
        </w:rPr>
        <w:t>Base case analysis</w:t>
      </w:r>
      <w:bookmarkEnd w:id="562"/>
    </w:p>
    <w:p w14:paraId="0440F8C4" w14:textId="63BB9077" w:rsidR="00A41E60" w:rsidRPr="00D85E09" w:rsidRDefault="00A41E60" w:rsidP="0043316B">
      <w:pPr>
        <w:widowControl w:val="0"/>
      </w:pPr>
      <w:bookmarkStart w:id="563" w:name="_Ref365984367"/>
      <w:r w:rsidRPr="00D85E09">
        <w:t>The current Section D model demonstrates a very favourable cost-effectiveness of mechanical thrombectomy vs usual care under the proposed listing. The base case ICER is estimated to be $12,880 per QALY gain.</w:t>
      </w:r>
    </w:p>
    <w:p w14:paraId="4B942DFA" w14:textId="601F72E2" w:rsidR="00A41E60" w:rsidRPr="00D85E09" w:rsidRDefault="00A41E60" w:rsidP="0043316B">
      <w:pPr>
        <w:widowControl w:val="0"/>
      </w:pPr>
      <w:r w:rsidRPr="00D85E09">
        <w:t>The net cost in the mechanical thrombectomy arm vs the usual care arm is estimated to be $10,666 in total. The higher cost associated with the proposed procedure is in part offset by the cost savings resulting from lower stroke care costs due to improved patient outcomes. Analysis of the components of the overall cost showed major differences in the stroke care costs between treatment arms. The life</w:t>
      </w:r>
      <w:r w:rsidR="00D32933" w:rsidRPr="00D85E09">
        <w:t>-</w:t>
      </w:r>
      <w:r w:rsidRPr="00D85E09">
        <w:t>time cost savings in terms of stroke care cost is estimated to be more than $8000 per patient for patients who had received mechanical thrombectomy. A small incremental cost for mechanical thrombectomy in the acute stroke care ($545) is due to the fact less patients die when compared with the usual care arm (thus incurring additional acute care costs).</w:t>
      </w:r>
    </w:p>
    <w:p w14:paraId="0EB4A132" w14:textId="202D4D9B" w:rsidR="00A41E60" w:rsidRPr="00D85E09" w:rsidRDefault="00A41E60" w:rsidP="0043316B">
      <w:pPr>
        <w:widowControl w:val="0"/>
      </w:pPr>
      <w:r w:rsidRPr="00D85E09">
        <w:t>Higher QALYs and life years were observed in the mechanical thrombectomy arm (a difference of 0.83 and 0.77 per patient, discounted incremental QALYs and life years, respectively), reflecting the higher mortality rate and lower quality of life in patients with more severe stroke outcomes in the usual care arm. A significantly larger proportion of patients had an mRS score of ≤2 (0.460 vs 0.265).</w:t>
      </w:r>
    </w:p>
    <w:p w14:paraId="4298B8AE" w14:textId="7CFD80BE" w:rsidR="00A41E60" w:rsidRPr="00D85E09" w:rsidRDefault="00A41E60" w:rsidP="0043316B">
      <w:pPr>
        <w:widowControl w:val="0"/>
      </w:pPr>
      <w:r w:rsidRPr="00D85E09">
        <w:t xml:space="preserve">A break-down of these results can be found in </w:t>
      </w:r>
      <w:r w:rsidRPr="00D85E09">
        <w:fldChar w:fldCharType="begin"/>
      </w:r>
      <w:r w:rsidRPr="00D85E09">
        <w:instrText xml:space="preserve"> REF _Ref424726036 \h </w:instrText>
      </w:r>
      <w:r w:rsidRPr="00D85E09">
        <w:fldChar w:fldCharType="separate"/>
      </w:r>
      <w:r w:rsidR="00A456ED" w:rsidRPr="00D85E09">
        <w:t xml:space="preserve">Table </w:t>
      </w:r>
      <w:r w:rsidR="00A456ED">
        <w:rPr>
          <w:noProof/>
        </w:rPr>
        <w:t>91</w:t>
      </w:r>
      <w:r w:rsidRPr="00D85E09">
        <w:fldChar w:fldCharType="end"/>
      </w:r>
      <w:r w:rsidRPr="00D85E09">
        <w:t>.</w:t>
      </w:r>
    </w:p>
    <w:p w14:paraId="77F1C9EB" w14:textId="676BD416" w:rsidR="00A41E60" w:rsidRPr="00D85E09" w:rsidRDefault="00A41E60" w:rsidP="0043316B">
      <w:pPr>
        <w:pStyle w:val="Caption"/>
        <w:keepNext w:val="0"/>
        <w:widowControl w:val="0"/>
        <w:rPr>
          <w:lang w:val="en-AU"/>
        </w:rPr>
      </w:pPr>
      <w:bookmarkStart w:id="564" w:name="_Ref424726036"/>
      <w:bookmarkStart w:id="565" w:name="_Toc45306542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91</w:t>
      </w:r>
      <w:r w:rsidRPr="00D85E09">
        <w:rPr>
          <w:lang w:val="en-AU"/>
        </w:rPr>
        <w:fldChar w:fldCharType="end"/>
      </w:r>
      <w:bookmarkEnd w:id="564"/>
      <w:r w:rsidRPr="00D85E09">
        <w:rPr>
          <w:lang w:val="en-AU"/>
        </w:rPr>
        <w:tab/>
        <w:t>Break-down of base case results (per patient)</w:t>
      </w:r>
      <w:bookmarkEnd w:id="5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91 Break-down of base case results (per patient)"/>
      </w:tblPr>
      <w:tblGrid>
        <w:gridCol w:w="4403"/>
        <w:gridCol w:w="1629"/>
        <w:gridCol w:w="1629"/>
        <w:gridCol w:w="1627"/>
      </w:tblGrid>
      <w:tr w:rsidR="00A41E60" w:rsidRPr="00D85E09" w14:paraId="15FE3B3D"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bottom"/>
            <w:hideMark/>
          </w:tcPr>
          <w:p w14:paraId="11DC2CFE" w14:textId="77777777" w:rsidR="00A41E60" w:rsidRPr="00D85E09" w:rsidRDefault="00A41E60" w:rsidP="0043316B">
            <w:pPr>
              <w:widowControl w:val="0"/>
            </w:pPr>
          </w:p>
        </w:tc>
        <w:tc>
          <w:tcPr>
            <w:tcW w:w="877" w:type="pct"/>
            <w:tcBorders>
              <w:top w:val="single" w:sz="4" w:space="0" w:color="auto"/>
              <w:left w:val="single" w:sz="4" w:space="0" w:color="auto"/>
              <w:bottom w:val="single" w:sz="4" w:space="0" w:color="auto"/>
              <w:right w:val="single" w:sz="4" w:space="0" w:color="auto"/>
            </w:tcBorders>
            <w:vAlign w:val="center"/>
            <w:hideMark/>
          </w:tcPr>
          <w:p w14:paraId="46B6C00C" w14:textId="77777777" w:rsidR="00A41E60" w:rsidRPr="00D85E09" w:rsidRDefault="00A41E60" w:rsidP="0043316B">
            <w:pPr>
              <w:pStyle w:val="Tabletext"/>
              <w:keepNext w:val="0"/>
              <w:widowControl w:val="0"/>
              <w:jc w:val="center"/>
              <w:rPr>
                <w:b/>
              </w:rPr>
            </w:pPr>
            <w:r w:rsidRPr="00D85E09">
              <w:rPr>
                <w:b/>
              </w:rPr>
              <w:t>MT + usual care</w:t>
            </w:r>
          </w:p>
        </w:tc>
        <w:tc>
          <w:tcPr>
            <w:tcW w:w="877" w:type="pct"/>
            <w:tcBorders>
              <w:top w:val="single" w:sz="4" w:space="0" w:color="auto"/>
              <w:left w:val="single" w:sz="4" w:space="0" w:color="auto"/>
              <w:bottom w:val="single" w:sz="4" w:space="0" w:color="auto"/>
              <w:right w:val="single" w:sz="4" w:space="0" w:color="auto"/>
            </w:tcBorders>
            <w:vAlign w:val="center"/>
            <w:hideMark/>
          </w:tcPr>
          <w:p w14:paraId="6BF279E7" w14:textId="77777777" w:rsidR="00A41E60" w:rsidRPr="00D85E09" w:rsidRDefault="00A41E60" w:rsidP="0043316B">
            <w:pPr>
              <w:pStyle w:val="Tabletext"/>
              <w:keepNext w:val="0"/>
              <w:widowControl w:val="0"/>
              <w:jc w:val="center"/>
              <w:rPr>
                <w:b/>
              </w:rPr>
            </w:pPr>
            <w:r w:rsidRPr="00D85E09">
              <w:rPr>
                <w:b/>
              </w:rPr>
              <w:t>Usual care</w:t>
            </w:r>
          </w:p>
        </w:tc>
        <w:tc>
          <w:tcPr>
            <w:tcW w:w="876" w:type="pct"/>
            <w:tcBorders>
              <w:top w:val="single" w:sz="4" w:space="0" w:color="auto"/>
              <w:left w:val="single" w:sz="4" w:space="0" w:color="auto"/>
              <w:bottom w:val="single" w:sz="4" w:space="0" w:color="auto"/>
              <w:right w:val="single" w:sz="4" w:space="0" w:color="auto"/>
            </w:tcBorders>
            <w:vAlign w:val="center"/>
            <w:hideMark/>
          </w:tcPr>
          <w:p w14:paraId="503B8230" w14:textId="77777777" w:rsidR="00A41E60" w:rsidRPr="00D85E09" w:rsidRDefault="00A41E60" w:rsidP="0043316B">
            <w:pPr>
              <w:pStyle w:val="Tabletext"/>
              <w:keepNext w:val="0"/>
              <w:widowControl w:val="0"/>
              <w:jc w:val="center"/>
              <w:rPr>
                <w:b/>
              </w:rPr>
            </w:pPr>
            <w:r w:rsidRPr="00D85E09">
              <w:rPr>
                <w:b/>
              </w:rPr>
              <w:t>Incremental</w:t>
            </w:r>
          </w:p>
        </w:tc>
      </w:tr>
      <w:tr w:rsidR="00A41E60" w:rsidRPr="00D85E09" w14:paraId="2DBBEF46" w14:textId="77777777" w:rsidTr="00A41E60">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553357CB" w14:textId="77777777" w:rsidR="00A41E60" w:rsidRPr="00D85E09" w:rsidRDefault="00A41E60" w:rsidP="0043316B">
            <w:pPr>
              <w:pStyle w:val="Tabletext"/>
              <w:keepNext w:val="0"/>
              <w:widowControl w:val="0"/>
              <w:rPr>
                <w:b/>
                <w:i/>
              </w:rPr>
            </w:pPr>
            <w:r w:rsidRPr="00D85E09">
              <w:rPr>
                <w:b/>
                <w:i/>
              </w:rPr>
              <w:t>Costs</w:t>
            </w:r>
          </w:p>
        </w:tc>
      </w:tr>
      <w:tr w:rsidR="00A41E60" w:rsidRPr="00D85E09" w14:paraId="57784188"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1DD712D2" w14:textId="77777777" w:rsidR="00A41E60" w:rsidRPr="00D85E09" w:rsidRDefault="00A41E60" w:rsidP="0043316B">
            <w:pPr>
              <w:pStyle w:val="Tabletext"/>
              <w:keepNext w:val="0"/>
              <w:widowControl w:val="0"/>
            </w:pPr>
            <w:r w:rsidRPr="00D85E09">
              <w:t>Mechanical thrombectomy</w:t>
            </w:r>
          </w:p>
        </w:tc>
        <w:tc>
          <w:tcPr>
            <w:tcW w:w="877" w:type="pct"/>
            <w:tcBorders>
              <w:top w:val="single" w:sz="4" w:space="0" w:color="auto"/>
              <w:left w:val="single" w:sz="4" w:space="0" w:color="auto"/>
              <w:bottom w:val="single" w:sz="4" w:space="0" w:color="auto"/>
              <w:right w:val="single" w:sz="4" w:space="0" w:color="auto"/>
            </w:tcBorders>
            <w:noWrap/>
            <w:hideMark/>
          </w:tcPr>
          <w:p w14:paraId="5EF9B337" w14:textId="77777777" w:rsidR="00A41E60" w:rsidRPr="00D85E09" w:rsidRDefault="00A41E60" w:rsidP="0043316B">
            <w:pPr>
              <w:pStyle w:val="Tabletext"/>
              <w:keepNext w:val="0"/>
              <w:widowControl w:val="0"/>
              <w:jc w:val="center"/>
            </w:pPr>
            <w:r w:rsidRPr="00D85E09">
              <w:t>$18,308</w:t>
            </w:r>
          </w:p>
        </w:tc>
        <w:tc>
          <w:tcPr>
            <w:tcW w:w="877" w:type="pct"/>
            <w:tcBorders>
              <w:top w:val="single" w:sz="4" w:space="0" w:color="auto"/>
              <w:left w:val="single" w:sz="4" w:space="0" w:color="auto"/>
              <w:bottom w:val="single" w:sz="4" w:space="0" w:color="auto"/>
              <w:right w:val="single" w:sz="4" w:space="0" w:color="auto"/>
            </w:tcBorders>
            <w:noWrap/>
            <w:hideMark/>
          </w:tcPr>
          <w:p w14:paraId="2C5D3646" w14:textId="77777777" w:rsidR="00A41E60" w:rsidRPr="00D85E09" w:rsidRDefault="00A41E60" w:rsidP="0043316B">
            <w:pPr>
              <w:pStyle w:val="Tabletext"/>
              <w:keepNext w:val="0"/>
              <w:widowControl w:val="0"/>
              <w:jc w:val="center"/>
            </w:pPr>
            <w:r w:rsidRPr="00D85E09">
              <w:t>$-</w:t>
            </w:r>
          </w:p>
        </w:tc>
        <w:tc>
          <w:tcPr>
            <w:tcW w:w="876" w:type="pct"/>
            <w:tcBorders>
              <w:top w:val="single" w:sz="4" w:space="0" w:color="auto"/>
              <w:left w:val="single" w:sz="4" w:space="0" w:color="auto"/>
              <w:bottom w:val="single" w:sz="4" w:space="0" w:color="auto"/>
              <w:right w:val="single" w:sz="4" w:space="0" w:color="auto"/>
            </w:tcBorders>
            <w:noWrap/>
            <w:hideMark/>
          </w:tcPr>
          <w:p w14:paraId="0EF7E77C" w14:textId="77777777" w:rsidR="00A41E60" w:rsidRPr="00D85E09" w:rsidRDefault="00A41E60" w:rsidP="0043316B">
            <w:pPr>
              <w:pStyle w:val="Tabletext"/>
              <w:keepNext w:val="0"/>
              <w:widowControl w:val="0"/>
              <w:jc w:val="center"/>
            </w:pPr>
            <w:r w:rsidRPr="00D85E09">
              <w:t>$18,308</w:t>
            </w:r>
          </w:p>
        </w:tc>
      </w:tr>
      <w:tr w:rsidR="00A41E60" w:rsidRPr="00D85E09" w14:paraId="0B40EF91"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3B76F52B" w14:textId="77777777" w:rsidR="00A41E60" w:rsidRPr="00D85E09" w:rsidRDefault="00A41E60" w:rsidP="0043316B">
            <w:pPr>
              <w:pStyle w:val="Tabletext"/>
              <w:keepNext w:val="0"/>
              <w:widowControl w:val="0"/>
            </w:pPr>
            <w:r w:rsidRPr="00D85E09">
              <w:t xml:space="preserve">Acute stroke care </w:t>
            </w:r>
          </w:p>
        </w:tc>
        <w:tc>
          <w:tcPr>
            <w:tcW w:w="877" w:type="pct"/>
            <w:tcBorders>
              <w:top w:val="single" w:sz="4" w:space="0" w:color="auto"/>
              <w:left w:val="single" w:sz="4" w:space="0" w:color="auto"/>
              <w:bottom w:val="single" w:sz="4" w:space="0" w:color="auto"/>
              <w:right w:val="single" w:sz="4" w:space="0" w:color="auto"/>
            </w:tcBorders>
            <w:noWrap/>
            <w:hideMark/>
          </w:tcPr>
          <w:p w14:paraId="5DA848A3" w14:textId="77777777" w:rsidR="00A41E60" w:rsidRPr="00D85E09" w:rsidRDefault="00A41E60" w:rsidP="0043316B">
            <w:pPr>
              <w:pStyle w:val="Tabletext"/>
              <w:keepNext w:val="0"/>
              <w:widowControl w:val="0"/>
              <w:jc w:val="center"/>
            </w:pPr>
            <w:r w:rsidRPr="00D85E09">
              <w:t>$21,193</w:t>
            </w:r>
          </w:p>
        </w:tc>
        <w:tc>
          <w:tcPr>
            <w:tcW w:w="877" w:type="pct"/>
            <w:tcBorders>
              <w:top w:val="single" w:sz="4" w:space="0" w:color="auto"/>
              <w:left w:val="single" w:sz="4" w:space="0" w:color="auto"/>
              <w:bottom w:val="single" w:sz="4" w:space="0" w:color="auto"/>
              <w:right w:val="single" w:sz="4" w:space="0" w:color="auto"/>
            </w:tcBorders>
            <w:noWrap/>
            <w:hideMark/>
          </w:tcPr>
          <w:p w14:paraId="1BF78323" w14:textId="77777777" w:rsidR="00A41E60" w:rsidRPr="00D85E09" w:rsidRDefault="00A41E60" w:rsidP="0043316B">
            <w:pPr>
              <w:pStyle w:val="Tabletext"/>
              <w:keepNext w:val="0"/>
              <w:widowControl w:val="0"/>
              <w:jc w:val="center"/>
            </w:pPr>
            <w:r w:rsidRPr="00D85E09">
              <w:t>$20,690</w:t>
            </w:r>
          </w:p>
        </w:tc>
        <w:tc>
          <w:tcPr>
            <w:tcW w:w="876" w:type="pct"/>
            <w:tcBorders>
              <w:top w:val="single" w:sz="4" w:space="0" w:color="auto"/>
              <w:left w:val="single" w:sz="4" w:space="0" w:color="auto"/>
              <w:bottom w:val="single" w:sz="4" w:space="0" w:color="auto"/>
              <w:right w:val="single" w:sz="4" w:space="0" w:color="auto"/>
            </w:tcBorders>
            <w:noWrap/>
            <w:hideMark/>
          </w:tcPr>
          <w:p w14:paraId="016E9B1A" w14:textId="77777777" w:rsidR="00A41E60" w:rsidRPr="00D85E09" w:rsidRDefault="00A41E60" w:rsidP="0043316B">
            <w:pPr>
              <w:pStyle w:val="Tabletext"/>
              <w:keepNext w:val="0"/>
              <w:widowControl w:val="0"/>
              <w:jc w:val="center"/>
            </w:pPr>
            <w:r w:rsidRPr="00D85E09">
              <w:t>$503</w:t>
            </w:r>
          </w:p>
        </w:tc>
      </w:tr>
      <w:tr w:rsidR="00A41E60" w:rsidRPr="00D85E09" w14:paraId="4B4FEF04"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55334D37" w14:textId="77777777" w:rsidR="00A41E60" w:rsidRPr="00D85E09" w:rsidRDefault="00A41E60" w:rsidP="0043316B">
            <w:pPr>
              <w:pStyle w:val="Tabletext"/>
              <w:keepNext w:val="0"/>
              <w:widowControl w:val="0"/>
            </w:pPr>
            <w:r w:rsidRPr="00D85E09">
              <w:t>Mid-term stroke care (to 365 days)</w:t>
            </w:r>
          </w:p>
        </w:tc>
        <w:tc>
          <w:tcPr>
            <w:tcW w:w="877" w:type="pct"/>
            <w:tcBorders>
              <w:top w:val="single" w:sz="4" w:space="0" w:color="auto"/>
              <w:left w:val="single" w:sz="4" w:space="0" w:color="auto"/>
              <w:bottom w:val="single" w:sz="4" w:space="0" w:color="auto"/>
              <w:right w:val="single" w:sz="4" w:space="0" w:color="auto"/>
            </w:tcBorders>
            <w:noWrap/>
            <w:hideMark/>
          </w:tcPr>
          <w:p w14:paraId="2C261D85" w14:textId="77777777" w:rsidR="00A41E60" w:rsidRPr="00D85E09" w:rsidRDefault="00A41E60" w:rsidP="0043316B">
            <w:pPr>
              <w:pStyle w:val="Tabletext"/>
              <w:keepNext w:val="0"/>
              <w:widowControl w:val="0"/>
              <w:jc w:val="center"/>
            </w:pPr>
            <w:r w:rsidRPr="00D85E09">
              <w:t>$14,034</w:t>
            </w:r>
          </w:p>
        </w:tc>
        <w:tc>
          <w:tcPr>
            <w:tcW w:w="877" w:type="pct"/>
            <w:tcBorders>
              <w:top w:val="single" w:sz="4" w:space="0" w:color="auto"/>
              <w:left w:val="single" w:sz="4" w:space="0" w:color="auto"/>
              <w:bottom w:val="single" w:sz="4" w:space="0" w:color="auto"/>
              <w:right w:val="single" w:sz="4" w:space="0" w:color="auto"/>
            </w:tcBorders>
            <w:noWrap/>
            <w:hideMark/>
          </w:tcPr>
          <w:p w14:paraId="4D475414" w14:textId="77777777" w:rsidR="00A41E60" w:rsidRPr="00D85E09" w:rsidRDefault="00A41E60" w:rsidP="0043316B">
            <w:pPr>
              <w:pStyle w:val="Tabletext"/>
              <w:keepNext w:val="0"/>
              <w:widowControl w:val="0"/>
              <w:jc w:val="center"/>
            </w:pPr>
            <w:r w:rsidRPr="00D85E09">
              <w:t>$15,008</w:t>
            </w:r>
          </w:p>
        </w:tc>
        <w:tc>
          <w:tcPr>
            <w:tcW w:w="876" w:type="pct"/>
            <w:tcBorders>
              <w:top w:val="single" w:sz="4" w:space="0" w:color="auto"/>
              <w:left w:val="single" w:sz="4" w:space="0" w:color="auto"/>
              <w:bottom w:val="single" w:sz="4" w:space="0" w:color="auto"/>
              <w:right w:val="single" w:sz="4" w:space="0" w:color="auto"/>
            </w:tcBorders>
            <w:noWrap/>
            <w:hideMark/>
          </w:tcPr>
          <w:p w14:paraId="44715829" w14:textId="77777777" w:rsidR="00A41E60" w:rsidRPr="00D85E09" w:rsidRDefault="00A41E60" w:rsidP="0043316B">
            <w:pPr>
              <w:pStyle w:val="Tabletext"/>
              <w:keepNext w:val="0"/>
              <w:widowControl w:val="0"/>
              <w:jc w:val="center"/>
            </w:pPr>
            <w:r w:rsidRPr="00D85E09">
              <w:t>-$974</w:t>
            </w:r>
          </w:p>
        </w:tc>
      </w:tr>
      <w:tr w:rsidR="00A41E60" w:rsidRPr="00D85E09" w14:paraId="1E3885B1"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5491494A" w14:textId="77777777" w:rsidR="00A41E60" w:rsidRPr="00D85E09" w:rsidRDefault="00A41E60" w:rsidP="0043316B">
            <w:pPr>
              <w:pStyle w:val="Tabletext"/>
              <w:keepNext w:val="0"/>
              <w:widowControl w:val="0"/>
            </w:pPr>
            <w:r w:rsidRPr="00D85E09">
              <w:t>Long-term stroke care (&gt;1 year)</w:t>
            </w:r>
          </w:p>
        </w:tc>
        <w:tc>
          <w:tcPr>
            <w:tcW w:w="877" w:type="pct"/>
            <w:tcBorders>
              <w:top w:val="single" w:sz="4" w:space="0" w:color="auto"/>
              <w:left w:val="single" w:sz="4" w:space="0" w:color="auto"/>
              <w:bottom w:val="single" w:sz="4" w:space="0" w:color="auto"/>
              <w:right w:val="single" w:sz="4" w:space="0" w:color="auto"/>
            </w:tcBorders>
            <w:noWrap/>
            <w:hideMark/>
          </w:tcPr>
          <w:p w14:paraId="64B577BE" w14:textId="77777777" w:rsidR="00A41E60" w:rsidRPr="00D85E09" w:rsidRDefault="00A41E60" w:rsidP="0043316B">
            <w:pPr>
              <w:pStyle w:val="Tabletext"/>
              <w:keepNext w:val="0"/>
              <w:widowControl w:val="0"/>
              <w:jc w:val="center"/>
            </w:pPr>
            <w:r w:rsidRPr="00D85E09">
              <w:t>$42,731</w:t>
            </w:r>
          </w:p>
        </w:tc>
        <w:tc>
          <w:tcPr>
            <w:tcW w:w="877" w:type="pct"/>
            <w:tcBorders>
              <w:top w:val="single" w:sz="4" w:space="0" w:color="auto"/>
              <w:left w:val="single" w:sz="4" w:space="0" w:color="auto"/>
              <w:bottom w:val="single" w:sz="4" w:space="0" w:color="auto"/>
              <w:right w:val="single" w:sz="4" w:space="0" w:color="auto"/>
            </w:tcBorders>
            <w:noWrap/>
            <w:hideMark/>
          </w:tcPr>
          <w:p w14:paraId="20BFA864" w14:textId="77777777" w:rsidR="00A41E60" w:rsidRPr="00D85E09" w:rsidRDefault="00A41E60" w:rsidP="0043316B">
            <w:pPr>
              <w:pStyle w:val="Tabletext"/>
              <w:keepNext w:val="0"/>
              <w:widowControl w:val="0"/>
              <w:jc w:val="center"/>
            </w:pPr>
            <w:r w:rsidRPr="00D85E09">
              <w:t>$50,447</w:t>
            </w:r>
          </w:p>
        </w:tc>
        <w:tc>
          <w:tcPr>
            <w:tcW w:w="876" w:type="pct"/>
            <w:tcBorders>
              <w:top w:val="single" w:sz="4" w:space="0" w:color="auto"/>
              <w:left w:val="single" w:sz="4" w:space="0" w:color="auto"/>
              <w:bottom w:val="single" w:sz="4" w:space="0" w:color="auto"/>
              <w:right w:val="single" w:sz="4" w:space="0" w:color="auto"/>
            </w:tcBorders>
            <w:noWrap/>
            <w:hideMark/>
          </w:tcPr>
          <w:p w14:paraId="73ABBB2C" w14:textId="77777777" w:rsidR="00A41E60" w:rsidRPr="00D85E09" w:rsidRDefault="00A41E60" w:rsidP="0043316B">
            <w:pPr>
              <w:pStyle w:val="Tabletext"/>
              <w:keepNext w:val="0"/>
              <w:widowControl w:val="0"/>
              <w:jc w:val="center"/>
            </w:pPr>
            <w:r w:rsidRPr="00D85E09">
              <w:t>-$7,716</w:t>
            </w:r>
          </w:p>
        </w:tc>
      </w:tr>
      <w:tr w:rsidR="00A41E60" w:rsidRPr="00D85E09" w14:paraId="28CBAD69"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796D90C5" w14:textId="77777777" w:rsidR="00A41E60" w:rsidRPr="00D85E09" w:rsidRDefault="00A41E60" w:rsidP="0043316B">
            <w:pPr>
              <w:pStyle w:val="Tabletext"/>
              <w:keepNext w:val="0"/>
              <w:widowControl w:val="0"/>
            </w:pPr>
            <w:r w:rsidRPr="00D85E09">
              <w:t>Recurrent stroke costs</w:t>
            </w:r>
          </w:p>
        </w:tc>
        <w:tc>
          <w:tcPr>
            <w:tcW w:w="877" w:type="pct"/>
            <w:tcBorders>
              <w:top w:val="single" w:sz="4" w:space="0" w:color="auto"/>
              <w:left w:val="single" w:sz="4" w:space="0" w:color="auto"/>
              <w:bottom w:val="single" w:sz="4" w:space="0" w:color="auto"/>
              <w:right w:val="single" w:sz="4" w:space="0" w:color="auto"/>
            </w:tcBorders>
            <w:noWrap/>
            <w:hideMark/>
          </w:tcPr>
          <w:p w14:paraId="7B57BB9E" w14:textId="77777777" w:rsidR="00A41E60" w:rsidRPr="00D85E09" w:rsidRDefault="00A41E60" w:rsidP="0043316B">
            <w:pPr>
              <w:pStyle w:val="Tabletext"/>
              <w:keepNext w:val="0"/>
              <w:widowControl w:val="0"/>
              <w:jc w:val="center"/>
            </w:pPr>
            <w:r w:rsidRPr="00D85E09">
              <w:t>$5,711</w:t>
            </w:r>
          </w:p>
        </w:tc>
        <w:tc>
          <w:tcPr>
            <w:tcW w:w="877" w:type="pct"/>
            <w:tcBorders>
              <w:top w:val="single" w:sz="4" w:space="0" w:color="auto"/>
              <w:left w:val="single" w:sz="4" w:space="0" w:color="auto"/>
              <w:bottom w:val="single" w:sz="4" w:space="0" w:color="auto"/>
              <w:right w:val="single" w:sz="4" w:space="0" w:color="auto"/>
            </w:tcBorders>
            <w:noWrap/>
            <w:hideMark/>
          </w:tcPr>
          <w:p w14:paraId="6FC58585" w14:textId="77777777" w:rsidR="00A41E60" w:rsidRPr="00D85E09" w:rsidRDefault="00A41E60" w:rsidP="0043316B">
            <w:pPr>
              <w:pStyle w:val="Tabletext"/>
              <w:keepNext w:val="0"/>
              <w:widowControl w:val="0"/>
              <w:jc w:val="center"/>
            </w:pPr>
            <w:r w:rsidRPr="00D85E09">
              <w:t>$5,165</w:t>
            </w:r>
          </w:p>
        </w:tc>
        <w:tc>
          <w:tcPr>
            <w:tcW w:w="876" w:type="pct"/>
            <w:tcBorders>
              <w:top w:val="single" w:sz="4" w:space="0" w:color="auto"/>
              <w:left w:val="single" w:sz="4" w:space="0" w:color="auto"/>
              <w:bottom w:val="single" w:sz="4" w:space="0" w:color="auto"/>
              <w:right w:val="single" w:sz="4" w:space="0" w:color="auto"/>
            </w:tcBorders>
            <w:noWrap/>
            <w:hideMark/>
          </w:tcPr>
          <w:p w14:paraId="07A03987" w14:textId="77777777" w:rsidR="00A41E60" w:rsidRPr="00D85E09" w:rsidRDefault="00A41E60" w:rsidP="0043316B">
            <w:pPr>
              <w:pStyle w:val="Tabletext"/>
              <w:keepNext w:val="0"/>
              <w:widowControl w:val="0"/>
              <w:jc w:val="center"/>
            </w:pPr>
            <w:r w:rsidRPr="00D85E09">
              <w:t>$545</w:t>
            </w:r>
          </w:p>
        </w:tc>
      </w:tr>
      <w:tr w:rsidR="00A41E60" w:rsidRPr="00D85E09" w14:paraId="6C1882DB"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28C865EB" w14:textId="77777777" w:rsidR="00A41E60" w:rsidRPr="00D85E09" w:rsidRDefault="00A41E60" w:rsidP="0043316B">
            <w:pPr>
              <w:pStyle w:val="Tabletext"/>
              <w:keepNext w:val="0"/>
              <w:widowControl w:val="0"/>
            </w:pPr>
            <w:r w:rsidRPr="00D85E09">
              <w:t>Total costs</w:t>
            </w:r>
          </w:p>
        </w:tc>
        <w:tc>
          <w:tcPr>
            <w:tcW w:w="877" w:type="pct"/>
            <w:tcBorders>
              <w:top w:val="single" w:sz="4" w:space="0" w:color="auto"/>
              <w:left w:val="single" w:sz="4" w:space="0" w:color="auto"/>
              <w:bottom w:val="single" w:sz="4" w:space="0" w:color="auto"/>
              <w:right w:val="single" w:sz="4" w:space="0" w:color="auto"/>
            </w:tcBorders>
            <w:noWrap/>
            <w:hideMark/>
          </w:tcPr>
          <w:p w14:paraId="2AFABADE" w14:textId="77777777" w:rsidR="00A41E60" w:rsidRPr="00D85E09" w:rsidRDefault="00A41E60" w:rsidP="0043316B">
            <w:pPr>
              <w:pStyle w:val="Tabletext"/>
              <w:keepNext w:val="0"/>
              <w:widowControl w:val="0"/>
              <w:jc w:val="center"/>
            </w:pPr>
            <w:r w:rsidRPr="00D85E09">
              <w:t>$101,977</w:t>
            </w:r>
          </w:p>
        </w:tc>
        <w:tc>
          <w:tcPr>
            <w:tcW w:w="877" w:type="pct"/>
            <w:tcBorders>
              <w:top w:val="single" w:sz="4" w:space="0" w:color="auto"/>
              <w:left w:val="single" w:sz="4" w:space="0" w:color="auto"/>
              <w:bottom w:val="single" w:sz="4" w:space="0" w:color="auto"/>
              <w:right w:val="single" w:sz="4" w:space="0" w:color="auto"/>
            </w:tcBorders>
            <w:noWrap/>
            <w:hideMark/>
          </w:tcPr>
          <w:p w14:paraId="6FDFAFF6" w14:textId="77777777" w:rsidR="00A41E60" w:rsidRPr="00D85E09" w:rsidRDefault="00A41E60" w:rsidP="0043316B">
            <w:pPr>
              <w:pStyle w:val="Tabletext"/>
              <w:keepNext w:val="0"/>
              <w:widowControl w:val="0"/>
              <w:jc w:val="center"/>
            </w:pPr>
            <w:r w:rsidRPr="00D85E09">
              <w:t>$91,311</w:t>
            </w:r>
          </w:p>
        </w:tc>
        <w:tc>
          <w:tcPr>
            <w:tcW w:w="876" w:type="pct"/>
            <w:tcBorders>
              <w:top w:val="single" w:sz="4" w:space="0" w:color="auto"/>
              <w:left w:val="single" w:sz="4" w:space="0" w:color="auto"/>
              <w:bottom w:val="single" w:sz="4" w:space="0" w:color="auto"/>
              <w:right w:val="single" w:sz="4" w:space="0" w:color="auto"/>
            </w:tcBorders>
            <w:noWrap/>
            <w:hideMark/>
          </w:tcPr>
          <w:p w14:paraId="736E5DFC" w14:textId="77777777" w:rsidR="00A41E60" w:rsidRPr="00D85E09" w:rsidRDefault="00A41E60" w:rsidP="0043316B">
            <w:pPr>
              <w:pStyle w:val="Tabletext"/>
              <w:keepNext w:val="0"/>
              <w:widowControl w:val="0"/>
              <w:jc w:val="center"/>
            </w:pPr>
            <w:r w:rsidRPr="00D85E09">
              <w:t>$10,666</w:t>
            </w:r>
          </w:p>
        </w:tc>
      </w:tr>
      <w:tr w:rsidR="00A41E60" w:rsidRPr="00D85E09" w14:paraId="1725EAAE" w14:textId="77777777" w:rsidTr="00A41E60">
        <w:trPr>
          <w:trHeight w:val="20"/>
        </w:trPr>
        <w:tc>
          <w:tcPr>
            <w:tcW w:w="2370" w:type="pct"/>
            <w:tcBorders>
              <w:top w:val="single" w:sz="4" w:space="0" w:color="auto"/>
              <w:left w:val="single" w:sz="4" w:space="0" w:color="auto"/>
              <w:bottom w:val="single" w:sz="4" w:space="0" w:color="auto"/>
              <w:right w:val="nil"/>
            </w:tcBorders>
            <w:noWrap/>
            <w:vAlign w:val="center"/>
            <w:hideMark/>
          </w:tcPr>
          <w:p w14:paraId="03610492" w14:textId="77777777" w:rsidR="00A41E60" w:rsidRPr="00D85E09" w:rsidRDefault="00A41E60" w:rsidP="0043316B">
            <w:pPr>
              <w:pStyle w:val="Tabletext"/>
              <w:keepNext w:val="0"/>
              <w:widowControl w:val="0"/>
              <w:rPr>
                <w:b/>
                <w:i/>
              </w:rPr>
            </w:pPr>
            <w:r w:rsidRPr="00D85E09">
              <w:rPr>
                <w:b/>
                <w:i/>
              </w:rPr>
              <w:t>Health outcomes</w:t>
            </w:r>
          </w:p>
        </w:tc>
        <w:tc>
          <w:tcPr>
            <w:tcW w:w="877" w:type="pct"/>
            <w:tcBorders>
              <w:top w:val="single" w:sz="4" w:space="0" w:color="auto"/>
              <w:left w:val="nil"/>
              <w:bottom w:val="single" w:sz="4" w:space="0" w:color="auto"/>
              <w:right w:val="nil"/>
            </w:tcBorders>
            <w:noWrap/>
            <w:vAlign w:val="center"/>
          </w:tcPr>
          <w:p w14:paraId="3BF91601" w14:textId="77777777" w:rsidR="00A41E60" w:rsidRPr="00D85E09" w:rsidRDefault="00A41E60" w:rsidP="0043316B">
            <w:pPr>
              <w:pStyle w:val="Tabletext"/>
              <w:keepNext w:val="0"/>
              <w:widowControl w:val="0"/>
              <w:jc w:val="center"/>
            </w:pPr>
          </w:p>
        </w:tc>
        <w:tc>
          <w:tcPr>
            <w:tcW w:w="877" w:type="pct"/>
            <w:tcBorders>
              <w:top w:val="single" w:sz="4" w:space="0" w:color="auto"/>
              <w:left w:val="nil"/>
              <w:bottom w:val="single" w:sz="4" w:space="0" w:color="auto"/>
              <w:right w:val="nil"/>
            </w:tcBorders>
            <w:noWrap/>
            <w:vAlign w:val="center"/>
          </w:tcPr>
          <w:p w14:paraId="5DCDEA58" w14:textId="77777777" w:rsidR="00A41E60" w:rsidRPr="00D85E09" w:rsidRDefault="00A41E60" w:rsidP="0043316B">
            <w:pPr>
              <w:pStyle w:val="Tabletext"/>
              <w:keepNext w:val="0"/>
              <w:widowControl w:val="0"/>
              <w:jc w:val="center"/>
            </w:pPr>
          </w:p>
        </w:tc>
        <w:tc>
          <w:tcPr>
            <w:tcW w:w="876" w:type="pct"/>
            <w:tcBorders>
              <w:top w:val="single" w:sz="4" w:space="0" w:color="auto"/>
              <w:left w:val="nil"/>
              <w:bottom w:val="single" w:sz="4" w:space="0" w:color="auto"/>
              <w:right w:val="single" w:sz="4" w:space="0" w:color="auto"/>
            </w:tcBorders>
            <w:noWrap/>
            <w:vAlign w:val="center"/>
          </w:tcPr>
          <w:p w14:paraId="3FA424D6" w14:textId="77777777" w:rsidR="00A41E60" w:rsidRPr="00D85E09" w:rsidRDefault="00A41E60" w:rsidP="0043316B">
            <w:pPr>
              <w:pStyle w:val="Tabletext"/>
              <w:keepNext w:val="0"/>
              <w:widowControl w:val="0"/>
              <w:jc w:val="center"/>
            </w:pPr>
          </w:p>
        </w:tc>
      </w:tr>
      <w:tr w:rsidR="00A41E60" w:rsidRPr="00D85E09" w14:paraId="5810F2EB"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24A8CCE2" w14:textId="77777777" w:rsidR="00A41E60" w:rsidRPr="00D85E09" w:rsidRDefault="00A41E60" w:rsidP="0043316B">
            <w:pPr>
              <w:pStyle w:val="Tabletext"/>
              <w:keepNext w:val="0"/>
              <w:widowControl w:val="0"/>
            </w:pPr>
            <w:r w:rsidRPr="00D85E09">
              <w:t xml:space="preserve">Total life years </w:t>
            </w:r>
          </w:p>
        </w:tc>
        <w:tc>
          <w:tcPr>
            <w:tcW w:w="877" w:type="pct"/>
            <w:tcBorders>
              <w:top w:val="single" w:sz="4" w:space="0" w:color="auto"/>
              <w:left w:val="single" w:sz="4" w:space="0" w:color="auto"/>
              <w:bottom w:val="single" w:sz="4" w:space="0" w:color="auto"/>
              <w:right w:val="single" w:sz="4" w:space="0" w:color="auto"/>
            </w:tcBorders>
            <w:noWrap/>
            <w:hideMark/>
          </w:tcPr>
          <w:p w14:paraId="7AC8D25D" w14:textId="77777777" w:rsidR="00A41E60" w:rsidRPr="00D85E09" w:rsidRDefault="00A41E60" w:rsidP="0043316B">
            <w:pPr>
              <w:pStyle w:val="Tabletext"/>
              <w:keepNext w:val="0"/>
              <w:widowControl w:val="0"/>
              <w:jc w:val="center"/>
            </w:pPr>
            <w:r w:rsidRPr="00D85E09">
              <w:t>7.6331</w:t>
            </w:r>
          </w:p>
        </w:tc>
        <w:tc>
          <w:tcPr>
            <w:tcW w:w="877" w:type="pct"/>
            <w:tcBorders>
              <w:top w:val="single" w:sz="4" w:space="0" w:color="auto"/>
              <w:left w:val="single" w:sz="4" w:space="0" w:color="auto"/>
              <w:bottom w:val="single" w:sz="4" w:space="0" w:color="auto"/>
              <w:right w:val="single" w:sz="4" w:space="0" w:color="auto"/>
            </w:tcBorders>
            <w:noWrap/>
            <w:hideMark/>
          </w:tcPr>
          <w:p w14:paraId="053B38F1" w14:textId="77777777" w:rsidR="00A41E60" w:rsidRPr="00D85E09" w:rsidRDefault="00A41E60" w:rsidP="0043316B">
            <w:pPr>
              <w:pStyle w:val="Tabletext"/>
              <w:keepNext w:val="0"/>
              <w:widowControl w:val="0"/>
              <w:jc w:val="center"/>
            </w:pPr>
            <w:r w:rsidRPr="00D85E09">
              <w:t>6.8640</w:t>
            </w:r>
          </w:p>
        </w:tc>
        <w:tc>
          <w:tcPr>
            <w:tcW w:w="876" w:type="pct"/>
            <w:tcBorders>
              <w:top w:val="single" w:sz="4" w:space="0" w:color="auto"/>
              <w:left w:val="single" w:sz="4" w:space="0" w:color="auto"/>
              <w:bottom w:val="single" w:sz="4" w:space="0" w:color="auto"/>
              <w:right w:val="single" w:sz="4" w:space="0" w:color="auto"/>
            </w:tcBorders>
            <w:noWrap/>
            <w:hideMark/>
          </w:tcPr>
          <w:p w14:paraId="4C043278" w14:textId="77777777" w:rsidR="00A41E60" w:rsidRPr="00D85E09" w:rsidRDefault="00A41E60" w:rsidP="0043316B">
            <w:pPr>
              <w:pStyle w:val="Tabletext"/>
              <w:keepNext w:val="0"/>
              <w:widowControl w:val="0"/>
              <w:jc w:val="center"/>
            </w:pPr>
            <w:r w:rsidRPr="00D85E09">
              <w:t>0.7691</w:t>
            </w:r>
          </w:p>
        </w:tc>
      </w:tr>
      <w:tr w:rsidR="00A41E60" w:rsidRPr="00D85E09" w14:paraId="726A4D63"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1D440C99" w14:textId="77777777" w:rsidR="00A41E60" w:rsidRPr="00D85E09" w:rsidRDefault="00A41E60" w:rsidP="0043316B">
            <w:pPr>
              <w:pStyle w:val="Tabletext"/>
              <w:keepNext w:val="0"/>
              <w:widowControl w:val="0"/>
            </w:pPr>
            <w:r w:rsidRPr="00D85E09">
              <w:t>Total QALYs</w:t>
            </w:r>
          </w:p>
        </w:tc>
        <w:tc>
          <w:tcPr>
            <w:tcW w:w="877" w:type="pct"/>
            <w:tcBorders>
              <w:top w:val="single" w:sz="4" w:space="0" w:color="auto"/>
              <w:left w:val="single" w:sz="4" w:space="0" w:color="auto"/>
              <w:bottom w:val="single" w:sz="4" w:space="0" w:color="auto"/>
              <w:right w:val="single" w:sz="4" w:space="0" w:color="auto"/>
            </w:tcBorders>
            <w:noWrap/>
            <w:hideMark/>
          </w:tcPr>
          <w:p w14:paraId="56A3FA49" w14:textId="77777777" w:rsidR="00A41E60" w:rsidRPr="00D85E09" w:rsidRDefault="00A41E60" w:rsidP="0043316B">
            <w:pPr>
              <w:pStyle w:val="Tabletext"/>
              <w:keepNext w:val="0"/>
              <w:widowControl w:val="0"/>
              <w:jc w:val="center"/>
            </w:pPr>
            <w:r w:rsidRPr="00D85E09">
              <w:t>2.7183</w:t>
            </w:r>
          </w:p>
        </w:tc>
        <w:tc>
          <w:tcPr>
            <w:tcW w:w="877" w:type="pct"/>
            <w:tcBorders>
              <w:top w:val="single" w:sz="4" w:space="0" w:color="auto"/>
              <w:left w:val="single" w:sz="4" w:space="0" w:color="auto"/>
              <w:bottom w:val="single" w:sz="4" w:space="0" w:color="auto"/>
              <w:right w:val="single" w:sz="4" w:space="0" w:color="auto"/>
            </w:tcBorders>
            <w:noWrap/>
            <w:hideMark/>
          </w:tcPr>
          <w:p w14:paraId="6BC59EE7" w14:textId="77777777" w:rsidR="00A41E60" w:rsidRPr="00D85E09" w:rsidRDefault="00A41E60" w:rsidP="0043316B">
            <w:pPr>
              <w:pStyle w:val="Tabletext"/>
              <w:keepNext w:val="0"/>
              <w:widowControl w:val="0"/>
              <w:jc w:val="center"/>
            </w:pPr>
            <w:r w:rsidRPr="00D85E09">
              <w:t>1.8902</w:t>
            </w:r>
          </w:p>
        </w:tc>
        <w:tc>
          <w:tcPr>
            <w:tcW w:w="876" w:type="pct"/>
            <w:tcBorders>
              <w:top w:val="single" w:sz="4" w:space="0" w:color="auto"/>
              <w:left w:val="single" w:sz="4" w:space="0" w:color="auto"/>
              <w:bottom w:val="single" w:sz="4" w:space="0" w:color="auto"/>
              <w:right w:val="single" w:sz="4" w:space="0" w:color="auto"/>
            </w:tcBorders>
            <w:noWrap/>
            <w:hideMark/>
          </w:tcPr>
          <w:p w14:paraId="176E02B3" w14:textId="77777777" w:rsidR="00A41E60" w:rsidRPr="00D85E09" w:rsidRDefault="00A41E60" w:rsidP="0043316B">
            <w:pPr>
              <w:pStyle w:val="Tabletext"/>
              <w:keepNext w:val="0"/>
              <w:widowControl w:val="0"/>
              <w:jc w:val="center"/>
            </w:pPr>
            <w:r w:rsidRPr="00D85E09">
              <w:t>0.8281</w:t>
            </w:r>
          </w:p>
        </w:tc>
      </w:tr>
      <w:tr w:rsidR="00A41E60" w:rsidRPr="00D85E09" w14:paraId="035A66A4" w14:textId="77777777" w:rsidTr="00A41E60">
        <w:trPr>
          <w:trHeight w:val="20"/>
        </w:trPr>
        <w:tc>
          <w:tcPr>
            <w:tcW w:w="2370" w:type="pct"/>
            <w:tcBorders>
              <w:top w:val="single" w:sz="4" w:space="0" w:color="auto"/>
              <w:left w:val="single" w:sz="4" w:space="0" w:color="auto"/>
              <w:bottom w:val="single" w:sz="4" w:space="0" w:color="auto"/>
              <w:right w:val="single" w:sz="4" w:space="0" w:color="auto"/>
            </w:tcBorders>
            <w:noWrap/>
            <w:vAlign w:val="center"/>
            <w:hideMark/>
          </w:tcPr>
          <w:p w14:paraId="7327D04A" w14:textId="77777777" w:rsidR="00A41E60" w:rsidRPr="00D85E09" w:rsidRDefault="00A41E60" w:rsidP="0043316B">
            <w:pPr>
              <w:pStyle w:val="Tabletext"/>
              <w:keepNext w:val="0"/>
              <w:widowControl w:val="0"/>
            </w:pPr>
            <w:r w:rsidRPr="00D85E09">
              <w:t>% of independent patients at 90 days (mRS0-2)</w:t>
            </w:r>
          </w:p>
        </w:tc>
        <w:tc>
          <w:tcPr>
            <w:tcW w:w="877" w:type="pct"/>
            <w:tcBorders>
              <w:top w:val="single" w:sz="4" w:space="0" w:color="auto"/>
              <w:left w:val="single" w:sz="4" w:space="0" w:color="auto"/>
              <w:bottom w:val="single" w:sz="4" w:space="0" w:color="auto"/>
              <w:right w:val="single" w:sz="4" w:space="0" w:color="auto"/>
            </w:tcBorders>
            <w:noWrap/>
            <w:hideMark/>
          </w:tcPr>
          <w:p w14:paraId="596E9480" w14:textId="77777777" w:rsidR="00A41E60" w:rsidRPr="00D85E09" w:rsidRDefault="00A41E60" w:rsidP="0043316B">
            <w:pPr>
              <w:pStyle w:val="Tabletext"/>
              <w:keepNext w:val="0"/>
              <w:widowControl w:val="0"/>
              <w:jc w:val="center"/>
            </w:pPr>
            <w:r w:rsidRPr="00D85E09">
              <w:t>0.4600</w:t>
            </w:r>
          </w:p>
        </w:tc>
        <w:tc>
          <w:tcPr>
            <w:tcW w:w="877" w:type="pct"/>
            <w:tcBorders>
              <w:top w:val="single" w:sz="4" w:space="0" w:color="auto"/>
              <w:left w:val="single" w:sz="4" w:space="0" w:color="auto"/>
              <w:bottom w:val="single" w:sz="4" w:space="0" w:color="auto"/>
              <w:right w:val="single" w:sz="4" w:space="0" w:color="auto"/>
            </w:tcBorders>
            <w:noWrap/>
            <w:hideMark/>
          </w:tcPr>
          <w:p w14:paraId="0243E8D1" w14:textId="77777777" w:rsidR="00A41E60" w:rsidRPr="00D85E09" w:rsidRDefault="00A41E60" w:rsidP="0043316B">
            <w:pPr>
              <w:pStyle w:val="Tabletext"/>
              <w:keepNext w:val="0"/>
              <w:widowControl w:val="0"/>
              <w:jc w:val="center"/>
            </w:pPr>
            <w:r w:rsidRPr="00D85E09">
              <w:t>0.2650</w:t>
            </w:r>
          </w:p>
        </w:tc>
        <w:tc>
          <w:tcPr>
            <w:tcW w:w="876" w:type="pct"/>
            <w:tcBorders>
              <w:top w:val="single" w:sz="4" w:space="0" w:color="auto"/>
              <w:left w:val="single" w:sz="4" w:space="0" w:color="auto"/>
              <w:bottom w:val="single" w:sz="4" w:space="0" w:color="auto"/>
              <w:right w:val="single" w:sz="4" w:space="0" w:color="auto"/>
            </w:tcBorders>
            <w:noWrap/>
            <w:hideMark/>
          </w:tcPr>
          <w:p w14:paraId="02474623" w14:textId="77777777" w:rsidR="00A41E60" w:rsidRPr="00D85E09" w:rsidRDefault="00A41E60" w:rsidP="0043316B">
            <w:pPr>
              <w:pStyle w:val="Tabletext"/>
              <w:keepNext w:val="0"/>
              <w:widowControl w:val="0"/>
              <w:jc w:val="center"/>
            </w:pPr>
            <w:r w:rsidRPr="00D85E09">
              <w:t>0.1950</w:t>
            </w:r>
          </w:p>
        </w:tc>
      </w:tr>
    </w:tbl>
    <w:p w14:paraId="3E205559" w14:textId="77777777" w:rsidR="00A41E60" w:rsidRPr="00D85E09" w:rsidRDefault="00A41E60" w:rsidP="0043316B">
      <w:pPr>
        <w:pStyle w:val="Tablefooter"/>
        <w:widowControl w:val="0"/>
      </w:pPr>
      <w:r w:rsidRPr="00D85E09">
        <w:t>Note: See “Results - SUMMARY” worksheet of “MT MSAC June 2016 Section D.xlsx”.</w:t>
      </w:r>
    </w:p>
    <w:p w14:paraId="79771D3F" w14:textId="77777777" w:rsidR="00A41E60" w:rsidRPr="00D85E09" w:rsidRDefault="00A41E60" w:rsidP="0043316B">
      <w:pPr>
        <w:widowControl w:val="0"/>
      </w:pPr>
    </w:p>
    <w:p w14:paraId="69A9EBC7" w14:textId="76DAC8A0" w:rsidR="00A41E60" w:rsidRPr="00D85E09" w:rsidRDefault="00A41E60" w:rsidP="0043316B">
      <w:pPr>
        <w:widowControl w:val="0"/>
      </w:pPr>
      <w:r w:rsidRPr="00D85E09">
        <w:lastRenderedPageBreak/>
        <w:t>The base case ICER is hence $</w:t>
      </w:r>
      <w:r w:rsidR="006161F8" w:rsidRPr="00D85E09">
        <w:t>12</w:t>
      </w:r>
      <w:r w:rsidRPr="00D85E09">
        <w:t>,</w:t>
      </w:r>
      <w:r w:rsidR="006161F8" w:rsidRPr="00D85E09">
        <w:t>880</w:t>
      </w:r>
      <w:r w:rsidRPr="00D85E09">
        <w:t xml:space="preserve"> per QALY gain, indicating a favourable cost-effectiveness of mechanical thrombectomy vs usual care. Other effectiveness measurements are also explored as shown in </w:t>
      </w:r>
      <w:r w:rsidRPr="00D85E09">
        <w:fldChar w:fldCharType="begin"/>
      </w:r>
      <w:r w:rsidRPr="00D85E09">
        <w:instrText xml:space="preserve"> REF _Ref424726725 \h </w:instrText>
      </w:r>
      <w:r w:rsidRPr="00D85E09">
        <w:fldChar w:fldCharType="separate"/>
      </w:r>
      <w:r w:rsidR="00A456ED" w:rsidRPr="00D85E09">
        <w:t xml:space="preserve">Table </w:t>
      </w:r>
      <w:r w:rsidR="00A456ED">
        <w:rPr>
          <w:noProof/>
        </w:rPr>
        <w:t>92</w:t>
      </w:r>
      <w:r w:rsidRPr="00D85E09">
        <w:fldChar w:fldCharType="end"/>
      </w:r>
      <w:r w:rsidRPr="00D85E09">
        <w:t>.</w:t>
      </w:r>
    </w:p>
    <w:p w14:paraId="36C70EBB" w14:textId="251E9FF1" w:rsidR="00A41E60" w:rsidRPr="00D85E09" w:rsidRDefault="00A41E60" w:rsidP="0043316B">
      <w:pPr>
        <w:pStyle w:val="Caption"/>
        <w:keepNext w:val="0"/>
        <w:widowControl w:val="0"/>
        <w:rPr>
          <w:lang w:val="en-AU"/>
        </w:rPr>
      </w:pPr>
      <w:bookmarkStart w:id="566" w:name="_Ref424726725"/>
      <w:bookmarkStart w:id="567" w:name="_Toc45306542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92</w:t>
      </w:r>
      <w:r w:rsidRPr="00D85E09">
        <w:rPr>
          <w:lang w:val="en-AU"/>
        </w:rPr>
        <w:fldChar w:fldCharType="end"/>
      </w:r>
      <w:bookmarkEnd w:id="566"/>
      <w:r w:rsidRPr="00D85E09">
        <w:rPr>
          <w:lang w:val="en-AU"/>
        </w:rPr>
        <w:tab/>
        <w:t>I</w:t>
      </w:r>
      <w:r w:rsidR="00A8075A" w:rsidRPr="00D85E09">
        <w:rPr>
          <w:lang w:val="en-AU"/>
        </w:rPr>
        <w:t>CERs</w:t>
      </w:r>
      <w:r w:rsidRPr="00D85E09">
        <w:rPr>
          <w:lang w:val="en-AU"/>
        </w:rPr>
        <w:t xml:space="preserve"> of mechanical thrombectomy vs usual care</w:t>
      </w:r>
      <w:bookmarkEnd w:id="567"/>
    </w:p>
    <w:tbl>
      <w:tblPr>
        <w:tblW w:w="5000" w:type="pct"/>
        <w:tblLook w:val="04A0" w:firstRow="1" w:lastRow="0" w:firstColumn="1" w:lastColumn="0" w:noHBand="0" w:noVBand="1"/>
        <w:tblDescription w:val="Table 92 ICERs of mechanical thrombectomy vs usual care"/>
      </w:tblPr>
      <w:tblGrid>
        <w:gridCol w:w="4299"/>
        <w:gridCol w:w="1663"/>
        <w:gridCol w:w="1663"/>
        <w:gridCol w:w="1663"/>
      </w:tblGrid>
      <w:tr w:rsidR="00A41E60" w:rsidRPr="00D85E09" w14:paraId="0616C6FF" w14:textId="77777777" w:rsidTr="00A41E60">
        <w:trPr>
          <w:trHeight w:val="170"/>
        </w:trPr>
        <w:tc>
          <w:tcPr>
            <w:tcW w:w="2315" w:type="pct"/>
            <w:tcBorders>
              <w:top w:val="single" w:sz="4" w:space="0" w:color="auto"/>
              <w:left w:val="single" w:sz="4" w:space="0" w:color="auto"/>
              <w:bottom w:val="single" w:sz="4" w:space="0" w:color="auto"/>
              <w:right w:val="nil"/>
            </w:tcBorders>
            <w:noWrap/>
            <w:vAlign w:val="center"/>
            <w:hideMark/>
          </w:tcPr>
          <w:p w14:paraId="0D8CE2D2" w14:textId="77777777" w:rsidR="00A41E60" w:rsidRPr="00D85E09" w:rsidRDefault="00A41E60" w:rsidP="0043316B">
            <w:pPr>
              <w:pStyle w:val="Tabletext"/>
              <w:keepNext w:val="0"/>
              <w:widowControl w:val="0"/>
              <w:rPr>
                <w:b/>
              </w:rPr>
            </w:pPr>
            <w:r w:rsidRPr="00D85E09">
              <w:rPr>
                <w:b/>
              </w:rPr>
              <w:t xml:space="preserve">Effectiveness measure </w:t>
            </w:r>
          </w:p>
        </w:tc>
        <w:tc>
          <w:tcPr>
            <w:tcW w:w="895" w:type="pct"/>
            <w:tcBorders>
              <w:top w:val="single" w:sz="4" w:space="0" w:color="auto"/>
              <w:left w:val="single" w:sz="4" w:space="0" w:color="auto"/>
              <w:bottom w:val="single" w:sz="4" w:space="0" w:color="auto"/>
              <w:right w:val="single" w:sz="4" w:space="0" w:color="auto"/>
            </w:tcBorders>
            <w:noWrap/>
            <w:vAlign w:val="center"/>
            <w:hideMark/>
          </w:tcPr>
          <w:p w14:paraId="70E63F51" w14:textId="77777777" w:rsidR="00A41E60" w:rsidRPr="00D85E09" w:rsidRDefault="00A41E60" w:rsidP="0043316B">
            <w:pPr>
              <w:pStyle w:val="Tabletext"/>
              <w:keepNext w:val="0"/>
              <w:widowControl w:val="0"/>
              <w:jc w:val="center"/>
              <w:rPr>
                <w:b/>
              </w:rPr>
            </w:pPr>
            <w:r w:rsidRPr="00D85E09">
              <w:rPr>
                <w:b/>
              </w:rPr>
              <w:t>Inc effectiveness</w:t>
            </w:r>
          </w:p>
        </w:tc>
        <w:tc>
          <w:tcPr>
            <w:tcW w:w="895" w:type="pct"/>
            <w:tcBorders>
              <w:top w:val="single" w:sz="4" w:space="0" w:color="auto"/>
              <w:left w:val="single" w:sz="4" w:space="0" w:color="auto"/>
              <w:bottom w:val="single" w:sz="4" w:space="0" w:color="auto"/>
              <w:right w:val="single" w:sz="4" w:space="0" w:color="auto"/>
            </w:tcBorders>
            <w:hideMark/>
          </w:tcPr>
          <w:p w14:paraId="4C180CFF" w14:textId="77777777" w:rsidR="00A41E60" w:rsidRPr="00D85E09" w:rsidRDefault="00A41E60" w:rsidP="0043316B">
            <w:pPr>
              <w:pStyle w:val="Tabletext"/>
              <w:keepNext w:val="0"/>
              <w:widowControl w:val="0"/>
              <w:jc w:val="center"/>
              <w:rPr>
                <w:b/>
              </w:rPr>
            </w:pPr>
            <w:r w:rsidRPr="00D85E09">
              <w:rPr>
                <w:b/>
              </w:rPr>
              <w:t>Inc cost</w:t>
            </w:r>
          </w:p>
        </w:tc>
        <w:tc>
          <w:tcPr>
            <w:tcW w:w="895" w:type="pct"/>
            <w:tcBorders>
              <w:top w:val="single" w:sz="4" w:space="0" w:color="auto"/>
              <w:left w:val="single" w:sz="4" w:space="0" w:color="auto"/>
              <w:bottom w:val="single" w:sz="4" w:space="0" w:color="auto"/>
              <w:right w:val="single" w:sz="4" w:space="0" w:color="auto"/>
            </w:tcBorders>
            <w:hideMark/>
          </w:tcPr>
          <w:p w14:paraId="51B7752B" w14:textId="77777777" w:rsidR="00A41E60" w:rsidRPr="00D85E09" w:rsidRDefault="00A41E60" w:rsidP="0043316B">
            <w:pPr>
              <w:pStyle w:val="Tabletext"/>
              <w:keepNext w:val="0"/>
              <w:widowControl w:val="0"/>
              <w:jc w:val="center"/>
              <w:rPr>
                <w:b/>
              </w:rPr>
            </w:pPr>
            <w:r w:rsidRPr="00D85E09">
              <w:rPr>
                <w:b/>
              </w:rPr>
              <w:t>ICER</w:t>
            </w:r>
          </w:p>
        </w:tc>
      </w:tr>
      <w:tr w:rsidR="00A41E60" w:rsidRPr="00D85E09" w14:paraId="07A8D215" w14:textId="77777777" w:rsidTr="00A41E60">
        <w:trPr>
          <w:trHeight w:val="170"/>
        </w:trPr>
        <w:tc>
          <w:tcPr>
            <w:tcW w:w="2315" w:type="pct"/>
            <w:tcBorders>
              <w:top w:val="single" w:sz="4" w:space="0" w:color="auto"/>
              <w:left w:val="single" w:sz="4" w:space="0" w:color="auto"/>
              <w:bottom w:val="single" w:sz="4" w:space="0" w:color="auto"/>
              <w:right w:val="nil"/>
            </w:tcBorders>
            <w:noWrap/>
            <w:hideMark/>
          </w:tcPr>
          <w:p w14:paraId="32DCC5FB" w14:textId="77777777" w:rsidR="00A41E60" w:rsidRPr="00D85E09" w:rsidRDefault="00A41E60" w:rsidP="0043316B">
            <w:pPr>
              <w:pStyle w:val="Tabletext"/>
              <w:keepNext w:val="0"/>
              <w:widowControl w:val="0"/>
            </w:pPr>
            <w:r w:rsidRPr="00D85E09">
              <w:t>Total life years (discounted)</w:t>
            </w:r>
          </w:p>
        </w:tc>
        <w:tc>
          <w:tcPr>
            <w:tcW w:w="895" w:type="pct"/>
            <w:tcBorders>
              <w:top w:val="single" w:sz="4" w:space="0" w:color="auto"/>
              <w:left w:val="single" w:sz="4" w:space="0" w:color="auto"/>
              <w:bottom w:val="single" w:sz="4" w:space="0" w:color="auto"/>
              <w:right w:val="single" w:sz="4" w:space="0" w:color="auto"/>
            </w:tcBorders>
            <w:noWrap/>
            <w:hideMark/>
          </w:tcPr>
          <w:p w14:paraId="5AA40181" w14:textId="77777777" w:rsidR="00A41E60" w:rsidRPr="00D85E09" w:rsidRDefault="00A41E60" w:rsidP="0043316B">
            <w:pPr>
              <w:pStyle w:val="Tabletext"/>
              <w:keepNext w:val="0"/>
              <w:widowControl w:val="0"/>
              <w:jc w:val="center"/>
            </w:pPr>
            <w:r w:rsidRPr="00D85E09">
              <w:t>0.7691</w:t>
            </w:r>
          </w:p>
        </w:tc>
        <w:tc>
          <w:tcPr>
            <w:tcW w:w="895" w:type="pct"/>
            <w:tcBorders>
              <w:top w:val="single" w:sz="4" w:space="0" w:color="auto"/>
              <w:left w:val="single" w:sz="4" w:space="0" w:color="auto"/>
              <w:bottom w:val="nil"/>
              <w:right w:val="single" w:sz="4" w:space="0" w:color="auto"/>
            </w:tcBorders>
          </w:tcPr>
          <w:p w14:paraId="60DA8B1A" w14:textId="77777777" w:rsidR="00A41E60" w:rsidRPr="00D85E09" w:rsidRDefault="00A41E60" w:rsidP="0043316B">
            <w:pPr>
              <w:pStyle w:val="Tabletext"/>
              <w:keepNext w:val="0"/>
              <w:widowControl w:val="0"/>
              <w:jc w:val="center"/>
            </w:pPr>
          </w:p>
        </w:tc>
        <w:tc>
          <w:tcPr>
            <w:tcW w:w="895" w:type="pct"/>
            <w:tcBorders>
              <w:top w:val="single" w:sz="4" w:space="0" w:color="auto"/>
              <w:left w:val="single" w:sz="4" w:space="0" w:color="auto"/>
              <w:bottom w:val="single" w:sz="4" w:space="0" w:color="auto"/>
              <w:right w:val="single" w:sz="4" w:space="0" w:color="auto"/>
            </w:tcBorders>
            <w:hideMark/>
          </w:tcPr>
          <w:p w14:paraId="3B174B19" w14:textId="77777777" w:rsidR="00A41E60" w:rsidRPr="00D85E09" w:rsidRDefault="00A41E60" w:rsidP="0043316B">
            <w:pPr>
              <w:pStyle w:val="Tabletext"/>
              <w:keepNext w:val="0"/>
              <w:widowControl w:val="0"/>
              <w:jc w:val="center"/>
            </w:pPr>
            <w:r w:rsidRPr="00D85E09">
              <w:t>$13,868</w:t>
            </w:r>
          </w:p>
        </w:tc>
      </w:tr>
      <w:tr w:rsidR="00A41E60" w:rsidRPr="00D85E09" w14:paraId="00C331D5" w14:textId="77777777" w:rsidTr="00A41E60">
        <w:trPr>
          <w:trHeight w:val="170"/>
        </w:trPr>
        <w:tc>
          <w:tcPr>
            <w:tcW w:w="2315" w:type="pct"/>
            <w:tcBorders>
              <w:top w:val="single" w:sz="4" w:space="0" w:color="auto"/>
              <w:left w:val="single" w:sz="4" w:space="0" w:color="auto"/>
              <w:bottom w:val="single" w:sz="4" w:space="0" w:color="auto"/>
              <w:right w:val="single" w:sz="4" w:space="0" w:color="auto"/>
            </w:tcBorders>
            <w:noWrap/>
            <w:hideMark/>
          </w:tcPr>
          <w:p w14:paraId="7290147E" w14:textId="77777777" w:rsidR="00A41E60" w:rsidRPr="00D85E09" w:rsidRDefault="00A41E60" w:rsidP="0043316B">
            <w:pPr>
              <w:pStyle w:val="Tabletext"/>
              <w:keepNext w:val="0"/>
              <w:widowControl w:val="0"/>
            </w:pPr>
            <w:r w:rsidRPr="00D85E09">
              <w:t>Total QALYs (discounted)</w:t>
            </w:r>
          </w:p>
        </w:tc>
        <w:tc>
          <w:tcPr>
            <w:tcW w:w="895" w:type="pct"/>
            <w:tcBorders>
              <w:top w:val="single" w:sz="4" w:space="0" w:color="auto"/>
              <w:left w:val="single" w:sz="4" w:space="0" w:color="auto"/>
              <w:bottom w:val="single" w:sz="4" w:space="0" w:color="auto"/>
              <w:right w:val="single" w:sz="4" w:space="0" w:color="auto"/>
            </w:tcBorders>
            <w:noWrap/>
            <w:hideMark/>
          </w:tcPr>
          <w:p w14:paraId="1C6F0DB4" w14:textId="77777777" w:rsidR="00A41E60" w:rsidRPr="00D85E09" w:rsidRDefault="00A41E60" w:rsidP="0043316B">
            <w:pPr>
              <w:pStyle w:val="Tabletext"/>
              <w:keepNext w:val="0"/>
              <w:widowControl w:val="0"/>
              <w:jc w:val="center"/>
            </w:pPr>
            <w:r w:rsidRPr="00D85E09">
              <w:t>0.8281</w:t>
            </w:r>
          </w:p>
        </w:tc>
        <w:tc>
          <w:tcPr>
            <w:tcW w:w="895" w:type="pct"/>
            <w:tcBorders>
              <w:top w:val="nil"/>
              <w:left w:val="single" w:sz="4" w:space="0" w:color="auto"/>
              <w:bottom w:val="nil"/>
              <w:right w:val="single" w:sz="4" w:space="0" w:color="auto"/>
            </w:tcBorders>
            <w:hideMark/>
          </w:tcPr>
          <w:p w14:paraId="6B6D6377" w14:textId="77777777" w:rsidR="00A41E60" w:rsidRPr="00D85E09" w:rsidRDefault="00A41E60" w:rsidP="0043316B">
            <w:pPr>
              <w:pStyle w:val="Tabletext"/>
              <w:keepNext w:val="0"/>
              <w:widowControl w:val="0"/>
              <w:jc w:val="center"/>
            </w:pPr>
            <w:r w:rsidRPr="00D85E09">
              <w:t>$10,666</w:t>
            </w:r>
          </w:p>
        </w:tc>
        <w:tc>
          <w:tcPr>
            <w:tcW w:w="895" w:type="pct"/>
            <w:tcBorders>
              <w:top w:val="single" w:sz="4" w:space="0" w:color="auto"/>
              <w:left w:val="single" w:sz="4" w:space="0" w:color="auto"/>
              <w:bottom w:val="single" w:sz="4" w:space="0" w:color="auto"/>
              <w:right w:val="single" w:sz="4" w:space="0" w:color="auto"/>
            </w:tcBorders>
            <w:hideMark/>
          </w:tcPr>
          <w:p w14:paraId="5E8DCB75" w14:textId="77777777" w:rsidR="00A41E60" w:rsidRPr="00D85E09" w:rsidRDefault="00A41E60" w:rsidP="0043316B">
            <w:pPr>
              <w:pStyle w:val="Tabletext"/>
              <w:keepNext w:val="0"/>
              <w:widowControl w:val="0"/>
              <w:jc w:val="center"/>
            </w:pPr>
            <w:r w:rsidRPr="00D85E09">
              <w:t>$12,880</w:t>
            </w:r>
          </w:p>
        </w:tc>
      </w:tr>
      <w:tr w:rsidR="00A41E60" w:rsidRPr="00D85E09" w14:paraId="00453C2B" w14:textId="77777777" w:rsidTr="00A41E60">
        <w:trPr>
          <w:trHeight w:val="170"/>
        </w:trPr>
        <w:tc>
          <w:tcPr>
            <w:tcW w:w="2315" w:type="pct"/>
            <w:tcBorders>
              <w:top w:val="single" w:sz="4" w:space="0" w:color="auto"/>
              <w:left w:val="single" w:sz="4" w:space="0" w:color="auto"/>
              <w:bottom w:val="single" w:sz="4" w:space="0" w:color="auto"/>
              <w:right w:val="nil"/>
            </w:tcBorders>
            <w:noWrap/>
            <w:hideMark/>
          </w:tcPr>
          <w:p w14:paraId="5B5B6230" w14:textId="77777777" w:rsidR="00A41E60" w:rsidRPr="00D85E09" w:rsidRDefault="00A41E60" w:rsidP="0043316B">
            <w:pPr>
              <w:pStyle w:val="Tabletext"/>
              <w:keepNext w:val="0"/>
              <w:widowControl w:val="0"/>
            </w:pPr>
            <w:r w:rsidRPr="00D85E09">
              <w:t>% of independent patients at 90 days (mRS0-2)</w:t>
            </w:r>
          </w:p>
        </w:tc>
        <w:tc>
          <w:tcPr>
            <w:tcW w:w="895" w:type="pct"/>
            <w:tcBorders>
              <w:top w:val="single" w:sz="4" w:space="0" w:color="auto"/>
              <w:left w:val="single" w:sz="4" w:space="0" w:color="auto"/>
              <w:bottom w:val="single" w:sz="4" w:space="0" w:color="auto"/>
              <w:right w:val="single" w:sz="4" w:space="0" w:color="auto"/>
            </w:tcBorders>
            <w:noWrap/>
            <w:hideMark/>
          </w:tcPr>
          <w:p w14:paraId="5BD2B2EA" w14:textId="77777777" w:rsidR="00A41E60" w:rsidRPr="00D85E09" w:rsidRDefault="00A41E60" w:rsidP="0043316B">
            <w:pPr>
              <w:pStyle w:val="Tabletext"/>
              <w:keepNext w:val="0"/>
              <w:widowControl w:val="0"/>
              <w:jc w:val="center"/>
            </w:pPr>
            <w:r w:rsidRPr="00D85E09">
              <w:t>0.1950</w:t>
            </w:r>
          </w:p>
        </w:tc>
        <w:tc>
          <w:tcPr>
            <w:tcW w:w="895" w:type="pct"/>
            <w:tcBorders>
              <w:top w:val="nil"/>
              <w:left w:val="single" w:sz="4" w:space="0" w:color="auto"/>
              <w:bottom w:val="single" w:sz="4" w:space="0" w:color="auto"/>
              <w:right w:val="single" w:sz="4" w:space="0" w:color="auto"/>
            </w:tcBorders>
          </w:tcPr>
          <w:p w14:paraId="3D269A64" w14:textId="77777777" w:rsidR="00A41E60" w:rsidRPr="00D85E09" w:rsidRDefault="00A41E60" w:rsidP="0043316B">
            <w:pPr>
              <w:pStyle w:val="Tabletext"/>
              <w:keepNext w:val="0"/>
              <w:widowControl w:val="0"/>
              <w:jc w:val="center"/>
            </w:pPr>
          </w:p>
        </w:tc>
        <w:tc>
          <w:tcPr>
            <w:tcW w:w="895" w:type="pct"/>
            <w:tcBorders>
              <w:top w:val="single" w:sz="4" w:space="0" w:color="auto"/>
              <w:left w:val="single" w:sz="4" w:space="0" w:color="auto"/>
              <w:bottom w:val="single" w:sz="4" w:space="0" w:color="auto"/>
              <w:right w:val="single" w:sz="4" w:space="0" w:color="auto"/>
            </w:tcBorders>
            <w:hideMark/>
          </w:tcPr>
          <w:p w14:paraId="0CFDD0F0" w14:textId="77777777" w:rsidR="00A41E60" w:rsidRPr="00D85E09" w:rsidRDefault="00A41E60" w:rsidP="0043316B">
            <w:pPr>
              <w:pStyle w:val="Tabletext"/>
              <w:keepNext w:val="0"/>
              <w:widowControl w:val="0"/>
              <w:jc w:val="center"/>
            </w:pPr>
            <w:r w:rsidRPr="00D85E09">
              <w:t>$54,699</w:t>
            </w:r>
          </w:p>
        </w:tc>
      </w:tr>
    </w:tbl>
    <w:p w14:paraId="7B21DAD7" w14:textId="77777777" w:rsidR="00A41E60" w:rsidRPr="00D85E09" w:rsidRDefault="00A41E60" w:rsidP="0043316B">
      <w:pPr>
        <w:pStyle w:val="Tablefooter"/>
        <w:widowControl w:val="0"/>
      </w:pPr>
      <w:r w:rsidRPr="00D85E09">
        <w:t>Note: See “Results - SUMMARY” worksheet of “MT MSAC June 2016 Section D.xlsx”.</w:t>
      </w:r>
    </w:p>
    <w:p w14:paraId="5CD5642A" w14:textId="77777777" w:rsidR="00A41E60" w:rsidRPr="00D85E09" w:rsidRDefault="00A41E60" w:rsidP="0043316B">
      <w:pPr>
        <w:widowControl w:val="0"/>
      </w:pPr>
    </w:p>
    <w:p w14:paraId="01708371" w14:textId="77777777" w:rsidR="00A41E60" w:rsidRPr="00D85E09" w:rsidRDefault="00A41E60" w:rsidP="0043316B">
      <w:pPr>
        <w:widowControl w:val="0"/>
        <w:rPr>
          <w:i/>
        </w:rPr>
      </w:pPr>
      <w:r w:rsidRPr="00D85E09">
        <w:rPr>
          <w:i/>
        </w:rPr>
        <w:t>The Applicant would like to ask the evaluators / MSAC that the interpretation of the presented cost-effectiveness evidence should be made with due considering about the significant clinical needs existing for an effective treatment option during the hyperacute stroke treatment phase. Mechanical thrombectomy considerably improves post-acute functional abilities (not to mention survival benefits) and reduces patient dependency, producing long-term and often permanent health / cost benefits. The proposed listing will thus be a much welcome funding to fill this gap.</w:t>
      </w:r>
    </w:p>
    <w:p w14:paraId="546F33E8" w14:textId="77777777" w:rsidR="00A41E60" w:rsidRPr="00D85E09" w:rsidRDefault="00A41E60" w:rsidP="0043316B">
      <w:pPr>
        <w:pStyle w:val="Heading3"/>
        <w:keepNext w:val="0"/>
        <w:widowControl w:val="0"/>
        <w:ind w:left="993" w:hanging="993"/>
        <w:rPr>
          <w:lang w:val="en-AU"/>
        </w:rPr>
      </w:pPr>
      <w:bookmarkStart w:id="568" w:name="_Ref451516547"/>
      <w:bookmarkStart w:id="569" w:name="_Toc453065322"/>
      <w:r w:rsidRPr="00D85E09">
        <w:rPr>
          <w:lang w:val="en-AU"/>
        </w:rPr>
        <w:t>Stepped economic evaluation</w:t>
      </w:r>
      <w:bookmarkEnd w:id="568"/>
      <w:bookmarkEnd w:id="569"/>
    </w:p>
    <w:p w14:paraId="49272B6A" w14:textId="65125711" w:rsidR="00A41E60" w:rsidRPr="00D85E09" w:rsidRDefault="00A41E60" w:rsidP="0043316B">
      <w:pPr>
        <w:widowControl w:val="0"/>
      </w:pPr>
      <w:r w:rsidRPr="00D85E09">
        <w:fldChar w:fldCharType="begin"/>
      </w:r>
      <w:r w:rsidRPr="00D85E09">
        <w:instrText xml:space="preserve"> REF _Ref451769989 \h </w:instrText>
      </w:r>
      <w:r w:rsidRPr="00D85E09">
        <w:fldChar w:fldCharType="separate"/>
      </w:r>
      <w:r w:rsidR="00A456ED" w:rsidRPr="00D85E09">
        <w:t xml:space="preserve">Table </w:t>
      </w:r>
      <w:r w:rsidR="00A456ED">
        <w:rPr>
          <w:noProof/>
        </w:rPr>
        <w:t>93</w:t>
      </w:r>
      <w:r w:rsidRPr="00D85E09">
        <w:fldChar w:fldCharType="end"/>
      </w:r>
      <w:r w:rsidRPr="00D85E09">
        <w:t xml:space="preserve"> below summarises the findings of stepped economic evaluation. Even with a short time horizon of 5 years, mechanical thrombectomy is suggested to have a reasonable cost-effectiveness. These findings provide greater confidence that availability of mechanical thrombectomy on the MBS delivers value for money – with clinical and cost benefits delivered over a relatively short time frame.</w:t>
      </w:r>
    </w:p>
    <w:p w14:paraId="7EB96888" w14:textId="2B0A7154" w:rsidR="00A41E60" w:rsidRPr="00D85E09" w:rsidRDefault="00A41E60" w:rsidP="0043316B">
      <w:pPr>
        <w:pStyle w:val="Caption"/>
        <w:keepNext w:val="0"/>
        <w:widowControl w:val="0"/>
        <w:rPr>
          <w:lang w:val="en-AU"/>
        </w:rPr>
      </w:pPr>
      <w:bookmarkStart w:id="570" w:name="_Ref451769989"/>
      <w:bookmarkStart w:id="571" w:name="_Toc45306542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93</w:t>
      </w:r>
      <w:r w:rsidRPr="00D85E09">
        <w:rPr>
          <w:lang w:val="en-AU"/>
        </w:rPr>
        <w:fldChar w:fldCharType="end"/>
      </w:r>
      <w:bookmarkEnd w:id="570"/>
      <w:r w:rsidRPr="00D85E09">
        <w:rPr>
          <w:lang w:val="en-AU"/>
        </w:rPr>
        <w:tab/>
        <w:t>Results of stepped economic evaluation</w:t>
      </w:r>
      <w:bookmarkEnd w:id="571"/>
    </w:p>
    <w:tbl>
      <w:tblPr>
        <w:tblStyle w:val="TableGrid"/>
        <w:tblW w:w="0" w:type="auto"/>
        <w:tblLook w:val="04A0" w:firstRow="1" w:lastRow="0" w:firstColumn="1" w:lastColumn="0" w:noHBand="0" w:noVBand="1"/>
        <w:tblDescription w:val="Table 93 Results of stepped economic evaluation"/>
      </w:tblPr>
      <w:tblGrid>
        <w:gridCol w:w="4219"/>
        <w:gridCol w:w="1595"/>
        <w:gridCol w:w="1595"/>
        <w:gridCol w:w="1595"/>
      </w:tblGrid>
      <w:tr w:rsidR="00A41E60" w:rsidRPr="00D85E09" w14:paraId="4A6F8257" w14:textId="77777777" w:rsidTr="00BE6331">
        <w:trPr>
          <w:tblHeader/>
        </w:trPr>
        <w:tc>
          <w:tcPr>
            <w:tcW w:w="4219" w:type="dxa"/>
            <w:tcBorders>
              <w:top w:val="single" w:sz="4" w:space="0" w:color="000000"/>
              <w:left w:val="single" w:sz="4" w:space="0" w:color="000000"/>
              <w:bottom w:val="single" w:sz="4" w:space="0" w:color="000000"/>
              <w:right w:val="single" w:sz="4" w:space="0" w:color="000000"/>
            </w:tcBorders>
            <w:hideMark/>
          </w:tcPr>
          <w:p w14:paraId="29EC203F" w14:textId="77777777" w:rsidR="00A41E60" w:rsidRPr="00D85E09" w:rsidRDefault="00A41E60" w:rsidP="0043316B">
            <w:pPr>
              <w:pStyle w:val="Tabletext"/>
              <w:keepNext w:val="0"/>
              <w:widowControl w:val="0"/>
              <w:rPr>
                <w:b/>
              </w:rPr>
            </w:pPr>
            <w:r w:rsidRPr="00D85E09">
              <w:rPr>
                <w:b/>
              </w:rPr>
              <w:t>Analysis</w:t>
            </w:r>
          </w:p>
        </w:tc>
        <w:tc>
          <w:tcPr>
            <w:tcW w:w="1595" w:type="dxa"/>
            <w:tcBorders>
              <w:top w:val="single" w:sz="4" w:space="0" w:color="000000"/>
              <w:left w:val="single" w:sz="4" w:space="0" w:color="000000"/>
              <w:bottom w:val="single" w:sz="4" w:space="0" w:color="000000"/>
              <w:right w:val="single" w:sz="4" w:space="0" w:color="000000"/>
            </w:tcBorders>
            <w:hideMark/>
          </w:tcPr>
          <w:p w14:paraId="629DC7A8" w14:textId="77777777" w:rsidR="00A41E60" w:rsidRPr="00D85E09" w:rsidRDefault="00A41E60" w:rsidP="0043316B">
            <w:pPr>
              <w:pStyle w:val="Tabletext"/>
              <w:keepNext w:val="0"/>
              <w:widowControl w:val="0"/>
              <w:jc w:val="center"/>
              <w:rPr>
                <w:b/>
              </w:rPr>
            </w:pPr>
            <w:r w:rsidRPr="00D85E09">
              <w:rPr>
                <w:b/>
              </w:rPr>
              <w:t>Incremental effectiveness</w:t>
            </w:r>
          </w:p>
        </w:tc>
        <w:tc>
          <w:tcPr>
            <w:tcW w:w="1595" w:type="dxa"/>
            <w:tcBorders>
              <w:top w:val="single" w:sz="4" w:space="0" w:color="000000"/>
              <w:left w:val="single" w:sz="4" w:space="0" w:color="000000"/>
              <w:bottom w:val="single" w:sz="4" w:space="0" w:color="000000"/>
              <w:right w:val="single" w:sz="4" w:space="0" w:color="000000"/>
            </w:tcBorders>
            <w:hideMark/>
          </w:tcPr>
          <w:p w14:paraId="5A016FC4" w14:textId="77777777" w:rsidR="00A41E60" w:rsidRPr="00D85E09" w:rsidRDefault="00A41E60" w:rsidP="0043316B">
            <w:pPr>
              <w:pStyle w:val="Tabletext"/>
              <w:keepNext w:val="0"/>
              <w:widowControl w:val="0"/>
              <w:jc w:val="center"/>
              <w:rPr>
                <w:b/>
              </w:rPr>
            </w:pPr>
            <w:r w:rsidRPr="00D85E09">
              <w:rPr>
                <w:b/>
              </w:rPr>
              <w:t>Incremental costs</w:t>
            </w:r>
          </w:p>
        </w:tc>
        <w:tc>
          <w:tcPr>
            <w:tcW w:w="1595" w:type="dxa"/>
            <w:tcBorders>
              <w:top w:val="single" w:sz="4" w:space="0" w:color="000000"/>
              <w:left w:val="single" w:sz="4" w:space="0" w:color="000000"/>
              <w:bottom w:val="single" w:sz="4" w:space="0" w:color="000000"/>
              <w:right w:val="single" w:sz="4" w:space="0" w:color="000000"/>
            </w:tcBorders>
            <w:hideMark/>
          </w:tcPr>
          <w:p w14:paraId="04299616" w14:textId="77777777" w:rsidR="00A41E60" w:rsidRPr="00D85E09" w:rsidRDefault="00A41E60" w:rsidP="0043316B">
            <w:pPr>
              <w:pStyle w:val="Tabletext"/>
              <w:keepNext w:val="0"/>
              <w:widowControl w:val="0"/>
              <w:jc w:val="center"/>
              <w:rPr>
                <w:b/>
              </w:rPr>
            </w:pPr>
            <w:r w:rsidRPr="00D85E09">
              <w:rPr>
                <w:b/>
              </w:rPr>
              <w:t>ICERs</w:t>
            </w:r>
          </w:p>
        </w:tc>
      </w:tr>
      <w:tr w:rsidR="00A41E60" w:rsidRPr="00D85E09" w14:paraId="483E3A04" w14:textId="77777777" w:rsidTr="00A41E60">
        <w:tc>
          <w:tcPr>
            <w:tcW w:w="4219" w:type="dxa"/>
            <w:tcBorders>
              <w:top w:val="single" w:sz="4" w:space="0" w:color="000000"/>
              <w:left w:val="single" w:sz="4" w:space="0" w:color="000000"/>
              <w:bottom w:val="single" w:sz="4" w:space="0" w:color="000000"/>
              <w:right w:val="nil"/>
            </w:tcBorders>
            <w:hideMark/>
          </w:tcPr>
          <w:p w14:paraId="32E80DDC" w14:textId="77777777" w:rsidR="00A41E60" w:rsidRPr="00D85E09" w:rsidRDefault="00A41E60" w:rsidP="0043316B">
            <w:pPr>
              <w:pStyle w:val="Tabletext"/>
              <w:keepNext w:val="0"/>
              <w:widowControl w:val="0"/>
            </w:pPr>
            <w:r w:rsidRPr="00D85E09">
              <w:t>Trial based</w:t>
            </w:r>
          </w:p>
        </w:tc>
        <w:tc>
          <w:tcPr>
            <w:tcW w:w="1595" w:type="dxa"/>
            <w:tcBorders>
              <w:top w:val="single" w:sz="4" w:space="0" w:color="000000"/>
              <w:left w:val="nil"/>
              <w:bottom w:val="single" w:sz="4" w:space="0" w:color="000000"/>
              <w:right w:val="nil"/>
            </w:tcBorders>
          </w:tcPr>
          <w:p w14:paraId="0B688AFD"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nil"/>
            </w:tcBorders>
          </w:tcPr>
          <w:p w14:paraId="44A8CC20"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single" w:sz="4" w:space="0" w:color="000000"/>
            </w:tcBorders>
          </w:tcPr>
          <w:p w14:paraId="1AABB4A7" w14:textId="77777777" w:rsidR="00A41E60" w:rsidRPr="00D85E09" w:rsidRDefault="00A41E60" w:rsidP="0043316B">
            <w:pPr>
              <w:pStyle w:val="Tabletext"/>
              <w:keepNext w:val="0"/>
              <w:widowControl w:val="0"/>
              <w:jc w:val="center"/>
            </w:pPr>
          </w:p>
        </w:tc>
      </w:tr>
      <w:tr w:rsidR="00A41E60" w:rsidRPr="00D85E09" w14:paraId="73C04274"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16449302" w14:textId="77777777" w:rsidR="00A41E60" w:rsidRPr="00D85E09" w:rsidRDefault="00A41E60" w:rsidP="0043316B">
            <w:pPr>
              <w:pStyle w:val="Tabletext"/>
              <w:keepNext w:val="0"/>
              <w:widowControl w:val="0"/>
              <w:ind w:left="142"/>
            </w:pPr>
            <w:r w:rsidRPr="00D85E09">
              <w:t>in terms of additional independent person at 90 days (mRS0-2), MT cost only</w:t>
            </w:r>
          </w:p>
        </w:tc>
        <w:tc>
          <w:tcPr>
            <w:tcW w:w="1595" w:type="dxa"/>
            <w:tcBorders>
              <w:top w:val="single" w:sz="4" w:space="0" w:color="000000"/>
              <w:left w:val="single" w:sz="4" w:space="0" w:color="000000"/>
              <w:bottom w:val="single" w:sz="4" w:space="0" w:color="000000"/>
              <w:right w:val="single" w:sz="4" w:space="0" w:color="000000"/>
            </w:tcBorders>
            <w:hideMark/>
          </w:tcPr>
          <w:p w14:paraId="5FC86840" w14:textId="77777777" w:rsidR="00A41E60" w:rsidRPr="00D85E09" w:rsidRDefault="00A41E60" w:rsidP="0043316B">
            <w:pPr>
              <w:pStyle w:val="Tabletext"/>
              <w:keepNext w:val="0"/>
              <w:widowControl w:val="0"/>
              <w:jc w:val="center"/>
            </w:pPr>
            <w:r w:rsidRPr="00D85E09">
              <w:t>0.1950</w:t>
            </w:r>
          </w:p>
        </w:tc>
        <w:tc>
          <w:tcPr>
            <w:tcW w:w="1595" w:type="dxa"/>
            <w:tcBorders>
              <w:top w:val="single" w:sz="4" w:space="0" w:color="000000"/>
              <w:left w:val="single" w:sz="4" w:space="0" w:color="000000"/>
              <w:bottom w:val="single" w:sz="4" w:space="0" w:color="000000"/>
              <w:right w:val="single" w:sz="4" w:space="0" w:color="000000"/>
            </w:tcBorders>
            <w:hideMark/>
          </w:tcPr>
          <w:p w14:paraId="265445C1" w14:textId="77777777" w:rsidR="00A41E60" w:rsidRPr="00D85E09" w:rsidRDefault="00A41E60" w:rsidP="0043316B">
            <w:pPr>
              <w:pStyle w:val="Tabletext"/>
              <w:keepNext w:val="0"/>
              <w:widowControl w:val="0"/>
              <w:jc w:val="center"/>
            </w:pPr>
            <w:r w:rsidRPr="00D85E09">
              <w:t>$18,308</w:t>
            </w:r>
          </w:p>
        </w:tc>
        <w:tc>
          <w:tcPr>
            <w:tcW w:w="1595" w:type="dxa"/>
            <w:tcBorders>
              <w:top w:val="single" w:sz="4" w:space="0" w:color="000000"/>
              <w:left w:val="single" w:sz="4" w:space="0" w:color="000000"/>
              <w:bottom w:val="single" w:sz="4" w:space="0" w:color="000000"/>
              <w:right w:val="single" w:sz="4" w:space="0" w:color="000000"/>
            </w:tcBorders>
            <w:hideMark/>
          </w:tcPr>
          <w:p w14:paraId="0A04C32D" w14:textId="77777777" w:rsidR="00A41E60" w:rsidRPr="00D85E09" w:rsidRDefault="00A41E60" w:rsidP="0043316B">
            <w:pPr>
              <w:pStyle w:val="Tabletext"/>
              <w:keepNext w:val="0"/>
              <w:widowControl w:val="0"/>
              <w:jc w:val="center"/>
            </w:pPr>
            <w:r w:rsidRPr="00D85E09">
              <w:t>$93,890</w:t>
            </w:r>
          </w:p>
        </w:tc>
      </w:tr>
      <w:tr w:rsidR="00A41E60" w:rsidRPr="00D85E09" w14:paraId="479C6D80" w14:textId="77777777" w:rsidTr="00A41E60">
        <w:tc>
          <w:tcPr>
            <w:tcW w:w="4219" w:type="dxa"/>
            <w:tcBorders>
              <w:top w:val="single" w:sz="4" w:space="0" w:color="000000"/>
              <w:left w:val="single" w:sz="4" w:space="0" w:color="000000"/>
              <w:bottom w:val="single" w:sz="4" w:space="0" w:color="000000"/>
              <w:right w:val="nil"/>
            </w:tcBorders>
            <w:hideMark/>
          </w:tcPr>
          <w:p w14:paraId="31C24351" w14:textId="77777777" w:rsidR="00A41E60" w:rsidRPr="00D85E09" w:rsidRDefault="00A41E60" w:rsidP="0043316B">
            <w:pPr>
              <w:pStyle w:val="Tabletext"/>
              <w:keepNext w:val="0"/>
              <w:widowControl w:val="0"/>
            </w:pPr>
            <w:r w:rsidRPr="00D85E09">
              <w:t>12-month analysis</w:t>
            </w:r>
          </w:p>
        </w:tc>
        <w:tc>
          <w:tcPr>
            <w:tcW w:w="1595" w:type="dxa"/>
            <w:tcBorders>
              <w:top w:val="single" w:sz="4" w:space="0" w:color="000000"/>
              <w:left w:val="nil"/>
              <w:bottom w:val="single" w:sz="4" w:space="0" w:color="000000"/>
              <w:right w:val="nil"/>
            </w:tcBorders>
          </w:tcPr>
          <w:p w14:paraId="049D58EA"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nil"/>
            </w:tcBorders>
          </w:tcPr>
          <w:p w14:paraId="2368BE5C"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single" w:sz="4" w:space="0" w:color="000000"/>
            </w:tcBorders>
          </w:tcPr>
          <w:p w14:paraId="045B8F7D" w14:textId="77777777" w:rsidR="00A41E60" w:rsidRPr="00D85E09" w:rsidRDefault="00A41E60" w:rsidP="0043316B">
            <w:pPr>
              <w:pStyle w:val="Tabletext"/>
              <w:keepNext w:val="0"/>
              <w:widowControl w:val="0"/>
              <w:jc w:val="center"/>
            </w:pPr>
          </w:p>
        </w:tc>
      </w:tr>
      <w:tr w:rsidR="00A41E60" w:rsidRPr="00D85E09" w14:paraId="0239CAA9"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57219F17" w14:textId="77777777" w:rsidR="00A41E60" w:rsidRPr="00D85E09" w:rsidRDefault="00A41E60" w:rsidP="0043316B">
            <w:pPr>
              <w:pStyle w:val="Tabletext"/>
              <w:keepNext w:val="0"/>
              <w:widowControl w:val="0"/>
              <w:ind w:left="142"/>
            </w:pPr>
            <w:r w:rsidRPr="00D85E09">
              <w:t>in terms of additional independent person at 90 days (mRS0-2), 12-month costs</w:t>
            </w:r>
          </w:p>
        </w:tc>
        <w:tc>
          <w:tcPr>
            <w:tcW w:w="1595" w:type="dxa"/>
            <w:tcBorders>
              <w:top w:val="single" w:sz="4" w:space="0" w:color="000000"/>
              <w:left w:val="single" w:sz="4" w:space="0" w:color="000000"/>
              <w:bottom w:val="single" w:sz="4" w:space="0" w:color="000000"/>
              <w:right w:val="single" w:sz="4" w:space="0" w:color="000000"/>
            </w:tcBorders>
            <w:hideMark/>
          </w:tcPr>
          <w:p w14:paraId="3FE11C28" w14:textId="77777777" w:rsidR="00A41E60" w:rsidRPr="00D85E09" w:rsidRDefault="00A41E60" w:rsidP="0043316B">
            <w:pPr>
              <w:pStyle w:val="Tabletext"/>
              <w:keepNext w:val="0"/>
              <w:widowControl w:val="0"/>
              <w:jc w:val="center"/>
            </w:pPr>
            <w:r w:rsidRPr="00D85E09">
              <w:t>0.1950</w:t>
            </w:r>
          </w:p>
        </w:tc>
        <w:tc>
          <w:tcPr>
            <w:tcW w:w="1595" w:type="dxa"/>
            <w:tcBorders>
              <w:top w:val="single" w:sz="4" w:space="0" w:color="000000"/>
              <w:left w:val="single" w:sz="4" w:space="0" w:color="000000"/>
              <w:bottom w:val="single" w:sz="4" w:space="0" w:color="000000"/>
              <w:right w:val="single" w:sz="4" w:space="0" w:color="000000"/>
            </w:tcBorders>
            <w:hideMark/>
          </w:tcPr>
          <w:p w14:paraId="3A020C77" w14:textId="77777777" w:rsidR="00A41E60" w:rsidRPr="00D85E09" w:rsidRDefault="00A41E60" w:rsidP="0043316B">
            <w:pPr>
              <w:pStyle w:val="Tabletext"/>
              <w:keepNext w:val="0"/>
              <w:widowControl w:val="0"/>
              <w:jc w:val="center"/>
            </w:pPr>
            <w:r w:rsidRPr="00D85E09">
              <w:t>$17,837</w:t>
            </w:r>
          </w:p>
        </w:tc>
        <w:tc>
          <w:tcPr>
            <w:tcW w:w="1595" w:type="dxa"/>
            <w:tcBorders>
              <w:top w:val="single" w:sz="4" w:space="0" w:color="000000"/>
              <w:left w:val="single" w:sz="4" w:space="0" w:color="000000"/>
              <w:bottom w:val="single" w:sz="4" w:space="0" w:color="000000"/>
              <w:right w:val="single" w:sz="4" w:space="0" w:color="000000"/>
            </w:tcBorders>
            <w:hideMark/>
          </w:tcPr>
          <w:p w14:paraId="7BA4F437" w14:textId="77777777" w:rsidR="00A41E60" w:rsidRPr="00D85E09" w:rsidRDefault="00A41E60" w:rsidP="0043316B">
            <w:pPr>
              <w:pStyle w:val="Tabletext"/>
              <w:keepNext w:val="0"/>
              <w:widowControl w:val="0"/>
              <w:jc w:val="center"/>
            </w:pPr>
            <w:r w:rsidRPr="00D85E09">
              <w:t>$91,473</w:t>
            </w:r>
          </w:p>
        </w:tc>
      </w:tr>
      <w:tr w:rsidR="00A41E60" w:rsidRPr="00D85E09" w14:paraId="7FE90B95"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7E205F6D" w14:textId="77777777" w:rsidR="00A41E60" w:rsidRPr="00D85E09" w:rsidRDefault="00A41E60" w:rsidP="0043316B">
            <w:pPr>
              <w:pStyle w:val="Tabletext"/>
              <w:keepNext w:val="0"/>
              <w:widowControl w:val="0"/>
              <w:ind w:left="142"/>
            </w:pPr>
            <w:r w:rsidRPr="00D85E09">
              <w:t>in terms of life years, 12-month costs</w:t>
            </w:r>
          </w:p>
        </w:tc>
        <w:tc>
          <w:tcPr>
            <w:tcW w:w="1595" w:type="dxa"/>
            <w:tcBorders>
              <w:top w:val="single" w:sz="4" w:space="0" w:color="000000"/>
              <w:left w:val="single" w:sz="4" w:space="0" w:color="000000"/>
              <w:bottom w:val="single" w:sz="4" w:space="0" w:color="000000"/>
              <w:right w:val="single" w:sz="4" w:space="0" w:color="000000"/>
            </w:tcBorders>
            <w:hideMark/>
          </w:tcPr>
          <w:p w14:paraId="3AF9D4FB" w14:textId="77777777" w:rsidR="00A41E60" w:rsidRPr="00D85E09" w:rsidRDefault="00A41E60" w:rsidP="0043316B">
            <w:pPr>
              <w:pStyle w:val="Tabletext"/>
              <w:keepNext w:val="0"/>
              <w:widowControl w:val="0"/>
              <w:jc w:val="center"/>
            </w:pPr>
            <w:r w:rsidRPr="00D85E09">
              <w:t>0.0492</w:t>
            </w:r>
          </w:p>
        </w:tc>
        <w:tc>
          <w:tcPr>
            <w:tcW w:w="1595" w:type="dxa"/>
            <w:tcBorders>
              <w:top w:val="single" w:sz="4" w:space="0" w:color="000000"/>
              <w:left w:val="single" w:sz="4" w:space="0" w:color="000000"/>
              <w:bottom w:val="single" w:sz="4" w:space="0" w:color="000000"/>
              <w:right w:val="single" w:sz="4" w:space="0" w:color="000000"/>
            </w:tcBorders>
            <w:hideMark/>
          </w:tcPr>
          <w:p w14:paraId="1D6C7FD2" w14:textId="77777777" w:rsidR="00A41E60" w:rsidRPr="00D85E09" w:rsidRDefault="00A41E60" w:rsidP="0043316B">
            <w:pPr>
              <w:pStyle w:val="Tabletext"/>
              <w:keepNext w:val="0"/>
              <w:widowControl w:val="0"/>
              <w:jc w:val="center"/>
            </w:pPr>
            <w:r w:rsidRPr="00D85E09">
              <w:t>$17,837</w:t>
            </w:r>
          </w:p>
        </w:tc>
        <w:tc>
          <w:tcPr>
            <w:tcW w:w="1595" w:type="dxa"/>
            <w:tcBorders>
              <w:top w:val="single" w:sz="4" w:space="0" w:color="000000"/>
              <w:left w:val="single" w:sz="4" w:space="0" w:color="000000"/>
              <w:bottom w:val="single" w:sz="4" w:space="0" w:color="000000"/>
              <w:right w:val="single" w:sz="4" w:space="0" w:color="000000"/>
            </w:tcBorders>
            <w:hideMark/>
          </w:tcPr>
          <w:p w14:paraId="66705E93" w14:textId="77777777" w:rsidR="00A41E60" w:rsidRPr="00D85E09" w:rsidRDefault="00A41E60" w:rsidP="0043316B">
            <w:pPr>
              <w:pStyle w:val="Tabletext"/>
              <w:keepNext w:val="0"/>
              <w:widowControl w:val="0"/>
              <w:jc w:val="center"/>
            </w:pPr>
            <w:r w:rsidRPr="00D85E09">
              <w:t>$362,403</w:t>
            </w:r>
          </w:p>
        </w:tc>
      </w:tr>
      <w:tr w:rsidR="00A41E60" w:rsidRPr="00D85E09" w14:paraId="7AB859FA"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2A6E5FB2" w14:textId="77777777" w:rsidR="00A41E60" w:rsidRPr="00D85E09" w:rsidRDefault="00A41E60" w:rsidP="0043316B">
            <w:pPr>
              <w:pStyle w:val="Tabletext"/>
              <w:keepNext w:val="0"/>
              <w:widowControl w:val="0"/>
              <w:ind w:left="142"/>
            </w:pPr>
            <w:r w:rsidRPr="00D85E09">
              <w:t>in terms of QALYs years, 12-month costs</w:t>
            </w:r>
          </w:p>
        </w:tc>
        <w:tc>
          <w:tcPr>
            <w:tcW w:w="1595" w:type="dxa"/>
            <w:tcBorders>
              <w:top w:val="single" w:sz="4" w:space="0" w:color="000000"/>
              <w:left w:val="single" w:sz="4" w:space="0" w:color="000000"/>
              <w:bottom w:val="single" w:sz="4" w:space="0" w:color="000000"/>
              <w:right w:val="single" w:sz="4" w:space="0" w:color="000000"/>
            </w:tcBorders>
            <w:hideMark/>
          </w:tcPr>
          <w:p w14:paraId="675A0036" w14:textId="77777777" w:rsidR="00A41E60" w:rsidRPr="00D85E09" w:rsidRDefault="00A41E60" w:rsidP="0043316B">
            <w:pPr>
              <w:pStyle w:val="Tabletext"/>
              <w:keepNext w:val="0"/>
              <w:widowControl w:val="0"/>
              <w:jc w:val="center"/>
            </w:pPr>
            <w:r w:rsidRPr="00D85E09">
              <w:t>0.0937</w:t>
            </w:r>
          </w:p>
        </w:tc>
        <w:tc>
          <w:tcPr>
            <w:tcW w:w="1595" w:type="dxa"/>
            <w:tcBorders>
              <w:top w:val="single" w:sz="4" w:space="0" w:color="000000"/>
              <w:left w:val="single" w:sz="4" w:space="0" w:color="000000"/>
              <w:bottom w:val="single" w:sz="4" w:space="0" w:color="000000"/>
              <w:right w:val="single" w:sz="4" w:space="0" w:color="000000"/>
            </w:tcBorders>
            <w:hideMark/>
          </w:tcPr>
          <w:p w14:paraId="02C6FB93" w14:textId="77777777" w:rsidR="00A41E60" w:rsidRPr="00D85E09" w:rsidRDefault="00A41E60" w:rsidP="0043316B">
            <w:pPr>
              <w:pStyle w:val="Tabletext"/>
              <w:keepNext w:val="0"/>
              <w:widowControl w:val="0"/>
              <w:jc w:val="center"/>
            </w:pPr>
            <w:r w:rsidRPr="00D85E09">
              <w:t>$17,837</w:t>
            </w:r>
          </w:p>
        </w:tc>
        <w:tc>
          <w:tcPr>
            <w:tcW w:w="1595" w:type="dxa"/>
            <w:tcBorders>
              <w:top w:val="single" w:sz="4" w:space="0" w:color="000000"/>
              <w:left w:val="single" w:sz="4" w:space="0" w:color="000000"/>
              <w:bottom w:val="single" w:sz="4" w:space="0" w:color="000000"/>
              <w:right w:val="single" w:sz="4" w:space="0" w:color="000000"/>
            </w:tcBorders>
            <w:hideMark/>
          </w:tcPr>
          <w:p w14:paraId="26ADF5B8" w14:textId="77777777" w:rsidR="00A41E60" w:rsidRPr="00D85E09" w:rsidRDefault="00A41E60" w:rsidP="0043316B">
            <w:pPr>
              <w:pStyle w:val="Tabletext"/>
              <w:keepNext w:val="0"/>
              <w:widowControl w:val="0"/>
              <w:jc w:val="center"/>
            </w:pPr>
            <w:r w:rsidRPr="00D85E09">
              <w:t>$190,361</w:t>
            </w:r>
          </w:p>
        </w:tc>
      </w:tr>
      <w:tr w:rsidR="00A41E60" w:rsidRPr="00D85E09" w14:paraId="7F042E4E" w14:textId="77777777" w:rsidTr="00A41E60">
        <w:tc>
          <w:tcPr>
            <w:tcW w:w="4219" w:type="dxa"/>
            <w:tcBorders>
              <w:top w:val="single" w:sz="4" w:space="0" w:color="000000"/>
              <w:left w:val="single" w:sz="4" w:space="0" w:color="000000"/>
              <w:bottom w:val="single" w:sz="4" w:space="0" w:color="000000"/>
              <w:right w:val="nil"/>
            </w:tcBorders>
            <w:hideMark/>
          </w:tcPr>
          <w:p w14:paraId="0D60BD44" w14:textId="77777777" w:rsidR="00A41E60" w:rsidRPr="00D85E09" w:rsidRDefault="00A41E60" w:rsidP="0043316B">
            <w:pPr>
              <w:pStyle w:val="Tabletext"/>
              <w:keepNext w:val="0"/>
              <w:widowControl w:val="0"/>
            </w:pPr>
            <w:r w:rsidRPr="00D85E09">
              <w:t>5-year analysis</w:t>
            </w:r>
          </w:p>
        </w:tc>
        <w:tc>
          <w:tcPr>
            <w:tcW w:w="1595" w:type="dxa"/>
            <w:tcBorders>
              <w:top w:val="single" w:sz="4" w:space="0" w:color="000000"/>
              <w:left w:val="nil"/>
              <w:bottom w:val="single" w:sz="4" w:space="0" w:color="000000"/>
              <w:right w:val="nil"/>
            </w:tcBorders>
          </w:tcPr>
          <w:p w14:paraId="53498D7A"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nil"/>
            </w:tcBorders>
          </w:tcPr>
          <w:p w14:paraId="47C56EDE"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single" w:sz="4" w:space="0" w:color="000000"/>
            </w:tcBorders>
          </w:tcPr>
          <w:p w14:paraId="7C3B038D" w14:textId="77777777" w:rsidR="00A41E60" w:rsidRPr="00D85E09" w:rsidRDefault="00A41E60" w:rsidP="0043316B">
            <w:pPr>
              <w:pStyle w:val="Tabletext"/>
              <w:keepNext w:val="0"/>
              <w:widowControl w:val="0"/>
              <w:jc w:val="center"/>
            </w:pPr>
          </w:p>
        </w:tc>
      </w:tr>
      <w:tr w:rsidR="00A41E60" w:rsidRPr="00D85E09" w14:paraId="6A2945D2"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5E7170BA" w14:textId="77777777" w:rsidR="00A41E60" w:rsidRPr="00D85E09" w:rsidRDefault="00A41E60" w:rsidP="0043316B">
            <w:pPr>
              <w:pStyle w:val="Tabletext"/>
              <w:keepNext w:val="0"/>
              <w:widowControl w:val="0"/>
              <w:ind w:left="142"/>
            </w:pPr>
            <w:r w:rsidRPr="00D85E09">
              <w:t>in terms of life years, 5 year costs</w:t>
            </w:r>
          </w:p>
        </w:tc>
        <w:tc>
          <w:tcPr>
            <w:tcW w:w="1595" w:type="dxa"/>
            <w:tcBorders>
              <w:top w:val="single" w:sz="4" w:space="0" w:color="000000"/>
              <w:left w:val="single" w:sz="4" w:space="0" w:color="000000"/>
              <w:bottom w:val="single" w:sz="4" w:space="0" w:color="000000"/>
              <w:right w:val="single" w:sz="4" w:space="0" w:color="000000"/>
            </w:tcBorders>
            <w:hideMark/>
          </w:tcPr>
          <w:p w14:paraId="40FE7C4B" w14:textId="77777777" w:rsidR="00A41E60" w:rsidRPr="00D85E09" w:rsidRDefault="00A41E60" w:rsidP="0043316B">
            <w:pPr>
              <w:pStyle w:val="Tabletext"/>
              <w:keepNext w:val="0"/>
              <w:widowControl w:val="0"/>
              <w:jc w:val="center"/>
            </w:pPr>
            <w:r w:rsidRPr="00D85E09">
              <w:t>0.2912</w:t>
            </w:r>
          </w:p>
        </w:tc>
        <w:tc>
          <w:tcPr>
            <w:tcW w:w="1595" w:type="dxa"/>
            <w:tcBorders>
              <w:top w:val="single" w:sz="4" w:space="0" w:color="000000"/>
              <w:left w:val="single" w:sz="4" w:space="0" w:color="000000"/>
              <w:bottom w:val="single" w:sz="4" w:space="0" w:color="000000"/>
              <w:right w:val="single" w:sz="4" w:space="0" w:color="000000"/>
            </w:tcBorders>
            <w:hideMark/>
          </w:tcPr>
          <w:p w14:paraId="7DF31239" w14:textId="77777777" w:rsidR="00A41E60" w:rsidRPr="00D85E09" w:rsidRDefault="00A41E60" w:rsidP="0043316B">
            <w:pPr>
              <w:pStyle w:val="Tabletext"/>
              <w:keepNext w:val="0"/>
              <w:widowControl w:val="0"/>
              <w:jc w:val="center"/>
            </w:pPr>
            <w:r w:rsidRPr="00D85E09">
              <w:t>$15,255</w:t>
            </w:r>
          </w:p>
        </w:tc>
        <w:tc>
          <w:tcPr>
            <w:tcW w:w="1595" w:type="dxa"/>
            <w:tcBorders>
              <w:top w:val="single" w:sz="4" w:space="0" w:color="000000"/>
              <w:left w:val="single" w:sz="4" w:space="0" w:color="000000"/>
              <w:bottom w:val="single" w:sz="4" w:space="0" w:color="000000"/>
              <w:right w:val="single" w:sz="4" w:space="0" w:color="000000"/>
            </w:tcBorders>
            <w:hideMark/>
          </w:tcPr>
          <w:p w14:paraId="710F11C2" w14:textId="77777777" w:rsidR="00A41E60" w:rsidRPr="00D85E09" w:rsidRDefault="00A41E60" w:rsidP="0043316B">
            <w:pPr>
              <w:pStyle w:val="Tabletext"/>
              <w:keepNext w:val="0"/>
              <w:widowControl w:val="0"/>
              <w:jc w:val="center"/>
            </w:pPr>
            <w:r w:rsidRPr="00D85E09">
              <w:t>$52,388</w:t>
            </w:r>
          </w:p>
        </w:tc>
      </w:tr>
      <w:tr w:rsidR="00A41E60" w:rsidRPr="00D85E09" w14:paraId="1DF5F6CA"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4C687D5A" w14:textId="77777777" w:rsidR="00A41E60" w:rsidRPr="00D85E09" w:rsidRDefault="00A41E60" w:rsidP="0043316B">
            <w:pPr>
              <w:pStyle w:val="Tabletext"/>
              <w:keepNext w:val="0"/>
              <w:widowControl w:val="0"/>
              <w:ind w:left="142"/>
            </w:pPr>
            <w:r w:rsidRPr="00D85E09">
              <w:t>in terms of QALYs years, 5 year costs</w:t>
            </w:r>
          </w:p>
        </w:tc>
        <w:tc>
          <w:tcPr>
            <w:tcW w:w="1595" w:type="dxa"/>
            <w:tcBorders>
              <w:top w:val="single" w:sz="4" w:space="0" w:color="000000"/>
              <w:left w:val="single" w:sz="4" w:space="0" w:color="000000"/>
              <w:bottom w:val="single" w:sz="4" w:space="0" w:color="000000"/>
              <w:right w:val="single" w:sz="4" w:space="0" w:color="000000"/>
            </w:tcBorders>
            <w:hideMark/>
          </w:tcPr>
          <w:p w14:paraId="5F9DCD65" w14:textId="77777777" w:rsidR="00A41E60" w:rsidRPr="00D85E09" w:rsidRDefault="00A41E60" w:rsidP="0043316B">
            <w:pPr>
              <w:pStyle w:val="Tabletext"/>
              <w:keepNext w:val="0"/>
              <w:widowControl w:val="0"/>
              <w:jc w:val="center"/>
            </w:pPr>
            <w:r w:rsidRPr="00D85E09">
              <w:t>0.3504</w:t>
            </w:r>
          </w:p>
        </w:tc>
        <w:tc>
          <w:tcPr>
            <w:tcW w:w="1595" w:type="dxa"/>
            <w:tcBorders>
              <w:top w:val="single" w:sz="4" w:space="0" w:color="000000"/>
              <w:left w:val="single" w:sz="4" w:space="0" w:color="000000"/>
              <w:bottom w:val="single" w:sz="4" w:space="0" w:color="000000"/>
              <w:right w:val="single" w:sz="4" w:space="0" w:color="000000"/>
            </w:tcBorders>
            <w:hideMark/>
          </w:tcPr>
          <w:p w14:paraId="43DD8484" w14:textId="77777777" w:rsidR="00A41E60" w:rsidRPr="00D85E09" w:rsidRDefault="00A41E60" w:rsidP="0043316B">
            <w:pPr>
              <w:pStyle w:val="Tabletext"/>
              <w:keepNext w:val="0"/>
              <w:widowControl w:val="0"/>
              <w:jc w:val="center"/>
            </w:pPr>
            <w:r w:rsidRPr="00D85E09">
              <w:t>$15,255</w:t>
            </w:r>
          </w:p>
        </w:tc>
        <w:tc>
          <w:tcPr>
            <w:tcW w:w="1595" w:type="dxa"/>
            <w:tcBorders>
              <w:top w:val="single" w:sz="4" w:space="0" w:color="000000"/>
              <w:left w:val="single" w:sz="4" w:space="0" w:color="000000"/>
              <w:bottom w:val="single" w:sz="4" w:space="0" w:color="000000"/>
              <w:right w:val="single" w:sz="4" w:space="0" w:color="000000"/>
            </w:tcBorders>
            <w:hideMark/>
          </w:tcPr>
          <w:p w14:paraId="24319A37" w14:textId="77777777" w:rsidR="00A41E60" w:rsidRPr="00D85E09" w:rsidRDefault="00A41E60" w:rsidP="0043316B">
            <w:pPr>
              <w:pStyle w:val="Tabletext"/>
              <w:keepNext w:val="0"/>
              <w:widowControl w:val="0"/>
              <w:jc w:val="center"/>
            </w:pPr>
            <w:r w:rsidRPr="00D85E09">
              <w:t>$43,542</w:t>
            </w:r>
          </w:p>
        </w:tc>
      </w:tr>
      <w:tr w:rsidR="00A41E60" w:rsidRPr="00D85E09" w14:paraId="74AAC297" w14:textId="77777777" w:rsidTr="00A41E60">
        <w:tc>
          <w:tcPr>
            <w:tcW w:w="4219" w:type="dxa"/>
            <w:tcBorders>
              <w:top w:val="single" w:sz="4" w:space="0" w:color="000000"/>
              <w:left w:val="single" w:sz="4" w:space="0" w:color="000000"/>
              <w:bottom w:val="single" w:sz="4" w:space="0" w:color="000000"/>
              <w:right w:val="nil"/>
            </w:tcBorders>
            <w:hideMark/>
          </w:tcPr>
          <w:p w14:paraId="00096FD0" w14:textId="77777777" w:rsidR="00A41E60" w:rsidRPr="00D85E09" w:rsidRDefault="00A41E60" w:rsidP="0043316B">
            <w:pPr>
              <w:pStyle w:val="Tabletext"/>
              <w:keepNext w:val="0"/>
              <w:widowControl w:val="0"/>
            </w:pPr>
            <w:r w:rsidRPr="00D85E09">
              <w:t>10-year analysis</w:t>
            </w:r>
          </w:p>
        </w:tc>
        <w:tc>
          <w:tcPr>
            <w:tcW w:w="1595" w:type="dxa"/>
            <w:tcBorders>
              <w:top w:val="single" w:sz="4" w:space="0" w:color="000000"/>
              <w:left w:val="nil"/>
              <w:bottom w:val="single" w:sz="4" w:space="0" w:color="000000"/>
              <w:right w:val="nil"/>
            </w:tcBorders>
          </w:tcPr>
          <w:p w14:paraId="05133C88"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nil"/>
            </w:tcBorders>
          </w:tcPr>
          <w:p w14:paraId="4E05E933"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single" w:sz="4" w:space="0" w:color="000000"/>
            </w:tcBorders>
          </w:tcPr>
          <w:p w14:paraId="53D02F13" w14:textId="77777777" w:rsidR="00A41E60" w:rsidRPr="00D85E09" w:rsidRDefault="00A41E60" w:rsidP="0043316B">
            <w:pPr>
              <w:pStyle w:val="Tabletext"/>
              <w:keepNext w:val="0"/>
              <w:widowControl w:val="0"/>
              <w:jc w:val="center"/>
            </w:pPr>
          </w:p>
        </w:tc>
      </w:tr>
      <w:tr w:rsidR="00A41E60" w:rsidRPr="00D85E09" w14:paraId="0D0993D6"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55F82120" w14:textId="77777777" w:rsidR="00A41E60" w:rsidRPr="00D85E09" w:rsidRDefault="00A41E60" w:rsidP="0043316B">
            <w:pPr>
              <w:pStyle w:val="Tabletext"/>
              <w:keepNext w:val="0"/>
              <w:widowControl w:val="0"/>
              <w:ind w:left="142"/>
            </w:pPr>
            <w:r w:rsidRPr="00D85E09">
              <w:lastRenderedPageBreak/>
              <w:t>in terms of life years, 10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2B1BB5A6" w14:textId="77777777" w:rsidR="00A41E60" w:rsidRPr="00D85E09" w:rsidRDefault="00A41E60" w:rsidP="0043316B">
            <w:pPr>
              <w:pStyle w:val="Tabletext"/>
              <w:keepNext w:val="0"/>
              <w:widowControl w:val="0"/>
              <w:jc w:val="center"/>
            </w:pPr>
            <w:r w:rsidRPr="00D85E09">
              <w:t>0.5074</w:t>
            </w:r>
          </w:p>
        </w:tc>
        <w:tc>
          <w:tcPr>
            <w:tcW w:w="1595" w:type="dxa"/>
            <w:tcBorders>
              <w:top w:val="single" w:sz="4" w:space="0" w:color="000000"/>
              <w:left w:val="single" w:sz="4" w:space="0" w:color="000000"/>
              <w:bottom w:val="single" w:sz="4" w:space="0" w:color="000000"/>
              <w:right w:val="single" w:sz="4" w:space="0" w:color="000000"/>
            </w:tcBorders>
            <w:hideMark/>
          </w:tcPr>
          <w:p w14:paraId="61145FCB" w14:textId="77777777" w:rsidR="00A41E60" w:rsidRPr="00D85E09" w:rsidRDefault="00A41E60" w:rsidP="0043316B">
            <w:pPr>
              <w:pStyle w:val="Tabletext"/>
              <w:keepNext w:val="0"/>
              <w:widowControl w:val="0"/>
              <w:jc w:val="center"/>
            </w:pPr>
            <w:r w:rsidRPr="00D85E09">
              <w:t>$13,048</w:t>
            </w:r>
          </w:p>
        </w:tc>
        <w:tc>
          <w:tcPr>
            <w:tcW w:w="1595" w:type="dxa"/>
            <w:tcBorders>
              <w:top w:val="single" w:sz="4" w:space="0" w:color="000000"/>
              <w:left w:val="single" w:sz="4" w:space="0" w:color="000000"/>
              <w:bottom w:val="single" w:sz="4" w:space="0" w:color="000000"/>
              <w:right w:val="single" w:sz="4" w:space="0" w:color="000000"/>
            </w:tcBorders>
            <w:hideMark/>
          </w:tcPr>
          <w:p w14:paraId="65ABDB51" w14:textId="77777777" w:rsidR="00A41E60" w:rsidRPr="00D85E09" w:rsidRDefault="00A41E60" w:rsidP="0043316B">
            <w:pPr>
              <w:pStyle w:val="Tabletext"/>
              <w:keepNext w:val="0"/>
              <w:widowControl w:val="0"/>
              <w:jc w:val="center"/>
            </w:pPr>
            <w:r w:rsidRPr="00D85E09">
              <w:t>$25,716</w:t>
            </w:r>
          </w:p>
        </w:tc>
      </w:tr>
      <w:tr w:rsidR="00A41E60" w:rsidRPr="00D85E09" w14:paraId="1CC52583"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43793150" w14:textId="77777777" w:rsidR="00A41E60" w:rsidRPr="00D85E09" w:rsidRDefault="00A41E60" w:rsidP="0043316B">
            <w:pPr>
              <w:pStyle w:val="Tabletext"/>
              <w:keepNext w:val="0"/>
              <w:widowControl w:val="0"/>
              <w:ind w:left="142"/>
            </w:pPr>
            <w:r w:rsidRPr="00D85E09">
              <w:t>in terms of QALYs years, 10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1B65A939" w14:textId="77777777" w:rsidR="00A41E60" w:rsidRPr="00D85E09" w:rsidRDefault="00A41E60" w:rsidP="0043316B">
            <w:pPr>
              <w:pStyle w:val="Tabletext"/>
              <w:keepNext w:val="0"/>
              <w:widowControl w:val="0"/>
              <w:jc w:val="center"/>
            </w:pPr>
            <w:r w:rsidRPr="00D85E09">
              <w:t>0.5730</w:t>
            </w:r>
          </w:p>
        </w:tc>
        <w:tc>
          <w:tcPr>
            <w:tcW w:w="1595" w:type="dxa"/>
            <w:tcBorders>
              <w:top w:val="single" w:sz="4" w:space="0" w:color="000000"/>
              <w:left w:val="single" w:sz="4" w:space="0" w:color="000000"/>
              <w:bottom w:val="single" w:sz="4" w:space="0" w:color="000000"/>
              <w:right w:val="single" w:sz="4" w:space="0" w:color="000000"/>
            </w:tcBorders>
            <w:hideMark/>
          </w:tcPr>
          <w:p w14:paraId="2619BD69" w14:textId="77777777" w:rsidR="00A41E60" w:rsidRPr="00D85E09" w:rsidRDefault="00A41E60" w:rsidP="0043316B">
            <w:pPr>
              <w:pStyle w:val="Tabletext"/>
              <w:keepNext w:val="0"/>
              <w:widowControl w:val="0"/>
              <w:jc w:val="center"/>
            </w:pPr>
            <w:r w:rsidRPr="00D85E09">
              <w:t>$13,048</w:t>
            </w:r>
          </w:p>
        </w:tc>
        <w:tc>
          <w:tcPr>
            <w:tcW w:w="1595" w:type="dxa"/>
            <w:tcBorders>
              <w:top w:val="single" w:sz="4" w:space="0" w:color="000000"/>
              <w:left w:val="single" w:sz="4" w:space="0" w:color="000000"/>
              <w:bottom w:val="single" w:sz="4" w:space="0" w:color="000000"/>
              <w:right w:val="single" w:sz="4" w:space="0" w:color="000000"/>
            </w:tcBorders>
            <w:hideMark/>
          </w:tcPr>
          <w:p w14:paraId="4484267B" w14:textId="77777777" w:rsidR="00A41E60" w:rsidRPr="00D85E09" w:rsidRDefault="00A41E60" w:rsidP="0043316B">
            <w:pPr>
              <w:pStyle w:val="Tabletext"/>
              <w:keepNext w:val="0"/>
              <w:widowControl w:val="0"/>
              <w:jc w:val="center"/>
            </w:pPr>
            <w:r w:rsidRPr="00D85E09">
              <w:t>$22,773</w:t>
            </w:r>
          </w:p>
        </w:tc>
      </w:tr>
      <w:tr w:rsidR="00A41E60" w:rsidRPr="00D85E09" w14:paraId="215487D0" w14:textId="77777777" w:rsidTr="00A41E60">
        <w:tc>
          <w:tcPr>
            <w:tcW w:w="4219" w:type="dxa"/>
            <w:tcBorders>
              <w:top w:val="single" w:sz="4" w:space="0" w:color="000000"/>
              <w:left w:val="single" w:sz="4" w:space="0" w:color="000000"/>
              <w:bottom w:val="single" w:sz="4" w:space="0" w:color="000000"/>
              <w:right w:val="single" w:sz="4" w:space="0" w:color="auto"/>
            </w:tcBorders>
            <w:hideMark/>
          </w:tcPr>
          <w:p w14:paraId="523CCA7C" w14:textId="77777777" w:rsidR="00A41E60" w:rsidRPr="00D85E09" w:rsidRDefault="00A41E60" w:rsidP="0043316B">
            <w:pPr>
              <w:pStyle w:val="Tabletext"/>
              <w:keepNext w:val="0"/>
              <w:widowControl w:val="0"/>
            </w:pPr>
            <w:r w:rsidRPr="00D85E09">
              <w:t>20-year analysis</w:t>
            </w:r>
          </w:p>
        </w:tc>
        <w:tc>
          <w:tcPr>
            <w:tcW w:w="1595" w:type="dxa"/>
            <w:tcBorders>
              <w:top w:val="single" w:sz="4" w:space="0" w:color="000000"/>
              <w:left w:val="single" w:sz="4" w:space="0" w:color="auto"/>
              <w:bottom w:val="single" w:sz="4" w:space="0" w:color="000000"/>
              <w:right w:val="nil"/>
            </w:tcBorders>
          </w:tcPr>
          <w:p w14:paraId="0130E439" w14:textId="77777777" w:rsidR="00A41E60" w:rsidRPr="00D85E09" w:rsidRDefault="00A41E60" w:rsidP="0043316B">
            <w:pPr>
              <w:pStyle w:val="Tabletext"/>
              <w:keepNext w:val="0"/>
              <w:widowControl w:val="0"/>
              <w:jc w:val="center"/>
            </w:pPr>
          </w:p>
        </w:tc>
        <w:tc>
          <w:tcPr>
            <w:tcW w:w="1595" w:type="dxa"/>
            <w:tcBorders>
              <w:top w:val="single" w:sz="4" w:space="0" w:color="000000"/>
              <w:left w:val="nil"/>
              <w:bottom w:val="single" w:sz="4" w:space="0" w:color="000000"/>
              <w:right w:val="single" w:sz="4" w:space="0" w:color="auto"/>
            </w:tcBorders>
          </w:tcPr>
          <w:p w14:paraId="4BB004C5" w14:textId="77777777" w:rsidR="00A41E60" w:rsidRPr="00D85E09" w:rsidRDefault="00A41E60" w:rsidP="0043316B">
            <w:pPr>
              <w:pStyle w:val="Tabletext"/>
              <w:keepNext w:val="0"/>
              <w:widowControl w:val="0"/>
              <w:jc w:val="center"/>
            </w:pPr>
          </w:p>
        </w:tc>
        <w:tc>
          <w:tcPr>
            <w:tcW w:w="1595" w:type="dxa"/>
            <w:tcBorders>
              <w:top w:val="single" w:sz="4" w:space="0" w:color="000000"/>
              <w:left w:val="single" w:sz="4" w:space="0" w:color="auto"/>
              <w:bottom w:val="single" w:sz="4" w:space="0" w:color="000000"/>
              <w:right w:val="single" w:sz="4" w:space="0" w:color="000000"/>
            </w:tcBorders>
          </w:tcPr>
          <w:p w14:paraId="3AB3DDE6" w14:textId="77777777" w:rsidR="00A41E60" w:rsidRPr="00D85E09" w:rsidRDefault="00A41E60" w:rsidP="0043316B">
            <w:pPr>
              <w:pStyle w:val="Tabletext"/>
              <w:keepNext w:val="0"/>
              <w:widowControl w:val="0"/>
              <w:jc w:val="center"/>
            </w:pPr>
          </w:p>
        </w:tc>
      </w:tr>
      <w:tr w:rsidR="00A41E60" w:rsidRPr="00D85E09" w14:paraId="4CA63FB6"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42EB0670" w14:textId="77777777" w:rsidR="00A41E60" w:rsidRPr="00D85E09" w:rsidRDefault="00A41E60" w:rsidP="0043316B">
            <w:pPr>
              <w:pStyle w:val="Tabletext"/>
              <w:keepNext w:val="0"/>
              <w:widowControl w:val="0"/>
              <w:ind w:left="142"/>
            </w:pPr>
            <w:r w:rsidRPr="00D85E09">
              <w:t>in terms of life years, 20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4D62C24A" w14:textId="77777777" w:rsidR="00A41E60" w:rsidRPr="00D85E09" w:rsidRDefault="00A41E60" w:rsidP="0043316B">
            <w:pPr>
              <w:pStyle w:val="Tabletext"/>
              <w:keepNext w:val="0"/>
              <w:widowControl w:val="0"/>
              <w:jc w:val="center"/>
            </w:pPr>
            <w:r w:rsidRPr="00D85E09">
              <w:t>0.7247</w:t>
            </w:r>
          </w:p>
        </w:tc>
        <w:tc>
          <w:tcPr>
            <w:tcW w:w="1595" w:type="dxa"/>
            <w:tcBorders>
              <w:top w:val="single" w:sz="4" w:space="0" w:color="000000"/>
              <w:left w:val="single" w:sz="4" w:space="0" w:color="000000"/>
              <w:bottom w:val="single" w:sz="4" w:space="0" w:color="000000"/>
              <w:right w:val="single" w:sz="4" w:space="0" w:color="000000"/>
            </w:tcBorders>
            <w:hideMark/>
          </w:tcPr>
          <w:p w14:paraId="60C47549" w14:textId="77777777" w:rsidR="00A41E60" w:rsidRPr="00D85E09" w:rsidRDefault="00A41E60" w:rsidP="0043316B">
            <w:pPr>
              <w:pStyle w:val="Tabletext"/>
              <w:keepNext w:val="0"/>
              <w:widowControl w:val="0"/>
              <w:jc w:val="center"/>
            </w:pPr>
            <w:r w:rsidRPr="00D85E09">
              <w:t>$11,027</w:t>
            </w:r>
          </w:p>
        </w:tc>
        <w:tc>
          <w:tcPr>
            <w:tcW w:w="1595" w:type="dxa"/>
            <w:tcBorders>
              <w:top w:val="single" w:sz="4" w:space="0" w:color="000000"/>
              <w:left w:val="single" w:sz="4" w:space="0" w:color="000000"/>
              <w:bottom w:val="single" w:sz="4" w:space="0" w:color="000000"/>
              <w:right w:val="single" w:sz="4" w:space="0" w:color="000000"/>
            </w:tcBorders>
            <w:hideMark/>
          </w:tcPr>
          <w:p w14:paraId="6BD45AA4" w14:textId="77777777" w:rsidR="00A41E60" w:rsidRPr="00D85E09" w:rsidRDefault="00A41E60" w:rsidP="0043316B">
            <w:pPr>
              <w:pStyle w:val="Tabletext"/>
              <w:keepNext w:val="0"/>
              <w:widowControl w:val="0"/>
              <w:jc w:val="center"/>
            </w:pPr>
            <w:r w:rsidRPr="00D85E09">
              <w:t>$15,216</w:t>
            </w:r>
          </w:p>
        </w:tc>
      </w:tr>
      <w:tr w:rsidR="00A41E60" w:rsidRPr="00D85E09" w14:paraId="495FF27A"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20E705F5" w14:textId="77777777" w:rsidR="00A41E60" w:rsidRPr="00D85E09" w:rsidRDefault="00A41E60" w:rsidP="0043316B">
            <w:pPr>
              <w:pStyle w:val="Tabletext"/>
              <w:keepNext w:val="0"/>
              <w:widowControl w:val="0"/>
              <w:ind w:left="142"/>
            </w:pPr>
            <w:r w:rsidRPr="00D85E09">
              <w:t>in terms of QALYs years, 20 year costs</w:t>
            </w:r>
          </w:p>
        </w:tc>
        <w:tc>
          <w:tcPr>
            <w:tcW w:w="1595" w:type="dxa"/>
            <w:tcBorders>
              <w:top w:val="single" w:sz="4" w:space="0" w:color="000000"/>
              <w:left w:val="single" w:sz="4" w:space="0" w:color="000000"/>
              <w:bottom w:val="single" w:sz="4" w:space="0" w:color="000000"/>
              <w:right w:val="single" w:sz="4" w:space="0" w:color="000000"/>
            </w:tcBorders>
            <w:hideMark/>
          </w:tcPr>
          <w:p w14:paraId="59DC3D80" w14:textId="77777777" w:rsidR="00A41E60" w:rsidRPr="00D85E09" w:rsidRDefault="00A41E60" w:rsidP="0043316B">
            <w:pPr>
              <w:pStyle w:val="Tabletext"/>
              <w:keepNext w:val="0"/>
              <w:widowControl w:val="0"/>
              <w:jc w:val="center"/>
            </w:pPr>
            <w:r w:rsidRPr="00D85E09">
              <w:t>0.7870</w:t>
            </w:r>
          </w:p>
        </w:tc>
        <w:tc>
          <w:tcPr>
            <w:tcW w:w="1595" w:type="dxa"/>
            <w:tcBorders>
              <w:top w:val="single" w:sz="4" w:space="0" w:color="000000"/>
              <w:left w:val="single" w:sz="4" w:space="0" w:color="000000"/>
              <w:bottom w:val="single" w:sz="4" w:space="0" w:color="000000"/>
              <w:right w:val="single" w:sz="4" w:space="0" w:color="000000"/>
            </w:tcBorders>
            <w:hideMark/>
          </w:tcPr>
          <w:p w14:paraId="71304BDC" w14:textId="77777777" w:rsidR="00A41E60" w:rsidRPr="00D85E09" w:rsidRDefault="00A41E60" w:rsidP="0043316B">
            <w:pPr>
              <w:pStyle w:val="Tabletext"/>
              <w:keepNext w:val="0"/>
              <w:widowControl w:val="0"/>
              <w:jc w:val="center"/>
            </w:pPr>
            <w:r w:rsidRPr="00D85E09">
              <w:t>$11,027</w:t>
            </w:r>
          </w:p>
        </w:tc>
        <w:tc>
          <w:tcPr>
            <w:tcW w:w="1595" w:type="dxa"/>
            <w:tcBorders>
              <w:top w:val="single" w:sz="4" w:space="0" w:color="000000"/>
              <w:left w:val="single" w:sz="4" w:space="0" w:color="000000"/>
              <w:bottom w:val="single" w:sz="4" w:space="0" w:color="000000"/>
              <w:right w:val="single" w:sz="4" w:space="0" w:color="000000"/>
            </w:tcBorders>
            <w:hideMark/>
          </w:tcPr>
          <w:p w14:paraId="64DB3A7E" w14:textId="77777777" w:rsidR="00A41E60" w:rsidRPr="00D85E09" w:rsidRDefault="00A41E60" w:rsidP="0043316B">
            <w:pPr>
              <w:pStyle w:val="Tabletext"/>
              <w:keepNext w:val="0"/>
              <w:widowControl w:val="0"/>
              <w:jc w:val="center"/>
            </w:pPr>
            <w:r w:rsidRPr="00D85E09">
              <w:t>$14,012</w:t>
            </w:r>
          </w:p>
        </w:tc>
      </w:tr>
      <w:tr w:rsidR="00A41E60" w:rsidRPr="00D85E09" w14:paraId="6A046D81" w14:textId="77777777" w:rsidTr="00A41E60">
        <w:tc>
          <w:tcPr>
            <w:tcW w:w="4219" w:type="dxa"/>
            <w:tcBorders>
              <w:top w:val="single" w:sz="4" w:space="0" w:color="000000"/>
              <w:left w:val="single" w:sz="4" w:space="0" w:color="000000"/>
              <w:bottom w:val="single" w:sz="4" w:space="0" w:color="000000"/>
              <w:right w:val="nil"/>
            </w:tcBorders>
            <w:hideMark/>
          </w:tcPr>
          <w:p w14:paraId="00E61215" w14:textId="2A86102D" w:rsidR="00A41E60" w:rsidRPr="00D85E09" w:rsidRDefault="00A41E60" w:rsidP="0043316B">
            <w:pPr>
              <w:pStyle w:val="Tabletext"/>
              <w:keepNext w:val="0"/>
              <w:widowControl w:val="0"/>
              <w:rPr>
                <w:b/>
              </w:rPr>
            </w:pPr>
            <w:r w:rsidRPr="00D85E09">
              <w:rPr>
                <w:b/>
              </w:rPr>
              <w:t>Life</w:t>
            </w:r>
            <w:r w:rsidR="00D32933" w:rsidRPr="00D85E09">
              <w:rPr>
                <w:b/>
              </w:rPr>
              <w:t>-</w:t>
            </w:r>
            <w:r w:rsidRPr="00D85E09">
              <w:rPr>
                <w:b/>
              </w:rPr>
              <w:t>time analysis (base case)</w:t>
            </w:r>
          </w:p>
        </w:tc>
        <w:tc>
          <w:tcPr>
            <w:tcW w:w="1595" w:type="dxa"/>
            <w:tcBorders>
              <w:top w:val="single" w:sz="4" w:space="0" w:color="000000"/>
              <w:left w:val="nil"/>
              <w:bottom w:val="single" w:sz="4" w:space="0" w:color="000000"/>
              <w:right w:val="nil"/>
            </w:tcBorders>
          </w:tcPr>
          <w:p w14:paraId="1550685A" w14:textId="77777777" w:rsidR="00A41E60" w:rsidRPr="00D85E09" w:rsidRDefault="00A41E60" w:rsidP="0043316B">
            <w:pPr>
              <w:pStyle w:val="Tabletext"/>
              <w:keepNext w:val="0"/>
              <w:widowControl w:val="0"/>
              <w:jc w:val="center"/>
              <w:rPr>
                <w:b/>
              </w:rPr>
            </w:pPr>
          </w:p>
        </w:tc>
        <w:tc>
          <w:tcPr>
            <w:tcW w:w="1595" w:type="dxa"/>
            <w:tcBorders>
              <w:top w:val="single" w:sz="4" w:space="0" w:color="000000"/>
              <w:left w:val="nil"/>
              <w:bottom w:val="single" w:sz="4" w:space="0" w:color="000000"/>
              <w:right w:val="nil"/>
            </w:tcBorders>
          </w:tcPr>
          <w:p w14:paraId="48C00B6E" w14:textId="77777777" w:rsidR="00A41E60" w:rsidRPr="00D85E09" w:rsidRDefault="00A41E60" w:rsidP="0043316B">
            <w:pPr>
              <w:pStyle w:val="Tabletext"/>
              <w:keepNext w:val="0"/>
              <w:widowControl w:val="0"/>
              <w:jc w:val="center"/>
              <w:rPr>
                <w:b/>
              </w:rPr>
            </w:pPr>
          </w:p>
        </w:tc>
        <w:tc>
          <w:tcPr>
            <w:tcW w:w="1595" w:type="dxa"/>
            <w:tcBorders>
              <w:top w:val="single" w:sz="4" w:space="0" w:color="000000"/>
              <w:left w:val="nil"/>
              <w:bottom w:val="single" w:sz="4" w:space="0" w:color="000000"/>
              <w:right w:val="single" w:sz="4" w:space="0" w:color="000000"/>
            </w:tcBorders>
          </w:tcPr>
          <w:p w14:paraId="0A834BED" w14:textId="77777777" w:rsidR="00A41E60" w:rsidRPr="00D85E09" w:rsidRDefault="00A41E60" w:rsidP="0043316B">
            <w:pPr>
              <w:pStyle w:val="Tabletext"/>
              <w:keepNext w:val="0"/>
              <w:widowControl w:val="0"/>
              <w:jc w:val="center"/>
              <w:rPr>
                <w:b/>
              </w:rPr>
            </w:pPr>
          </w:p>
        </w:tc>
      </w:tr>
      <w:tr w:rsidR="00A41E60" w:rsidRPr="00D85E09" w14:paraId="7D260F90"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46E9E6B9" w14:textId="03B38E37" w:rsidR="00A41E60" w:rsidRPr="00D85E09" w:rsidRDefault="00A41E60" w:rsidP="0043316B">
            <w:pPr>
              <w:pStyle w:val="Tabletext"/>
              <w:keepNext w:val="0"/>
              <w:widowControl w:val="0"/>
              <w:ind w:left="142"/>
              <w:rPr>
                <w:b/>
              </w:rPr>
            </w:pPr>
            <w:r w:rsidRPr="00D85E09">
              <w:rPr>
                <w:b/>
              </w:rPr>
              <w:t>in terms of life years, life</w:t>
            </w:r>
            <w:r w:rsidR="00D32933" w:rsidRPr="00D85E09">
              <w:rPr>
                <w:b/>
              </w:rPr>
              <w:t>-</w:t>
            </w:r>
            <w:r w:rsidRPr="00D85E09">
              <w:rPr>
                <w:b/>
              </w:rPr>
              <w:t>time year costs</w:t>
            </w:r>
          </w:p>
        </w:tc>
        <w:tc>
          <w:tcPr>
            <w:tcW w:w="1595" w:type="dxa"/>
            <w:tcBorders>
              <w:top w:val="single" w:sz="4" w:space="0" w:color="000000"/>
              <w:left w:val="single" w:sz="4" w:space="0" w:color="000000"/>
              <w:bottom w:val="single" w:sz="4" w:space="0" w:color="000000"/>
              <w:right w:val="single" w:sz="4" w:space="0" w:color="000000"/>
            </w:tcBorders>
            <w:hideMark/>
          </w:tcPr>
          <w:p w14:paraId="16452086" w14:textId="77777777" w:rsidR="00A41E60" w:rsidRPr="00D85E09" w:rsidRDefault="00A41E60" w:rsidP="0043316B">
            <w:pPr>
              <w:pStyle w:val="Tabletext"/>
              <w:keepNext w:val="0"/>
              <w:widowControl w:val="0"/>
              <w:jc w:val="center"/>
              <w:rPr>
                <w:b/>
              </w:rPr>
            </w:pPr>
            <w:r w:rsidRPr="00D85E09">
              <w:rPr>
                <w:b/>
              </w:rPr>
              <w:t>0.7691</w:t>
            </w:r>
          </w:p>
        </w:tc>
        <w:tc>
          <w:tcPr>
            <w:tcW w:w="1595" w:type="dxa"/>
            <w:tcBorders>
              <w:top w:val="single" w:sz="4" w:space="0" w:color="000000"/>
              <w:left w:val="single" w:sz="4" w:space="0" w:color="000000"/>
              <w:bottom w:val="single" w:sz="4" w:space="0" w:color="000000"/>
              <w:right w:val="single" w:sz="4" w:space="0" w:color="000000"/>
            </w:tcBorders>
            <w:hideMark/>
          </w:tcPr>
          <w:p w14:paraId="74FD7BEF" w14:textId="77777777" w:rsidR="00A41E60" w:rsidRPr="00D85E09" w:rsidRDefault="00A41E60" w:rsidP="0043316B">
            <w:pPr>
              <w:pStyle w:val="Tabletext"/>
              <w:keepNext w:val="0"/>
              <w:widowControl w:val="0"/>
              <w:jc w:val="center"/>
              <w:rPr>
                <w:b/>
              </w:rPr>
            </w:pPr>
            <w:r w:rsidRPr="00D85E09">
              <w:rPr>
                <w:b/>
              </w:rPr>
              <w:t>$10,666</w:t>
            </w:r>
          </w:p>
        </w:tc>
        <w:tc>
          <w:tcPr>
            <w:tcW w:w="1595" w:type="dxa"/>
            <w:tcBorders>
              <w:top w:val="single" w:sz="4" w:space="0" w:color="000000"/>
              <w:left w:val="single" w:sz="4" w:space="0" w:color="000000"/>
              <w:bottom w:val="single" w:sz="4" w:space="0" w:color="000000"/>
              <w:right w:val="single" w:sz="4" w:space="0" w:color="000000"/>
            </w:tcBorders>
            <w:hideMark/>
          </w:tcPr>
          <w:p w14:paraId="3B887610" w14:textId="77777777" w:rsidR="00A41E60" w:rsidRPr="00D85E09" w:rsidRDefault="00A41E60" w:rsidP="0043316B">
            <w:pPr>
              <w:pStyle w:val="Tabletext"/>
              <w:keepNext w:val="0"/>
              <w:widowControl w:val="0"/>
              <w:jc w:val="center"/>
              <w:rPr>
                <w:b/>
              </w:rPr>
            </w:pPr>
            <w:r w:rsidRPr="00D85E09">
              <w:rPr>
                <w:b/>
              </w:rPr>
              <w:t>$13,868</w:t>
            </w:r>
          </w:p>
        </w:tc>
      </w:tr>
      <w:tr w:rsidR="00A41E60" w:rsidRPr="00D85E09" w14:paraId="216D8A9B" w14:textId="77777777" w:rsidTr="00A41E60">
        <w:tc>
          <w:tcPr>
            <w:tcW w:w="4219" w:type="dxa"/>
            <w:tcBorders>
              <w:top w:val="single" w:sz="4" w:space="0" w:color="000000"/>
              <w:left w:val="single" w:sz="4" w:space="0" w:color="000000"/>
              <w:bottom w:val="single" w:sz="4" w:space="0" w:color="000000"/>
              <w:right w:val="single" w:sz="4" w:space="0" w:color="000000"/>
            </w:tcBorders>
            <w:hideMark/>
          </w:tcPr>
          <w:p w14:paraId="382FF9A7" w14:textId="50CAECD7" w:rsidR="00A41E60" w:rsidRPr="00D85E09" w:rsidRDefault="00A41E60" w:rsidP="0043316B">
            <w:pPr>
              <w:pStyle w:val="Tabletext"/>
              <w:keepNext w:val="0"/>
              <w:widowControl w:val="0"/>
              <w:ind w:left="142"/>
              <w:rPr>
                <w:b/>
              </w:rPr>
            </w:pPr>
            <w:r w:rsidRPr="00D85E09">
              <w:rPr>
                <w:b/>
              </w:rPr>
              <w:t>in terms of QALYs years, life</w:t>
            </w:r>
            <w:r w:rsidR="00D32933" w:rsidRPr="00D85E09">
              <w:rPr>
                <w:b/>
              </w:rPr>
              <w:t>-</w:t>
            </w:r>
            <w:r w:rsidRPr="00D85E09">
              <w:rPr>
                <w:b/>
              </w:rPr>
              <w:t>time year costs</w:t>
            </w:r>
          </w:p>
        </w:tc>
        <w:tc>
          <w:tcPr>
            <w:tcW w:w="1595" w:type="dxa"/>
            <w:tcBorders>
              <w:top w:val="single" w:sz="4" w:space="0" w:color="000000"/>
              <w:left w:val="single" w:sz="4" w:space="0" w:color="000000"/>
              <w:bottom w:val="single" w:sz="4" w:space="0" w:color="000000"/>
              <w:right w:val="single" w:sz="4" w:space="0" w:color="000000"/>
            </w:tcBorders>
            <w:hideMark/>
          </w:tcPr>
          <w:p w14:paraId="23895CB4" w14:textId="77777777" w:rsidR="00A41E60" w:rsidRPr="00D85E09" w:rsidRDefault="00A41E60" w:rsidP="0043316B">
            <w:pPr>
              <w:pStyle w:val="Tabletext"/>
              <w:keepNext w:val="0"/>
              <w:widowControl w:val="0"/>
              <w:jc w:val="center"/>
              <w:rPr>
                <w:b/>
              </w:rPr>
            </w:pPr>
            <w:r w:rsidRPr="00D85E09">
              <w:rPr>
                <w:b/>
              </w:rPr>
              <w:t>0.8281</w:t>
            </w:r>
          </w:p>
        </w:tc>
        <w:tc>
          <w:tcPr>
            <w:tcW w:w="1595" w:type="dxa"/>
            <w:tcBorders>
              <w:top w:val="single" w:sz="4" w:space="0" w:color="000000"/>
              <w:left w:val="single" w:sz="4" w:space="0" w:color="000000"/>
              <w:bottom w:val="single" w:sz="4" w:space="0" w:color="000000"/>
              <w:right w:val="single" w:sz="4" w:space="0" w:color="000000"/>
            </w:tcBorders>
            <w:hideMark/>
          </w:tcPr>
          <w:p w14:paraId="67B6217B" w14:textId="77777777" w:rsidR="00A41E60" w:rsidRPr="00D85E09" w:rsidRDefault="00A41E60" w:rsidP="0043316B">
            <w:pPr>
              <w:pStyle w:val="Tabletext"/>
              <w:keepNext w:val="0"/>
              <w:widowControl w:val="0"/>
              <w:jc w:val="center"/>
              <w:rPr>
                <w:b/>
              </w:rPr>
            </w:pPr>
            <w:r w:rsidRPr="00D85E09">
              <w:rPr>
                <w:b/>
              </w:rPr>
              <w:t>$10,666</w:t>
            </w:r>
          </w:p>
        </w:tc>
        <w:tc>
          <w:tcPr>
            <w:tcW w:w="1595" w:type="dxa"/>
            <w:tcBorders>
              <w:top w:val="single" w:sz="4" w:space="0" w:color="000000"/>
              <w:left w:val="single" w:sz="4" w:space="0" w:color="000000"/>
              <w:bottom w:val="single" w:sz="4" w:space="0" w:color="000000"/>
              <w:right w:val="single" w:sz="4" w:space="0" w:color="000000"/>
            </w:tcBorders>
            <w:hideMark/>
          </w:tcPr>
          <w:p w14:paraId="512F5F72" w14:textId="77777777" w:rsidR="00A41E60" w:rsidRPr="00D85E09" w:rsidRDefault="00A41E60" w:rsidP="0043316B">
            <w:pPr>
              <w:pStyle w:val="Tabletext"/>
              <w:keepNext w:val="0"/>
              <w:widowControl w:val="0"/>
              <w:jc w:val="center"/>
              <w:rPr>
                <w:b/>
              </w:rPr>
            </w:pPr>
            <w:r w:rsidRPr="00D85E09">
              <w:rPr>
                <w:b/>
              </w:rPr>
              <w:t>$12,880</w:t>
            </w:r>
          </w:p>
        </w:tc>
      </w:tr>
    </w:tbl>
    <w:p w14:paraId="026B2F42" w14:textId="77777777" w:rsidR="00A41E60" w:rsidRPr="00D85E09" w:rsidRDefault="00A41E60" w:rsidP="0043316B">
      <w:pPr>
        <w:widowControl w:val="0"/>
      </w:pPr>
    </w:p>
    <w:p w14:paraId="6500AD5F" w14:textId="2EB0AA36" w:rsidR="00A41E60" w:rsidRPr="00D85E09" w:rsidRDefault="00A41E60" w:rsidP="0043316B">
      <w:pPr>
        <w:pStyle w:val="Heading3"/>
        <w:keepNext w:val="0"/>
        <w:widowControl w:val="0"/>
        <w:ind w:left="993" w:hanging="993"/>
        <w:rPr>
          <w:lang w:val="en-AU"/>
        </w:rPr>
      </w:pPr>
      <w:bookmarkStart w:id="572" w:name="_Toc453065323"/>
      <w:r w:rsidRPr="00D85E09">
        <w:rPr>
          <w:lang w:val="en-AU"/>
        </w:rPr>
        <w:t>Sensitivity analysis</w:t>
      </w:r>
      <w:bookmarkEnd w:id="572"/>
    </w:p>
    <w:p w14:paraId="660810C5" w14:textId="77777777" w:rsidR="00A41E60" w:rsidRPr="00D85E09" w:rsidRDefault="00A41E60" w:rsidP="0043316B">
      <w:pPr>
        <w:pStyle w:val="Heading5"/>
        <w:widowControl w:val="0"/>
        <w:rPr>
          <w:lang w:val="en-AU"/>
        </w:rPr>
      </w:pPr>
      <w:r w:rsidRPr="00D85E09">
        <w:rPr>
          <w:lang w:val="en-AU"/>
        </w:rPr>
        <w:t>Sensitivity analysis of the base case model</w:t>
      </w:r>
    </w:p>
    <w:p w14:paraId="5E783EB0" w14:textId="77777777" w:rsidR="00A41E60" w:rsidRPr="00D85E09" w:rsidRDefault="00A41E60" w:rsidP="0043316B">
      <w:pPr>
        <w:widowControl w:val="0"/>
        <w:rPr>
          <w:i/>
          <w:u w:val="single"/>
        </w:rPr>
      </w:pPr>
      <w:r w:rsidRPr="00D85E09">
        <w:rPr>
          <w:i/>
          <w:u w:val="single"/>
        </w:rPr>
        <w:t>Model time horizon</w:t>
      </w:r>
    </w:p>
    <w:p w14:paraId="4609E012" w14:textId="77777777" w:rsidR="00A41E60" w:rsidRPr="00D85E09" w:rsidRDefault="00A41E60" w:rsidP="0043316B">
      <w:pPr>
        <w:widowControl w:val="0"/>
      </w:pPr>
      <w:r w:rsidRPr="00D85E09">
        <w:t>It has been discussed that the model duration is expected to impact the ICER because all intervention costs are absorbed at baseline, while its cost / health benefits are accrued in the long run. The extrapolation is hence appropriate and necessary in performing a fair assessment of MT’s cost-effectiveness.</w:t>
      </w:r>
    </w:p>
    <w:p w14:paraId="03E5EF3B" w14:textId="7A4A2CC8" w:rsidR="00A41E60" w:rsidRPr="00D85E09" w:rsidRDefault="00A41E60" w:rsidP="0043316B">
      <w:pPr>
        <w:widowControl w:val="0"/>
      </w:pPr>
      <w:r w:rsidRPr="00D85E09">
        <w:fldChar w:fldCharType="begin"/>
      </w:r>
      <w:r w:rsidRPr="00D85E09">
        <w:instrText xml:space="preserve"> REF _Ref451769989 \h </w:instrText>
      </w:r>
      <w:r w:rsidRPr="00D85E09">
        <w:fldChar w:fldCharType="separate"/>
      </w:r>
      <w:r w:rsidR="00A456ED" w:rsidRPr="00D85E09">
        <w:t xml:space="preserve">Table </w:t>
      </w:r>
      <w:r w:rsidR="00A456ED">
        <w:rPr>
          <w:noProof/>
        </w:rPr>
        <w:t>93</w:t>
      </w:r>
      <w:r w:rsidRPr="00D85E09">
        <w:fldChar w:fldCharType="end"/>
      </w:r>
      <w:r w:rsidRPr="00D85E09">
        <w:t xml:space="preserve"> above suggested that mechanical thrombectomy was shown to have a favourable cost-effectiveness with an estimated ICER of $43,542 per QALY gain even with a very short time horizon of 5 years.</w:t>
      </w:r>
    </w:p>
    <w:p w14:paraId="271751FF" w14:textId="7A2CCB2A" w:rsidR="00A41E60" w:rsidRPr="00D85E09" w:rsidRDefault="00A41E60" w:rsidP="0043316B">
      <w:pPr>
        <w:widowControl w:val="0"/>
        <w:rPr>
          <w:i/>
          <w:u w:val="single"/>
        </w:rPr>
      </w:pPr>
      <w:r w:rsidRPr="00D85E09">
        <w:rPr>
          <w:i/>
          <w:u w:val="single"/>
        </w:rPr>
        <w:t>Selection of clinical inputs – 7 day and 90 day mRS distributions</w:t>
      </w:r>
    </w:p>
    <w:p w14:paraId="44B179E1" w14:textId="75BBD8C2" w:rsidR="00A41E60" w:rsidRPr="00D85E09" w:rsidRDefault="00A41E60" w:rsidP="0043316B">
      <w:pPr>
        <w:widowControl w:val="0"/>
      </w:pPr>
      <w:r w:rsidRPr="00D85E09">
        <w:t xml:space="preserve">The base case model was informed by the meta-analysed ITT data (Goyal et al 2016). Section B presented 5 individual RCTs, and these trials are considered individually in the following sensitivity analysis, as shown in </w:t>
      </w:r>
      <w:r w:rsidRPr="00D85E09">
        <w:fldChar w:fldCharType="begin"/>
      </w:r>
      <w:r w:rsidRPr="00D85E09">
        <w:instrText xml:space="preserve"> REF _Ref451771349 \h </w:instrText>
      </w:r>
      <w:r w:rsidRPr="00D85E09">
        <w:fldChar w:fldCharType="separate"/>
      </w:r>
      <w:r w:rsidR="00A456ED" w:rsidRPr="00D85E09">
        <w:t xml:space="preserve">Table </w:t>
      </w:r>
      <w:r w:rsidR="00A456ED">
        <w:rPr>
          <w:noProof/>
        </w:rPr>
        <w:t>94</w:t>
      </w:r>
      <w:r w:rsidRPr="00D85E09">
        <w:fldChar w:fldCharType="end"/>
      </w:r>
      <w:r w:rsidRPr="00D85E09">
        <w:t>.</w:t>
      </w:r>
    </w:p>
    <w:p w14:paraId="679D8933" w14:textId="49E4C954" w:rsidR="00A41E60" w:rsidRPr="00D85E09" w:rsidRDefault="00A41E60" w:rsidP="0043316B">
      <w:pPr>
        <w:widowControl w:val="0"/>
      </w:pPr>
      <w:r w:rsidRPr="00D85E09">
        <w:t>Also, a sub</w:t>
      </w:r>
      <w:r w:rsidR="00300BB6" w:rsidRPr="00D85E09">
        <w:t>group</w:t>
      </w:r>
      <w:r w:rsidRPr="00D85E09">
        <w:t xml:space="preserve"> analysis by the use of concurrent IV</w:t>
      </w:r>
      <w:r w:rsidR="00D32933" w:rsidRPr="00D85E09">
        <w:t>-</w:t>
      </w:r>
      <w:r w:rsidRPr="00D85E09">
        <w:t xml:space="preserve">tPA is reported by Goyal et al (2016; see </w:t>
      </w:r>
      <w:r w:rsidRPr="00D85E09">
        <w:fldChar w:fldCharType="begin"/>
      </w:r>
      <w:r w:rsidRPr="00D85E09">
        <w:instrText xml:space="preserve"> REF _Ref447294847 \h </w:instrText>
      </w:r>
      <w:r w:rsidRPr="00D85E09">
        <w:fldChar w:fldCharType="separate"/>
      </w:r>
      <w:r w:rsidR="00A456ED" w:rsidRPr="00D85E09">
        <w:t xml:space="preserve">Figure </w:t>
      </w:r>
      <w:r w:rsidR="00A456ED">
        <w:rPr>
          <w:noProof/>
        </w:rPr>
        <w:t>16</w:t>
      </w:r>
      <w:r w:rsidRPr="00D85E09">
        <w:fldChar w:fldCharType="end"/>
      </w:r>
      <w:r w:rsidRPr="00D85E09">
        <w:t xml:space="preserve">) and the ESCAPE trial. These data are also considered here, as also shown in </w:t>
      </w:r>
      <w:r w:rsidRPr="00D85E09">
        <w:fldChar w:fldCharType="begin"/>
      </w:r>
      <w:r w:rsidRPr="00D85E09">
        <w:instrText xml:space="preserve"> REF _Ref451771349 \h </w:instrText>
      </w:r>
      <w:r w:rsidRPr="00D85E09">
        <w:fldChar w:fldCharType="separate"/>
      </w:r>
      <w:r w:rsidR="00A456ED" w:rsidRPr="00D85E09">
        <w:t xml:space="preserve">Table </w:t>
      </w:r>
      <w:r w:rsidR="00A456ED">
        <w:rPr>
          <w:noProof/>
        </w:rPr>
        <w:t>94</w:t>
      </w:r>
      <w:r w:rsidRPr="00D85E09">
        <w:fldChar w:fldCharType="end"/>
      </w:r>
      <w:r w:rsidRPr="00D85E09">
        <w:t>.</w:t>
      </w:r>
    </w:p>
    <w:p w14:paraId="21A548EA" w14:textId="77777777" w:rsidR="00A41E60" w:rsidRPr="00D85E09" w:rsidRDefault="00A41E60" w:rsidP="0043316B">
      <w:pPr>
        <w:widowControl w:val="0"/>
      </w:pPr>
    </w:p>
    <w:p w14:paraId="5CEAF540" w14:textId="42389E22" w:rsidR="00A41E60" w:rsidRPr="00D85E09" w:rsidRDefault="00A41E60" w:rsidP="0043316B">
      <w:pPr>
        <w:widowControl w:val="0"/>
        <w:spacing w:after="0"/>
        <w:jc w:val="center"/>
      </w:pPr>
      <w:r w:rsidRPr="00D85E09">
        <w:rPr>
          <w:noProof/>
          <w:lang w:eastAsia="en-AU"/>
        </w:rPr>
        <w:lastRenderedPageBreak/>
        <w:drawing>
          <wp:inline distT="0" distB="0" distL="0" distR="0" wp14:anchorId="587C5B4F" wp14:editId="15BD6339">
            <wp:extent cx="4465320" cy="3420110"/>
            <wp:effectExtent l="0" t="0" r="0" b="8890"/>
            <wp:docPr id="20" name="Picture 20" descr="Scores on the mRS at 90 days based on IP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5320" cy="3420110"/>
                    </a:xfrm>
                    <a:prstGeom prst="rect">
                      <a:avLst/>
                    </a:prstGeom>
                    <a:noFill/>
                    <a:ln>
                      <a:noFill/>
                    </a:ln>
                  </pic:spPr>
                </pic:pic>
              </a:graphicData>
            </a:graphic>
          </wp:inline>
        </w:drawing>
      </w:r>
    </w:p>
    <w:p w14:paraId="3CCF7397" w14:textId="7F913159" w:rsidR="00A41E60" w:rsidRPr="00D85E09" w:rsidRDefault="00A41E60" w:rsidP="0043316B">
      <w:pPr>
        <w:pStyle w:val="Caption"/>
        <w:keepNext w:val="0"/>
        <w:widowControl w:val="0"/>
        <w:rPr>
          <w:lang w:val="en-AU"/>
        </w:rPr>
      </w:pPr>
      <w:bookmarkStart w:id="573" w:name="_Ref447294847"/>
      <w:bookmarkStart w:id="574" w:name="_Toc453065463"/>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16</w:t>
      </w:r>
      <w:r w:rsidRPr="00D85E09">
        <w:rPr>
          <w:lang w:val="en-AU"/>
        </w:rPr>
        <w:fldChar w:fldCharType="end"/>
      </w:r>
      <w:bookmarkEnd w:id="573"/>
      <w:r w:rsidRPr="00D85E09">
        <w:rPr>
          <w:lang w:val="en-AU"/>
        </w:rPr>
        <w:tab/>
        <w:t xml:space="preserve"> Scores on the mRS at 90 days based on IPD analysis</w:t>
      </w:r>
      <w:bookmarkEnd w:id="574"/>
    </w:p>
    <w:p w14:paraId="7D922B70" w14:textId="77777777" w:rsidR="00A41E60" w:rsidRPr="00D85E09" w:rsidRDefault="00A41E60" w:rsidP="0043316B">
      <w:pPr>
        <w:pStyle w:val="Tablefootnote"/>
        <w:widowControl w:val="0"/>
        <w:spacing w:before="0" w:after="0"/>
        <w:rPr>
          <w:lang w:val="en-AU"/>
        </w:rPr>
      </w:pPr>
      <w:r w:rsidRPr="00D85E09">
        <w:rPr>
          <w:lang w:val="en-AU"/>
        </w:rPr>
        <w:t>Abbreviations: IPD, individual patient data; mRS, modified Rankin Scale</w:t>
      </w:r>
    </w:p>
    <w:p w14:paraId="6B9961BE" w14:textId="77777777" w:rsidR="00A41E60" w:rsidRPr="00D85E09" w:rsidRDefault="00A41E60" w:rsidP="0043316B">
      <w:pPr>
        <w:pStyle w:val="Tablefootnote"/>
        <w:widowControl w:val="0"/>
        <w:spacing w:after="360"/>
        <w:rPr>
          <w:lang w:val="en-AU"/>
        </w:rPr>
      </w:pPr>
      <w:r w:rsidRPr="00D85E09">
        <w:rPr>
          <w:lang w:val="en-AU"/>
        </w:rPr>
        <w:t>Source: Goyal et al (2016); Figure 1</w:t>
      </w:r>
    </w:p>
    <w:p w14:paraId="7647B22D" w14:textId="234BB8DA" w:rsidR="00A41E60" w:rsidRPr="00D85E09" w:rsidRDefault="00A41E60" w:rsidP="0043316B">
      <w:pPr>
        <w:pStyle w:val="Caption"/>
        <w:keepNext w:val="0"/>
        <w:widowControl w:val="0"/>
        <w:rPr>
          <w:lang w:val="en-AU"/>
        </w:rPr>
      </w:pPr>
      <w:bookmarkStart w:id="575" w:name="_Ref451771349"/>
      <w:bookmarkStart w:id="576" w:name="_Toc45306543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94</w:t>
      </w:r>
      <w:r w:rsidRPr="00D85E09">
        <w:rPr>
          <w:lang w:val="en-AU"/>
        </w:rPr>
        <w:fldChar w:fldCharType="end"/>
      </w:r>
      <w:bookmarkEnd w:id="575"/>
      <w:r w:rsidRPr="00D85E09">
        <w:rPr>
          <w:lang w:val="en-AU"/>
        </w:rPr>
        <w:tab/>
        <w:t>Sensitivity analysis; selection of clinical data</w:t>
      </w:r>
      <w:bookmarkEnd w:id="576"/>
    </w:p>
    <w:tbl>
      <w:tblPr>
        <w:tblStyle w:val="TableGrid"/>
        <w:tblW w:w="5000" w:type="pct"/>
        <w:tblLook w:val="04A0" w:firstRow="1" w:lastRow="0" w:firstColumn="1" w:lastColumn="0" w:noHBand="0" w:noVBand="1"/>
        <w:tblDescription w:val="Table 94 Sensitivity analysis; selection of clinical data"/>
      </w:tblPr>
      <w:tblGrid>
        <w:gridCol w:w="2749"/>
        <w:gridCol w:w="1295"/>
        <w:gridCol w:w="1350"/>
        <w:gridCol w:w="1200"/>
        <w:gridCol w:w="2694"/>
      </w:tblGrid>
      <w:tr w:rsidR="00A41E60" w:rsidRPr="00D85E09" w14:paraId="39AB85FF" w14:textId="77777777" w:rsidTr="00BE6331">
        <w:trPr>
          <w:trHeight w:val="85"/>
          <w:tblHeader/>
        </w:trPr>
        <w:tc>
          <w:tcPr>
            <w:tcW w:w="1480" w:type="pct"/>
            <w:tcBorders>
              <w:top w:val="single" w:sz="4" w:space="0" w:color="000000"/>
              <w:left w:val="single" w:sz="4" w:space="0" w:color="000000"/>
              <w:bottom w:val="single" w:sz="4" w:space="0" w:color="000000"/>
              <w:right w:val="single" w:sz="4" w:space="0" w:color="000000"/>
            </w:tcBorders>
            <w:hideMark/>
          </w:tcPr>
          <w:p w14:paraId="378B67CD" w14:textId="77777777" w:rsidR="00A41E60" w:rsidRPr="00D85E09" w:rsidRDefault="00A41E60" w:rsidP="0043316B">
            <w:pPr>
              <w:pStyle w:val="Tabletext"/>
              <w:keepNext w:val="0"/>
              <w:widowControl w:val="0"/>
              <w:rPr>
                <w:b/>
              </w:rPr>
            </w:pPr>
            <w:r w:rsidRPr="00D85E09">
              <w:rPr>
                <w:b/>
              </w:rPr>
              <w:t>Study</w:t>
            </w:r>
          </w:p>
        </w:tc>
        <w:tc>
          <w:tcPr>
            <w:tcW w:w="697" w:type="pct"/>
            <w:tcBorders>
              <w:top w:val="single" w:sz="4" w:space="0" w:color="000000"/>
              <w:left w:val="single" w:sz="4" w:space="0" w:color="000000"/>
              <w:bottom w:val="single" w:sz="4" w:space="0" w:color="000000"/>
              <w:right w:val="single" w:sz="4" w:space="0" w:color="000000"/>
            </w:tcBorders>
            <w:hideMark/>
          </w:tcPr>
          <w:p w14:paraId="7A19FC42" w14:textId="77777777" w:rsidR="00A41E60" w:rsidRPr="00D85E09" w:rsidRDefault="00A41E60" w:rsidP="0043316B">
            <w:pPr>
              <w:pStyle w:val="Tabletext"/>
              <w:keepNext w:val="0"/>
              <w:widowControl w:val="0"/>
              <w:rPr>
                <w:b/>
              </w:rPr>
            </w:pPr>
            <w:r w:rsidRPr="00D85E09">
              <w:rPr>
                <w:b/>
              </w:rPr>
              <w:t>Inc. life year</w:t>
            </w:r>
          </w:p>
        </w:tc>
        <w:tc>
          <w:tcPr>
            <w:tcW w:w="727" w:type="pct"/>
            <w:tcBorders>
              <w:top w:val="single" w:sz="4" w:space="0" w:color="000000"/>
              <w:left w:val="single" w:sz="4" w:space="0" w:color="000000"/>
              <w:bottom w:val="single" w:sz="4" w:space="0" w:color="000000"/>
              <w:right w:val="single" w:sz="4" w:space="0" w:color="000000"/>
            </w:tcBorders>
            <w:hideMark/>
          </w:tcPr>
          <w:p w14:paraId="51EF798B" w14:textId="77777777" w:rsidR="00A41E60" w:rsidRPr="00D85E09" w:rsidRDefault="00A41E60" w:rsidP="0043316B">
            <w:pPr>
              <w:pStyle w:val="Tabletext"/>
              <w:keepNext w:val="0"/>
              <w:widowControl w:val="0"/>
              <w:rPr>
                <w:b/>
              </w:rPr>
            </w:pPr>
            <w:r w:rsidRPr="00D85E09">
              <w:rPr>
                <w:b/>
              </w:rPr>
              <w:t>Inc. QALY</w:t>
            </w:r>
          </w:p>
        </w:tc>
        <w:tc>
          <w:tcPr>
            <w:tcW w:w="646" w:type="pct"/>
            <w:tcBorders>
              <w:top w:val="single" w:sz="4" w:space="0" w:color="000000"/>
              <w:left w:val="single" w:sz="4" w:space="0" w:color="000000"/>
              <w:bottom w:val="single" w:sz="4" w:space="0" w:color="000000"/>
              <w:right w:val="single" w:sz="4" w:space="0" w:color="000000"/>
            </w:tcBorders>
            <w:hideMark/>
          </w:tcPr>
          <w:p w14:paraId="6B16B637" w14:textId="77777777" w:rsidR="00A41E60" w:rsidRPr="00D85E09" w:rsidRDefault="00A41E60" w:rsidP="0043316B">
            <w:pPr>
              <w:pStyle w:val="Tabletext"/>
              <w:keepNext w:val="0"/>
              <w:widowControl w:val="0"/>
              <w:rPr>
                <w:b/>
              </w:rPr>
            </w:pPr>
            <w:r w:rsidRPr="00D85E09">
              <w:rPr>
                <w:b/>
              </w:rPr>
              <w:t>Inc. cost</w:t>
            </w:r>
          </w:p>
        </w:tc>
        <w:tc>
          <w:tcPr>
            <w:tcW w:w="1450" w:type="pct"/>
            <w:tcBorders>
              <w:top w:val="single" w:sz="4" w:space="0" w:color="000000"/>
              <w:left w:val="single" w:sz="4" w:space="0" w:color="000000"/>
              <w:bottom w:val="single" w:sz="4" w:space="0" w:color="000000"/>
              <w:right w:val="single" w:sz="4" w:space="0" w:color="000000"/>
            </w:tcBorders>
            <w:hideMark/>
          </w:tcPr>
          <w:p w14:paraId="61594B52" w14:textId="77777777" w:rsidR="00A41E60" w:rsidRPr="00D85E09" w:rsidRDefault="00A41E60" w:rsidP="0043316B">
            <w:pPr>
              <w:pStyle w:val="Tabletext"/>
              <w:keepNext w:val="0"/>
              <w:widowControl w:val="0"/>
              <w:rPr>
                <w:b/>
              </w:rPr>
            </w:pPr>
            <w:r w:rsidRPr="00D85E09">
              <w:rPr>
                <w:b/>
              </w:rPr>
              <w:t xml:space="preserve">ICER per life year gain / QALY gain </w:t>
            </w:r>
          </w:p>
        </w:tc>
      </w:tr>
      <w:tr w:rsidR="00A41E60" w:rsidRPr="00D85E09" w14:paraId="0599C2E0"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04404F1F" w14:textId="77777777" w:rsidR="00A41E60" w:rsidRPr="00D85E09" w:rsidRDefault="00A41E60" w:rsidP="0043316B">
            <w:pPr>
              <w:pStyle w:val="Tabletext"/>
              <w:keepNext w:val="0"/>
              <w:widowControl w:val="0"/>
            </w:pPr>
            <w:r w:rsidRPr="00D85E09">
              <w:t>Base case (Goyal; HERMES)</w:t>
            </w:r>
          </w:p>
        </w:tc>
        <w:tc>
          <w:tcPr>
            <w:tcW w:w="697" w:type="pct"/>
            <w:tcBorders>
              <w:top w:val="single" w:sz="4" w:space="0" w:color="000000"/>
              <w:left w:val="single" w:sz="4" w:space="0" w:color="000000"/>
              <w:bottom w:val="single" w:sz="4" w:space="0" w:color="000000"/>
              <w:right w:val="single" w:sz="4" w:space="0" w:color="000000"/>
            </w:tcBorders>
            <w:hideMark/>
          </w:tcPr>
          <w:p w14:paraId="322816AE" w14:textId="77777777" w:rsidR="00A41E60" w:rsidRPr="00D85E09" w:rsidRDefault="00A41E60" w:rsidP="0043316B">
            <w:pPr>
              <w:pStyle w:val="Tabletext"/>
              <w:keepNext w:val="0"/>
              <w:widowControl w:val="0"/>
            </w:pPr>
            <w:r w:rsidRPr="00D85E09">
              <w:t>0.7691</w:t>
            </w:r>
          </w:p>
        </w:tc>
        <w:tc>
          <w:tcPr>
            <w:tcW w:w="727" w:type="pct"/>
            <w:tcBorders>
              <w:top w:val="single" w:sz="4" w:space="0" w:color="000000"/>
              <w:left w:val="single" w:sz="4" w:space="0" w:color="000000"/>
              <w:bottom w:val="single" w:sz="4" w:space="0" w:color="000000"/>
              <w:right w:val="single" w:sz="4" w:space="0" w:color="000000"/>
            </w:tcBorders>
            <w:hideMark/>
          </w:tcPr>
          <w:p w14:paraId="46FAD073" w14:textId="77777777" w:rsidR="00A41E60" w:rsidRPr="00D85E09" w:rsidRDefault="00A41E60" w:rsidP="0043316B">
            <w:pPr>
              <w:pStyle w:val="Tabletext"/>
              <w:keepNext w:val="0"/>
              <w:widowControl w:val="0"/>
            </w:pPr>
            <w:r w:rsidRPr="00D85E09">
              <w:t>0.8281</w:t>
            </w:r>
          </w:p>
        </w:tc>
        <w:tc>
          <w:tcPr>
            <w:tcW w:w="646" w:type="pct"/>
            <w:tcBorders>
              <w:top w:val="single" w:sz="4" w:space="0" w:color="000000"/>
              <w:left w:val="single" w:sz="4" w:space="0" w:color="000000"/>
              <w:bottom w:val="single" w:sz="4" w:space="0" w:color="000000"/>
              <w:right w:val="single" w:sz="4" w:space="0" w:color="000000"/>
            </w:tcBorders>
            <w:hideMark/>
          </w:tcPr>
          <w:p w14:paraId="1F1BB14F" w14:textId="77777777" w:rsidR="00A41E60" w:rsidRPr="00D85E09" w:rsidRDefault="00A41E60" w:rsidP="0043316B">
            <w:pPr>
              <w:pStyle w:val="Tabletext"/>
              <w:keepNext w:val="0"/>
              <w:widowControl w:val="0"/>
            </w:pPr>
            <w:r w:rsidRPr="00D85E09">
              <w:t>$10,666</w:t>
            </w:r>
          </w:p>
        </w:tc>
        <w:tc>
          <w:tcPr>
            <w:tcW w:w="1450" w:type="pct"/>
            <w:tcBorders>
              <w:top w:val="single" w:sz="4" w:space="0" w:color="000000"/>
              <w:left w:val="single" w:sz="4" w:space="0" w:color="000000"/>
              <w:bottom w:val="single" w:sz="4" w:space="0" w:color="000000"/>
              <w:right w:val="single" w:sz="4" w:space="0" w:color="000000"/>
            </w:tcBorders>
            <w:hideMark/>
          </w:tcPr>
          <w:p w14:paraId="046DDBE6" w14:textId="77777777" w:rsidR="00A41E60" w:rsidRPr="00D85E09" w:rsidRDefault="00A41E60" w:rsidP="0043316B">
            <w:pPr>
              <w:pStyle w:val="Tabletext"/>
              <w:keepNext w:val="0"/>
              <w:widowControl w:val="0"/>
            </w:pPr>
            <w:r w:rsidRPr="00D85E09">
              <w:t>$13,868 / $12880</w:t>
            </w:r>
          </w:p>
        </w:tc>
      </w:tr>
      <w:tr w:rsidR="00A41E60" w:rsidRPr="00D85E09" w14:paraId="67740DC0"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76D5C751" w14:textId="77777777" w:rsidR="00A41E60" w:rsidRPr="00D85E09" w:rsidRDefault="00A41E60" w:rsidP="0043316B">
            <w:pPr>
              <w:pStyle w:val="Tabletext"/>
              <w:keepNext w:val="0"/>
              <w:widowControl w:val="0"/>
              <w:rPr>
                <w:vertAlign w:val="superscript"/>
              </w:rPr>
            </w:pPr>
            <w:r w:rsidRPr="00D85E09">
              <w:t>SWIFT PRIME</w:t>
            </w:r>
            <w:r w:rsidRPr="00D85E09">
              <w:rPr>
                <w:vertAlign w:val="superscript"/>
              </w:rPr>
              <w:t>1</w:t>
            </w:r>
          </w:p>
        </w:tc>
        <w:tc>
          <w:tcPr>
            <w:tcW w:w="697" w:type="pct"/>
            <w:tcBorders>
              <w:top w:val="single" w:sz="4" w:space="0" w:color="000000"/>
              <w:left w:val="single" w:sz="4" w:space="0" w:color="000000"/>
              <w:bottom w:val="single" w:sz="4" w:space="0" w:color="000000"/>
              <w:right w:val="single" w:sz="4" w:space="0" w:color="000000"/>
            </w:tcBorders>
            <w:hideMark/>
          </w:tcPr>
          <w:p w14:paraId="024C5442" w14:textId="77777777" w:rsidR="00A41E60" w:rsidRPr="00D85E09" w:rsidRDefault="00A41E60" w:rsidP="0043316B">
            <w:pPr>
              <w:pStyle w:val="Tabletext"/>
              <w:keepNext w:val="0"/>
              <w:widowControl w:val="0"/>
            </w:pPr>
            <w:r w:rsidRPr="00D85E09">
              <w:t>0.9470</w:t>
            </w:r>
          </w:p>
        </w:tc>
        <w:tc>
          <w:tcPr>
            <w:tcW w:w="727" w:type="pct"/>
            <w:tcBorders>
              <w:top w:val="single" w:sz="4" w:space="0" w:color="000000"/>
              <w:left w:val="single" w:sz="4" w:space="0" w:color="000000"/>
              <w:bottom w:val="single" w:sz="4" w:space="0" w:color="000000"/>
              <w:right w:val="single" w:sz="4" w:space="0" w:color="000000"/>
            </w:tcBorders>
            <w:hideMark/>
          </w:tcPr>
          <w:p w14:paraId="454915C2" w14:textId="77777777" w:rsidR="00A41E60" w:rsidRPr="00D85E09" w:rsidRDefault="00A41E60" w:rsidP="0043316B">
            <w:pPr>
              <w:pStyle w:val="Tabletext"/>
              <w:keepNext w:val="0"/>
              <w:widowControl w:val="0"/>
            </w:pPr>
            <w:r w:rsidRPr="00D85E09">
              <w:t>1.0013</w:t>
            </w:r>
          </w:p>
        </w:tc>
        <w:tc>
          <w:tcPr>
            <w:tcW w:w="646" w:type="pct"/>
            <w:tcBorders>
              <w:top w:val="single" w:sz="4" w:space="0" w:color="000000"/>
              <w:left w:val="single" w:sz="4" w:space="0" w:color="000000"/>
              <w:bottom w:val="single" w:sz="4" w:space="0" w:color="000000"/>
              <w:right w:val="single" w:sz="4" w:space="0" w:color="000000"/>
            </w:tcBorders>
            <w:hideMark/>
          </w:tcPr>
          <w:p w14:paraId="1FD48CA5" w14:textId="77777777" w:rsidR="00A41E60" w:rsidRPr="00D85E09" w:rsidRDefault="00A41E60" w:rsidP="0043316B">
            <w:pPr>
              <w:pStyle w:val="Tabletext"/>
              <w:keepNext w:val="0"/>
              <w:widowControl w:val="0"/>
            </w:pPr>
            <w:r w:rsidRPr="00D85E09">
              <w:t>$10,986</w:t>
            </w:r>
          </w:p>
        </w:tc>
        <w:tc>
          <w:tcPr>
            <w:tcW w:w="1450" w:type="pct"/>
            <w:tcBorders>
              <w:top w:val="single" w:sz="4" w:space="0" w:color="000000"/>
              <w:left w:val="single" w:sz="4" w:space="0" w:color="000000"/>
              <w:bottom w:val="single" w:sz="4" w:space="0" w:color="000000"/>
              <w:right w:val="single" w:sz="4" w:space="0" w:color="000000"/>
            </w:tcBorders>
            <w:hideMark/>
          </w:tcPr>
          <w:p w14:paraId="38246644" w14:textId="77777777" w:rsidR="00A41E60" w:rsidRPr="00D85E09" w:rsidRDefault="00A41E60" w:rsidP="0043316B">
            <w:pPr>
              <w:pStyle w:val="Tabletext"/>
              <w:keepNext w:val="0"/>
              <w:widowControl w:val="0"/>
            </w:pPr>
            <w:r w:rsidRPr="00D85E09">
              <w:t>$11,601 / $10,832</w:t>
            </w:r>
          </w:p>
        </w:tc>
      </w:tr>
      <w:tr w:rsidR="00A41E60" w:rsidRPr="00D85E09" w14:paraId="62A82786"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6A4070CA" w14:textId="6FB51347" w:rsidR="00A41E60" w:rsidRPr="00D85E09" w:rsidRDefault="00A41E60" w:rsidP="0043316B">
            <w:pPr>
              <w:pStyle w:val="Tabletext"/>
              <w:keepNext w:val="0"/>
              <w:widowControl w:val="0"/>
            </w:pPr>
            <w:r w:rsidRPr="00D85E09">
              <w:t>EXTEND</w:t>
            </w:r>
            <w:r w:rsidR="00D32933" w:rsidRPr="00D85E09">
              <w:t>-</w:t>
            </w:r>
            <w:r w:rsidRPr="00D85E09">
              <w:t>IA</w:t>
            </w:r>
          </w:p>
        </w:tc>
        <w:tc>
          <w:tcPr>
            <w:tcW w:w="697" w:type="pct"/>
            <w:tcBorders>
              <w:top w:val="single" w:sz="4" w:space="0" w:color="000000"/>
              <w:left w:val="single" w:sz="4" w:space="0" w:color="000000"/>
              <w:bottom w:val="single" w:sz="4" w:space="0" w:color="000000"/>
              <w:right w:val="single" w:sz="4" w:space="0" w:color="000000"/>
            </w:tcBorders>
            <w:hideMark/>
          </w:tcPr>
          <w:p w14:paraId="4533E0C1" w14:textId="77777777" w:rsidR="00A41E60" w:rsidRPr="00D85E09" w:rsidRDefault="00A41E60" w:rsidP="0043316B">
            <w:pPr>
              <w:pStyle w:val="Tabletext"/>
              <w:keepNext w:val="0"/>
              <w:widowControl w:val="0"/>
            </w:pPr>
            <w:r w:rsidRPr="00D85E09">
              <w:t>1.9514</w:t>
            </w:r>
          </w:p>
        </w:tc>
        <w:tc>
          <w:tcPr>
            <w:tcW w:w="727" w:type="pct"/>
            <w:tcBorders>
              <w:top w:val="single" w:sz="4" w:space="0" w:color="000000"/>
              <w:left w:val="single" w:sz="4" w:space="0" w:color="000000"/>
              <w:bottom w:val="single" w:sz="4" w:space="0" w:color="000000"/>
              <w:right w:val="single" w:sz="4" w:space="0" w:color="000000"/>
            </w:tcBorders>
            <w:hideMark/>
          </w:tcPr>
          <w:p w14:paraId="7242311D" w14:textId="77777777" w:rsidR="00A41E60" w:rsidRPr="00D85E09" w:rsidRDefault="00A41E60" w:rsidP="0043316B">
            <w:pPr>
              <w:pStyle w:val="Tabletext"/>
              <w:keepNext w:val="0"/>
              <w:widowControl w:val="0"/>
            </w:pPr>
            <w:r w:rsidRPr="00D85E09">
              <w:t>1.5935</w:t>
            </w:r>
          </w:p>
        </w:tc>
        <w:tc>
          <w:tcPr>
            <w:tcW w:w="646" w:type="pct"/>
            <w:tcBorders>
              <w:top w:val="single" w:sz="4" w:space="0" w:color="000000"/>
              <w:left w:val="single" w:sz="4" w:space="0" w:color="000000"/>
              <w:bottom w:val="single" w:sz="4" w:space="0" w:color="000000"/>
              <w:right w:val="single" w:sz="4" w:space="0" w:color="000000"/>
            </w:tcBorders>
            <w:hideMark/>
          </w:tcPr>
          <w:p w14:paraId="7063200A" w14:textId="77777777" w:rsidR="00A41E60" w:rsidRPr="00D85E09" w:rsidRDefault="00A41E60" w:rsidP="0043316B">
            <w:pPr>
              <w:pStyle w:val="Tabletext"/>
              <w:keepNext w:val="0"/>
              <w:widowControl w:val="0"/>
            </w:pPr>
            <w:r w:rsidRPr="00D85E09">
              <w:t>$11,983</w:t>
            </w:r>
          </w:p>
        </w:tc>
        <w:tc>
          <w:tcPr>
            <w:tcW w:w="1450" w:type="pct"/>
            <w:tcBorders>
              <w:top w:val="single" w:sz="4" w:space="0" w:color="000000"/>
              <w:left w:val="single" w:sz="4" w:space="0" w:color="000000"/>
              <w:bottom w:val="single" w:sz="4" w:space="0" w:color="000000"/>
              <w:right w:val="single" w:sz="4" w:space="0" w:color="000000"/>
            </w:tcBorders>
            <w:hideMark/>
          </w:tcPr>
          <w:p w14:paraId="25D11F3D" w14:textId="77777777" w:rsidR="00A41E60" w:rsidRPr="00D85E09" w:rsidRDefault="00A41E60" w:rsidP="0043316B">
            <w:pPr>
              <w:pStyle w:val="Tabletext"/>
              <w:keepNext w:val="0"/>
              <w:widowControl w:val="0"/>
            </w:pPr>
            <w:r w:rsidRPr="00D85E09">
              <w:t>$6141 / $7520</w:t>
            </w:r>
          </w:p>
        </w:tc>
      </w:tr>
      <w:tr w:rsidR="00A41E60" w:rsidRPr="00D85E09" w14:paraId="50822CBB"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68011AA4" w14:textId="77777777" w:rsidR="00A41E60" w:rsidRPr="00D85E09" w:rsidRDefault="00A41E60" w:rsidP="0043316B">
            <w:pPr>
              <w:pStyle w:val="Tabletext"/>
              <w:keepNext w:val="0"/>
              <w:widowControl w:val="0"/>
            </w:pPr>
            <w:r w:rsidRPr="00D85E09">
              <w:t>ESCAPE</w:t>
            </w:r>
          </w:p>
        </w:tc>
        <w:tc>
          <w:tcPr>
            <w:tcW w:w="697" w:type="pct"/>
            <w:tcBorders>
              <w:top w:val="single" w:sz="4" w:space="0" w:color="000000"/>
              <w:left w:val="single" w:sz="4" w:space="0" w:color="000000"/>
              <w:bottom w:val="single" w:sz="4" w:space="0" w:color="000000"/>
              <w:right w:val="single" w:sz="4" w:space="0" w:color="000000"/>
            </w:tcBorders>
            <w:hideMark/>
          </w:tcPr>
          <w:p w14:paraId="0D67F30D" w14:textId="77777777" w:rsidR="00A41E60" w:rsidRPr="00D85E09" w:rsidRDefault="00A41E60" w:rsidP="0043316B">
            <w:pPr>
              <w:pStyle w:val="Tabletext"/>
              <w:keepNext w:val="0"/>
              <w:widowControl w:val="0"/>
            </w:pPr>
            <w:r w:rsidRPr="00D85E09">
              <w:t>1.2495</w:t>
            </w:r>
          </w:p>
        </w:tc>
        <w:tc>
          <w:tcPr>
            <w:tcW w:w="727" w:type="pct"/>
            <w:tcBorders>
              <w:top w:val="single" w:sz="4" w:space="0" w:color="000000"/>
              <w:left w:val="single" w:sz="4" w:space="0" w:color="000000"/>
              <w:bottom w:val="single" w:sz="4" w:space="0" w:color="000000"/>
              <w:right w:val="single" w:sz="4" w:space="0" w:color="000000"/>
            </w:tcBorders>
            <w:hideMark/>
          </w:tcPr>
          <w:p w14:paraId="67E3FBA8" w14:textId="77777777" w:rsidR="00A41E60" w:rsidRPr="00D85E09" w:rsidRDefault="00A41E60" w:rsidP="0043316B">
            <w:pPr>
              <w:pStyle w:val="Tabletext"/>
              <w:keepNext w:val="0"/>
              <w:widowControl w:val="0"/>
            </w:pPr>
            <w:r w:rsidRPr="00D85E09">
              <w:t>1.1014</w:t>
            </w:r>
          </w:p>
        </w:tc>
        <w:tc>
          <w:tcPr>
            <w:tcW w:w="646" w:type="pct"/>
            <w:tcBorders>
              <w:top w:val="single" w:sz="4" w:space="0" w:color="000000"/>
              <w:left w:val="single" w:sz="4" w:space="0" w:color="000000"/>
              <w:bottom w:val="single" w:sz="4" w:space="0" w:color="000000"/>
              <w:right w:val="single" w:sz="4" w:space="0" w:color="000000"/>
            </w:tcBorders>
            <w:hideMark/>
          </w:tcPr>
          <w:p w14:paraId="303A563E" w14:textId="77777777" w:rsidR="00A41E60" w:rsidRPr="00D85E09" w:rsidRDefault="00A41E60" w:rsidP="0043316B">
            <w:pPr>
              <w:pStyle w:val="Tabletext"/>
              <w:keepNext w:val="0"/>
              <w:widowControl w:val="0"/>
            </w:pPr>
            <w:r w:rsidRPr="00D85E09">
              <w:t>$13,358</w:t>
            </w:r>
          </w:p>
        </w:tc>
        <w:tc>
          <w:tcPr>
            <w:tcW w:w="1450" w:type="pct"/>
            <w:tcBorders>
              <w:top w:val="single" w:sz="4" w:space="0" w:color="000000"/>
              <w:left w:val="single" w:sz="4" w:space="0" w:color="000000"/>
              <w:bottom w:val="single" w:sz="4" w:space="0" w:color="000000"/>
              <w:right w:val="single" w:sz="4" w:space="0" w:color="000000"/>
            </w:tcBorders>
            <w:hideMark/>
          </w:tcPr>
          <w:p w14:paraId="490B45D1" w14:textId="77777777" w:rsidR="00A41E60" w:rsidRPr="00D85E09" w:rsidRDefault="00A41E60" w:rsidP="0043316B">
            <w:pPr>
              <w:pStyle w:val="Tabletext"/>
              <w:keepNext w:val="0"/>
              <w:widowControl w:val="0"/>
            </w:pPr>
            <w:r w:rsidRPr="00D85E09">
              <w:t>$10,690 / $12,129</w:t>
            </w:r>
          </w:p>
        </w:tc>
      </w:tr>
      <w:tr w:rsidR="00A41E60" w:rsidRPr="00D85E09" w14:paraId="38659655"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2CFAD88D" w14:textId="77777777" w:rsidR="00A41E60" w:rsidRPr="00D85E09" w:rsidRDefault="00A41E60" w:rsidP="0043316B">
            <w:pPr>
              <w:pStyle w:val="Tabletext"/>
              <w:keepNext w:val="0"/>
              <w:widowControl w:val="0"/>
            </w:pPr>
            <w:r w:rsidRPr="00D85E09">
              <w:t>REVSACT</w:t>
            </w:r>
          </w:p>
        </w:tc>
        <w:tc>
          <w:tcPr>
            <w:tcW w:w="697" w:type="pct"/>
            <w:tcBorders>
              <w:top w:val="single" w:sz="4" w:space="0" w:color="000000"/>
              <w:left w:val="single" w:sz="4" w:space="0" w:color="000000"/>
              <w:bottom w:val="single" w:sz="4" w:space="0" w:color="000000"/>
              <w:right w:val="single" w:sz="4" w:space="0" w:color="000000"/>
            </w:tcBorders>
            <w:hideMark/>
          </w:tcPr>
          <w:p w14:paraId="2E52722A" w14:textId="77777777" w:rsidR="00A41E60" w:rsidRPr="00D85E09" w:rsidRDefault="00A41E60" w:rsidP="0043316B">
            <w:pPr>
              <w:pStyle w:val="Tabletext"/>
              <w:keepNext w:val="0"/>
              <w:widowControl w:val="0"/>
            </w:pPr>
            <w:r w:rsidRPr="00D85E09">
              <w:t>0.2378</w:t>
            </w:r>
          </w:p>
        </w:tc>
        <w:tc>
          <w:tcPr>
            <w:tcW w:w="727" w:type="pct"/>
            <w:tcBorders>
              <w:top w:val="single" w:sz="4" w:space="0" w:color="000000"/>
              <w:left w:val="single" w:sz="4" w:space="0" w:color="000000"/>
              <w:bottom w:val="single" w:sz="4" w:space="0" w:color="000000"/>
              <w:right w:val="single" w:sz="4" w:space="0" w:color="000000"/>
            </w:tcBorders>
            <w:hideMark/>
          </w:tcPr>
          <w:p w14:paraId="2BF2800A" w14:textId="77777777" w:rsidR="00A41E60" w:rsidRPr="00D85E09" w:rsidRDefault="00A41E60" w:rsidP="0043316B">
            <w:pPr>
              <w:pStyle w:val="Tabletext"/>
              <w:keepNext w:val="0"/>
              <w:widowControl w:val="0"/>
            </w:pPr>
            <w:r w:rsidRPr="00D85E09">
              <w:t>0.5948</w:t>
            </w:r>
          </w:p>
        </w:tc>
        <w:tc>
          <w:tcPr>
            <w:tcW w:w="646" w:type="pct"/>
            <w:tcBorders>
              <w:top w:val="single" w:sz="4" w:space="0" w:color="000000"/>
              <w:left w:val="single" w:sz="4" w:space="0" w:color="000000"/>
              <w:bottom w:val="single" w:sz="4" w:space="0" w:color="000000"/>
              <w:right w:val="single" w:sz="4" w:space="0" w:color="000000"/>
            </w:tcBorders>
            <w:hideMark/>
          </w:tcPr>
          <w:p w14:paraId="1126BDC0" w14:textId="77777777" w:rsidR="00A41E60" w:rsidRPr="00D85E09" w:rsidRDefault="00A41E60" w:rsidP="0043316B">
            <w:pPr>
              <w:pStyle w:val="Tabletext"/>
              <w:keepNext w:val="0"/>
              <w:widowControl w:val="0"/>
            </w:pPr>
            <w:r w:rsidRPr="00D85E09">
              <w:t>$6,768</w:t>
            </w:r>
          </w:p>
        </w:tc>
        <w:tc>
          <w:tcPr>
            <w:tcW w:w="1450" w:type="pct"/>
            <w:tcBorders>
              <w:top w:val="single" w:sz="4" w:space="0" w:color="000000"/>
              <w:left w:val="single" w:sz="4" w:space="0" w:color="000000"/>
              <w:bottom w:val="single" w:sz="4" w:space="0" w:color="000000"/>
              <w:right w:val="single" w:sz="4" w:space="0" w:color="000000"/>
            </w:tcBorders>
            <w:hideMark/>
          </w:tcPr>
          <w:p w14:paraId="164A387B" w14:textId="77777777" w:rsidR="00A41E60" w:rsidRPr="00D85E09" w:rsidRDefault="00A41E60" w:rsidP="0043316B">
            <w:pPr>
              <w:pStyle w:val="Tabletext"/>
              <w:keepNext w:val="0"/>
              <w:widowControl w:val="0"/>
            </w:pPr>
            <w:r w:rsidRPr="00D85E09">
              <w:t>$28,457 / $11,378</w:t>
            </w:r>
          </w:p>
        </w:tc>
      </w:tr>
      <w:tr w:rsidR="00A41E60" w:rsidRPr="00D85E09" w14:paraId="0AC4807B"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2C4517F1" w14:textId="77777777" w:rsidR="00A41E60" w:rsidRPr="00D85E09" w:rsidRDefault="00A41E60" w:rsidP="0043316B">
            <w:pPr>
              <w:pStyle w:val="Tabletext"/>
              <w:keepNext w:val="0"/>
              <w:widowControl w:val="0"/>
            </w:pPr>
            <w:r w:rsidRPr="00D85E09">
              <w:t>MR CLEAN</w:t>
            </w:r>
          </w:p>
        </w:tc>
        <w:tc>
          <w:tcPr>
            <w:tcW w:w="697" w:type="pct"/>
            <w:tcBorders>
              <w:top w:val="single" w:sz="4" w:space="0" w:color="000000"/>
              <w:left w:val="single" w:sz="4" w:space="0" w:color="000000"/>
              <w:bottom w:val="single" w:sz="4" w:space="0" w:color="000000"/>
              <w:right w:val="single" w:sz="4" w:space="0" w:color="000000"/>
            </w:tcBorders>
            <w:hideMark/>
          </w:tcPr>
          <w:p w14:paraId="71B442F4" w14:textId="77777777" w:rsidR="00A41E60" w:rsidRPr="00D85E09" w:rsidRDefault="00A41E60" w:rsidP="0043316B">
            <w:pPr>
              <w:pStyle w:val="Tabletext"/>
              <w:keepNext w:val="0"/>
              <w:widowControl w:val="0"/>
            </w:pPr>
            <w:r w:rsidRPr="00D85E09">
              <w:t>0.5384</w:t>
            </w:r>
          </w:p>
        </w:tc>
        <w:tc>
          <w:tcPr>
            <w:tcW w:w="727" w:type="pct"/>
            <w:tcBorders>
              <w:top w:val="single" w:sz="4" w:space="0" w:color="000000"/>
              <w:left w:val="single" w:sz="4" w:space="0" w:color="000000"/>
              <w:bottom w:val="single" w:sz="4" w:space="0" w:color="000000"/>
              <w:right w:val="single" w:sz="4" w:space="0" w:color="000000"/>
            </w:tcBorders>
            <w:hideMark/>
          </w:tcPr>
          <w:p w14:paraId="2B7972A5" w14:textId="77777777" w:rsidR="00A41E60" w:rsidRPr="00D85E09" w:rsidRDefault="00A41E60" w:rsidP="0043316B">
            <w:pPr>
              <w:pStyle w:val="Tabletext"/>
              <w:keepNext w:val="0"/>
              <w:widowControl w:val="0"/>
            </w:pPr>
            <w:r w:rsidRPr="00D85E09">
              <w:t>0.5892</w:t>
            </w:r>
          </w:p>
        </w:tc>
        <w:tc>
          <w:tcPr>
            <w:tcW w:w="646" w:type="pct"/>
            <w:tcBorders>
              <w:top w:val="single" w:sz="4" w:space="0" w:color="000000"/>
              <w:left w:val="single" w:sz="4" w:space="0" w:color="000000"/>
              <w:bottom w:val="single" w:sz="4" w:space="0" w:color="000000"/>
              <w:right w:val="single" w:sz="4" w:space="0" w:color="000000"/>
            </w:tcBorders>
            <w:hideMark/>
          </w:tcPr>
          <w:p w14:paraId="6D2FDBE9" w14:textId="77777777" w:rsidR="00A41E60" w:rsidRPr="00D85E09" w:rsidRDefault="00A41E60" w:rsidP="0043316B">
            <w:pPr>
              <w:pStyle w:val="Tabletext"/>
              <w:keepNext w:val="0"/>
              <w:widowControl w:val="0"/>
            </w:pPr>
            <w:r w:rsidRPr="00D85E09">
              <w:t>$11,680</w:t>
            </w:r>
          </w:p>
        </w:tc>
        <w:tc>
          <w:tcPr>
            <w:tcW w:w="1450" w:type="pct"/>
            <w:tcBorders>
              <w:top w:val="single" w:sz="4" w:space="0" w:color="000000"/>
              <w:left w:val="single" w:sz="4" w:space="0" w:color="000000"/>
              <w:bottom w:val="single" w:sz="4" w:space="0" w:color="000000"/>
              <w:right w:val="single" w:sz="4" w:space="0" w:color="000000"/>
            </w:tcBorders>
            <w:hideMark/>
          </w:tcPr>
          <w:p w14:paraId="60146DC8" w14:textId="77777777" w:rsidR="00A41E60" w:rsidRPr="00D85E09" w:rsidRDefault="00A41E60" w:rsidP="0043316B">
            <w:pPr>
              <w:pStyle w:val="Tabletext"/>
              <w:keepNext w:val="0"/>
              <w:widowControl w:val="0"/>
            </w:pPr>
            <w:r w:rsidRPr="00D85E09">
              <w:t>$21,693 / $19,825</w:t>
            </w:r>
          </w:p>
        </w:tc>
      </w:tr>
      <w:tr w:rsidR="00A41E60" w:rsidRPr="00D85E09" w14:paraId="7C05E2E4"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2F819499" w14:textId="44E0A89C" w:rsidR="00A41E60" w:rsidRPr="00D85E09" w:rsidRDefault="00A41E60" w:rsidP="0043316B">
            <w:pPr>
              <w:pStyle w:val="Tabletext"/>
              <w:keepNext w:val="0"/>
              <w:widowControl w:val="0"/>
            </w:pPr>
            <w:r w:rsidRPr="00D85E09">
              <w:t>Meta-analysis (HERMES, IV</w:t>
            </w:r>
            <w:r w:rsidR="00D32933" w:rsidRPr="00D85E09">
              <w:t>-</w:t>
            </w:r>
            <w:r w:rsidRPr="00D85E09">
              <w:t>tPA eligible)</w:t>
            </w:r>
          </w:p>
        </w:tc>
        <w:tc>
          <w:tcPr>
            <w:tcW w:w="697" w:type="pct"/>
            <w:tcBorders>
              <w:top w:val="single" w:sz="4" w:space="0" w:color="000000"/>
              <w:left w:val="single" w:sz="4" w:space="0" w:color="000000"/>
              <w:bottom w:val="single" w:sz="4" w:space="0" w:color="000000"/>
              <w:right w:val="single" w:sz="4" w:space="0" w:color="000000"/>
            </w:tcBorders>
            <w:hideMark/>
          </w:tcPr>
          <w:p w14:paraId="192E87FA" w14:textId="77777777" w:rsidR="00A41E60" w:rsidRPr="00D85E09" w:rsidRDefault="00A41E60" w:rsidP="0043316B">
            <w:pPr>
              <w:pStyle w:val="Tabletext"/>
              <w:keepNext w:val="0"/>
              <w:widowControl w:val="0"/>
            </w:pPr>
            <w:r w:rsidRPr="00D85E09">
              <w:t>0.8822</w:t>
            </w:r>
          </w:p>
        </w:tc>
        <w:tc>
          <w:tcPr>
            <w:tcW w:w="727" w:type="pct"/>
            <w:tcBorders>
              <w:top w:val="single" w:sz="4" w:space="0" w:color="000000"/>
              <w:left w:val="single" w:sz="4" w:space="0" w:color="000000"/>
              <w:bottom w:val="single" w:sz="4" w:space="0" w:color="000000"/>
              <w:right w:val="single" w:sz="4" w:space="0" w:color="000000"/>
            </w:tcBorders>
            <w:hideMark/>
          </w:tcPr>
          <w:p w14:paraId="292345DB" w14:textId="77777777" w:rsidR="00A41E60" w:rsidRPr="00D85E09" w:rsidRDefault="00A41E60" w:rsidP="0043316B">
            <w:pPr>
              <w:pStyle w:val="Tabletext"/>
              <w:keepNext w:val="0"/>
              <w:widowControl w:val="0"/>
            </w:pPr>
            <w:r w:rsidRPr="00D85E09">
              <w:t>0.8052</w:t>
            </w:r>
          </w:p>
        </w:tc>
        <w:tc>
          <w:tcPr>
            <w:tcW w:w="646" w:type="pct"/>
            <w:tcBorders>
              <w:top w:val="single" w:sz="4" w:space="0" w:color="000000"/>
              <w:left w:val="single" w:sz="4" w:space="0" w:color="000000"/>
              <w:bottom w:val="single" w:sz="4" w:space="0" w:color="000000"/>
              <w:right w:val="single" w:sz="4" w:space="0" w:color="000000"/>
            </w:tcBorders>
            <w:hideMark/>
          </w:tcPr>
          <w:p w14:paraId="493BB9B3" w14:textId="77777777" w:rsidR="00A41E60" w:rsidRPr="00D85E09" w:rsidRDefault="00A41E60" w:rsidP="0043316B">
            <w:pPr>
              <w:pStyle w:val="Tabletext"/>
              <w:keepNext w:val="0"/>
              <w:widowControl w:val="0"/>
            </w:pPr>
            <w:r w:rsidRPr="00D85E09">
              <w:t>$13,363</w:t>
            </w:r>
          </w:p>
        </w:tc>
        <w:tc>
          <w:tcPr>
            <w:tcW w:w="1450" w:type="pct"/>
            <w:tcBorders>
              <w:top w:val="single" w:sz="4" w:space="0" w:color="000000"/>
              <w:left w:val="single" w:sz="4" w:space="0" w:color="000000"/>
              <w:bottom w:val="single" w:sz="4" w:space="0" w:color="000000"/>
              <w:right w:val="single" w:sz="4" w:space="0" w:color="000000"/>
            </w:tcBorders>
            <w:hideMark/>
          </w:tcPr>
          <w:p w14:paraId="134FEB63" w14:textId="77777777" w:rsidR="00A41E60" w:rsidRPr="00D85E09" w:rsidRDefault="00A41E60" w:rsidP="0043316B">
            <w:pPr>
              <w:pStyle w:val="Tabletext"/>
              <w:keepNext w:val="0"/>
              <w:widowControl w:val="0"/>
            </w:pPr>
            <w:r w:rsidRPr="00D85E09">
              <w:t>$15,147 / $16,596</w:t>
            </w:r>
          </w:p>
        </w:tc>
      </w:tr>
      <w:tr w:rsidR="00A41E60" w:rsidRPr="00D85E09" w14:paraId="4FF7FFDA"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08DE524C" w14:textId="0035BB86" w:rsidR="00A41E60" w:rsidRPr="00D85E09" w:rsidRDefault="00A41E60" w:rsidP="0043316B">
            <w:pPr>
              <w:pStyle w:val="Tabletext"/>
              <w:keepNext w:val="0"/>
              <w:widowControl w:val="0"/>
            </w:pPr>
            <w:r w:rsidRPr="00D85E09">
              <w:t>Meta-analysis (HERMES, IV</w:t>
            </w:r>
            <w:r w:rsidR="00D32933" w:rsidRPr="00D85E09">
              <w:t>-</w:t>
            </w:r>
            <w:r w:rsidRPr="00D85E09">
              <w:t>tPA ineligible)</w:t>
            </w:r>
          </w:p>
        </w:tc>
        <w:tc>
          <w:tcPr>
            <w:tcW w:w="697" w:type="pct"/>
            <w:tcBorders>
              <w:top w:val="single" w:sz="4" w:space="0" w:color="000000"/>
              <w:left w:val="single" w:sz="4" w:space="0" w:color="000000"/>
              <w:bottom w:val="single" w:sz="4" w:space="0" w:color="000000"/>
              <w:right w:val="single" w:sz="4" w:space="0" w:color="000000"/>
            </w:tcBorders>
            <w:hideMark/>
          </w:tcPr>
          <w:p w14:paraId="5407DEB0" w14:textId="77777777" w:rsidR="00A41E60" w:rsidRPr="00D85E09" w:rsidRDefault="00A41E60" w:rsidP="0043316B">
            <w:pPr>
              <w:pStyle w:val="Tabletext"/>
              <w:keepNext w:val="0"/>
              <w:widowControl w:val="0"/>
            </w:pPr>
            <w:r w:rsidRPr="00D85E09">
              <w:t>0.3848</w:t>
            </w:r>
          </w:p>
        </w:tc>
        <w:tc>
          <w:tcPr>
            <w:tcW w:w="727" w:type="pct"/>
            <w:tcBorders>
              <w:top w:val="single" w:sz="4" w:space="0" w:color="000000"/>
              <w:left w:val="single" w:sz="4" w:space="0" w:color="000000"/>
              <w:bottom w:val="single" w:sz="4" w:space="0" w:color="000000"/>
              <w:right w:val="single" w:sz="4" w:space="0" w:color="000000"/>
            </w:tcBorders>
            <w:hideMark/>
          </w:tcPr>
          <w:p w14:paraId="4CF6DECD" w14:textId="77777777" w:rsidR="00A41E60" w:rsidRPr="00D85E09" w:rsidRDefault="00A41E60" w:rsidP="0043316B">
            <w:pPr>
              <w:pStyle w:val="Tabletext"/>
              <w:keepNext w:val="0"/>
              <w:widowControl w:val="0"/>
            </w:pPr>
            <w:r w:rsidRPr="00D85E09">
              <w:t>1.0531</w:t>
            </w:r>
          </w:p>
        </w:tc>
        <w:tc>
          <w:tcPr>
            <w:tcW w:w="646" w:type="pct"/>
            <w:tcBorders>
              <w:top w:val="single" w:sz="4" w:space="0" w:color="000000"/>
              <w:left w:val="single" w:sz="4" w:space="0" w:color="000000"/>
              <w:bottom w:val="single" w:sz="4" w:space="0" w:color="000000"/>
              <w:right w:val="single" w:sz="4" w:space="0" w:color="000000"/>
            </w:tcBorders>
            <w:hideMark/>
          </w:tcPr>
          <w:p w14:paraId="35CE48A6" w14:textId="77777777" w:rsidR="00A41E60" w:rsidRPr="00D85E09" w:rsidRDefault="00A41E60" w:rsidP="0043316B">
            <w:pPr>
              <w:pStyle w:val="Tabletext"/>
              <w:keepNext w:val="0"/>
              <w:widowControl w:val="0"/>
            </w:pPr>
            <w:r w:rsidRPr="00D85E09">
              <w:t>-$2,649</w:t>
            </w:r>
          </w:p>
        </w:tc>
        <w:tc>
          <w:tcPr>
            <w:tcW w:w="1450" w:type="pct"/>
            <w:tcBorders>
              <w:top w:val="single" w:sz="4" w:space="0" w:color="000000"/>
              <w:left w:val="single" w:sz="4" w:space="0" w:color="000000"/>
              <w:bottom w:val="single" w:sz="4" w:space="0" w:color="000000"/>
              <w:right w:val="single" w:sz="4" w:space="0" w:color="000000"/>
            </w:tcBorders>
            <w:hideMark/>
          </w:tcPr>
          <w:p w14:paraId="45C5CA8B" w14:textId="77777777" w:rsidR="00A41E60" w:rsidRPr="00D85E09" w:rsidRDefault="00A41E60" w:rsidP="0043316B">
            <w:pPr>
              <w:pStyle w:val="Tabletext"/>
              <w:keepNext w:val="0"/>
              <w:widowControl w:val="0"/>
            </w:pPr>
            <w:r w:rsidRPr="00D85E09">
              <w:t>Dominant / Dominant</w:t>
            </w:r>
          </w:p>
        </w:tc>
      </w:tr>
      <w:tr w:rsidR="00A41E60" w:rsidRPr="00D85E09" w14:paraId="4A77AEDE"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781F215D" w14:textId="08D77E85" w:rsidR="00A41E60" w:rsidRPr="00D85E09" w:rsidRDefault="00A41E60" w:rsidP="0043316B">
            <w:pPr>
              <w:pStyle w:val="Tabletext"/>
              <w:keepNext w:val="0"/>
              <w:widowControl w:val="0"/>
            </w:pPr>
            <w:r w:rsidRPr="00D85E09">
              <w:t>ESCAPE IV</w:t>
            </w:r>
            <w:r w:rsidR="00D32933" w:rsidRPr="00D85E09">
              <w:t>-</w:t>
            </w:r>
            <w:r w:rsidRPr="00D85E09">
              <w:t>tPA eligible</w:t>
            </w:r>
          </w:p>
        </w:tc>
        <w:tc>
          <w:tcPr>
            <w:tcW w:w="697" w:type="pct"/>
            <w:tcBorders>
              <w:top w:val="single" w:sz="4" w:space="0" w:color="000000"/>
              <w:left w:val="single" w:sz="4" w:space="0" w:color="000000"/>
              <w:bottom w:val="single" w:sz="4" w:space="0" w:color="000000"/>
              <w:right w:val="single" w:sz="4" w:space="0" w:color="000000"/>
            </w:tcBorders>
            <w:hideMark/>
          </w:tcPr>
          <w:p w14:paraId="5D4FDE73" w14:textId="77777777" w:rsidR="00A41E60" w:rsidRPr="00D85E09" w:rsidRDefault="00A41E60" w:rsidP="0043316B">
            <w:pPr>
              <w:pStyle w:val="Tabletext"/>
              <w:keepNext w:val="0"/>
              <w:widowControl w:val="0"/>
            </w:pPr>
            <w:r w:rsidRPr="00D85E09">
              <w:t>1.8593</w:t>
            </w:r>
          </w:p>
        </w:tc>
        <w:tc>
          <w:tcPr>
            <w:tcW w:w="727" w:type="pct"/>
            <w:tcBorders>
              <w:top w:val="single" w:sz="4" w:space="0" w:color="000000"/>
              <w:left w:val="single" w:sz="4" w:space="0" w:color="000000"/>
              <w:bottom w:val="single" w:sz="4" w:space="0" w:color="000000"/>
              <w:right w:val="single" w:sz="4" w:space="0" w:color="000000"/>
            </w:tcBorders>
            <w:hideMark/>
          </w:tcPr>
          <w:p w14:paraId="5C15D0BF" w14:textId="77777777" w:rsidR="00A41E60" w:rsidRPr="00D85E09" w:rsidRDefault="00A41E60" w:rsidP="0043316B">
            <w:pPr>
              <w:pStyle w:val="Tabletext"/>
              <w:keepNext w:val="0"/>
              <w:widowControl w:val="0"/>
            </w:pPr>
            <w:r w:rsidRPr="00D85E09">
              <w:t>1.0697</w:t>
            </w:r>
          </w:p>
        </w:tc>
        <w:tc>
          <w:tcPr>
            <w:tcW w:w="646" w:type="pct"/>
            <w:tcBorders>
              <w:top w:val="single" w:sz="4" w:space="0" w:color="000000"/>
              <w:left w:val="single" w:sz="4" w:space="0" w:color="000000"/>
              <w:bottom w:val="single" w:sz="4" w:space="0" w:color="000000"/>
              <w:right w:val="single" w:sz="4" w:space="0" w:color="000000"/>
            </w:tcBorders>
            <w:hideMark/>
          </w:tcPr>
          <w:p w14:paraId="4BF6099A" w14:textId="77777777" w:rsidR="00A41E60" w:rsidRPr="00D85E09" w:rsidRDefault="00A41E60" w:rsidP="0043316B">
            <w:pPr>
              <w:pStyle w:val="Tabletext"/>
              <w:keepNext w:val="0"/>
              <w:widowControl w:val="0"/>
            </w:pPr>
            <w:r w:rsidRPr="00D85E09">
              <w:t>$23,982</w:t>
            </w:r>
          </w:p>
        </w:tc>
        <w:tc>
          <w:tcPr>
            <w:tcW w:w="1450" w:type="pct"/>
            <w:tcBorders>
              <w:top w:val="single" w:sz="4" w:space="0" w:color="000000"/>
              <w:left w:val="single" w:sz="4" w:space="0" w:color="000000"/>
              <w:bottom w:val="single" w:sz="4" w:space="0" w:color="000000"/>
              <w:right w:val="single" w:sz="4" w:space="0" w:color="000000"/>
            </w:tcBorders>
            <w:hideMark/>
          </w:tcPr>
          <w:p w14:paraId="38DB2719" w14:textId="77777777" w:rsidR="00A41E60" w:rsidRPr="00D85E09" w:rsidRDefault="00A41E60" w:rsidP="0043316B">
            <w:pPr>
              <w:pStyle w:val="Tabletext"/>
              <w:keepNext w:val="0"/>
              <w:widowControl w:val="0"/>
            </w:pPr>
            <w:r w:rsidRPr="00D85E09">
              <w:t>$12,899 / $22,420</w:t>
            </w:r>
          </w:p>
        </w:tc>
      </w:tr>
      <w:tr w:rsidR="00A41E60" w:rsidRPr="00D85E09" w14:paraId="6ED068C7" w14:textId="77777777" w:rsidTr="00A41E60">
        <w:tc>
          <w:tcPr>
            <w:tcW w:w="1480" w:type="pct"/>
            <w:tcBorders>
              <w:top w:val="single" w:sz="4" w:space="0" w:color="000000"/>
              <w:left w:val="single" w:sz="4" w:space="0" w:color="000000"/>
              <w:bottom w:val="single" w:sz="4" w:space="0" w:color="000000"/>
              <w:right w:val="single" w:sz="4" w:space="0" w:color="000000"/>
            </w:tcBorders>
            <w:hideMark/>
          </w:tcPr>
          <w:p w14:paraId="6C7C4ABF" w14:textId="72D16C85" w:rsidR="00A41E60" w:rsidRPr="00D85E09" w:rsidRDefault="00A41E60" w:rsidP="0043316B">
            <w:pPr>
              <w:pStyle w:val="Tabletext"/>
              <w:keepNext w:val="0"/>
              <w:widowControl w:val="0"/>
            </w:pPr>
            <w:r w:rsidRPr="00D85E09">
              <w:t>ESCAPE IV</w:t>
            </w:r>
            <w:r w:rsidR="00D32933" w:rsidRPr="00D85E09">
              <w:t>-</w:t>
            </w:r>
            <w:r w:rsidRPr="00D85E09">
              <w:t>tPA ineligible</w:t>
            </w:r>
          </w:p>
        </w:tc>
        <w:tc>
          <w:tcPr>
            <w:tcW w:w="697" w:type="pct"/>
            <w:tcBorders>
              <w:top w:val="single" w:sz="4" w:space="0" w:color="000000"/>
              <w:left w:val="single" w:sz="4" w:space="0" w:color="000000"/>
              <w:bottom w:val="single" w:sz="4" w:space="0" w:color="000000"/>
              <w:right w:val="single" w:sz="4" w:space="0" w:color="000000"/>
            </w:tcBorders>
            <w:hideMark/>
          </w:tcPr>
          <w:p w14:paraId="774C61E4" w14:textId="77777777" w:rsidR="00A41E60" w:rsidRPr="00D85E09" w:rsidRDefault="00A41E60" w:rsidP="0043316B">
            <w:pPr>
              <w:pStyle w:val="Tabletext"/>
              <w:keepNext w:val="0"/>
              <w:widowControl w:val="0"/>
            </w:pPr>
            <w:r w:rsidRPr="00D85E09">
              <w:t>-0.4679</w:t>
            </w:r>
          </w:p>
        </w:tc>
        <w:tc>
          <w:tcPr>
            <w:tcW w:w="727" w:type="pct"/>
            <w:tcBorders>
              <w:top w:val="single" w:sz="4" w:space="0" w:color="000000"/>
              <w:left w:val="single" w:sz="4" w:space="0" w:color="000000"/>
              <w:bottom w:val="single" w:sz="4" w:space="0" w:color="000000"/>
              <w:right w:val="single" w:sz="4" w:space="0" w:color="000000"/>
            </w:tcBorders>
            <w:hideMark/>
          </w:tcPr>
          <w:p w14:paraId="4854663B" w14:textId="77777777" w:rsidR="00A41E60" w:rsidRPr="00D85E09" w:rsidRDefault="00A41E60" w:rsidP="0043316B">
            <w:pPr>
              <w:pStyle w:val="Tabletext"/>
              <w:keepNext w:val="0"/>
              <w:widowControl w:val="0"/>
            </w:pPr>
            <w:r w:rsidRPr="00D85E09">
              <w:t>1.2451</w:t>
            </w:r>
          </w:p>
        </w:tc>
        <w:tc>
          <w:tcPr>
            <w:tcW w:w="646" w:type="pct"/>
            <w:tcBorders>
              <w:top w:val="single" w:sz="4" w:space="0" w:color="000000"/>
              <w:left w:val="single" w:sz="4" w:space="0" w:color="000000"/>
              <w:bottom w:val="single" w:sz="4" w:space="0" w:color="000000"/>
              <w:right w:val="single" w:sz="4" w:space="0" w:color="000000"/>
            </w:tcBorders>
            <w:hideMark/>
          </w:tcPr>
          <w:p w14:paraId="68E2CFC1" w14:textId="77777777" w:rsidR="00A41E60" w:rsidRPr="00D85E09" w:rsidRDefault="00A41E60" w:rsidP="0043316B">
            <w:pPr>
              <w:pStyle w:val="Tabletext"/>
              <w:keepNext w:val="0"/>
              <w:widowControl w:val="0"/>
            </w:pPr>
            <w:r w:rsidRPr="00D85E09">
              <w:t>-$19,037</w:t>
            </w:r>
          </w:p>
        </w:tc>
        <w:tc>
          <w:tcPr>
            <w:tcW w:w="1450" w:type="pct"/>
            <w:tcBorders>
              <w:top w:val="single" w:sz="4" w:space="0" w:color="000000"/>
              <w:left w:val="single" w:sz="4" w:space="0" w:color="000000"/>
              <w:bottom w:val="single" w:sz="4" w:space="0" w:color="000000"/>
              <w:right w:val="single" w:sz="4" w:space="0" w:color="000000"/>
            </w:tcBorders>
            <w:hideMark/>
          </w:tcPr>
          <w:p w14:paraId="604915A6" w14:textId="77777777" w:rsidR="00A41E60" w:rsidRPr="00D85E09" w:rsidRDefault="00A41E60" w:rsidP="0043316B">
            <w:pPr>
              <w:pStyle w:val="Tabletext"/>
              <w:keepNext w:val="0"/>
              <w:widowControl w:val="0"/>
            </w:pPr>
            <w:r w:rsidRPr="00D85E09">
              <w:t>Cheaper but less effective / Dominant</w:t>
            </w:r>
          </w:p>
        </w:tc>
      </w:tr>
    </w:tbl>
    <w:p w14:paraId="4C509493" w14:textId="612E9017" w:rsidR="00A41E60" w:rsidRPr="00D85E09" w:rsidRDefault="00A41E60" w:rsidP="0043316B">
      <w:pPr>
        <w:pStyle w:val="Tablefooter"/>
        <w:widowControl w:val="0"/>
      </w:pPr>
      <w:r w:rsidRPr="00D85E09">
        <w:rPr>
          <w:vertAlign w:val="superscript"/>
        </w:rPr>
        <w:t>1</w:t>
      </w:r>
      <w:r w:rsidRPr="00D85E09">
        <w:t xml:space="preserve"> Day 7 and Day 90 mRS distribution data available. The Day 90 data were used for Day 7 for this analysis (see below).</w:t>
      </w:r>
    </w:p>
    <w:p w14:paraId="4A60B606" w14:textId="77777777" w:rsidR="00A41E60" w:rsidRPr="00D85E09" w:rsidRDefault="00A41E60" w:rsidP="0043316B">
      <w:pPr>
        <w:widowControl w:val="0"/>
      </w:pPr>
    </w:p>
    <w:p w14:paraId="7B33F039" w14:textId="5EFF747D" w:rsidR="00A41E60" w:rsidRPr="00D85E09" w:rsidRDefault="00A41E60" w:rsidP="0043316B">
      <w:pPr>
        <w:widowControl w:val="0"/>
      </w:pPr>
      <w:r w:rsidRPr="00D85E09">
        <w:fldChar w:fldCharType="begin"/>
      </w:r>
      <w:r w:rsidRPr="00D85E09">
        <w:instrText xml:space="preserve"> REF _Ref451771349 \h </w:instrText>
      </w:r>
      <w:r w:rsidRPr="00D85E09">
        <w:fldChar w:fldCharType="separate"/>
      </w:r>
      <w:r w:rsidR="00A456ED" w:rsidRPr="00D85E09">
        <w:t xml:space="preserve">Table </w:t>
      </w:r>
      <w:r w:rsidR="00A456ED">
        <w:rPr>
          <w:noProof/>
        </w:rPr>
        <w:t>94</w:t>
      </w:r>
      <w:r w:rsidRPr="00D85E09">
        <w:fldChar w:fldCharType="end"/>
      </w:r>
      <w:r w:rsidRPr="00D85E09">
        <w:t xml:space="preserve"> confirms that mechanical thrombectomy is associated with a very favourable cost-effectiveness when compared with usual care alone.</w:t>
      </w:r>
    </w:p>
    <w:p w14:paraId="1293B811" w14:textId="5FA042C0" w:rsidR="00A41E60" w:rsidRPr="00D85E09" w:rsidRDefault="00A41E60" w:rsidP="0043316B">
      <w:pPr>
        <w:widowControl w:val="0"/>
        <w:rPr>
          <w:i/>
        </w:rPr>
      </w:pPr>
      <w:r w:rsidRPr="00D85E09">
        <w:rPr>
          <w:i/>
        </w:rPr>
        <w:t xml:space="preserve">The Applicant would like to note that mechanical thrombectomy was shown to be </w:t>
      </w:r>
      <w:r w:rsidR="00826973" w:rsidRPr="00D85E09">
        <w:rPr>
          <w:i/>
        </w:rPr>
        <w:t>less costly</w:t>
      </w:r>
      <w:r w:rsidRPr="00D85E09">
        <w:rPr>
          <w:i/>
        </w:rPr>
        <w:t xml:space="preserve">, </w:t>
      </w:r>
      <w:r w:rsidRPr="00D85E09">
        <w:rPr>
          <w:i/>
        </w:rPr>
        <w:lastRenderedPageBreak/>
        <w:t>but associated with a smaller expected number of life years vs usual care alone when the ESCAPE IV</w:t>
      </w:r>
      <w:r w:rsidR="00D32933" w:rsidRPr="00D85E09">
        <w:rPr>
          <w:i/>
        </w:rPr>
        <w:t>-</w:t>
      </w:r>
      <w:r w:rsidRPr="00D85E09">
        <w:rPr>
          <w:i/>
        </w:rPr>
        <w:t xml:space="preserve">tPA ineligible subgroup data were applied (see </w:t>
      </w:r>
      <w:r w:rsidRPr="00D85E09">
        <w:fldChar w:fldCharType="begin"/>
      </w:r>
      <w:r w:rsidRPr="00D85E09">
        <w:rPr>
          <w:i/>
        </w:rPr>
        <w:instrText xml:space="preserve"> REF _Ref452386398 \h  \* MERGEFORMAT </w:instrText>
      </w:r>
      <w:r w:rsidRPr="00D85E09">
        <w:fldChar w:fldCharType="separate"/>
      </w:r>
      <w:r w:rsidR="00A456ED" w:rsidRPr="00A456ED">
        <w:rPr>
          <w:i/>
        </w:rPr>
        <w:t xml:space="preserve">Table </w:t>
      </w:r>
      <w:r w:rsidR="00A456ED" w:rsidRPr="00A456ED">
        <w:rPr>
          <w:i/>
          <w:noProof/>
        </w:rPr>
        <w:t>95</w:t>
      </w:r>
      <w:r w:rsidRPr="00D85E09">
        <w:fldChar w:fldCharType="end"/>
      </w:r>
      <w:r w:rsidR="00826973" w:rsidRPr="00D85E09">
        <w:t xml:space="preserve"> </w:t>
      </w:r>
      <w:r w:rsidRPr="00D85E09">
        <w:rPr>
          <w:i/>
        </w:rPr>
        <w:t>below). This outcome was due to the fact 20% / 13% of patients were in mRS 6 at Day 90 for mechanical thrombectomy / usual care arms, respectively (Goyal et al 2015). These subgroup data were however based on a very small sample size; questioning the reliability of the Day 90 mRS distribution data. Indeed, the IV</w:t>
      </w:r>
      <w:r w:rsidR="00D32933" w:rsidRPr="00D85E09">
        <w:rPr>
          <w:i/>
        </w:rPr>
        <w:t>-</w:t>
      </w:r>
      <w:r w:rsidRPr="00D85E09">
        <w:rPr>
          <w:i/>
        </w:rPr>
        <w:t xml:space="preserve">tPA ineligible subgroup data from the HERMES meta-analysis (Goyal et al 2016; see </w:t>
      </w:r>
      <w:r w:rsidRPr="00D85E09">
        <w:fldChar w:fldCharType="begin"/>
      </w:r>
      <w:r w:rsidRPr="00D85E09">
        <w:rPr>
          <w:i/>
        </w:rPr>
        <w:instrText xml:space="preserve"> REF _Ref447294847 \h  \* MERGEFORMAT </w:instrText>
      </w:r>
      <w:r w:rsidRPr="00D85E09">
        <w:fldChar w:fldCharType="separate"/>
      </w:r>
      <w:r w:rsidR="00A456ED" w:rsidRPr="00A456ED">
        <w:rPr>
          <w:i/>
        </w:rPr>
        <w:t xml:space="preserve">Figure </w:t>
      </w:r>
      <w:r w:rsidR="00A456ED" w:rsidRPr="00A456ED">
        <w:rPr>
          <w:i/>
          <w:noProof/>
        </w:rPr>
        <w:t>16</w:t>
      </w:r>
      <w:r w:rsidRPr="00D85E09">
        <w:fldChar w:fldCharType="end"/>
      </w:r>
      <w:r w:rsidRPr="00D85E09">
        <w:rPr>
          <w:i/>
        </w:rPr>
        <w:t xml:space="preserve">) were used by the model, mechanical thrombectomy was shown to have very favourable cost-effectiveness, as shown in </w:t>
      </w:r>
      <w:r w:rsidRPr="00D85E09">
        <w:fldChar w:fldCharType="begin"/>
      </w:r>
      <w:r w:rsidRPr="00D85E09">
        <w:rPr>
          <w:i/>
        </w:rPr>
        <w:instrText xml:space="preserve"> REF _Ref451771349 \h  \* MERGEFORMAT </w:instrText>
      </w:r>
      <w:r w:rsidRPr="00D85E09">
        <w:fldChar w:fldCharType="separate"/>
      </w:r>
      <w:r w:rsidR="00A456ED" w:rsidRPr="00A456ED">
        <w:rPr>
          <w:i/>
        </w:rPr>
        <w:t xml:space="preserve">Table </w:t>
      </w:r>
      <w:r w:rsidR="00A456ED" w:rsidRPr="00A456ED">
        <w:rPr>
          <w:i/>
          <w:noProof/>
        </w:rPr>
        <w:t>94</w:t>
      </w:r>
      <w:r w:rsidRPr="00D85E09">
        <w:fldChar w:fldCharType="end"/>
      </w:r>
      <w:r w:rsidRPr="00D85E09">
        <w:rPr>
          <w:i/>
        </w:rPr>
        <w:t>.</w:t>
      </w:r>
    </w:p>
    <w:p w14:paraId="4809134E" w14:textId="020DABAE" w:rsidR="00A41E60" w:rsidRPr="00D85E09" w:rsidRDefault="00A41E60" w:rsidP="0043316B">
      <w:pPr>
        <w:pStyle w:val="Caption"/>
        <w:keepNext w:val="0"/>
        <w:widowControl w:val="0"/>
        <w:rPr>
          <w:lang w:val="en-AU"/>
        </w:rPr>
      </w:pPr>
      <w:bookmarkStart w:id="577" w:name="_Ref452386398"/>
      <w:bookmarkStart w:id="578" w:name="_Toc453065431"/>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95</w:t>
      </w:r>
      <w:r w:rsidRPr="00D85E09">
        <w:rPr>
          <w:lang w:val="en-AU"/>
        </w:rPr>
        <w:fldChar w:fldCharType="end"/>
      </w:r>
      <w:bookmarkEnd w:id="577"/>
      <w:r w:rsidRPr="00D85E09">
        <w:rPr>
          <w:lang w:val="en-AU"/>
        </w:rPr>
        <w:tab/>
        <w:t>mRS at Day 90; ESCAPE, among subjects who did not receive IV</w:t>
      </w:r>
      <w:r w:rsidR="00D32933" w:rsidRPr="00D85E09">
        <w:rPr>
          <w:lang w:val="en-AU"/>
        </w:rPr>
        <w:t>-</w:t>
      </w:r>
      <w:r w:rsidRPr="00D85E09">
        <w:rPr>
          <w:lang w:val="en-AU"/>
        </w:rPr>
        <w:t>tPA</w:t>
      </w:r>
      <w:bookmarkEnd w:id="5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95 mRS at Day 90; ESCAPE, among subjects who did not receive IV-tPA"/>
      </w:tblPr>
      <w:tblGrid>
        <w:gridCol w:w="3172"/>
        <w:gridCol w:w="875"/>
        <w:gridCol w:w="875"/>
        <w:gridCol w:w="875"/>
        <w:gridCol w:w="875"/>
        <w:gridCol w:w="875"/>
        <w:gridCol w:w="875"/>
        <w:gridCol w:w="866"/>
      </w:tblGrid>
      <w:tr w:rsidR="00A41E60" w:rsidRPr="00D85E09" w14:paraId="17DB8D04"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1F367AD8" w14:textId="77777777" w:rsidR="00A41E60" w:rsidRPr="00D85E09" w:rsidRDefault="00A41E60" w:rsidP="0043316B">
            <w:pPr>
              <w:pStyle w:val="Tabletext"/>
              <w:keepNext w:val="0"/>
              <w:widowControl w:val="0"/>
              <w:rPr>
                <w:b/>
              </w:rPr>
            </w:pPr>
            <w:r w:rsidRPr="00D85E09">
              <w:rPr>
                <w:b/>
              </w:rPr>
              <w:t>mRS</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08136C57" w14:textId="77777777" w:rsidR="00A41E60" w:rsidRPr="00D85E09" w:rsidRDefault="00A41E60" w:rsidP="0043316B">
            <w:pPr>
              <w:pStyle w:val="Tabletext"/>
              <w:keepNext w:val="0"/>
              <w:widowControl w:val="0"/>
              <w:rPr>
                <w:b/>
              </w:rPr>
            </w:pPr>
            <w:r w:rsidRPr="00D85E09">
              <w:rPr>
                <w:b/>
              </w:rPr>
              <w:t>mRS 0</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6C2FFE19" w14:textId="77777777" w:rsidR="00A41E60" w:rsidRPr="00D85E09" w:rsidRDefault="00A41E60" w:rsidP="0043316B">
            <w:pPr>
              <w:pStyle w:val="Tabletext"/>
              <w:keepNext w:val="0"/>
              <w:widowControl w:val="0"/>
              <w:rPr>
                <w:b/>
              </w:rPr>
            </w:pPr>
            <w:r w:rsidRPr="00D85E09">
              <w:rPr>
                <w:b/>
              </w:rPr>
              <w:t>mRS 1</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083403A4" w14:textId="77777777" w:rsidR="00A41E60" w:rsidRPr="00D85E09" w:rsidRDefault="00A41E60" w:rsidP="0043316B">
            <w:pPr>
              <w:pStyle w:val="Tabletext"/>
              <w:keepNext w:val="0"/>
              <w:widowControl w:val="0"/>
              <w:rPr>
                <w:b/>
              </w:rPr>
            </w:pPr>
            <w:r w:rsidRPr="00D85E09">
              <w:rPr>
                <w:b/>
              </w:rPr>
              <w:t>mRS 2</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4E7C561C" w14:textId="77777777" w:rsidR="00A41E60" w:rsidRPr="00D85E09" w:rsidRDefault="00A41E60" w:rsidP="0043316B">
            <w:pPr>
              <w:pStyle w:val="Tabletext"/>
              <w:keepNext w:val="0"/>
              <w:widowControl w:val="0"/>
              <w:rPr>
                <w:b/>
              </w:rPr>
            </w:pPr>
            <w:r w:rsidRPr="00D85E09">
              <w:rPr>
                <w:b/>
              </w:rPr>
              <w:t>mRS 3</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13005E78" w14:textId="77777777" w:rsidR="00A41E60" w:rsidRPr="00D85E09" w:rsidRDefault="00A41E60" w:rsidP="0043316B">
            <w:pPr>
              <w:pStyle w:val="Tabletext"/>
              <w:keepNext w:val="0"/>
              <w:widowControl w:val="0"/>
              <w:rPr>
                <w:b/>
              </w:rPr>
            </w:pPr>
            <w:r w:rsidRPr="00D85E09">
              <w:rPr>
                <w:b/>
              </w:rPr>
              <w:t>mRS 4</w:t>
            </w:r>
          </w:p>
        </w:tc>
        <w:tc>
          <w:tcPr>
            <w:tcW w:w="471" w:type="pct"/>
            <w:tcBorders>
              <w:top w:val="single" w:sz="4" w:space="0" w:color="auto"/>
              <w:left w:val="single" w:sz="4" w:space="0" w:color="auto"/>
              <w:bottom w:val="single" w:sz="4" w:space="0" w:color="auto"/>
              <w:right w:val="single" w:sz="4" w:space="0" w:color="auto"/>
            </w:tcBorders>
            <w:noWrap/>
            <w:vAlign w:val="center"/>
            <w:hideMark/>
          </w:tcPr>
          <w:p w14:paraId="1034E375" w14:textId="77777777" w:rsidR="00A41E60" w:rsidRPr="00D85E09" w:rsidRDefault="00A41E60" w:rsidP="0043316B">
            <w:pPr>
              <w:pStyle w:val="Tabletext"/>
              <w:keepNext w:val="0"/>
              <w:widowControl w:val="0"/>
              <w:rPr>
                <w:b/>
              </w:rPr>
            </w:pPr>
            <w:r w:rsidRPr="00D85E09">
              <w:rPr>
                <w:b/>
              </w:rPr>
              <w:t>mRS 5</w:t>
            </w:r>
          </w:p>
        </w:tc>
        <w:tc>
          <w:tcPr>
            <w:tcW w:w="467" w:type="pct"/>
            <w:tcBorders>
              <w:top w:val="single" w:sz="4" w:space="0" w:color="auto"/>
              <w:left w:val="single" w:sz="4" w:space="0" w:color="auto"/>
              <w:bottom w:val="single" w:sz="4" w:space="0" w:color="auto"/>
              <w:right w:val="single" w:sz="4" w:space="0" w:color="auto"/>
            </w:tcBorders>
            <w:noWrap/>
            <w:vAlign w:val="center"/>
            <w:hideMark/>
          </w:tcPr>
          <w:p w14:paraId="5806CC61" w14:textId="77777777" w:rsidR="00A41E60" w:rsidRPr="00D85E09" w:rsidRDefault="00A41E60" w:rsidP="0043316B">
            <w:pPr>
              <w:pStyle w:val="Tabletext"/>
              <w:keepNext w:val="0"/>
              <w:widowControl w:val="0"/>
              <w:rPr>
                <w:b/>
              </w:rPr>
            </w:pPr>
            <w:r w:rsidRPr="00D85E09">
              <w:rPr>
                <w:b/>
              </w:rPr>
              <w:t>Dead</w:t>
            </w:r>
          </w:p>
        </w:tc>
      </w:tr>
      <w:tr w:rsidR="00A41E60" w:rsidRPr="00D85E09" w14:paraId="7F1A57AD"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5CBD9BE2" w14:textId="77777777" w:rsidR="00A41E60" w:rsidRPr="00D85E09" w:rsidRDefault="00A41E60" w:rsidP="0043316B">
            <w:pPr>
              <w:pStyle w:val="Tabletext"/>
              <w:keepNext w:val="0"/>
              <w:widowControl w:val="0"/>
              <w:rPr>
                <w:vertAlign w:val="superscript"/>
              </w:rPr>
            </w:pPr>
            <w:r w:rsidRPr="00D85E09">
              <w:t>At Day 90</w:t>
            </w:r>
          </w:p>
        </w:tc>
        <w:tc>
          <w:tcPr>
            <w:tcW w:w="471" w:type="pct"/>
            <w:tcBorders>
              <w:top w:val="single" w:sz="4" w:space="0" w:color="auto"/>
              <w:left w:val="single" w:sz="4" w:space="0" w:color="auto"/>
              <w:bottom w:val="single" w:sz="4" w:space="0" w:color="auto"/>
              <w:right w:val="single" w:sz="4" w:space="0" w:color="auto"/>
            </w:tcBorders>
            <w:noWrap/>
            <w:vAlign w:val="center"/>
          </w:tcPr>
          <w:p w14:paraId="7112073D"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5BAC9CB4"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080494D0"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32CDA6DC"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168721B6" w14:textId="77777777" w:rsidR="00A41E60" w:rsidRPr="00D85E09" w:rsidRDefault="00A41E60" w:rsidP="0043316B">
            <w:pPr>
              <w:pStyle w:val="Tabletext"/>
              <w:keepNext w:val="0"/>
              <w:widowControl w:val="0"/>
            </w:pPr>
          </w:p>
        </w:tc>
        <w:tc>
          <w:tcPr>
            <w:tcW w:w="471" w:type="pct"/>
            <w:tcBorders>
              <w:top w:val="single" w:sz="4" w:space="0" w:color="auto"/>
              <w:left w:val="single" w:sz="4" w:space="0" w:color="auto"/>
              <w:bottom w:val="single" w:sz="4" w:space="0" w:color="auto"/>
              <w:right w:val="single" w:sz="4" w:space="0" w:color="auto"/>
            </w:tcBorders>
            <w:noWrap/>
            <w:vAlign w:val="center"/>
          </w:tcPr>
          <w:p w14:paraId="59250A26" w14:textId="77777777" w:rsidR="00A41E60" w:rsidRPr="00D85E09" w:rsidRDefault="00A41E60" w:rsidP="0043316B">
            <w:pPr>
              <w:pStyle w:val="Tabletext"/>
              <w:keepNext w:val="0"/>
              <w:widowControl w:val="0"/>
            </w:pPr>
          </w:p>
        </w:tc>
        <w:tc>
          <w:tcPr>
            <w:tcW w:w="467" w:type="pct"/>
            <w:tcBorders>
              <w:top w:val="single" w:sz="4" w:space="0" w:color="auto"/>
              <w:left w:val="single" w:sz="4" w:space="0" w:color="auto"/>
              <w:bottom w:val="single" w:sz="4" w:space="0" w:color="auto"/>
              <w:right w:val="single" w:sz="4" w:space="0" w:color="auto"/>
            </w:tcBorders>
            <w:noWrap/>
            <w:vAlign w:val="center"/>
          </w:tcPr>
          <w:p w14:paraId="7D033522" w14:textId="77777777" w:rsidR="00A41E60" w:rsidRPr="00D85E09" w:rsidRDefault="00A41E60" w:rsidP="0043316B">
            <w:pPr>
              <w:pStyle w:val="Tabletext"/>
              <w:keepNext w:val="0"/>
              <w:widowControl w:val="0"/>
            </w:pPr>
          </w:p>
        </w:tc>
      </w:tr>
      <w:tr w:rsidR="00A41E60" w:rsidRPr="00D85E09" w14:paraId="0014DFA6" w14:textId="77777777" w:rsidTr="00A41E60">
        <w:trPr>
          <w:trHeight w:val="330"/>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30A291A4" w14:textId="77777777" w:rsidR="00A41E60" w:rsidRPr="00D85E09" w:rsidRDefault="00A41E60" w:rsidP="0043316B">
            <w:pPr>
              <w:pStyle w:val="Tabletext"/>
              <w:keepNext w:val="0"/>
              <w:widowControl w:val="0"/>
            </w:pPr>
            <w:r w:rsidRPr="00D85E09">
              <w:t>Mechanical thrombectomy (n=45)</w:t>
            </w:r>
          </w:p>
        </w:tc>
        <w:tc>
          <w:tcPr>
            <w:tcW w:w="471" w:type="pct"/>
            <w:tcBorders>
              <w:top w:val="single" w:sz="4" w:space="0" w:color="auto"/>
              <w:left w:val="single" w:sz="4" w:space="0" w:color="auto"/>
              <w:bottom w:val="single" w:sz="4" w:space="0" w:color="auto"/>
              <w:right w:val="single" w:sz="4" w:space="0" w:color="auto"/>
            </w:tcBorders>
            <w:noWrap/>
            <w:hideMark/>
          </w:tcPr>
          <w:p w14:paraId="67BA1BEA" w14:textId="77777777" w:rsidR="00A41E60" w:rsidRPr="00D85E09" w:rsidRDefault="00A41E60" w:rsidP="0043316B">
            <w:pPr>
              <w:pStyle w:val="Tabletext"/>
              <w:keepNext w:val="0"/>
              <w:widowControl w:val="0"/>
            </w:pPr>
            <w:r w:rsidRPr="00D85E09">
              <w:t>20.0%</w:t>
            </w:r>
          </w:p>
        </w:tc>
        <w:tc>
          <w:tcPr>
            <w:tcW w:w="471" w:type="pct"/>
            <w:tcBorders>
              <w:top w:val="single" w:sz="4" w:space="0" w:color="auto"/>
              <w:left w:val="single" w:sz="4" w:space="0" w:color="auto"/>
              <w:bottom w:val="single" w:sz="4" w:space="0" w:color="auto"/>
              <w:right w:val="single" w:sz="4" w:space="0" w:color="auto"/>
            </w:tcBorders>
            <w:noWrap/>
            <w:hideMark/>
          </w:tcPr>
          <w:p w14:paraId="69CDC9F4" w14:textId="77777777" w:rsidR="00A41E60" w:rsidRPr="00D85E09" w:rsidRDefault="00A41E60" w:rsidP="0043316B">
            <w:pPr>
              <w:pStyle w:val="Tabletext"/>
              <w:keepNext w:val="0"/>
              <w:widowControl w:val="0"/>
            </w:pPr>
            <w:r w:rsidRPr="00D85E09">
              <w:t>20.0%</w:t>
            </w:r>
          </w:p>
        </w:tc>
        <w:tc>
          <w:tcPr>
            <w:tcW w:w="471" w:type="pct"/>
            <w:tcBorders>
              <w:top w:val="single" w:sz="4" w:space="0" w:color="auto"/>
              <w:left w:val="single" w:sz="4" w:space="0" w:color="auto"/>
              <w:bottom w:val="single" w:sz="4" w:space="0" w:color="auto"/>
              <w:right w:val="single" w:sz="4" w:space="0" w:color="auto"/>
            </w:tcBorders>
            <w:noWrap/>
            <w:hideMark/>
          </w:tcPr>
          <w:p w14:paraId="16C98FB4" w14:textId="77777777" w:rsidR="00A41E60" w:rsidRPr="00D85E09" w:rsidRDefault="00A41E60" w:rsidP="0043316B">
            <w:pPr>
              <w:pStyle w:val="Tabletext"/>
              <w:keepNext w:val="0"/>
              <w:widowControl w:val="0"/>
            </w:pPr>
            <w:r w:rsidRPr="00D85E09">
              <w:t>18.0%</w:t>
            </w:r>
          </w:p>
        </w:tc>
        <w:tc>
          <w:tcPr>
            <w:tcW w:w="471" w:type="pct"/>
            <w:tcBorders>
              <w:top w:val="single" w:sz="4" w:space="0" w:color="auto"/>
              <w:left w:val="single" w:sz="4" w:space="0" w:color="auto"/>
              <w:bottom w:val="single" w:sz="4" w:space="0" w:color="auto"/>
              <w:right w:val="single" w:sz="4" w:space="0" w:color="auto"/>
            </w:tcBorders>
            <w:noWrap/>
            <w:hideMark/>
          </w:tcPr>
          <w:p w14:paraId="4D9A9BBF" w14:textId="77777777" w:rsidR="00A41E60" w:rsidRPr="00D85E09" w:rsidRDefault="00A41E60" w:rsidP="0043316B">
            <w:pPr>
              <w:pStyle w:val="Tabletext"/>
              <w:keepNext w:val="0"/>
              <w:widowControl w:val="0"/>
            </w:pPr>
            <w:r w:rsidRPr="00D85E09">
              <w:t>13.0%</w:t>
            </w:r>
          </w:p>
        </w:tc>
        <w:tc>
          <w:tcPr>
            <w:tcW w:w="471" w:type="pct"/>
            <w:tcBorders>
              <w:top w:val="single" w:sz="4" w:space="0" w:color="auto"/>
              <w:left w:val="single" w:sz="4" w:space="0" w:color="auto"/>
              <w:bottom w:val="single" w:sz="4" w:space="0" w:color="auto"/>
              <w:right w:val="single" w:sz="4" w:space="0" w:color="auto"/>
            </w:tcBorders>
            <w:noWrap/>
            <w:hideMark/>
          </w:tcPr>
          <w:p w14:paraId="3F55C06F" w14:textId="77777777" w:rsidR="00A41E60" w:rsidRPr="00D85E09" w:rsidRDefault="00A41E60" w:rsidP="0043316B">
            <w:pPr>
              <w:pStyle w:val="Tabletext"/>
              <w:keepNext w:val="0"/>
              <w:widowControl w:val="0"/>
            </w:pPr>
            <w:r w:rsidRPr="00D85E09">
              <w:t>2.0%</w:t>
            </w:r>
          </w:p>
        </w:tc>
        <w:tc>
          <w:tcPr>
            <w:tcW w:w="471" w:type="pct"/>
            <w:tcBorders>
              <w:top w:val="single" w:sz="4" w:space="0" w:color="auto"/>
              <w:left w:val="single" w:sz="4" w:space="0" w:color="auto"/>
              <w:bottom w:val="single" w:sz="4" w:space="0" w:color="auto"/>
              <w:right w:val="single" w:sz="4" w:space="0" w:color="auto"/>
            </w:tcBorders>
            <w:noWrap/>
            <w:hideMark/>
          </w:tcPr>
          <w:p w14:paraId="57C43831" w14:textId="77777777" w:rsidR="00A41E60" w:rsidRPr="00D85E09" w:rsidRDefault="00A41E60" w:rsidP="0043316B">
            <w:pPr>
              <w:pStyle w:val="Tabletext"/>
              <w:keepNext w:val="0"/>
              <w:widowControl w:val="0"/>
            </w:pPr>
            <w:r w:rsidRPr="00D85E09">
              <w:t>7.0%</w:t>
            </w:r>
          </w:p>
        </w:tc>
        <w:tc>
          <w:tcPr>
            <w:tcW w:w="467" w:type="pct"/>
            <w:tcBorders>
              <w:top w:val="single" w:sz="4" w:space="0" w:color="auto"/>
              <w:left w:val="single" w:sz="4" w:space="0" w:color="auto"/>
              <w:bottom w:val="single" w:sz="4" w:space="0" w:color="auto"/>
              <w:right w:val="single" w:sz="4" w:space="0" w:color="auto"/>
            </w:tcBorders>
            <w:noWrap/>
            <w:hideMark/>
          </w:tcPr>
          <w:p w14:paraId="1DAC8FC9" w14:textId="77777777" w:rsidR="00A41E60" w:rsidRPr="00D85E09" w:rsidRDefault="00A41E60" w:rsidP="0043316B">
            <w:pPr>
              <w:pStyle w:val="Tabletext"/>
              <w:keepNext w:val="0"/>
              <w:widowControl w:val="0"/>
            </w:pPr>
            <w:r w:rsidRPr="00D85E09">
              <w:t>20.0%</w:t>
            </w:r>
          </w:p>
        </w:tc>
      </w:tr>
      <w:tr w:rsidR="00A41E60" w:rsidRPr="00D85E09" w14:paraId="56EDE562" w14:textId="77777777" w:rsidTr="00A41E60">
        <w:trPr>
          <w:trHeight w:val="329"/>
        </w:trPr>
        <w:tc>
          <w:tcPr>
            <w:tcW w:w="1708" w:type="pct"/>
            <w:tcBorders>
              <w:top w:val="single" w:sz="4" w:space="0" w:color="auto"/>
              <w:left w:val="single" w:sz="4" w:space="0" w:color="auto"/>
              <w:bottom w:val="single" w:sz="4" w:space="0" w:color="auto"/>
              <w:right w:val="single" w:sz="4" w:space="0" w:color="auto"/>
            </w:tcBorders>
            <w:noWrap/>
            <w:vAlign w:val="center"/>
            <w:hideMark/>
          </w:tcPr>
          <w:p w14:paraId="3BD49DAD" w14:textId="77777777" w:rsidR="00A41E60" w:rsidRPr="00D85E09" w:rsidRDefault="00A41E60" w:rsidP="0043316B">
            <w:pPr>
              <w:pStyle w:val="Tabletext"/>
              <w:keepNext w:val="0"/>
              <w:widowControl w:val="0"/>
            </w:pPr>
            <w:r w:rsidRPr="00D85E09">
              <w:t>Usual care (n=31)</w:t>
            </w:r>
          </w:p>
        </w:tc>
        <w:tc>
          <w:tcPr>
            <w:tcW w:w="471" w:type="pct"/>
            <w:tcBorders>
              <w:top w:val="single" w:sz="4" w:space="0" w:color="auto"/>
              <w:left w:val="single" w:sz="4" w:space="0" w:color="auto"/>
              <w:bottom w:val="single" w:sz="4" w:space="0" w:color="auto"/>
              <w:right w:val="single" w:sz="4" w:space="0" w:color="auto"/>
            </w:tcBorders>
            <w:noWrap/>
            <w:hideMark/>
          </w:tcPr>
          <w:p w14:paraId="66B1BC6E" w14:textId="77777777" w:rsidR="00A41E60" w:rsidRPr="00D85E09" w:rsidRDefault="00A41E60" w:rsidP="0043316B">
            <w:pPr>
              <w:pStyle w:val="Tabletext"/>
              <w:keepNext w:val="0"/>
              <w:widowControl w:val="0"/>
            </w:pPr>
            <w:r w:rsidRPr="00D85E09">
              <w:t>6.0%</w:t>
            </w:r>
          </w:p>
        </w:tc>
        <w:tc>
          <w:tcPr>
            <w:tcW w:w="471" w:type="pct"/>
            <w:tcBorders>
              <w:top w:val="single" w:sz="4" w:space="0" w:color="auto"/>
              <w:left w:val="single" w:sz="4" w:space="0" w:color="auto"/>
              <w:bottom w:val="single" w:sz="4" w:space="0" w:color="auto"/>
              <w:right w:val="single" w:sz="4" w:space="0" w:color="auto"/>
            </w:tcBorders>
            <w:noWrap/>
            <w:hideMark/>
          </w:tcPr>
          <w:p w14:paraId="4B96B37C" w14:textId="77777777" w:rsidR="00A41E60" w:rsidRPr="00D85E09" w:rsidRDefault="00A41E60" w:rsidP="0043316B">
            <w:pPr>
              <w:pStyle w:val="Tabletext"/>
              <w:keepNext w:val="0"/>
              <w:widowControl w:val="0"/>
            </w:pPr>
            <w:r w:rsidRPr="00D85E09">
              <w:t>3.0%</w:t>
            </w:r>
          </w:p>
        </w:tc>
        <w:tc>
          <w:tcPr>
            <w:tcW w:w="471" w:type="pct"/>
            <w:tcBorders>
              <w:top w:val="single" w:sz="4" w:space="0" w:color="auto"/>
              <w:left w:val="single" w:sz="4" w:space="0" w:color="auto"/>
              <w:bottom w:val="single" w:sz="4" w:space="0" w:color="auto"/>
              <w:right w:val="single" w:sz="4" w:space="0" w:color="auto"/>
            </w:tcBorders>
            <w:noWrap/>
            <w:hideMark/>
          </w:tcPr>
          <w:p w14:paraId="6F70689F" w14:textId="77777777" w:rsidR="00A41E60" w:rsidRPr="00D85E09" w:rsidRDefault="00A41E60" w:rsidP="0043316B">
            <w:pPr>
              <w:pStyle w:val="Tabletext"/>
              <w:keepNext w:val="0"/>
              <w:widowControl w:val="0"/>
            </w:pPr>
            <w:r w:rsidRPr="00D85E09">
              <w:t>19.0%</w:t>
            </w:r>
          </w:p>
        </w:tc>
        <w:tc>
          <w:tcPr>
            <w:tcW w:w="471" w:type="pct"/>
            <w:tcBorders>
              <w:top w:val="single" w:sz="4" w:space="0" w:color="auto"/>
              <w:left w:val="single" w:sz="4" w:space="0" w:color="auto"/>
              <w:bottom w:val="single" w:sz="4" w:space="0" w:color="auto"/>
              <w:right w:val="single" w:sz="4" w:space="0" w:color="auto"/>
            </w:tcBorders>
            <w:noWrap/>
            <w:hideMark/>
          </w:tcPr>
          <w:p w14:paraId="466A8E07" w14:textId="77777777" w:rsidR="00A41E60" w:rsidRPr="00D85E09" w:rsidRDefault="00A41E60" w:rsidP="0043316B">
            <w:pPr>
              <w:pStyle w:val="Tabletext"/>
              <w:keepNext w:val="0"/>
              <w:widowControl w:val="0"/>
            </w:pPr>
            <w:r w:rsidRPr="00D85E09">
              <w:t>10.0%</w:t>
            </w:r>
          </w:p>
        </w:tc>
        <w:tc>
          <w:tcPr>
            <w:tcW w:w="471" w:type="pct"/>
            <w:tcBorders>
              <w:top w:val="single" w:sz="4" w:space="0" w:color="auto"/>
              <w:left w:val="single" w:sz="4" w:space="0" w:color="auto"/>
              <w:bottom w:val="single" w:sz="4" w:space="0" w:color="auto"/>
              <w:right w:val="single" w:sz="4" w:space="0" w:color="auto"/>
            </w:tcBorders>
            <w:noWrap/>
            <w:hideMark/>
          </w:tcPr>
          <w:p w14:paraId="00D77C89" w14:textId="77777777" w:rsidR="00A41E60" w:rsidRPr="00D85E09" w:rsidRDefault="00A41E60" w:rsidP="0043316B">
            <w:pPr>
              <w:pStyle w:val="Tabletext"/>
              <w:keepNext w:val="0"/>
              <w:widowControl w:val="0"/>
            </w:pPr>
            <w:r w:rsidRPr="00D85E09">
              <w:t>39.0%</w:t>
            </w:r>
          </w:p>
        </w:tc>
        <w:tc>
          <w:tcPr>
            <w:tcW w:w="471" w:type="pct"/>
            <w:tcBorders>
              <w:top w:val="single" w:sz="4" w:space="0" w:color="auto"/>
              <w:left w:val="single" w:sz="4" w:space="0" w:color="auto"/>
              <w:bottom w:val="single" w:sz="4" w:space="0" w:color="auto"/>
              <w:right w:val="single" w:sz="4" w:space="0" w:color="auto"/>
            </w:tcBorders>
            <w:noWrap/>
            <w:hideMark/>
          </w:tcPr>
          <w:p w14:paraId="65D14D03" w14:textId="77777777" w:rsidR="00A41E60" w:rsidRPr="00D85E09" w:rsidRDefault="00A41E60" w:rsidP="0043316B">
            <w:pPr>
              <w:pStyle w:val="Tabletext"/>
              <w:keepNext w:val="0"/>
              <w:widowControl w:val="0"/>
            </w:pPr>
            <w:r w:rsidRPr="00D85E09">
              <w:t>10.0%</w:t>
            </w:r>
          </w:p>
        </w:tc>
        <w:tc>
          <w:tcPr>
            <w:tcW w:w="467" w:type="pct"/>
            <w:tcBorders>
              <w:top w:val="single" w:sz="4" w:space="0" w:color="auto"/>
              <w:left w:val="single" w:sz="4" w:space="0" w:color="auto"/>
              <w:bottom w:val="single" w:sz="4" w:space="0" w:color="auto"/>
              <w:right w:val="single" w:sz="4" w:space="0" w:color="auto"/>
            </w:tcBorders>
            <w:noWrap/>
            <w:hideMark/>
          </w:tcPr>
          <w:p w14:paraId="2984639A" w14:textId="77777777" w:rsidR="00A41E60" w:rsidRPr="00D85E09" w:rsidRDefault="00A41E60" w:rsidP="0043316B">
            <w:pPr>
              <w:pStyle w:val="Tabletext"/>
              <w:keepNext w:val="0"/>
              <w:widowControl w:val="0"/>
            </w:pPr>
            <w:r w:rsidRPr="00D85E09">
              <w:t>13.0%</w:t>
            </w:r>
          </w:p>
        </w:tc>
      </w:tr>
    </w:tbl>
    <w:p w14:paraId="7F85C3A7" w14:textId="57704CB4" w:rsidR="00A41E60" w:rsidRPr="00D85E09" w:rsidRDefault="00A41E60" w:rsidP="0043316B">
      <w:pPr>
        <w:pStyle w:val="Tablefooter"/>
        <w:widowControl w:val="0"/>
      </w:pPr>
      <w:r w:rsidRPr="00D85E09">
        <w:t>Source: Goyal et al 2015.</w:t>
      </w:r>
    </w:p>
    <w:p w14:paraId="49AFE2D1" w14:textId="77777777" w:rsidR="00A41E60" w:rsidRPr="00D85E09" w:rsidRDefault="00A41E60" w:rsidP="0043316B">
      <w:pPr>
        <w:widowControl w:val="0"/>
      </w:pPr>
    </w:p>
    <w:p w14:paraId="7B9D3D38" w14:textId="6F881F85" w:rsidR="00A41E60" w:rsidRPr="00D85E09" w:rsidRDefault="00A41E60" w:rsidP="0043316B">
      <w:pPr>
        <w:widowControl w:val="0"/>
      </w:pPr>
      <w:r w:rsidRPr="00D85E09">
        <w:t xml:space="preserve">Section D.3.2 and D.4.1 discussed that no RCTs, except for SWIFT PRIME, reported Day 7 mRS data; thus the available Day 90 data were assumed to be applicable to Day 7 for each clinical data source considered above. A sensitivity analysis using the available SWIFT PRIME Day 7 data (see </w:t>
      </w:r>
      <w:r w:rsidRPr="00D85E09">
        <w:fldChar w:fldCharType="begin"/>
      </w:r>
      <w:r w:rsidRPr="00D85E09">
        <w:instrText xml:space="preserve"> REF _Ref448758394 \h </w:instrText>
      </w:r>
      <w:r w:rsidRPr="00D85E09">
        <w:fldChar w:fldCharType="separate"/>
      </w:r>
      <w:r w:rsidR="00A456ED" w:rsidRPr="00D85E09">
        <w:t xml:space="preserve">Table </w:t>
      </w:r>
      <w:r w:rsidR="00A456ED">
        <w:rPr>
          <w:noProof/>
        </w:rPr>
        <w:t>82</w:t>
      </w:r>
      <w:r w:rsidRPr="00D85E09">
        <w:fldChar w:fldCharType="end"/>
      </w:r>
      <w:r w:rsidRPr="00D85E09">
        <w:t xml:space="preserve">) returned an ICER of $10,972 (vs $10,832 when the Day 90 data were used for Day 7; see </w:t>
      </w:r>
      <w:r w:rsidRPr="00D85E09">
        <w:fldChar w:fldCharType="begin"/>
      </w:r>
      <w:r w:rsidRPr="00D85E09">
        <w:instrText xml:space="preserve"> REF _Ref451771349 \h </w:instrText>
      </w:r>
      <w:r w:rsidRPr="00D85E09">
        <w:fldChar w:fldCharType="separate"/>
      </w:r>
      <w:r w:rsidR="00A456ED" w:rsidRPr="00D85E09">
        <w:t xml:space="preserve">Table </w:t>
      </w:r>
      <w:r w:rsidR="00A456ED">
        <w:rPr>
          <w:noProof/>
        </w:rPr>
        <w:t>94</w:t>
      </w:r>
      <w:r w:rsidRPr="00D85E09">
        <w:fldChar w:fldCharType="end"/>
      </w:r>
      <w:r w:rsidRPr="00D85E09">
        <w:t>).</w:t>
      </w:r>
    </w:p>
    <w:p w14:paraId="5A42909E" w14:textId="77777777" w:rsidR="00A41E60" w:rsidRPr="00D85E09" w:rsidRDefault="00A41E60" w:rsidP="0043316B">
      <w:pPr>
        <w:widowControl w:val="0"/>
        <w:rPr>
          <w:i/>
          <w:u w:val="single"/>
        </w:rPr>
      </w:pPr>
      <w:r w:rsidRPr="00D85E09">
        <w:rPr>
          <w:i/>
          <w:u w:val="single"/>
        </w:rPr>
        <w:t>Selection of utility data</w:t>
      </w:r>
    </w:p>
    <w:p w14:paraId="46B2E03B" w14:textId="3A2BA457" w:rsidR="00A41E60" w:rsidRPr="00D85E09" w:rsidRDefault="00A41E60" w:rsidP="0043316B">
      <w:pPr>
        <w:widowControl w:val="0"/>
      </w:pPr>
      <w:r w:rsidRPr="00D85E09">
        <w:t xml:space="preserve">Sturm et al (2002) was selected as the base case source of utility values because it provided estimates elicited from Australian stroke survivors. As discussed above, some published studies reported a negative utility for mRS 5 (i.e., bedridden, incontinent, full time care), indicating that living with a score of mRS 5 is worse than death (Rivero-Arias et al 2010, Noto et al 2011 and Murphy et al 2001). When utility estimates reported by Rivero-Arias et al (2010) were applied, the ICER improves to $8,500 per QALY gain, as shown in </w:t>
      </w:r>
      <w:r w:rsidRPr="00D85E09">
        <w:fldChar w:fldCharType="begin"/>
      </w:r>
      <w:r w:rsidRPr="00D85E09">
        <w:instrText xml:space="preserve"> REF _Ref452388174 \h </w:instrText>
      </w:r>
      <w:r w:rsidRPr="00D85E09">
        <w:fldChar w:fldCharType="separate"/>
      </w:r>
      <w:r w:rsidR="00A456ED" w:rsidRPr="00D85E09">
        <w:t xml:space="preserve">Table </w:t>
      </w:r>
      <w:r w:rsidR="00A456ED">
        <w:rPr>
          <w:noProof/>
        </w:rPr>
        <w:t>96</w:t>
      </w:r>
      <w:r w:rsidRPr="00D85E09">
        <w:fldChar w:fldCharType="end"/>
      </w:r>
      <w:r w:rsidRPr="00D85E09">
        <w:t xml:space="preserve"> below.</w:t>
      </w:r>
    </w:p>
    <w:p w14:paraId="57510150" w14:textId="38DC592A" w:rsidR="00A41E60" w:rsidRPr="00D85E09" w:rsidRDefault="00A41E60" w:rsidP="0043316B">
      <w:pPr>
        <w:widowControl w:val="0"/>
      </w:pPr>
      <w:r w:rsidRPr="00D85E09">
        <w:t xml:space="preserve">A published systematic review and meta-analysis performed by Tengs and Lin (2003) suggested smaller utility decrements associated with progressively more severe disability levels (see </w:t>
      </w:r>
      <w:r w:rsidRPr="00D85E09">
        <w:fldChar w:fldCharType="begin"/>
      </w:r>
      <w:r w:rsidRPr="00D85E09">
        <w:instrText xml:space="preserve"> REF _Ref452388174 \h </w:instrText>
      </w:r>
      <w:r w:rsidRPr="00D85E09">
        <w:fldChar w:fldCharType="separate"/>
      </w:r>
      <w:r w:rsidR="00A456ED" w:rsidRPr="00D85E09">
        <w:t xml:space="preserve">Table </w:t>
      </w:r>
      <w:r w:rsidR="00A456ED">
        <w:rPr>
          <w:noProof/>
        </w:rPr>
        <w:t>96</w:t>
      </w:r>
      <w:r w:rsidRPr="00D85E09">
        <w:fldChar w:fldCharType="end"/>
      </w:r>
      <w:r w:rsidRPr="00D85E09">
        <w:t>). While considerably impacting the expected numbers of QALYs (in absolute terms; e.g., increase from 2.72 to 5.53 in the mechanical thrombectomy arm when Tengs and Lin 2003 is selected over Sturn et al 2003), the estimated number of incremental QALYs remained largely unaffected, leaving the ICER also largely unaffected.</w:t>
      </w:r>
    </w:p>
    <w:p w14:paraId="59AC37A6" w14:textId="21F7B056" w:rsidR="00A41E60" w:rsidRPr="00D85E09" w:rsidRDefault="00A41E60" w:rsidP="0043316B">
      <w:pPr>
        <w:widowControl w:val="0"/>
      </w:pPr>
      <w:r w:rsidRPr="00D85E09">
        <w:t xml:space="preserve">The balance of evidence clearly suggests that the base case ICER is robust, but may be </w:t>
      </w:r>
      <w:r w:rsidRPr="00D85E09">
        <w:lastRenderedPageBreak/>
        <w:t>reflect a conservative selection of utility inputs.</w:t>
      </w:r>
    </w:p>
    <w:p w14:paraId="3EDFB020" w14:textId="15F2A883" w:rsidR="00A41E60" w:rsidRPr="00D85E09" w:rsidRDefault="00A41E60" w:rsidP="0043316B">
      <w:pPr>
        <w:pStyle w:val="Caption"/>
        <w:keepNext w:val="0"/>
        <w:widowControl w:val="0"/>
        <w:rPr>
          <w:lang w:val="en-AU"/>
        </w:rPr>
      </w:pPr>
      <w:bookmarkStart w:id="579" w:name="_Ref452388174"/>
      <w:bookmarkStart w:id="580" w:name="_Toc45306543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96</w:t>
      </w:r>
      <w:r w:rsidRPr="00D85E09">
        <w:rPr>
          <w:lang w:val="en-AU"/>
        </w:rPr>
        <w:fldChar w:fldCharType="end"/>
      </w:r>
      <w:bookmarkEnd w:id="579"/>
      <w:r w:rsidRPr="00D85E09">
        <w:rPr>
          <w:lang w:val="en-AU"/>
        </w:rPr>
        <w:tab/>
        <w:t>Sensitivity analysis; selection of clinical data</w:t>
      </w:r>
      <w:bookmarkEnd w:id="580"/>
    </w:p>
    <w:tbl>
      <w:tblPr>
        <w:tblStyle w:val="TableGrid"/>
        <w:tblW w:w="5000" w:type="pct"/>
        <w:tblLook w:val="04A0" w:firstRow="1" w:lastRow="0" w:firstColumn="1" w:lastColumn="0" w:noHBand="0" w:noVBand="1"/>
        <w:tblDescription w:val="Table 96 Sensitivity analysis; selection of clinical data"/>
      </w:tblPr>
      <w:tblGrid>
        <w:gridCol w:w="3185"/>
        <w:gridCol w:w="1414"/>
        <w:gridCol w:w="1414"/>
        <w:gridCol w:w="1414"/>
        <w:gridCol w:w="1861"/>
      </w:tblGrid>
      <w:tr w:rsidR="00A41E60" w:rsidRPr="00D85E09" w14:paraId="74A49583" w14:textId="77777777" w:rsidTr="00BE6331">
        <w:trPr>
          <w:trHeight w:val="329"/>
          <w:tblHeader/>
        </w:trPr>
        <w:tc>
          <w:tcPr>
            <w:tcW w:w="1715" w:type="pct"/>
            <w:tcBorders>
              <w:top w:val="single" w:sz="4" w:space="0" w:color="000000"/>
              <w:left w:val="single" w:sz="4" w:space="0" w:color="000000"/>
              <w:bottom w:val="single" w:sz="4" w:space="0" w:color="000000"/>
              <w:right w:val="single" w:sz="4" w:space="0" w:color="000000"/>
            </w:tcBorders>
            <w:hideMark/>
          </w:tcPr>
          <w:p w14:paraId="267486C8" w14:textId="77777777" w:rsidR="00A41E60" w:rsidRPr="00D85E09" w:rsidRDefault="00A41E60" w:rsidP="0043316B">
            <w:pPr>
              <w:pStyle w:val="Tabletext"/>
              <w:keepNext w:val="0"/>
              <w:widowControl w:val="0"/>
              <w:rPr>
                <w:b/>
              </w:rPr>
            </w:pPr>
            <w:r w:rsidRPr="00D85E09">
              <w:rPr>
                <w:b/>
              </w:rPr>
              <w:t>Study</w:t>
            </w:r>
          </w:p>
        </w:tc>
        <w:tc>
          <w:tcPr>
            <w:tcW w:w="761" w:type="pct"/>
            <w:tcBorders>
              <w:top w:val="single" w:sz="4" w:space="0" w:color="000000"/>
              <w:left w:val="single" w:sz="4" w:space="0" w:color="000000"/>
              <w:bottom w:val="single" w:sz="4" w:space="0" w:color="000000"/>
              <w:right w:val="single" w:sz="4" w:space="0" w:color="000000"/>
            </w:tcBorders>
            <w:hideMark/>
          </w:tcPr>
          <w:p w14:paraId="5F636140" w14:textId="77777777" w:rsidR="00A41E60" w:rsidRPr="00D85E09" w:rsidRDefault="00A41E60" w:rsidP="0043316B">
            <w:pPr>
              <w:pStyle w:val="Tabletext"/>
              <w:keepNext w:val="0"/>
              <w:widowControl w:val="0"/>
              <w:rPr>
                <w:b/>
              </w:rPr>
            </w:pPr>
            <w:r w:rsidRPr="00D85E09">
              <w:rPr>
                <w:b/>
              </w:rPr>
              <w:t>Utility values</w:t>
            </w:r>
          </w:p>
        </w:tc>
        <w:tc>
          <w:tcPr>
            <w:tcW w:w="761" w:type="pct"/>
            <w:tcBorders>
              <w:top w:val="single" w:sz="4" w:space="0" w:color="000000"/>
              <w:left w:val="single" w:sz="4" w:space="0" w:color="000000"/>
              <w:bottom w:val="single" w:sz="4" w:space="0" w:color="000000"/>
              <w:right w:val="single" w:sz="4" w:space="0" w:color="000000"/>
            </w:tcBorders>
            <w:hideMark/>
          </w:tcPr>
          <w:p w14:paraId="0296AFBE" w14:textId="77777777" w:rsidR="00A41E60" w:rsidRPr="00D85E09" w:rsidRDefault="00A41E60" w:rsidP="0043316B">
            <w:pPr>
              <w:pStyle w:val="Tabletext"/>
              <w:keepNext w:val="0"/>
              <w:widowControl w:val="0"/>
              <w:rPr>
                <w:b/>
              </w:rPr>
            </w:pPr>
            <w:r w:rsidRPr="00D85E09">
              <w:rPr>
                <w:b/>
              </w:rPr>
              <w:t>Inc. QALY</w:t>
            </w:r>
          </w:p>
        </w:tc>
        <w:tc>
          <w:tcPr>
            <w:tcW w:w="761" w:type="pct"/>
            <w:tcBorders>
              <w:top w:val="single" w:sz="4" w:space="0" w:color="000000"/>
              <w:left w:val="single" w:sz="4" w:space="0" w:color="000000"/>
              <w:bottom w:val="single" w:sz="4" w:space="0" w:color="000000"/>
              <w:right w:val="single" w:sz="4" w:space="0" w:color="000000"/>
            </w:tcBorders>
            <w:hideMark/>
          </w:tcPr>
          <w:p w14:paraId="69E0B72E" w14:textId="77777777" w:rsidR="00A41E60" w:rsidRPr="00D85E09" w:rsidRDefault="00A41E60" w:rsidP="0043316B">
            <w:pPr>
              <w:pStyle w:val="Tabletext"/>
              <w:keepNext w:val="0"/>
              <w:widowControl w:val="0"/>
              <w:rPr>
                <w:b/>
              </w:rPr>
            </w:pPr>
            <w:r w:rsidRPr="00D85E09">
              <w:rPr>
                <w:b/>
              </w:rPr>
              <w:t>Inc. cost</w:t>
            </w:r>
          </w:p>
        </w:tc>
        <w:tc>
          <w:tcPr>
            <w:tcW w:w="1002" w:type="pct"/>
            <w:tcBorders>
              <w:top w:val="single" w:sz="4" w:space="0" w:color="000000"/>
              <w:left w:val="single" w:sz="4" w:space="0" w:color="000000"/>
              <w:bottom w:val="single" w:sz="4" w:space="0" w:color="000000"/>
              <w:right w:val="single" w:sz="4" w:space="0" w:color="000000"/>
            </w:tcBorders>
            <w:hideMark/>
          </w:tcPr>
          <w:p w14:paraId="6CE05187" w14:textId="77777777" w:rsidR="00A41E60" w:rsidRPr="00D85E09" w:rsidRDefault="00A41E60" w:rsidP="0043316B">
            <w:pPr>
              <w:pStyle w:val="Tabletext"/>
              <w:keepNext w:val="0"/>
              <w:widowControl w:val="0"/>
              <w:rPr>
                <w:b/>
              </w:rPr>
            </w:pPr>
            <w:r w:rsidRPr="00D85E09">
              <w:rPr>
                <w:b/>
              </w:rPr>
              <w:t xml:space="preserve">ICER per QALY gain </w:t>
            </w:r>
          </w:p>
        </w:tc>
      </w:tr>
      <w:tr w:rsidR="00A41E60" w:rsidRPr="00D85E09" w14:paraId="005DF4FE" w14:textId="77777777" w:rsidTr="00A41E60">
        <w:trPr>
          <w:trHeight w:val="330"/>
        </w:trPr>
        <w:tc>
          <w:tcPr>
            <w:tcW w:w="1715" w:type="pct"/>
            <w:tcBorders>
              <w:top w:val="single" w:sz="4" w:space="0" w:color="000000"/>
              <w:left w:val="single" w:sz="4" w:space="0" w:color="000000"/>
              <w:bottom w:val="single" w:sz="4" w:space="0" w:color="000000"/>
              <w:right w:val="single" w:sz="4" w:space="0" w:color="000000"/>
            </w:tcBorders>
            <w:hideMark/>
          </w:tcPr>
          <w:p w14:paraId="6908AAF6" w14:textId="77777777" w:rsidR="00A41E60" w:rsidRPr="00D85E09" w:rsidRDefault="00A41E60" w:rsidP="0043316B">
            <w:pPr>
              <w:pStyle w:val="Tabletext"/>
              <w:keepNext w:val="0"/>
              <w:widowControl w:val="0"/>
            </w:pPr>
            <w:r w:rsidRPr="00D85E09">
              <w:t>Base case (Sturn et al 2002)</w:t>
            </w:r>
          </w:p>
        </w:tc>
        <w:tc>
          <w:tcPr>
            <w:tcW w:w="761" w:type="pct"/>
            <w:tcBorders>
              <w:top w:val="single" w:sz="4" w:space="0" w:color="000000"/>
              <w:left w:val="single" w:sz="4" w:space="0" w:color="000000"/>
              <w:bottom w:val="single" w:sz="4" w:space="0" w:color="000000"/>
              <w:right w:val="single" w:sz="4" w:space="0" w:color="000000"/>
            </w:tcBorders>
            <w:hideMark/>
          </w:tcPr>
          <w:p w14:paraId="0C93A09F" w14:textId="77777777" w:rsidR="00A41E60" w:rsidRPr="00D85E09" w:rsidRDefault="00A41E60" w:rsidP="0043316B">
            <w:pPr>
              <w:pStyle w:val="Tabletext"/>
              <w:keepNext w:val="0"/>
              <w:widowControl w:val="0"/>
            </w:pPr>
            <w:r w:rsidRPr="00D85E09">
              <w:t>mRS 0: 0.630</w:t>
            </w:r>
          </w:p>
          <w:p w14:paraId="1685B3E7" w14:textId="77777777" w:rsidR="00A41E60" w:rsidRPr="00D85E09" w:rsidRDefault="00A41E60" w:rsidP="0043316B">
            <w:pPr>
              <w:pStyle w:val="Tabletext"/>
              <w:keepNext w:val="0"/>
              <w:widowControl w:val="0"/>
            </w:pPr>
            <w:r w:rsidRPr="00D85E09">
              <w:t>mRS 1: 0.630</w:t>
            </w:r>
          </w:p>
          <w:p w14:paraId="22536AFA" w14:textId="77777777" w:rsidR="00A41E60" w:rsidRPr="00D85E09" w:rsidRDefault="00A41E60" w:rsidP="0043316B">
            <w:pPr>
              <w:pStyle w:val="Tabletext"/>
              <w:keepNext w:val="0"/>
              <w:widowControl w:val="0"/>
            </w:pPr>
            <w:r w:rsidRPr="00D85E09">
              <w:t>mRS 2: 0.400</w:t>
            </w:r>
          </w:p>
          <w:p w14:paraId="753BCC4A" w14:textId="77777777" w:rsidR="00A41E60" w:rsidRPr="00D85E09" w:rsidRDefault="00A41E60" w:rsidP="0043316B">
            <w:pPr>
              <w:pStyle w:val="Tabletext"/>
              <w:keepNext w:val="0"/>
              <w:widowControl w:val="0"/>
            </w:pPr>
            <w:r w:rsidRPr="00D85E09">
              <w:t>mRS 3: 0.1800</w:t>
            </w:r>
          </w:p>
          <w:p w14:paraId="12191A10" w14:textId="77777777" w:rsidR="00A41E60" w:rsidRPr="00D85E09" w:rsidRDefault="00A41E60" w:rsidP="0043316B">
            <w:pPr>
              <w:pStyle w:val="Tabletext"/>
              <w:keepNext w:val="0"/>
              <w:widowControl w:val="0"/>
            </w:pPr>
            <w:r w:rsidRPr="00D85E09">
              <w:t>mRS 4: 0.060</w:t>
            </w:r>
          </w:p>
          <w:p w14:paraId="68098FEF" w14:textId="77777777" w:rsidR="00A41E60" w:rsidRPr="00D85E09" w:rsidRDefault="00A41E60" w:rsidP="0043316B">
            <w:pPr>
              <w:pStyle w:val="Tabletext"/>
              <w:keepNext w:val="0"/>
              <w:widowControl w:val="0"/>
            </w:pPr>
            <w:r w:rsidRPr="00D85E09">
              <w:t>mRS 5: 0.02</w:t>
            </w:r>
          </w:p>
        </w:tc>
        <w:tc>
          <w:tcPr>
            <w:tcW w:w="761" w:type="pct"/>
            <w:tcBorders>
              <w:top w:val="single" w:sz="4" w:space="0" w:color="000000"/>
              <w:left w:val="single" w:sz="4" w:space="0" w:color="000000"/>
              <w:bottom w:val="single" w:sz="4" w:space="0" w:color="000000"/>
              <w:right w:val="single" w:sz="4" w:space="0" w:color="000000"/>
            </w:tcBorders>
            <w:hideMark/>
          </w:tcPr>
          <w:p w14:paraId="51E39F89" w14:textId="77777777" w:rsidR="00A41E60" w:rsidRPr="00D85E09" w:rsidRDefault="00A41E60" w:rsidP="0043316B">
            <w:pPr>
              <w:pStyle w:val="Tabletext"/>
              <w:keepNext w:val="0"/>
              <w:widowControl w:val="0"/>
            </w:pPr>
            <w:r w:rsidRPr="00D85E09">
              <w:t>0.8281</w:t>
            </w:r>
          </w:p>
        </w:tc>
        <w:tc>
          <w:tcPr>
            <w:tcW w:w="761" w:type="pct"/>
            <w:tcBorders>
              <w:top w:val="single" w:sz="4" w:space="0" w:color="000000"/>
              <w:left w:val="single" w:sz="4" w:space="0" w:color="000000"/>
              <w:bottom w:val="single" w:sz="4" w:space="0" w:color="000000"/>
              <w:right w:val="single" w:sz="4" w:space="0" w:color="000000"/>
            </w:tcBorders>
            <w:hideMark/>
          </w:tcPr>
          <w:p w14:paraId="246C3133" w14:textId="77777777" w:rsidR="00A41E60" w:rsidRPr="00D85E09" w:rsidRDefault="00A41E60" w:rsidP="0043316B">
            <w:pPr>
              <w:pStyle w:val="Tabletext"/>
              <w:keepNext w:val="0"/>
              <w:widowControl w:val="0"/>
            </w:pPr>
            <w:r w:rsidRPr="00D85E09">
              <w:t>$10,666</w:t>
            </w:r>
          </w:p>
        </w:tc>
        <w:tc>
          <w:tcPr>
            <w:tcW w:w="1002" w:type="pct"/>
            <w:tcBorders>
              <w:top w:val="single" w:sz="4" w:space="0" w:color="000000"/>
              <w:left w:val="single" w:sz="4" w:space="0" w:color="000000"/>
              <w:bottom w:val="single" w:sz="4" w:space="0" w:color="000000"/>
              <w:right w:val="single" w:sz="4" w:space="0" w:color="000000"/>
            </w:tcBorders>
            <w:hideMark/>
          </w:tcPr>
          <w:p w14:paraId="65A8309D" w14:textId="77777777" w:rsidR="00A41E60" w:rsidRPr="00D85E09" w:rsidRDefault="00A41E60" w:rsidP="0043316B">
            <w:pPr>
              <w:pStyle w:val="Tabletext"/>
              <w:keepNext w:val="0"/>
              <w:widowControl w:val="0"/>
            </w:pPr>
            <w:r w:rsidRPr="00D85E09">
              <w:t>$12,880</w:t>
            </w:r>
          </w:p>
        </w:tc>
      </w:tr>
      <w:tr w:rsidR="00A41E60" w:rsidRPr="00D85E09" w14:paraId="10E3CCCF" w14:textId="77777777" w:rsidTr="00A41E60">
        <w:trPr>
          <w:trHeight w:val="329"/>
        </w:trPr>
        <w:tc>
          <w:tcPr>
            <w:tcW w:w="1715" w:type="pct"/>
            <w:tcBorders>
              <w:top w:val="single" w:sz="4" w:space="0" w:color="000000"/>
              <w:left w:val="single" w:sz="4" w:space="0" w:color="000000"/>
              <w:bottom w:val="single" w:sz="4" w:space="0" w:color="000000"/>
              <w:right w:val="single" w:sz="4" w:space="0" w:color="000000"/>
            </w:tcBorders>
            <w:hideMark/>
          </w:tcPr>
          <w:p w14:paraId="2F8C74B7" w14:textId="77777777" w:rsidR="00A41E60" w:rsidRPr="00D85E09" w:rsidRDefault="00A41E60" w:rsidP="0043316B">
            <w:pPr>
              <w:pStyle w:val="Tabletext"/>
              <w:keepNext w:val="0"/>
              <w:widowControl w:val="0"/>
              <w:rPr>
                <w:vertAlign w:val="superscript"/>
              </w:rPr>
            </w:pPr>
            <w:r w:rsidRPr="00D85E09">
              <w:t>Rivero-Arias et al 2010</w:t>
            </w:r>
          </w:p>
        </w:tc>
        <w:tc>
          <w:tcPr>
            <w:tcW w:w="761" w:type="pct"/>
            <w:tcBorders>
              <w:top w:val="single" w:sz="4" w:space="0" w:color="000000"/>
              <w:left w:val="single" w:sz="4" w:space="0" w:color="000000"/>
              <w:bottom w:val="single" w:sz="4" w:space="0" w:color="000000"/>
              <w:right w:val="single" w:sz="4" w:space="0" w:color="000000"/>
            </w:tcBorders>
            <w:hideMark/>
          </w:tcPr>
          <w:p w14:paraId="3A664C0D" w14:textId="77777777" w:rsidR="00A41E60" w:rsidRPr="00D85E09" w:rsidRDefault="00A41E60" w:rsidP="0043316B">
            <w:pPr>
              <w:pStyle w:val="Tabletext"/>
              <w:keepNext w:val="0"/>
              <w:widowControl w:val="0"/>
            </w:pPr>
            <w:r w:rsidRPr="00D85E09">
              <w:t>mRS 0: 0.936</w:t>
            </w:r>
          </w:p>
          <w:p w14:paraId="01806019" w14:textId="77777777" w:rsidR="00A41E60" w:rsidRPr="00D85E09" w:rsidRDefault="00A41E60" w:rsidP="0043316B">
            <w:pPr>
              <w:pStyle w:val="Tabletext"/>
              <w:keepNext w:val="0"/>
              <w:widowControl w:val="0"/>
            </w:pPr>
            <w:r w:rsidRPr="00D85E09">
              <w:t>mRS 1: 0.817</w:t>
            </w:r>
          </w:p>
          <w:p w14:paraId="34F35C99" w14:textId="77777777" w:rsidR="00A41E60" w:rsidRPr="00D85E09" w:rsidRDefault="00A41E60" w:rsidP="0043316B">
            <w:pPr>
              <w:pStyle w:val="Tabletext"/>
              <w:keepNext w:val="0"/>
              <w:widowControl w:val="0"/>
            </w:pPr>
            <w:r w:rsidRPr="00D85E09">
              <w:t>mRS 2: 0.681</w:t>
            </w:r>
          </w:p>
          <w:p w14:paraId="7734384A" w14:textId="77777777" w:rsidR="00A41E60" w:rsidRPr="00D85E09" w:rsidRDefault="00A41E60" w:rsidP="0043316B">
            <w:pPr>
              <w:pStyle w:val="Tabletext"/>
              <w:keepNext w:val="0"/>
              <w:widowControl w:val="0"/>
            </w:pPr>
            <w:r w:rsidRPr="00D85E09">
              <w:t>mRS 3: 0.558</w:t>
            </w:r>
          </w:p>
          <w:p w14:paraId="29606B01" w14:textId="77777777" w:rsidR="00A41E60" w:rsidRPr="00D85E09" w:rsidRDefault="00A41E60" w:rsidP="0043316B">
            <w:pPr>
              <w:pStyle w:val="Tabletext"/>
              <w:keepNext w:val="0"/>
              <w:widowControl w:val="0"/>
            </w:pPr>
            <w:r w:rsidRPr="00D85E09">
              <w:t>mRS 4: 0.265</w:t>
            </w:r>
          </w:p>
          <w:p w14:paraId="72F5C7D2" w14:textId="77777777" w:rsidR="00A41E60" w:rsidRPr="00D85E09" w:rsidRDefault="00A41E60" w:rsidP="0043316B">
            <w:pPr>
              <w:pStyle w:val="Tabletext"/>
              <w:keepNext w:val="0"/>
              <w:widowControl w:val="0"/>
            </w:pPr>
            <w:r w:rsidRPr="00D85E09">
              <w:t>mRS 5: -0.054</w:t>
            </w:r>
          </w:p>
        </w:tc>
        <w:tc>
          <w:tcPr>
            <w:tcW w:w="761" w:type="pct"/>
            <w:tcBorders>
              <w:top w:val="single" w:sz="4" w:space="0" w:color="000000"/>
              <w:left w:val="single" w:sz="4" w:space="0" w:color="000000"/>
              <w:bottom w:val="single" w:sz="4" w:space="0" w:color="000000"/>
              <w:right w:val="single" w:sz="4" w:space="0" w:color="000000"/>
            </w:tcBorders>
            <w:hideMark/>
          </w:tcPr>
          <w:p w14:paraId="59FFC7E9" w14:textId="77777777" w:rsidR="00A41E60" w:rsidRPr="00D85E09" w:rsidRDefault="00A41E60" w:rsidP="0043316B">
            <w:pPr>
              <w:pStyle w:val="Tabletext"/>
              <w:keepNext w:val="0"/>
              <w:widowControl w:val="0"/>
            </w:pPr>
            <w:r w:rsidRPr="00D85E09">
              <w:t>1.2548</w:t>
            </w:r>
          </w:p>
        </w:tc>
        <w:tc>
          <w:tcPr>
            <w:tcW w:w="761" w:type="pct"/>
            <w:tcBorders>
              <w:top w:val="single" w:sz="4" w:space="0" w:color="000000"/>
              <w:left w:val="single" w:sz="4" w:space="0" w:color="000000"/>
              <w:bottom w:val="single" w:sz="4" w:space="0" w:color="000000"/>
              <w:right w:val="single" w:sz="4" w:space="0" w:color="000000"/>
            </w:tcBorders>
            <w:hideMark/>
          </w:tcPr>
          <w:p w14:paraId="44A522F7" w14:textId="77777777" w:rsidR="00A41E60" w:rsidRPr="00D85E09" w:rsidRDefault="00A41E60" w:rsidP="0043316B">
            <w:pPr>
              <w:pStyle w:val="Tabletext"/>
              <w:keepNext w:val="0"/>
              <w:widowControl w:val="0"/>
            </w:pPr>
            <w:r w:rsidRPr="00D85E09">
              <w:t>$10,666</w:t>
            </w:r>
          </w:p>
        </w:tc>
        <w:tc>
          <w:tcPr>
            <w:tcW w:w="1002" w:type="pct"/>
            <w:tcBorders>
              <w:top w:val="single" w:sz="4" w:space="0" w:color="000000"/>
              <w:left w:val="single" w:sz="4" w:space="0" w:color="000000"/>
              <w:bottom w:val="single" w:sz="4" w:space="0" w:color="000000"/>
              <w:right w:val="single" w:sz="4" w:space="0" w:color="000000"/>
            </w:tcBorders>
            <w:hideMark/>
          </w:tcPr>
          <w:p w14:paraId="0E3B3819" w14:textId="77777777" w:rsidR="00A41E60" w:rsidRPr="00D85E09" w:rsidRDefault="00A41E60" w:rsidP="0043316B">
            <w:pPr>
              <w:pStyle w:val="Tabletext"/>
              <w:keepNext w:val="0"/>
              <w:widowControl w:val="0"/>
            </w:pPr>
            <w:r w:rsidRPr="00D85E09">
              <w:t>$8500</w:t>
            </w:r>
          </w:p>
        </w:tc>
      </w:tr>
      <w:tr w:rsidR="00A41E60" w:rsidRPr="00D85E09" w14:paraId="529E46D5" w14:textId="77777777" w:rsidTr="00A41E60">
        <w:trPr>
          <w:trHeight w:val="330"/>
        </w:trPr>
        <w:tc>
          <w:tcPr>
            <w:tcW w:w="1715" w:type="pct"/>
            <w:tcBorders>
              <w:top w:val="single" w:sz="4" w:space="0" w:color="000000"/>
              <w:left w:val="single" w:sz="4" w:space="0" w:color="000000"/>
              <w:bottom w:val="single" w:sz="4" w:space="0" w:color="000000"/>
              <w:right w:val="single" w:sz="4" w:space="0" w:color="000000"/>
            </w:tcBorders>
            <w:hideMark/>
          </w:tcPr>
          <w:p w14:paraId="0E34DDBF" w14:textId="77777777" w:rsidR="00A41E60" w:rsidRPr="00D85E09" w:rsidRDefault="00A41E60" w:rsidP="0043316B">
            <w:pPr>
              <w:pStyle w:val="Tabletext"/>
              <w:keepNext w:val="0"/>
              <w:widowControl w:val="0"/>
              <w:rPr>
                <w:vertAlign w:val="superscript"/>
              </w:rPr>
            </w:pPr>
            <w:r w:rsidRPr="00D85E09">
              <w:t>Tengs and Lin 2003 (meta-analysis)</w:t>
            </w:r>
            <w:r w:rsidRPr="00D85E09">
              <w:rPr>
                <w:vertAlign w:val="superscript"/>
              </w:rPr>
              <w:t>1</w:t>
            </w:r>
          </w:p>
        </w:tc>
        <w:tc>
          <w:tcPr>
            <w:tcW w:w="761" w:type="pct"/>
            <w:tcBorders>
              <w:top w:val="single" w:sz="4" w:space="0" w:color="000000"/>
              <w:left w:val="single" w:sz="4" w:space="0" w:color="000000"/>
              <w:bottom w:val="single" w:sz="4" w:space="0" w:color="000000"/>
              <w:right w:val="single" w:sz="4" w:space="0" w:color="000000"/>
            </w:tcBorders>
            <w:hideMark/>
          </w:tcPr>
          <w:p w14:paraId="1D2B92E0" w14:textId="77777777" w:rsidR="00A41E60" w:rsidRPr="00D85E09" w:rsidRDefault="00A41E60" w:rsidP="0043316B">
            <w:pPr>
              <w:pStyle w:val="Tabletext"/>
              <w:keepNext w:val="0"/>
              <w:widowControl w:val="0"/>
            </w:pPr>
            <w:r w:rsidRPr="00D85E09">
              <w:t>mRS 0: 0.870</w:t>
            </w:r>
          </w:p>
          <w:p w14:paraId="2BAE4E7A" w14:textId="77777777" w:rsidR="00A41E60" w:rsidRPr="00D85E09" w:rsidRDefault="00A41E60" w:rsidP="0043316B">
            <w:pPr>
              <w:pStyle w:val="Tabletext"/>
              <w:keepNext w:val="0"/>
              <w:widowControl w:val="0"/>
            </w:pPr>
            <w:r w:rsidRPr="00D85E09">
              <w:t>mRS 1: 0.807</w:t>
            </w:r>
          </w:p>
          <w:p w14:paraId="59057383" w14:textId="77777777" w:rsidR="00A41E60" w:rsidRPr="00D85E09" w:rsidRDefault="00A41E60" w:rsidP="0043316B">
            <w:pPr>
              <w:pStyle w:val="Tabletext"/>
              <w:keepNext w:val="0"/>
              <w:widowControl w:val="0"/>
            </w:pPr>
            <w:r w:rsidRPr="00D85E09">
              <w:t>mRS 2: 0.743</w:t>
            </w:r>
          </w:p>
          <w:p w14:paraId="412D5696" w14:textId="77777777" w:rsidR="00A41E60" w:rsidRPr="00D85E09" w:rsidRDefault="00A41E60" w:rsidP="0043316B">
            <w:pPr>
              <w:pStyle w:val="Tabletext"/>
              <w:keepNext w:val="0"/>
              <w:widowControl w:val="0"/>
            </w:pPr>
            <w:r w:rsidRPr="00D85E09">
              <w:t>mRS 3: 0.680</w:t>
            </w:r>
          </w:p>
          <w:p w14:paraId="035F84D9" w14:textId="77777777" w:rsidR="00A41E60" w:rsidRPr="00D85E09" w:rsidRDefault="00A41E60" w:rsidP="0043316B">
            <w:pPr>
              <w:pStyle w:val="Tabletext"/>
              <w:keepNext w:val="0"/>
              <w:widowControl w:val="0"/>
            </w:pPr>
            <w:r w:rsidRPr="00D85E09">
              <w:t>mRS 4: 0.600</w:t>
            </w:r>
          </w:p>
          <w:p w14:paraId="02782FD5" w14:textId="77777777" w:rsidR="00A41E60" w:rsidRPr="00D85E09" w:rsidRDefault="00A41E60" w:rsidP="0043316B">
            <w:pPr>
              <w:pStyle w:val="Tabletext"/>
              <w:keepNext w:val="0"/>
              <w:widowControl w:val="0"/>
            </w:pPr>
            <w:r w:rsidRPr="00D85E09">
              <w:t>mRS 5: 0.520</w:t>
            </w:r>
          </w:p>
        </w:tc>
        <w:tc>
          <w:tcPr>
            <w:tcW w:w="761" w:type="pct"/>
            <w:tcBorders>
              <w:top w:val="single" w:sz="4" w:space="0" w:color="000000"/>
              <w:left w:val="single" w:sz="4" w:space="0" w:color="000000"/>
              <w:bottom w:val="single" w:sz="4" w:space="0" w:color="000000"/>
              <w:right w:val="single" w:sz="4" w:space="0" w:color="000000"/>
            </w:tcBorders>
            <w:hideMark/>
          </w:tcPr>
          <w:p w14:paraId="57CFBE4B" w14:textId="77777777" w:rsidR="00A41E60" w:rsidRPr="00D85E09" w:rsidRDefault="00A41E60" w:rsidP="0043316B">
            <w:pPr>
              <w:pStyle w:val="Tabletext"/>
              <w:keepNext w:val="0"/>
              <w:widowControl w:val="0"/>
            </w:pPr>
            <w:r w:rsidRPr="00D85E09">
              <w:t>0.8487</w:t>
            </w:r>
          </w:p>
        </w:tc>
        <w:tc>
          <w:tcPr>
            <w:tcW w:w="761" w:type="pct"/>
            <w:tcBorders>
              <w:top w:val="single" w:sz="4" w:space="0" w:color="000000"/>
              <w:left w:val="single" w:sz="4" w:space="0" w:color="000000"/>
              <w:bottom w:val="single" w:sz="4" w:space="0" w:color="000000"/>
              <w:right w:val="single" w:sz="4" w:space="0" w:color="000000"/>
            </w:tcBorders>
            <w:hideMark/>
          </w:tcPr>
          <w:p w14:paraId="57C41AC3" w14:textId="77777777" w:rsidR="00A41E60" w:rsidRPr="00D85E09" w:rsidRDefault="00A41E60" w:rsidP="0043316B">
            <w:pPr>
              <w:pStyle w:val="Tabletext"/>
              <w:keepNext w:val="0"/>
              <w:widowControl w:val="0"/>
            </w:pPr>
            <w:r w:rsidRPr="00D85E09">
              <w:t>$10,666</w:t>
            </w:r>
          </w:p>
        </w:tc>
        <w:tc>
          <w:tcPr>
            <w:tcW w:w="1002" w:type="pct"/>
            <w:tcBorders>
              <w:top w:val="single" w:sz="4" w:space="0" w:color="000000"/>
              <w:left w:val="single" w:sz="4" w:space="0" w:color="000000"/>
              <w:bottom w:val="single" w:sz="4" w:space="0" w:color="000000"/>
              <w:right w:val="single" w:sz="4" w:space="0" w:color="000000"/>
            </w:tcBorders>
            <w:hideMark/>
          </w:tcPr>
          <w:p w14:paraId="1943A1AE" w14:textId="77777777" w:rsidR="00A41E60" w:rsidRPr="00D85E09" w:rsidRDefault="00A41E60" w:rsidP="0043316B">
            <w:pPr>
              <w:pStyle w:val="Tabletext"/>
              <w:keepNext w:val="0"/>
              <w:widowControl w:val="0"/>
            </w:pPr>
            <w:r w:rsidRPr="00D85E09">
              <w:t>$12,567</w:t>
            </w:r>
          </w:p>
        </w:tc>
      </w:tr>
    </w:tbl>
    <w:p w14:paraId="1D10432E" w14:textId="7E688EB9" w:rsidR="00A41E60" w:rsidRPr="00D85E09" w:rsidRDefault="00A41E60" w:rsidP="0043316B">
      <w:pPr>
        <w:pStyle w:val="Tablefooter"/>
        <w:widowControl w:val="0"/>
      </w:pPr>
      <w:r w:rsidRPr="00D85E09">
        <w:t xml:space="preserve">See Section </w:t>
      </w:r>
      <w:r w:rsidR="00092415" w:rsidRPr="00D85E09">
        <w:fldChar w:fldCharType="begin"/>
      </w:r>
      <w:r w:rsidR="00092415" w:rsidRPr="00D85E09">
        <w:instrText xml:space="preserve"> REF _Ref452473633 \r \h </w:instrText>
      </w:r>
      <w:r w:rsidR="00092415" w:rsidRPr="00D85E09">
        <w:fldChar w:fldCharType="separate"/>
      </w:r>
      <w:r w:rsidR="00A456ED">
        <w:t>C.4</w:t>
      </w:r>
      <w:r w:rsidR="00092415" w:rsidRPr="00D85E09">
        <w:fldChar w:fldCharType="end"/>
      </w:r>
      <w:r w:rsidRPr="00D85E09">
        <w:br/>
      </w:r>
      <w:r w:rsidRPr="00D85E09">
        <w:rPr>
          <w:vertAlign w:val="superscript"/>
        </w:rPr>
        <w:t>1</w:t>
      </w:r>
      <w:r w:rsidRPr="00D85E09">
        <w:t xml:space="preserve"> Linear interpolations applied.</w:t>
      </w:r>
    </w:p>
    <w:p w14:paraId="13EE0179" w14:textId="77777777" w:rsidR="00A41E60" w:rsidRPr="00D85E09" w:rsidRDefault="00A41E60" w:rsidP="0043316B">
      <w:pPr>
        <w:widowControl w:val="0"/>
      </w:pPr>
    </w:p>
    <w:p w14:paraId="2CBB368E" w14:textId="4FA91167" w:rsidR="00A41E60" w:rsidRPr="00D85E09" w:rsidRDefault="00A41E60" w:rsidP="0043316B">
      <w:pPr>
        <w:widowControl w:val="0"/>
        <w:rPr>
          <w:i/>
          <w:u w:val="single"/>
        </w:rPr>
      </w:pPr>
      <w:r w:rsidRPr="00D85E09">
        <w:rPr>
          <w:i/>
          <w:u w:val="single"/>
        </w:rPr>
        <w:t>Other model parameters</w:t>
      </w:r>
    </w:p>
    <w:p w14:paraId="2528B6E3" w14:textId="11DB85C0" w:rsidR="00A41E60" w:rsidRPr="00D85E09" w:rsidRDefault="00A41E60" w:rsidP="0043316B">
      <w:pPr>
        <w:widowControl w:val="0"/>
      </w:pPr>
      <w:r w:rsidRPr="00D85E09">
        <w:t xml:space="preserve">Other sensitivity analyses are also performed, as summarised in </w:t>
      </w:r>
      <w:r w:rsidRPr="00D85E09">
        <w:fldChar w:fldCharType="begin"/>
      </w:r>
      <w:r w:rsidRPr="00D85E09">
        <w:instrText xml:space="preserve"> REF _Ref452394376 \h </w:instrText>
      </w:r>
      <w:r w:rsidRPr="00D85E09">
        <w:fldChar w:fldCharType="separate"/>
      </w:r>
      <w:r w:rsidR="00A456ED" w:rsidRPr="00D85E09">
        <w:t xml:space="preserve">Table </w:t>
      </w:r>
      <w:r w:rsidR="00A456ED">
        <w:rPr>
          <w:noProof/>
        </w:rPr>
        <w:t>97</w:t>
      </w:r>
      <w:r w:rsidRPr="00D85E09">
        <w:fldChar w:fldCharType="end"/>
      </w:r>
      <w:r w:rsidRPr="00D85E09">
        <w:t xml:space="preserve"> below. These analyses supports the robustness of the base case results.</w:t>
      </w:r>
    </w:p>
    <w:p w14:paraId="25FCD904" w14:textId="3B1528B2" w:rsidR="00A41E60" w:rsidRPr="00D85E09" w:rsidRDefault="00A41E60" w:rsidP="0043316B">
      <w:pPr>
        <w:widowControl w:val="0"/>
      </w:pPr>
      <w:r w:rsidRPr="00D85E09">
        <w:t>The ICER is relatively insensitive to changes in the cost inputs. When the procedural cost is increased by $5000, the ICER becomes $18,918; clearly suggesting the model’s insensitivity to variations in the one</w:t>
      </w:r>
      <w:r w:rsidR="00D32933" w:rsidRPr="00D85E09">
        <w:t>-</w:t>
      </w:r>
      <w:r w:rsidRPr="00D85E09">
        <w:t>off procedural cost. As expected, the long-term patient costs have sizable impacts, although even an extremely conservative assumption (i.e., taking out the long-term costs altogether) returned an ICER of $22,198.</w:t>
      </w:r>
    </w:p>
    <w:p w14:paraId="701E2AEB" w14:textId="5100AC3A" w:rsidR="00A41E60" w:rsidRPr="00D85E09" w:rsidRDefault="00A41E60" w:rsidP="0043316B">
      <w:pPr>
        <w:widowControl w:val="0"/>
      </w:pPr>
      <w:r w:rsidRPr="00D85E09">
        <w:t xml:space="preserve">Also expectedly, the long-term mRS transition assumptions have sizable impact. The base case analysis was informed by the 3-year observational data reported by </w:t>
      </w:r>
      <w:r w:rsidRPr="00D85E09">
        <w:rPr>
          <w:lang w:eastAsia="ja-JP"/>
        </w:rPr>
        <w:t>Gensicke et al (2013). As discussed above, all reported mRS transitions are assumed to be absorbed by 12 months. Under this same assumption, when the 7-year follow-up data reported by Magalh</w:t>
      </w:r>
      <w:r w:rsidR="00582C35" w:rsidRPr="00D85E09">
        <w:rPr>
          <w:lang w:eastAsia="ja-JP"/>
        </w:rPr>
        <w:t>a</w:t>
      </w:r>
      <w:r w:rsidRPr="00D85E09">
        <w:rPr>
          <w:lang w:eastAsia="ja-JP"/>
        </w:rPr>
        <w:t xml:space="preserve">es et al (2014) are applied, the ICER increases to </w:t>
      </w:r>
      <w:r w:rsidRPr="00D85E09">
        <w:t xml:space="preserve">$33,101. As discussed in Section </w:t>
      </w:r>
      <w:r w:rsidR="00092415" w:rsidRPr="00D85E09">
        <w:fldChar w:fldCharType="begin"/>
      </w:r>
      <w:r w:rsidR="00092415" w:rsidRPr="00D85E09">
        <w:instrText xml:space="preserve"> REF _Ref452371484 \r \h </w:instrText>
      </w:r>
      <w:r w:rsidR="00092415" w:rsidRPr="00D85E09">
        <w:fldChar w:fldCharType="separate"/>
      </w:r>
      <w:r w:rsidR="00A456ED">
        <w:t>C.7</w:t>
      </w:r>
      <w:r w:rsidR="00092415" w:rsidRPr="00D85E09">
        <w:fldChar w:fldCharType="end"/>
      </w:r>
      <w:r w:rsidRPr="00D85E09">
        <w:t>, this data set is based on a cohort of patients diagnosed with stroke in 1998 to 2000; likely reflecting out</w:t>
      </w:r>
      <w:r w:rsidR="00300BB6" w:rsidRPr="00D85E09">
        <w:t>dated</w:t>
      </w:r>
      <w:r w:rsidRPr="00D85E09">
        <w:t xml:space="preserve"> stroke care. Also, a very high proportion of patients died by the end </w:t>
      </w:r>
      <w:r w:rsidRPr="00D85E09">
        <w:lastRenderedPageBreak/>
        <w:t xml:space="preserve">of 7 years in this study (e.g., approximately 80% for mRS 4-5 at 3 months; see Section </w:t>
      </w:r>
      <w:r w:rsidR="00092415" w:rsidRPr="00D85E09">
        <w:fldChar w:fldCharType="begin"/>
      </w:r>
      <w:r w:rsidR="00092415" w:rsidRPr="00D85E09">
        <w:instrText xml:space="preserve"> REF _Ref452371484 \r \h </w:instrText>
      </w:r>
      <w:r w:rsidR="00092415" w:rsidRPr="00D85E09">
        <w:fldChar w:fldCharType="separate"/>
      </w:r>
      <w:r w:rsidR="00A456ED">
        <w:t>C.7</w:t>
      </w:r>
      <w:r w:rsidR="00092415" w:rsidRPr="00D85E09">
        <w:fldChar w:fldCharType="end"/>
      </w:r>
      <w:r w:rsidRPr="00D85E09">
        <w:t xml:space="preserve">). To this end, assuming all possible mRS transitions (including to mRS 6) to occur within 12 months would lead to a gross underestimation of survival / functional outcome benefits offered by mechanical thrombectomy over usual care. Risk of stroke recurrent also appears to have some impacts; however, not altering the base case conclusion. </w:t>
      </w:r>
      <w:r w:rsidRPr="00D85E09">
        <w:rPr>
          <w:i/>
        </w:rPr>
        <w:t>See findings from Alternative Model 1 and 2 below for further examination of extrapolation-related uncertainties.</w:t>
      </w:r>
    </w:p>
    <w:p w14:paraId="45468C10" w14:textId="795CC6F1" w:rsidR="00A41E60" w:rsidRPr="00D85E09" w:rsidRDefault="00A41E60" w:rsidP="0043316B">
      <w:pPr>
        <w:widowControl w:val="0"/>
        <w:rPr>
          <w:i/>
        </w:rPr>
      </w:pPr>
      <w:r w:rsidRPr="00D85E09">
        <w:rPr>
          <w:i/>
        </w:rPr>
        <w:t>The balance of evidence clearly suggests that the current analysis robustly demonstrates mechanical thrombectomy to be cost</w:t>
      </w:r>
      <w:r w:rsidR="00D32933" w:rsidRPr="00D85E09">
        <w:rPr>
          <w:i/>
        </w:rPr>
        <w:t>-</w:t>
      </w:r>
      <w:r w:rsidRPr="00D85E09">
        <w:rPr>
          <w:i/>
        </w:rPr>
        <w:t>effective under the proposed MBS listing when added to the current usual care.</w:t>
      </w:r>
    </w:p>
    <w:p w14:paraId="3E782385" w14:textId="2D348842" w:rsidR="00A41E60" w:rsidRPr="00D85E09" w:rsidRDefault="00A41E60" w:rsidP="0043316B">
      <w:pPr>
        <w:pStyle w:val="Caption"/>
        <w:keepNext w:val="0"/>
        <w:widowControl w:val="0"/>
        <w:rPr>
          <w:lang w:val="en-AU"/>
        </w:rPr>
      </w:pPr>
      <w:bookmarkStart w:id="581" w:name="_Ref452394376"/>
      <w:bookmarkStart w:id="582" w:name="_Toc45306543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97</w:t>
      </w:r>
      <w:r w:rsidRPr="00D85E09">
        <w:rPr>
          <w:lang w:val="en-AU"/>
        </w:rPr>
        <w:fldChar w:fldCharType="end"/>
      </w:r>
      <w:bookmarkEnd w:id="581"/>
      <w:r w:rsidRPr="00D85E09">
        <w:rPr>
          <w:lang w:val="en-AU"/>
        </w:rPr>
        <w:tab/>
        <w:t>Sensitivity analysis; other parameters</w:t>
      </w:r>
      <w:bookmarkEnd w:id="582"/>
    </w:p>
    <w:tbl>
      <w:tblPr>
        <w:tblStyle w:val="TableGrid"/>
        <w:tblW w:w="5000" w:type="pct"/>
        <w:tblLook w:val="04A0" w:firstRow="1" w:lastRow="0" w:firstColumn="1" w:lastColumn="0" w:noHBand="0" w:noVBand="1"/>
        <w:tblDescription w:val="Table 97 Sensitivity analysis; other parameters"/>
      </w:tblPr>
      <w:tblGrid>
        <w:gridCol w:w="1978"/>
        <w:gridCol w:w="2744"/>
        <w:gridCol w:w="1523"/>
        <w:gridCol w:w="1523"/>
        <w:gridCol w:w="1520"/>
      </w:tblGrid>
      <w:tr w:rsidR="00A41E60" w:rsidRPr="00D85E09" w14:paraId="494B3BC6" w14:textId="77777777" w:rsidTr="00BE6331">
        <w:trPr>
          <w:trHeight w:val="85"/>
          <w:tblHeader/>
        </w:trPr>
        <w:tc>
          <w:tcPr>
            <w:tcW w:w="1065" w:type="pct"/>
            <w:tcBorders>
              <w:top w:val="single" w:sz="4" w:space="0" w:color="000000"/>
              <w:left w:val="single" w:sz="4" w:space="0" w:color="000000"/>
              <w:bottom w:val="single" w:sz="4" w:space="0" w:color="000000"/>
              <w:right w:val="single" w:sz="4" w:space="0" w:color="000000"/>
            </w:tcBorders>
            <w:hideMark/>
          </w:tcPr>
          <w:p w14:paraId="21F779C3" w14:textId="77777777" w:rsidR="00A41E60" w:rsidRPr="00D85E09" w:rsidRDefault="00A41E60" w:rsidP="0043316B">
            <w:pPr>
              <w:pStyle w:val="Tabletext"/>
              <w:keepNext w:val="0"/>
              <w:widowControl w:val="0"/>
              <w:rPr>
                <w:b/>
              </w:rPr>
            </w:pPr>
            <w:r w:rsidRPr="00D85E09">
              <w:rPr>
                <w:b/>
              </w:rPr>
              <w:t>Variable (base case)</w:t>
            </w:r>
          </w:p>
        </w:tc>
        <w:tc>
          <w:tcPr>
            <w:tcW w:w="1477" w:type="pct"/>
            <w:tcBorders>
              <w:top w:val="single" w:sz="4" w:space="0" w:color="000000"/>
              <w:left w:val="single" w:sz="4" w:space="0" w:color="000000"/>
              <w:bottom w:val="single" w:sz="4" w:space="0" w:color="000000"/>
              <w:right w:val="single" w:sz="4" w:space="0" w:color="000000"/>
            </w:tcBorders>
            <w:hideMark/>
          </w:tcPr>
          <w:p w14:paraId="2E06FC84" w14:textId="77777777" w:rsidR="00A41E60" w:rsidRPr="00D85E09" w:rsidRDefault="00A41E60" w:rsidP="0043316B">
            <w:pPr>
              <w:pStyle w:val="Tabletext"/>
              <w:keepNext w:val="0"/>
              <w:widowControl w:val="0"/>
              <w:rPr>
                <w:b/>
              </w:rPr>
            </w:pPr>
            <w:r w:rsidRPr="00D85E09">
              <w:rPr>
                <w:b/>
              </w:rPr>
              <w:t>Assumptions tested</w:t>
            </w:r>
          </w:p>
        </w:tc>
        <w:tc>
          <w:tcPr>
            <w:tcW w:w="820" w:type="pct"/>
            <w:tcBorders>
              <w:top w:val="single" w:sz="4" w:space="0" w:color="000000"/>
              <w:left w:val="single" w:sz="4" w:space="0" w:color="000000"/>
              <w:bottom w:val="single" w:sz="4" w:space="0" w:color="000000"/>
              <w:right w:val="single" w:sz="4" w:space="0" w:color="000000"/>
            </w:tcBorders>
            <w:hideMark/>
          </w:tcPr>
          <w:p w14:paraId="5D122327" w14:textId="77777777" w:rsidR="00A41E60" w:rsidRPr="00D85E09" w:rsidRDefault="00A41E60" w:rsidP="0043316B">
            <w:pPr>
              <w:pStyle w:val="Tabletext"/>
              <w:keepNext w:val="0"/>
              <w:widowControl w:val="0"/>
              <w:rPr>
                <w:b/>
              </w:rPr>
            </w:pPr>
            <w:r w:rsidRPr="00D85E09">
              <w:rPr>
                <w:b/>
              </w:rPr>
              <w:t>Inc. QALY</w:t>
            </w:r>
          </w:p>
        </w:tc>
        <w:tc>
          <w:tcPr>
            <w:tcW w:w="820" w:type="pct"/>
            <w:tcBorders>
              <w:top w:val="single" w:sz="4" w:space="0" w:color="000000"/>
              <w:left w:val="single" w:sz="4" w:space="0" w:color="000000"/>
              <w:bottom w:val="single" w:sz="4" w:space="0" w:color="000000"/>
              <w:right w:val="single" w:sz="4" w:space="0" w:color="000000"/>
            </w:tcBorders>
            <w:hideMark/>
          </w:tcPr>
          <w:p w14:paraId="1BDB68C9" w14:textId="77777777" w:rsidR="00A41E60" w:rsidRPr="00D85E09" w:rsidRDefault="00A41E60" w:rsidP="0043316B">
            <w:pPr>
              <w:pStyle w:val="Tabletext"/>
              <w:keepNext w:val="0"/>
              <w:widowControl w:val="0"/>
              <w:rPr>
                <w:b/>
              </w:rPr>
            </w:pPr>
            <w:r w:rsidRPr="00D85E09">
              <w:rPr>
                <w:b/>
              </w:rPr>
              <w:t>Inc. cost</w:t>
            </w:r>
          </w:p>
        </w:tc>
        <w:tc>
          <w:tcPr>
            <w:tcW w:w="818" w:type="pct"/>
            <w:tcBorders>
              <w:top w:val="single" w:sz="4" w:space="0" w:color="000000"/>
              <w:left w:val="single" w:sz="4" w:space="0" w:color="000000"/>
              <w:bottom w:val="single" w:sz="4" w:space="0" w:color="000000"/>
              <w:right w:val="single" w:sz="4" w:space="0" w:color="000000"/>
            </w:tcBorders>
            <w:hideMark/>
          </w:tcPr>
          <w:p w14:paraId="4B4FA3C9" w14:textId="77777777" w:rsidR="00A41E60" w:rsidRPr="00D85E09" w:rsidRDefault="00A41E60" w:rsidP="0043316B">
            <w:pPr>
              <w:pStyle w:val="Tabletext"/>
              <w:keepNext w:val="0"/>
              <w:widowControl w:val="0"/>
              <w:rPr>
                <w:b/>
              </w:rPr>
            </w:pPr>
            <w:r w:rsidRPr="00D85E09">
              <w:rPr>
                <w:b/>
              </w:rPr>
              <w:t xml:space="preserve">ICER per QALY gain </w:t>
            </w:r>
          </w:p>
        </w:tc>
      </w:tr>
      <w:tr w:rsidR="00A41E60" w:rsidRPr="00D85E09" w14:paraId="0A3CCD4B" w14:textId="77777777" w:rsidTr="00A41E60">
        <w:tc>
          <w:tcPr>
            <w:tcW w:w="1065" w:type="pct"/>
            <w:tcBorders>
              <w:top w:val="single" w:sz="4" w:space="0" w:color="000000"/>
              <w:left w:val="single" w:sz="4" w:space="0" w:color="000000"/>
              <w:bottom w:val="single" w:sz="4" w:space="0" w:color="000000"/>
              <w:right w:val="single" w:sz="4" w:space="0" w:color="000000"/>
            </w:tcBorders>
            <w:hideMark/>
          </w:tcPr>
          <w:p w14:paraId="6640E807" w14:textId="77777777" w:rsidR="00A41E60" w:rsidRPr="00D85E09" w:rsidRDefault="00A41E60" w:rsidP="0043316B">
            <w:pPr>
              <w:pStyle w:val="Tabletext"/>
              <w:keepNext w:val="0"/>
              <w:widowControl w:val="0"/>
              <w:rPr>
                <w:b/>
              </w:rPr>
            </w:pPr>
            <w:r w:rsidRPr="00D85E09">
              <w:rPr>
                <w:b/>
              </w:rPr>
              <w:t>Base case</w:t>
            </w:r>
          </w:p>
        </w:tc>
        <w:tc>
          <w:tcPr>
            <w:tcW w:w="1477" w:type="pct"/>
            <w:tcBorders>
              <w:top w:val="single" w:sz="4" w:space="0" w:color="000000"/>
              <w:left w:val="single" w:sz="4" w:space="0" w:color="000000"/>
              <w:bottom w:val="single" w:sz="4" w:space="0" w:color="000000"/>
              <w:right w:val="single" w:sz="4" w:space="0" w:color="000000"/>
            </w:tcBorders>
            <w:hideMark/>
          </w:tcPr>
          <w:p w14:paraId="63125139" w14:textId="77777777" w:rsidR="00A41E60" w:rsidRPr="00D85E09" w:rsidRDefault="00A41E60" w:rsidP="0043316B">
            <w:pPr>
              <w:pStyle w:val="Tabletext"/>
              <w:keepNext w:val="0"/>
              <w:widowControl w:val="0"/>
              <w:rPr>
                <w:b/>
              </w:rPr>
            </w:pPr>
            <w:r w:rsidRPr="00D85E09">
              <w:rPr>
                <w:b/>
              </w:rPr>
              <w:t>-</w:t>
            </w:r>
          </w:p>
        </w:tc>
        <w:tc>
          <w:tcPr>
            <w:tcW w:w="820" w:type="pct"/>
            <w:tcBorders>
              <w:top w:val="single" w:sz="4" w:space="0" w:color="000000"/>
              <w:left w:val="single" w:sz="4" w:space="0" w:color="000000"/>
              <w:bottom w:val="single" w:sz="4" w:space="0" w:color="000000"/>
              <w:right w:val="single" w:sz="4" w:space="0" w:color="000000"/>
            </w:tcBorders>
            <w:hideMark/>
          </w:tcPr>
          <w:p w14:paraId="50C2DB23" w14:textId="77777777" w:rsidR="00A41E60" w:rsidRPr="00D85E09" w:rsidRDefault="00A41E60" w:rsidP="0043316B">
            <w:pPr>
              <w:pStyle w:val="Tabletext"/>
              <w:keepNext w:val="0"/>
              <w:widowControl w:val="0"/>
              <w:rPr>
                <w:b/>
              </w:rPr>
            </w:pPr>
            <w:r w:rsidRPr="00D85E09">
              <w:rPr>
                <w:b/>
              </w:rPr>
              <w:t>0.8281</w:t>
            </w:r>
          </w:p>
        </w:tc>
        <w:tc>
          <w:tcPr>
            <w:tcW w:w="820" w:type="pct"/>
            <w:tcBorders>
              <w:top w:val="single" w:sz="4" w:space="0" w:color="000000"/>
              <w:left w:val="single" w:sz="4" w:space="0" w:color="000000"/>
              <w:bottom w:val="single" w:sz="4" w:space="0" w:color="000000"/>
              <w:right w:val="single" w:sz="4" w:space="0" w:color="000000"/>
            </w:tcBorders>
            <w:hideMark/>
          </w:tcPr>
          <w:p w14:paraId="5E5DA8FA" w14:textId="77777777" w:rsidR="00A41E60" w:rsidRPr="00D85E09" w:rsidRDefault="00A41E60" w:rsidP="0043316B">
            <w:pPr>
              <w:pStyle w:val="Tabletext"/>
              <w:keepNext w:val="0"/>
              <w:widowControl w:val="0"/>
              <w:rPr>
                <w:b/>
              </w:rPr>
            </w:pPr>
            <w:r w:rsidRPr="00D85E09">
              <w:rPr>
                <w:b/>
              </w:rPr>
              <w:t>$10,666</w:t>
            </w:r>
          </w:p>
        </w:tc>
        <w:tc>
          <w:tcPr>
            <w:tcW w:w="818" w:type="pct"/>
            <w:tcBorders>
              <w:top w:val="single" w:sz="4" w:space="0" w:color="000000"/>
              <w:left w:val="single" w:sz="4" w:space="0" w:color="000000"/>
              <w:bottom w:val="single" w:sz="4" w:space="0" w:color="000000"/>
              <w:right w:val="single" w:sz="4" w:space="0" w:color="000000"/>
            </w:tcBorders>
            <w:hideMark/>
          </w:tcPr>
          <w:p w14:paraId="4A2861CD" w14:textId="77777777" w:rsidR="00A41E60" w:rsidRPr="00D85E09" w:rsidRDefault="00A41E60" w:rsidP="0043316B">
            <w:pPr>
              <w:pStyle w:val="Tabletext"/>
              <w:keepNext w:val="0"/>
              <w:widowControl w:val="0"/>
              <w:rPr>
                <w:b/>
              </w:rPr>
            </w:pPr>
            <w:r w:rsidRPr="00D85E09">
              <w:rPr>
                <w:b/>
              </w:rPr>
              <w:t>$12,880</w:t>
            </w:r>
          </w:p>
        </w:tc>
      </w:tr>
      <w:tr w:rsidR="00A41E60" w:rsidRPr="00D85E09" w14:paraId="0D9402E4" w14:textId="77777777" w:rsidTr="00A41E60">
        <w:tc>
          <w:tcPr>
            <w:tcW w:w="1065" w:type="pct"/>
            <w:tcBorders>
              <w:top w:val="single" w:sz="4" w:space="0" w:color="000000"/>
              <w:left w:val="single" w:sz="4" w:space="0" w:color="000000"/>
              <w:bottom w:val="single" w:sz="4" w:space="0" w:color="000000"/>
              <w:right w:val="nil"/>
            </w:tcBorders>
            <w:hideMark/>
          </w:tcPr>
          <w:p w14:paraId="599C653A" w14:textId="77777777" w:rsidR="00A41E60" w:rsidRPr="00D85E09" w:rsidRDefault="00A41E60" w:rsidP="0043316B">
            <w:pPr>
              <w:pStyle w:val="Tabletext"/>
              <w:keepNext w:val="0"/>
              <w:widowControl w:val="0"/>
              <w:rPr>
                <w:b/>
                <w:i/>
              </w:rPr>
            </w:pPr>
            <w:r w:rsidRPr="00D85E09">
              <w:rPr>
                <w:b/>
                <w:i/>
              </w:rPr>
              <w:t>Cost inputs</w:t>
            </w:r>
          </w:p>
        </w:tc>
        <w:tc>
          <w:tcPr>
            <w:tcW w:w="1477" w:type="pct"/>
            <w:tcBorders>
              <w:top w:val="single" w:sz="4" w:space="0" w:color="000000"/>
              <w:left w:val="nil"/>
              <w:bottom w:val="single" w:sz="4" w:space="0" w:color="000000"/>
              <w:right w:val="nil"/>
            </w:tcBorders>
          </w:tcPr>
          <w:p w14:paraId="5FE437A3" w14:textId="77777777" w:rsidR="00A41E60" w:rsidRPr="00D85E09" w:rsidRDefault="00A41E60" w:rsidP="0043316B">
            <w:pPr>
              <w:pStyle w:val="Tabletext"/>
              <w:keepNext w:val="0"/>
              <w:widowControl w:val="0"/>
            </w:pPr>
          </w:p>
        </w:tc>
        <w:tc>
          <w:tcPr>
            <w:tcW w:w="820" w:type="pct"/>
            <w:tcBorders>
              <w:top w:val="single" w:sz="4" w:space="0" w:color="000000"/>
              <w:left w:val="nil"/>
              <w:bottom w:val="single" w:sz="4" w:space="0" w:color="000000"/>
              <w:right w:val="nil"/>
            </w:tcBorders>
          </w:tcPr>
          <w:p w14:paraId="513752B0" w14:textId="77777777" w:rsidR="00A41E60" w:rsidRPr="00D85E09" w:rsidRDefault="00A41E60" w:rsidP="0043316B">
            <w:pPr>
              <w:pStyle w:val="Tabletext"/>
              <w:keepNext w:val="0"/>
              <w:widowControl w:val="0"/>
            </w:pPr>
          </w:p>
        </w:tc>
        <w:tc>
          <w:tcPr>
            <w:tcW w:w="820" w:type="pct"/>
            <w:tcBorders>
              <w:top w:val="single" w:sz="4" w:space="0" w:color="000000"/>
              <w:left w:val="nil"/>
              <w:bottom w:val="single" w:sz="4" w:space="0" w:color="000000"/>
              <w:right w:val="nil"/>
            </w:tcBorders>
          </w:tcPr>
          <w:p w14:paraId="526C080C" w14:textId="77777777" w:rsidR="00A41E60" w:rsidRPr="00D85E09" w:rsidRDefault="00A41E60" w:rsidP="0043316B">
            <w:pPr>
              <w:pStyle w:val="Tabletext"/>
              <w:keepNext w:val="0"/>
              <w:widowControl w:val="0"/>
            </w:pPr>
          </w:p>
        </w:tc>
        <w:tc>
          <w:tcPr>
            <w:tcW w:w="818" w:type="pct"/>
            <w:tcBorders>
              <w:top w:val="single" w:sz="4" w:space="0" w:color="000000"/>
              <w:left w:val="nil"/>
              <w:bottom w:val="single" w:sz="4" w:space="0" w:color="000000"/>
              <w:right w:val="single" w:sz="4" w:space="0" w:color="000000"/>
            </w:tcBorders>
          </w:tcPr>
          <w:p w14:paraId="157D9399" w14:textId="77777777" w:rsidR="00A41E60" w:rsidRPr="00D85E09" w:rsidRDefault="00A41E60" w:rsidP="0043316B">
            <w:pPr>
              <w:pStyle w:val="Tabletext"/>
              <w:keepNext w:val="0"/>
              <w:widowControl w:val="0"/>
            </w:pPr>
          </w:p>
        </w:tc>
      </w:tr>
      <w:tr w:rsidR="00A41E60" w:rsidRPr="00D85E09" w14:paraId="7B78337C" w14:textId="77777777" w:rsidTr="00A41E60">
        <w:tc>
          <w:tcPr>
            <w:tcW w:w="1065" w:type="pct"/>
            <w:vMerge w:val="restart"/>
            <w:tcBorders>
              <w:top w:val="single" w:sz="4" w:space="0" w:color="000000"/>
              <w:left w:val="single" w:sz="4" w:space="0" w:color="000000"/>
              <w:bottom w:val="single" w:sz="4" w:space="0" w:color="000000"/>
              <w:right w:val="single" w:sz="4" w:space="0" w:color="000000"/>
            </w:tcBorders>
            <w:hideMark/>
          </w:tcPr>
          <w:p w14:paraId="023FA20C" w14:textId="77777777" w:rsidR="00A41E60" w:rsidRPr="00D85E09" w:rsidRDefault="00A41E60" w:rsidP="0043316B">
            <w:pPr>
              <w:pStyle w:val="Tabletext"/>
              <w:keepNext w:val="0"/>
              <w:widowControl w:val="0"/>
            </w:pPr>
            <w:r w:rsidRPr="00D85E09">
              <w:t xml:space="preserve"> Procedural cost ($18,308.49)</w:t>
            </w:r>
          </w:p>
        </w:tc>
        <w:tc>
          <w:tcPr>
            <w:tcW w:w="1477" w:type="pct"/>
            <w:tcBorders>
              <w:top w:val="single" w:sz="4" w:space="0" w:color="000000"/>
              <w:left w:val="single" w:sz="4" w:space="0" w:color="000000"/>
              <w:bottom w:val="single" w:sz="4" w:space="0" w:color="000000"/>
              <w:right w:val="single" w:sz="4" w:space="0" w:color="000000"/>
            </w:tcBorders>
            <w:hideMark/>
          </w:tcPr>
          <w:p w14:paraId="5E386932" w14:textId="77777777" w:rsidR="00A41E60" w:rsidRPr="00D85E09" w:rsidRDefault="00A41E60" w:rsidP="0043316B">
            <w:pPr>
              <w:pStyle w:val="Tabletext"/>
              <w:keepNext w:val="0"/>
              <w:widowControl w:val="0"/>
            </w:pPr>
            <w:r w:rsidRPr="00D85E09">
              <w:t>Plus $1000</w:t>
            </w:r>
          </w:p>
        </w:tc>
        <w:tc>
          <w:tcPr>
            <w:tcW w:w="820" w:type="pct"/>
            <w:tcBorders>
              <w:top w:val="single" w:sz="4" w:space="0" w:color="000000"/>
              <w:left w:val="single" w:sz="4" w:space="0" w:color="000000"/>
              <w:bottom w:val="single" w:sz="4" w:space="0" w:color="000000"/>
              <w:right w:val="single" w:sz="4" w:space="0" w:color="000000"/>
            </w:tcBorders>
            <w:hideMark/>
          </w:tcPr>
          <w:p w14:paraId="35287DE8"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6D72F67C" w14:textId="77777777" w:rsidR="00A41E60" w:rsidRPr="00D85E09" w:rsidRDefault="00A41E60" w:rsidP="0043316B">
            <w:pPr>
              <w:pStyle w:val="Tabletext"/>
              <w:keepNext w:val="0"/>
              <w:widowControl w:val="0"/>
            </w:pPr>
            <w:r w:rsidRPr="00D85E09">
              <w:t>$11,666</w:t>
            </w:r>
          </w:p>
        </w:tc>
        <w:tc>
          <w:tcPr>
            <w:tcW w:w="818" w:type="pct"/>
            <w:tcBorders>
              <w:top w:val="single" w:sz="4" w:space="0" w:color="000000"/>
              <w:left w:val="single" w:sz="4" w:space="0" w:color="000000"/>
              <w:bottom w:val="single" w:sz="4" w:space="0" w:color="000000"/>
              <w:right w:val="single" w:sz="4" w:space="0" w:color="000000"/>
            </w:tcBorders>
            <w:hideMark/>
          </w:tcPr>
          <w:p w14:paraId="6E66DEA4" w14:textId="77777777" w:rsidR="00A41E60" w:rsidRPr="00D85E09" w:rsidRDefault="00A41E60" w:rsidP="0043316B">
            <w:pPr>
              <w:pStyle w:val="Tabletext"/>
              <w:keepNext w:val="0"/>
              <w:widowControl w:val="0"/>
            </w:pPr>
            <w:r w:rsidRPr="00D85E09">
              <w:t>$14,088</w:t>
            </w:r>
          </w:p>
        </w:tc>
      </w:tr>
      <w:tr w:rsidR="00A41E60" w:rsidRPr="00D85E09" w14:paraId="3AA33A14"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C0A44"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5F02B409" w14:textId="77777777" w:rsidR="00A41E60" w:rsidRPr="00D85E09" w:rsidRDefault="00A41E60" w:rsidP="0043316B">
            <w:pPr>
              <w:pStyle w:val="Tabletext"/>
              <w:keepNext w:val="0"/>
              <w:widowControl w:val="0"/>
            </w:pPr>
            <w:r w:rsidRPr="00D85E09">
              <w:t>Plus $2500</w:t>
            </w:r>
          </w:p>
        </w:tc>
        <w:tc>
          <w:tcPr>
            <w:tcW w:w="820" w:type="pct"/>
            <w:tcBorders>
              <w:top w:val="single" w:sz="4" w:space="0" w:color="000000"/>
              <w:left w:val="single" w:sz="4" w:space="0" w:color="000000"/>
              <w:bottom w:val="single" w:sz="4" w:space="0" w:color="000000"/>
              <w:right w:val="single" w:sz="4" w:space="0" w:color="000000"/>
            </w:tcBorders>
            <w:hideMark/>
          </w:tcPr>
          <w:p w14:paraId="05C1953D"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6E870213" w14:textId="77777777" w:rsidR="00A41E60" w:rsidRPr="00D85E09" w:rsidRDefault="00A41E60" w:rsidP="0043316B">
            <w:pPr>
              <w:pStyle w:val="Tabletext"/>
              <w:keepNext w:val="0"/>
              <w:widowControl w:val="0"/>
            </w:pPr>
            <w:r w:rsidRPr="00D85E09">
              <w:t>$13,166</w:t>
            </w:r>
          </w:p>
        </w:tc>
        <w:tc>
          <w:tcPr>
            <w:tcW w:w="818" w:type="pct"/>
            <w:tcBorders>
              <w:top w:val="single" w:sz="4" w:space="0" w:color="000000"/>
              <w:left w:val="single" w:sz="4" w:space="0" w:color="000000"/>
              <w:bottom w:val="single" w:sz="4" w:space="0" w:color="000000"/>
              <w:right w:val="single" w:sz="4" w:space="0" w:color="000000"/>
            </w:tcBorders>
            <w:hideMark/>
          </w:tcPr>
          <w:p w14:paraId="4C678697" w14:textId="77777777" w:rsidR="00A41E60" w:rsidRPr="00D85E09" w:rsidRDefault="00A41E60" w:rsidP="0043316B">
            <w:pPr>
              <w:pStyle w:val="Tabletext"/>
              <w:keepNext w:val="0"/>
              <w:widowControl w:val="0"/>
            </w:pPr>
            <w:r w:rsidRPr="00D85E09">
              <w:t>$15,899</w:t>
            </w:r>
          </w:p>
        </w:tc>
      </w:tr>
      <w:tr w:rsidR="00A41E60" w:rsidRPr="00D85E09" w14:paraId="7E1AC575"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7E856"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1B98E145" w14:textId="77777777" w:rsidR="00A41E60" w:rsidRPr="00D85E09" w:rsidRDefault="00A41E60" w:rsidP="0043316B">
            <w:pPr>
              <w:pStyle w:val="Tabletext"/>
              <w:keepNext w:val="0"/>
              <w:widowControl w:val="0"/>
            </w:pPr>
            <w:r w:rsidRPr="00D85E09">
              <w:t>Plus $5000</w:t>
            </w:r>
          </w:p>
        </w:tc>
        <w:tc>
          <w:tcPr>
            <w:tcW w:w="820" w:type="pct"/>
            <w:tcBorders>
              <w:top w:val="single" w:sz="4" w:space="0" w:color="000000"/>
              <w:left w:val="single" w:sz="4" w:space="0" w:color="000000"/>
              <w:bottom w:val="single" w:sz="4" w:space="0" w:color="000000"/>
              <w:right w:val="single" w:sz="4" w:space="0" w:color="000000"/>
            </w:tcBorders>
            <w:hideMark/>
          </w:tcPr>
          <w:p w14:paraId="5306C61E"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45EB53A0" w14:textId="77777777" w:rsidR="00A41E60" w:rsidRPr="00D85E09" w:rsidRDefault="00A41E60" w:rsidP="0043316B">
            <w:pPr>
              <w:pStyle w:val="Tabletext"/>
              <w:keepNext w:val="0"/>
              <w:widowControl w:val="0"/>
            </w:pPr>
            <w:r w:rsidRPr="00D85E09">
              <w:t>$15,666</w:t>
            </w:r>
          </w:p>
        </w:tc>
        <w:tc>
          <w:tcPr>
            <w:tcW w:w="818" w:type="pct"/>
            <w:tcBorders>
              <w:top w:val="single" w:sz="4" w:space="0" w:color="000000"/>
              <w:left w:val="single" w:sz="4" w:space="0" w:color="000000"/>
              <w:bottom w:val="single" w:sz="4" w:space="0" w:color="000000"/>
              <w:right w:val="single" w:sz="4" w:space="0" w:color="000000"/>
            </w:tcBorders>
            <w:hideMark/>
          </w:tcPr>
          <w:p w14:paraId="6FF3FC16" w14:textId="77777777" w:rsidR="00A41E60" w:rsidRPr="00D85E09" w:rsidRDefault="00A41E60" w:rsidP="0043316B">
            <w:pPr>
              <w:pStyle w:val="Tabletext"/>
              <w:keepNext w:val="0"/>
              <w:widowControl w:val="0"/>
            </w:pPr>
            <w:r w:rsidRPr="00D85E09">
              <w:t>$18,918</w:t>
            </w:r>
          </w:p>
        </w:tc>
      </w:tr>
      <w:tr w:rsidR="00A41E60" w:rsidRPr="00D85E09" w14:paraId="12D838CB"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6283E"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4112AD69" w14:textId="0273D553" w:rsidR="00A41E60" w:rsidRPr="00D85E09" w:rsidRDefault="00A41E60" w:rsidP="0043316B">
            <w:pPr>
              <w:pStyle w:val="Tabletext"/>
              <w:keepNext w:val="0"/>
              <w:widowControl w:val="0"/>
              <w:rPr>
                <w:vertAlign w:val="superscript"/>
              </w:rPr>
            </w:pPr>
            <w:r w:rsidRPr="00D85E09">
              <w:t>Carotid stenting in 8.6% during the procedure (EXTEND</w:t>
            </w:r>
            <w:r w:rsidR="00D32933" w:rsidRPr="00D85E09">
              <w:t>-</w:t>
            </w:r>
            <w:r w:rsidRPr="00D85E09">
              <w:t>IA) at $2921 per procedure</w:t>
            </w:r>
            <w:r w:rsidRPr="00D85E09">
              <w:rPr>
                <w:vertAlign w:val="superscript"/>
              </w:rPr>
              <w:t>1</w:t>
            </w:r>
          </w:p>
        </w:tc>
        <w:tc>
          <w:tcPr>
            <w:tcW w:w="820" w:type="pct"/>
            <w:tcBorders>
              <w:top w:val="single" w:sz="4" w:space="0" w:color="000000"/>
              <w:left w:val="single" w:sz="4" w:space="0" w:color="000000"/>
              <w:bottom w:val="single" w:sz="4" w:space="0" w:color="000000"/>
              <w:right w:val="single" w:sz="4" w:space="0" w:color="000000"/>
            </w:tcBorders>
            <w:hideMark/>
          </w:tcPr>
          <w:p w14:paraId="04937BA6"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28FB555D" w14:textId="77777777" w:rsidR="00A41E60" w:rsidRPr="00D85E09" w:rsidRDefault="00A41E60" w:rsidP="0043316B">
            <w:pPr>
              <w:pStyle w:val="Tabletext"/>
              <w:keepNext w:val="0"/>
              <w:widowControl w:val="0"/>
            </w:pPr>
            <w:r w:rsidRPr="00D85E09">
              <w:t>$10,918</w:t>
            </w:r>
          </w:p>
        </w:tc>
        <w:tc>
          <w:tcPr>
            <w:tcW w:w="818" w:type="pct"/>
            <w:tcBorders>
              <w:top w:val="single" w:sz="4" w:space="0" w:color="000000"/>
              <w:left w:val="single" w:sz="4" w:space="0" w:color="000000"/>
              <w:bottom w:val="single" w:sz="4" w:space="0" w:color="000000"/>
              <w:right w:val="single" w:sz="4" w:space="0" w:color="000000"/>
            </w:tcBorders>
            <w:hideMark/>
          </w:tcPr>
          <w:p w14:paraId="4D06A441" w14:textId="77777777" w:rsidR="00A41E60" w:rsidRPr="00D85E09" w:rsidRDefault="00A41E60" w:rsidP="0043316B">
            <w:pPr>
              <w:pStyle w:val="Tabletext"/>
              <w:keepNext w:val="0"/>
              <w:widowControl w:val="0"/>
            </w:pPr>
            <w:r w:rsidRPr="00D85E09">
              <w:t>$13,183</w:t>
            </w:r>
          </w:p>
        </w:tc>
      </w:tr>
      <w:tr w:rsidR="00A41E60" w:rsidRPr="00D85E09" w14:paraId="3DEF2211" w14:textId="77777777" w:rsidTr="00A41E60">
        <w:tc>
          <w:tcPr>
            <w:tcW w:w="1065" w:type="pct"/>
            <w:tcBorders>
              <w:top w:val="single" w:sz="4" w:space="0" w:color="000000"/>
              <w:left w:val="single" w:sz="4" w:space="0" w:color="000000"/>
              <w:bottom w:val="single" w:sz="4" w:space="0" w:color="000000"/>
              <w:right w:val="single" w:sz="4" w:space="0" w:color="000000"/>
            </w:tcBorders>
            <w:hideMark/>
          </w:tcPr>
          <w:p w14:paraId="0C077BCC" w14:textId="77777777" w:rsidR="00A41E60" w:rsidRPr="00D85E09" w:rsidRDefault="00A41E60" w:rsidP="0043316B">
            <w:pPr>
              <w:pStyle w:val="Tabletext"/>
              <w:keepNext w:val="0"/>
              <w:widowControl w:val="0"/>
            </w:pPr>
            <w:r w:rsidRPr="00D85E09">
              <w:t>Management of adverse event (not considered)</w:t>
            </w:r>
          </w:p>
        </w:tc>
        <w:tc>
          <w:tcPr>
            <w:tcW w:w="1477" w:type="pct"/>
            <w:tcBorders>
              <w:top w:val="single" w:sz="4" w:space="0" w:color="000000"/>
              <w:left w:val="single" w:sz="4" w:space="0" w:color="000000"/>
              <w:bottom w:val="single" w:sz="4" w:space="0" w:color="000000"/>
              <w:right w:val="single" w:sz="4" w:space="0" w:color="000000"/>
            </w:tcBorders>
            <w:hideMark/>
          </w:tcPr>
          <w:p w14:paraId="1624EF7E" w14:textId="1274B9A3" w:rsidR="00A41E60" w:rsidRPr="00D85E09" w:rsidRDefault="00A41E60" w:rsidP="0043316B">
            <w:pPr>
              <w:pStyle w:val="Tabletext"/>
              <w:keepNext w:val="0"/>
              <w:widowControl w:val="0"/>
            </w:pPr>
            <w:r w:rsidRPr="00D85E09">
              <w:t xml:space="preserve">Risk of access site hematoma in REVASCAT (10.7% at $1828 per episode; see Section </w:t>
            </w:r>
            <w:r w:rsidR="00092415" w:rsidRPr="00D85E09">
              <w:fldChar w:fldCharType="begin"/>
            </w:r>
            <w:r w:rsidR="00092415" w:rsidRPr="00D85E09">
              <w:instrText xml:space="preserve"> REF _Ref452371316 \r \h </w:instrText>
            </w:r>
            <w:r w:rsidR="00092415" w:rsidRPr="00D85E09">
              <w:fldChar w:fldCharType="separate"/>
            </w:r>
            <w:r w:rsidR="00A456ED">
              <w:t>C.5</w:t>
            </w:r>
            <w:r w:rsidR="00092415" w:rsidRPr="00D85E09">
              <w:fldChar w:fldCharType="end"/>
            </w:r>
            <w:r w:rsidRPr="00D85E09">
              <w:t>)</w:t>
            </w:r>
          </w:p>
        </w:tc>
        <w:tc>
          <w:tcPr>
            <w:tcW w:w="820" w:type="pct"/>
            <w:tcBorders>
              <w:top w:val="single" w:sz="4" w:space="0" w:color="000000"/>
              <w:left w:val="single" w:sz="4" w:space="0" w:color="000000"/>
              <w:bottom w:val="single" w:sz="4" w:space="0" w:color="000000"/>
              <w:right w:val="single" w:sz="4" w:space="0" w:color="000000"/>
            </w:tcBorders>
            <w:hideMark/>
          </w:tcPr>
          <w:p w14:paraId="220478F6"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20A13416" w14:textId="77777777" w:rsidR="00A41E60" w:rsidRPr="00D85E09" w:rsidRDefault="00A41E60" w:rsidP="0043316B">
            <w:pPr>
              <w:pStyle w:val="Tabletext"/>
              <w:keepNext w:val="0"/>
              <w:widowControl w:val="0"/>
            </w:pPr>
            <w:r w:rsidRPr="00D85E09">
              <w:t>$10,862</w:t>
            </w:r>
          </w:p>
        </w:tc>
        <w:tc>
          <w:tcPr>
            <w:tcW w:w="818" w:type="pct"/>
            <w:tcBorders>
              <w:top w:val="single" w:sz="4" w:space="0" w:color="000000"/>
              <w:left w:val="single" w:sz="4" w:space="0" w:color="000000"/>
              <w:bottom w:val="single" w:sz="4" w:space="0" w:color="000000"/>
              <w:right w:val="single" w:sz="4" w:space="0" w:color="000000"/>
            </w:tcBorders>
            <w:hideMark/>
          </w:tcPr>
          <w:p w14:paraId="6357E4BD" w14:textId="77777777" w:rsidR="00A41E60" w:rsidRPr="00D85E09" w:rsidRDefault="00A41E60" w:rsidP="0043316B">
            <w:pPr>
              <w:pStyle w:val="Tabletext"/>
              <w:keepNext w:val="0"/>
              <w:widowControl w:val="0"/>
            </w:pPr>
            <w:r w:rsidRPr="00D85E09">
              <w:t>$13,116</w:t>
            </w:r>
          </w:p>
        </w:tc>
      </w:tr>
      <w:tr w:rsidR="00A41E60" w:rsidRPr="00D85E09" w14:paraId="0F6539D1" w14:textId="77777777" w:rsidTr="00A41E60">
        <w:tc>
          <w:tcPr>
            <w:tcW w:w="1065" w:type="pct"/>
            <w:vMerge w:val="restart"/>
            <w:tcBorders>
              <w:top w:val="single" w:sz="4" w:space="0" w:color="000000"/>
              <w:left w:val="single" w:sz="4" w:space="0" w:color="000000"/>
              <w:bottom w:val="single" w:sz="4" w:space="0" w:color="000000"/>
              <w:right w:val="single" w:sz="4" w:space="0" w:color="000000"/>
            </w:tcBorders>
            <w:hideMark/>
          </w:tcPr>
          <w:p w14:paraId="19FAC63D" w14:textId="77777777" w:rsidR="00A41E60" w:rsidRPr="00D85E09" w:rsidRDefault="00A41E60" w:rsidP="0043316B">
            <w:pPr>
              <w:pStyle w:val="Tabletext"/>
              <w:keepNext w:val="0"/>
              <w:widowControl w:val="0"/>
            </w:pPr>
            <w:r w:rsidRPr="00D85E09">
              <w:t>Acute-/mid-term stroke management cost (by mRS; $14,647 to $23,695)</w:t>
            </w:r>
          </w:p>
        </w:tc>
        <w:tc>
          <w:tcPr>
            <w:tcW w:w="1477" w:type="pct"/>
            <w:tcBorders>
              <w:top w:val="single" w:sz="4" w:space="0" w:color="000000"/>
              <w:left w:val="single" w:sz="4" w:space="0" w:color="000000"/>
              <w:bottom w:val="single" w:sz="4" w:space="0" w:color="000000"/>
              <w:right w:val="single" w:sz="4" w:space="0" w:color="000000"/>
            </w:tcBorders>
            <w:hideMark/>
          </w:tcPr>
          <w:p w14:paraId="4493C064" w14:textId="77777777" w:rsidR="00A41E60" w:rsidRPr="00D85E09" w:rsidRDefault="00A41E60" w:rsidP="0043316B">
            <w:pPr>
              <w:pStyle w:val="Tabletext"/>
              <w:keepNext w:val="0"/>
              <w:widowControl w:val="0"/>
            </w:pPr>
            <w:r w:rsidRPr="00D85E09">
              <w:t>Halved</w:t>
            </w:r>
          </w:p>
        </w:tc>
        <w:tc>
          <w:tcPr>
            <w:tcW w:w="820" w:type="pct"/>
            <w:tcBorders>
              <w:top w:val="single" w:sz="4" w:space="0" w:color="000000"/>
              <w:left w:val="single" w:sz="4" w:space="0" w:color="000000"/>
              <w:bottom w:val="single" w:sz="4" w:space="0" w:color="000000"/>
              <w:right w:val="single" w:sz="4" w:space="0" w:color="000000"/>
            </w:tcBorders>
            <w:hideMark/>
          </w:tcPr>
          <w:p w14:paraId="734898F0"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43201C82" w14:textId="77777777" w:rsidR="00A41E60" w:rsidRPr="00D85E09" w:rsidRDefault="00A41E60" w:rsidP="0043316B">
            <w:pPr>
              <w:pStyle w:val="Tabletext"/>
              <w:keepNext w:val="0"/>
              <w:widowControl w:val="0"/>
            </w:pPr>
            <w:r w:rsidRPr="00D85E09">
              <w:t>$10,412</w:t>
            </w:r>
          </w:p>
        </w:tc>
        <w:tc>
          <w:tcPr>
            <w:tcW w:w="818" w:type="pct"/>
            <w:tcBorders>
              <w:top w:val="single" w:sz="4" w:space="0" w:color="000000"/>
              <w:left w:val="single" w:sz="4" w:space="0" w:color="000000"/>
              <w:bottom w:val="single" w:sz="4" w:space="0" w:color="000000"/>
              <w:right w:val="single" w:sz="4" w:space="0" w:color="000000"/>
            </w:tcBorders>
            <w:hideMark/>
          </w:tcPr>
          <w:p w14:paraId="41F281AA" w14:textId="77777777" w:rsidR="00A41E60" w:rsidRPr="00D85E09" w:rsidRDefault="00A41E60" w:rsidP="0043316B">
            <w:pPr>
              <w:pStyle w:val="Tabletext"/>
              <w:keepNext w:val="0"/>
              <w:widowControl w:val="0"/>
            </w:pPr>
            <w:r w:rsidRPr="00D85E09">
              <w:t>$12,573</w:t>
            </w:r>
          </w:p>
        </w:tc>
      </w:tr>
      <w:tr w:rsidR="00A41E60" w:rsidRPr="00D85E09" w14:paraId="32A675A6"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67BF59"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5C248A8E" w14:textId="77777777" w:rsidR="00A41E60" w:rsidRPr="00D85E09" w:rsidRDefault="00A41E60" w:rsidP="0043316B">
            <w:pPr>
              <w:pStyle w:val="Tabletext"/>
              <w:keepNext w:val="0"/>
              <w:widowControl w:val="0"/>
            </w:pPr>
            <w:r w:rsidRPr="00D85E09">
              <w:t>Doubled</w:t>
            </w:r>
          </w:p>
        </w:tc>
        <w:tc>
          <w:tcPr>
            <w:tcW w:w="820" w:type="pct"/>
            <w:tcBorders>
              <w:top w:val="single" w:sz="4" w:space="0" w:color="000000"/>
              <w:left w:val="single" w:sz="4" w:space="0" w:color="000000"/>
              <w:bottom w:val="single" w:sz="4" w:space="0" w:color="000000"/>
              <w:right w:val="single" w:sz="4" w:space="0" w:color="000000"/>
            </w:tcBorders>
            <w:hideMark/>
          </w:tcPr>
          <w:p w14:paraId="00E43F88"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4F6604FE" w14:textId="77777777" w:rsidR="00A41E60" w:rsidRPr="00D85E09" w:rsidRDefault="00A41E60" w:rsidP="0043316B">
            <w:pPr>
              <w:pStyle w:val="Tabletext"/>
              <w:keepNext w:val="0"/>
              <w:widowControl w:val="0"/>
            </w:pPr>
            <w:r w:rsidRPr="00D85E09">
              <w:t>$11,175</w:t>
            </w:r>
          </w:p>
        </w:tc>
        <w:tc>
          <w:tcPr>
            <w:tcW w:w="818" w:type="pct"/>
            <w:tcBorders>
              <w:top w:val="single" w:sz="4" w:space="0" w:color="000000"/>
              <w:left w:val="single" w:sz="4" w:space="0" w:color="000000"/>
              <w:bottom w:val="single" w:sz="4" w:space="0" w:color="000000"/>
              <w:right w:val="single" w:sz="4" w:space="0" w:color="000000"/>
            </w:tcBorders>
            <w:hideMark/>
          </w:tcPr>
          <w:p w14:paraId="17DA7425" w14:textId="77777777" w:rsidR="00A41E60" w:rsidRPr="00D85E09" w:rsidRDefault="00A41E60" w:rsidP="0043316B">
            <w:pPr>
              <w:pStyle w:val="Tabletext"/>
              <w:keepNext w:val="0"/>
              <w:widowControl w:val="0"/>
            </w:pPr>
            <w:r w:rsidRPr="00D85E09">
              <w:t>$13,494</w:t>
            </w:r>
          </w:p>
        </w:tc>
      </w:tr>
      <w:tr w:rsidR="00A41E60" w:rsidRPr="00D85E09" w14:paraId="28CC47D0"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FC42B6"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06981F0E" w14:textId="77777777" w:rsidR="00A41E60" w:rsidRPr="00D85E09" w:rsidRDefault="00A41E60" w:rsidP="0043316B">
            <w:pPr>
              <w:pStyle w:val="Tabletext"/>
              <w:keepNext w:val="0"/>
              <w:widowControl w:val="0"/>
            </w:pPr>
            <w:r w:rsidRPr="00D85E09">
              <w:t>No cost for mRS 6 (deaths)</w:t>
            </w:r>
          </w:p>
        </w:tc>
        <w:tc>
          <w:tcPr>
            <w:tcW w:w="820" w:type="pct"/>
            <w:tcBorders>
              <w:top w:val="single" w:sz="4" w:space="0" w:color="000000"/>
              <w:left w:val="single" w:sz="4" w:space="0" w:color="000000"/>
              <w:bottom w:val="single" w:sz="4" w:space="0" w:color="000000"/>
              <w:right w:val="single" w:sz="4" w:space="0" w:color="000000"/>
            </w:tcBorders>
            <w:hideMark/>
          </w:tcPr>
          <w:p w14:paraId="14EC14E2"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3FE9EFCD" w14:textId="77777777" w:rsidR="00A41E60" w:rsidRPr="00D85E09" w:rsidRDefault="00A41E60" w:rsidP="0043316B">
            <w:pPr>
              <w:pStyle w:val="Tabletext"/>
              <w:keepNext w:val="0"/>
              <w:widowControl w:val="0"/>
            </w:pPr>
            <w:r w:rsidRPr="00D85E09">
              <w:t>$10,637</w:t>
            </w:r>
          </w:p>
        </w:tc>
        <w:tc>
          <w:tcPr>
            <w:tcW w:w="818" w:type="pct"/>
            <w:tcBorders>
              <w:top w:val="single" w:sz="4" w:space="0" w:color="000000"/>
              <w:left w:val="single" w:sz="4" w:space="0" w:color="000000"/>
              <w:bottom w:val="single" w:sz="4" w:space="0" w:color="000000"/>
              <w:right w:val="single" w:sz="4" w:space="0" w:color="000000"/>
            </w:tcBorders>
            <w:hideMark/>
          </w:tcPr>
          <w:p w14:paraId="0CA1732D" w14:textId="77777777" w:rsidR="00A41E60" w:rsidRPr="00D85E09" w:rsidRDefault="00A41E60" w:rsidP="0043316B">
            <w:pPr>
              <w:pStyle w:val="Tabletext"/>
              <w:keepNext w:val="0"/>
              <w:widowControl w:val="0"/>
            </w:pPr>
            <w:r w:rsidRPr="00D85E09">
              <w:t>$12,844</w:t>
            </w:r>
          </w:p>
        </w:tc>
      </w:tr>
      <w:tr w:rsidR="00A41E60" w:rsidRPr="00D85E09" w14:paraId="67C8039C" w14:textId="77777777" w:rsidTr="00A41E60">
        <w:tc>
          <w:tcPr>
            <w:tcW w:w="1065" w:type="pct"/>
            <w:vMerge w:val="restart"/>
            <w:tcBorders>
              <w:top w:val="single" w:sz="4" w:space="0" w:color="000000"/>
              <w:left w:val="single" w:sz="4" w:space="0" w:color="000000"/>
              <w:bottom w:val="single" w:sz="4" w:space="0" w:color="000000"/>
              <w:right w:val="single" w:sz="4" w:space="0" w:color="000000"/>
            </w:tcBorders>
            <w:hideMark/>
          </w:tcPr>
          <w:p w14:paraId="3FEBAE76" w14:textId="77777777" w:rsidR="00A41E60" w:rsidRPr="00D85E09" w:rsidRDefault="00A41E60" w:rsidP="0043316B">
            <w:pPr>
              <w:pStyle w:val="Tabletext"/>
              <w:keepNext w:val="0"/>
              <w:widowControl w:val="0"/>
            </w:pPr>
            <w:r w:rsidRPr="00D85E09">
              <w:t>Long-term costs (by mRS; $1431 to $17943)</w:t>
            </w:r>
          </w:p>
        </w:tc>
        <w:tc>
          <w:tcPr>
            <w:tcW w:w="1477" w:type="pct"/>
            <w:tcBorders>
              <w:top w:val="single" w:sz="4" w:space="0" w:color="000000"/>
              <w:left w:val="single" w:sz="4" w:space="0" w:color="000000"/>
              <w:bottom w:val="single" w:sz="4" w:space="0" w:color="000000"/>
              <w:right w:val="single" w:sz="4" w:space="0" w:color="000000"/>
            </w:tcBorders>
            <w:hideMark/>
          </w:tcPr>
          <w:p w14:paraId="4F90ABAC" w14:textId="77777777" w:rsidR="00A41E60" w:rsidRPr="00D85E09" w:rsidRDefault="00A41E60" w:rsidP="0043316B">
            <w:pPr>
              <w:pStyle w:val="Tabletext"/>
              <w:keepNext w:val="0"/>
              <w:widowControl w:val="0"/>
            </w:pPr>
            <w:r w:rsidRPr="00D85E09">
              <w:t>Halved</w:t>
            </w:r>
          </w:p>
        </w:tc>
        <w:tc>
          <w:tcPr>
            <w:tcW w:w="820" w:type="pct"/>
            <w:tcBorders>
              <w:top w:val="single" w:sz="4" w:space="0" w:color="000000"/>
              <w:left w:val="single" w:sz="4" w:space="0" w:color="000000"/>
              <w:bottom w:val="single" w:sz="4" w:space="0" w:color="000000"/>
              <w:right w:val="single" w:sz="4" w:space="0" w:color="000000"/>
            </w:tcBorders>
            <w:hideMark/>
          </w:tcPr>
          <w:p w14:paraId="7C16D845"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1373D9C3" w14:textId="77777777" w:rsidR="00A41E60" w:rsidRPr="00D85E09" w:rsidRDefault="00A41E60" w:rsidP="0043316B">
            <w:pPr>
              <w:pStyle w:val="Tabletext"/>
              <w:keepNext w:val="0"/>
              <w:widowControl w:val="0"/>
            </w:pPr>
            <w:r w:rsidRPr="00D85E09">
              <w:t>$14,525</w:t>
            </w:r>
          </w:p>
        </w:tc>
        <w:tc>
          <w:tcPr>
            <w:tcW w:w="818" w:type="pct"/>
            <w:tcBorders>
              <w:top w:val="single" w:sz="4" w:space="0" w:color="000000"/>
              <w:left w:val="single" w:sz="4" w:space="0" w:color="000000"/>
              <w:bottom w:val="single" w:sz="4" w:space="0" w:color="000000"/>
              <w:right w:val="single" w:sz="4" w:space="0" w:color="000000"/>
            </w:tcBorders>
            <w:hideMark/>
          </w:tcPr>
          <w:p w14:paraId="5E75C9B5" w14:textId="77777777" w:rsidR="00A41E60" w:rsidRPr="00D85E09" w:rsidRDefault="00A41E60" w:rsidP="0043316B">
            <w:pPr>
              <w:pStyle w:val="Tabletext"/>
              <w:keepNext w:val="0"/>
              <w:widowControl w:val="0"/>
            </w:pPr>
            <w:r w:rsidRPr="00D85E09">
              <w:t>$17,539</w:t>
            </w:r>
          </w:p>
        </w:tc>
      </w:tr>
      <w:tr w:rsidR="00A41E60" w:rsidRPr="00D85E09" w14:paraId="68A26F4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F7639"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40A760E4" w14:textId="77777777" w:rsidR="00A41E60" w:rsidRPr="00D85E09" w:rsidRDefault="00A41E60" w:rsidP="0043316B">
            <w:pPr>
              <w:pStyle w:val="Tabletext"/>
              <w:keepNext w:val="0"/>
              <w:widowControl w:val="0"/>
            </w:pPr>
            <w:r w:rsidRPr="00D85E09">
              <w:t>Doubled</w:t>
            </w:r>
          </w:p>
        </w:tc>
        <w:tc>
          <w:tcPr>
            <w:tcW w:w="820" w:type="pct"/>
            <w:tcBorders>
              <w:top w:val="single" w:sz="4" w:space="0" w:color="000000"/>
              <w:left w:val="single" w:sz="4" w:space="0" w:color="000000"/>
              <w:bottom w:val="single" w:sz="4" w:space="0" w:color="000000"/>
              <w:right w:val="single" w:sz="4" w:space="0" w:color="000000"/>
            </w:tcBorders>
            <w:hideMark/>
          </w:tcPr>
          <w:p w14:paraId="703CF227"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6D22AE83" w14:textId="77777777" w:rsidR="00A41E60" w:rsidRPr="00D85E09" w:rsidRDefault="00A41E60" w:rsidP="0043316B">
            <w:pPr>
              <w:pStyle w:val="Tabletext"/>
              <w:keepNext w:val="0"/>
              <w:widowControl w:val="0"/>
            </w:pPr>
            <w:r w:rsidRPr="00D85E09">
              <w:t>$2,950</w:t>
            </w:r>
          </w:p>
        </w:tc>
        <w:tc>
          <w:tcPr>
            <w:tcW w:w="818" w:type="pct"/>
            <w:tcBorders>
              <w:top w:val="single" w:sz="4" w:space="0" w:color="000000"/>
              <w:left w:val="single" w:sz="4" w:space="0" w:color="000000"/>
              <w:bottom w:val="single" w:sz="4" w:space="0" w:color="000000"/>
              <w:right w:val="single" w:sz="4" w:space="0" w:color="000000"/>
            </w:tcBorders>
            <w:hideMark/>
          </w:tcPr>
          <w:p w14:paraId="668DCA9A" w14:textId="77777777" w:rsidR="00A41E60" w:rsidRPr="00D85E09" w:rsidRDefault="00A41E60" w:rsidP="0043316B">
            <w:pPr>
              <w:pStyle w:val="Tabletext"/>
              <w:keepNext w:val="0"/>
              <w:widowControl w:val="0"/>
            </w:pPr>
            <w:r w:rsidRPr="00D85E09">
              <w:t>$3,562</w:t>
            </w:r>
          </w:p>
        </w:tc>
      </w:tr>
      <w:tr w:rsidR="00A41E60" w:rsidRPr="00D85E09" w14:paraId="51F863E5"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92ED60"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31A950C5" w14:textId="77777777" w:rsidR="00A41E60" w:rsidRPr="00D85E09" w:rsidRDefault="00A41E60" w:rsidP="0043316B">
            <w:pPr>
              <w:pStyle w:val="Tabletext"/>
              <w:keepNext w:val="0"/>
              <w:widowControl w:val="0"/>
            </w:pPr>
            <w:r w:rsidRPr="00D85E09">
              <w:t>Taken out</w:t>
            </w:r>
          </w:p>
        </w:tc>
        <w:tc>
          <w:tcPr>
            <w:tcW w:w="820" w:type="pct"/>
            <w:tcBorders>
              <w:top w:val="single" w:sz="4" w:space="0" w:color="000000"/>
              <w:left w:val="single" w:sz="4" w:space="0" w:color="000000"/>
              <w:bottom w:val="single" w:sz="4" w:space="0" w:color="000000"/>
              <w:right w:val="single" w:sz="4" w:space="0" w:color="000000"/>
            </w:tcBorders>
            <w:hideMark/>
          </w:tcPr>
          <w:p w14:paraId="478C67B0" w14:textId="77777777" w:rsidR="00A41E60" w:rsidRPr="00D85E09" w:rsidRDefault="00A41E60" w:rsidP="0043316B">
            <w:pPr>
              <w:pStyle w:val="Tabletext"/>
              <w:keepNext w:val="0"/>
              <w:widowControl w:val="0"/>
            </w:pPr>
            <w:r w:rsidRPr="00D85E09">
              <w:t>0.8281</w:t>
            </w:r>
          </w:p>
        </w:tc>
        <w:tc>
          <w:tcPr>
            <w:tcW w:w="820" w:type="pct"/>
            <w:tcBorders>
              <w:top w:val="single" w:sz="4" w:space="0" w:color="000000"/>
              <w:left w:val="single" w:sz="4" w:space="0" w:color="000000"/>
              <w:bottom w:val="single" w:sz="4" w:space="0" w:color="000000"/>
              <w:right w:val="single" w:sz="4" w:space="0" w:color="000000"/>
            </w:tcBorders>
            <w:hideMark/>
          </w:tcPr>
          <w:p w14:paraId="7072A7C5" w14:textId="77777777" w:rsidR="00A41E60" w:rsidRPr="00D85E09" w:rsidRDefault="00A41E60" w:rsidP="0043316B">
            <w:pPr>
              <w:pStyle w:val="Tabletext"/>
              <w:keepNext w:val="0"/>
              <w:widowControl w:val="0"/>
            </w:pPr>
            <w:r w:rsidRPr="00D85E09">
              <w:t>$18,383</w:t>
            </w:r>
          </w:p>
        </w:tc>
        <w:tc>
          <w:tcPr>
            <w:tcW w:w="818" w:type="pct"/>
            <w:tcBorders>
              <w:top w:val="single" w:sz="4" w:space="0" w:color="000000"/>
              <w:left w:val="single" w:sz="4" w:space="0" w:color="000000"/>
              <w:bottom w:val="single" w:sz="4" w:space="0" w:color="000000"/>
              <w:right w:val="single" w:sz="4" w:space="0" w:color="000000"/>
            </w:tcBorders>
            <w:hideMark/>
          </w:tcPr>
          <w:p w14:paraId="799B32CA" w14:textId="77777777" w:rsidR="00A41E60" w:rsidRPr="00D85E09" w:rsidRDefault="00A41E60" w:rsidP="0043316B">
            <w:pPr>
              <w:pStyle w:val="Tabletext"/>
              <w:keepNext w:val="0"/>
              <w:widowControl w:val="0"/>
            </w:pPr>
            <w:r w:rsidRPr="00D85E09">
              <w:t>$22,198</w:t>
            </w:r>
          </w:p>
        </w:tc>
      </w:tr>
      <w:tr w:rsidR="00A41E60" w:rsidRPr="00D85E09" w14:paraId="184A4094" w14:textId="77777777" w:rsidTr="00A41E60">
        <w:tc>
          <w:tcPr>
            <w:tcW w:w="5000" w:type="pct"/>
            <w:gridSpan w:val="5"/>
            <w:tcBorders>
              <w:top w:val="single" w:sz="4" w:space="0" w:color="000000"/>
              <w:left w:val="single" w:sz="4" w:space="0" w:color="000000"/>
              <w:bottom w:val="single" w:sz="4" w:space="0" w:color="000000"/>
              <w:right w:val="single" w:sz="4" w:space="0" w:color="000000"/>
            </w:tcBorders>
            <w:hideMark/>
          </w:tcPr>
          <w:p w14:paraId="411D336A" w14:textId="77777777" w:rsidR="00A41E60" w:rsidRPr="00D85E09" w:rsidRDefault="00A41E60" w:rsidP="0043316B">
            <w:pPr>
              <w:pStyle w:val="Tabletext"/>
              <w:keepNext w:val="0"/>
              <w:widowControl w:val="0"/>
            </w:pPr>
            <w:r w:rsidRPr="00D85E09">
              <w:rPr>
                <w:b/>
                <w:i/>
              </w:rPr>
              <w:t>Extrapolation (also see Alternative models 1 and 2 below)</w:t>
            </w:r>
          </w:p>
        </w:tc>
      </w:tr>
      <w:tr w:rsidR="00A41E60" w:rsidRPr="00D85E09" w14:paraId="0109263A" w14:textId="77777777" w:rsidTr="00A41E60">
        <w:tc>
          <w:tcPr>
            <w:tcW w:w="1065" w:type="pct"/>
            <w:vMerge w:val="restart"/>
            <w:tcBorders>
              <w:top w:val="single" w:sz="4" w:space="0" w:color="000000"/>
              <w:left w:val="single" w:sz="4" w:space="0" w:color="000000"/>
              <w:bottom w:val="single" w:sz="4" w:space="0" w:color="000000"/>
              <w:right w:val="single" w:sz="4" w:space="0" w:color="000000"/>
            </w:tcBorders>
            <w:hideMark/>
          </w:tcPr>
          <w:p w14:paraId="739C23C9" w14:textId="2C5ED04F" w:rsidR="00A41E60" w:rsidRPr="00D85E09" w:rsidRDefault="00A41E60" w:rsidP="0043316B">
            <w:pPr>
              <w:pStyle w:val="Tabletext"/>
              <w:keepNext w:val="0"/>
              <w:widowControl w:val="0"/>
              <w:rPr>
                <w:lang w:eastAsia="ja-JP"/>
              </w:rPr>
            </w:pPr>
            <w:r w:rsidRPr="00D85E09">
              <w:rPr>
                <w:lang w:eastAsia="ja-JP"/>
              </w:rPr>
              <w:t xml:space="preserve">Long-term mRS transitions (Gensicke et al 2013; see Section </w:t>
            </w:r>
            <w:r w:rsidR="00092415" w:rsidRPr="00D85E09">
              <w:rPr>
                <w:lang w:eastAsia="ja-JP"/>
              </w:rPr>
              <w:fldChar w:fldCharType="begin"/>
            </w:r>
            <w:r w:rsidR="00092415" w:rsidRPr="00D85E09">
              <w:rPr>
                <w:lang w:eastAsia="ja-JP"/>
              </w:rPr>
              <w:instrText xml:space="preserve"> REF _Ref452371484 \r \h </w:instrText>
            </w:r>
            <w:r w:rsidR="00092415" w:rsidRPr="00D85E09">
              <w:rPr>
                <w:lang w:eastAsia="ja-JP"/>
              </w:rPr>
            </w:r>
            <w:r w:rsidR="00092415" w:rsidRPr="00D85E09">
              <w:rPr>
                <w:lang w:eastAsia="ja-JP"/>
              </w:rPr>
              <w:fldChar w:fldCharType="separate"/>
            </w:r>
            <w:r w:rsidR="00A456ED">
              <w:rPr>
                <w:lang w:eastAsia="ja-JP"/>
              </w:rPr>
              <w:t>C.7</w:t>
            </w:r>
            <w:r w:rsidR="00092415" w:rsidRPr="00D85E09">
              <w:rPr>
                <w:lang w:eastAsia="ja-JP"/>
              </w:rPr>
              <w:fldChar w:fldCharType="end"/>
            </w:r>
            <w:r w:rsidRPr="00D85E09">
              <w:rPr>
                <w:lang w:eastAsia="ja-JP"/>
              </w:rPr>
              <w:t>)</w:t>
            </w:r>
          </w:p>
        </w:tc>
        <w:tc>
          <w:tcPr>
            <w:tcW w:w="1477" w:type="pct"/>
            <w:tcBorders>
              <w:top w:val="single" w:sz="4" w:space="0" w:color="000000"/>
              <w:left w:val="single" w:sz="4" w:space="0" w:color="000000"/>
              <w:bottom w:val="single" w:sz="4" w:space="0" w:color="000000"/>
              <w:right w:val="single" w:sz="4" w:space="0" w:color="000000"/>
            </w:tcBorders>
            <w:hideMark/>
          </w:tcPr>
          <w:p w14:paraId="4815D4CC" w14:textId="77777777" w:rsidR="00A41E60" w:rsidRPr="00D85E09" w:rsidRDefault="00A41E60" w:rsidP="0043316B">
            <w:pPr>
              <w:pStyle w:val="Tabletext"/>
              <w:keepNext w:val="0"/>
              <w:widowControl w:val="0"/>
            </w:pPr>
            <w:r w:rsidRPr="00D85E09">
              <w:t>Aoki 2016 (5 year data; all changes occur by 12 months)</w:t>
            </w:r>
          </w:p>
        </w:tc>
        <w:tc>
          <w:tcPr>
            <w:tcW w:w="820" w:type="pct"/>
            <w:tcBorders>
              <w:top w:val="single" w:sz="4" w:space="0" w:color="000000"/>
              <w:left w:val="single" w:sz="4" w:space="0" w:color="000000"/>
              <w:bottom w:val="single" w:sz="4" w:space="0" w:color="000000"/>
              <w:right w:val="single" w:sz="4" w:space="0" w:color="000000"/>
            </w:tcBorders>
            <w:hideMark/>
          </w:tcPr>
          <w:p w14:paraId="08917CD7" w14:textId="77777777" w:rsidR="00A41E60" w:rsidRPr="00D85E09" w:rsidRDefault="00A41E60" w:rsidP="0043316B">
            <w:pPr>
              <w:pStyle w:val="Tabletext"/>
              <w:keepNext w:val="0"/>
              <w:widowControl w:val="0"/>
            </w:pPr>
            <w:r w:rsidRPr="00D85E09">
              <w:t>0.7613</w:t>
            </w:r>
          </w:p>
        </w:tc>
        <w:tc>
          <w:tcPr>
            <w:tcW w:w="820" w:type="pct"/>
            <w:tcBorders>
              <w:top w:val="single" w:sz="4" w:space="0" w:color="000000"/>
              <w:left w:val="single" w:sz="4" w:space="0" w:color="000000"/>
              <w:bottom w:val="single" w:sz="4" w:space="0" w:color="000000"/>
              <w:right w:val="single" w:sz="4" w:space="0" w:color="000000"/>
            </w:tcBorders>
            <w:hideMark/>
          </w:tcPr>
          <w:p w14:paraId="506EF8B4" w14:textId="77777777" w:rsidR="00A41E60" w:rsidRPr="00D85E09" w:rsidRDefault="00A41E60" w:rsidP="0043316B">
            <w:pPr>
              <w:pStyle w:val="Tabletext"/>
              <w:keepNext w:val="0"/>
              <w:widowControl w:val="0"/>
            </w:pPr>
            <w:r w:rsidRPr="00D85E09">
              <w:t>$16,778</w:t>
            </w:r>
          </w:p>
        </w:tc>
        <w:tc>
          <w:tcPr>
            <w:tcW w:w="818" w:type="pct"/>
            <w:tcBorders>
              <w:top w:val="single" w:sz="4" w:space="0" w:color="000000"/>
              <w:left w:val="single" w:sz="4" w:space="0" w:color="000000"/>
              <w:bottom w:val="single" w:sz="4" w:space="0" w:color="000000"/>
              <w:right w:val="single" w:sz="4" w:space="0" w:color="000000"/>
            </w:tcBorders>
            <w:hideMark/>
          </w:tcPr>
          <w:p w14:paraId="4C47FEDC" w14:textId="77777777" w:rsidR="00A41E60" w:rsidRPr="00D85E09" w:rsidRDefault="00A41E60" w:rsidP="0043316B">
            <w:pPr>
              <w:pStyle w:val="Tabletext"/>
              <w:keepNext w:val="0"/>
              <w:widowControl w:val="0"/>
            </w:pPr>
            <w:r w:rsidRPr="00D85E09">
              <w:t>$22,039</w:t>
            </w:r>
          </w:p>
        </w:tc>
      </w:tr>
      <w:tr w:rsidR="00A41E60" w:rsidRPr="00D85E09" w14:paraId="28949720"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C2C8D" w14:textId="77777777" w:rsidR="00A41E60" w:rsidRPr="00D85E09" w:rsidRDefault="00A41E60" w:rsidP="0043316B">
            <w:pPr>
              <w:widowControl w:val="0"/>
              <w:spacing w:after="0" w:line="240" w:lineRule="auto"/>
              <w:rPr>
                <w:rFonts w:ascii="Arial Narrow" w:hAnsi="Arial Narrow" w:cs="Times New Roman"/>
                <w:sz w:val="20"/>
                <w:szCs w:val="20"/>
                <w:lang w:eastAsia="ja-JP"/>
              </w:rPr>
            </w:pPr>
          </w:p>
        </w:tc>
        <w:tc>
          <w:tcPr>
            <w:tcW w:w="1477" w:type="pct"/>
            <w:tcBorders>
              <w:top w:val="single" w:sz="4" w:space="0" w:color="000000"/>
              <w:left w:val="single" w:sz="4" w:space="0" w:color="000000"/>
              <w:bottom w:val="single" w:sz="4" w:space="0" w:color="000000"/>
              <w:right w:val="single" w:sz="4" w:space="0" w:color="000000"/>
            </w:tcBorders>
            <w:hideMark/>
          </w:tcPr>
          <w:p w14:paraId="091600E2" w14:textId="77777777" w:rsidR="00A41E60" w:rsidRPr="00D85E09" w:rsidRDefault="00A41E60" w:rsidP="0043316B">
            <w:pPr>
              <w:pStyle w:val="Tabletext"/>
              <w:keepNext w:val="0"/>
              <w:widowControl w:val="0"/>
            </w:pPr>
            <w:r w:rsidRPr="00D85E09">
              <w:t>Magalhães 2014 (7 year data; all changes occur by 12 months)</w:t>
            </w:r>
          </w:p>
        </w:tc>
        <w:tc>
          <w:tcPr>
            <w:tcW w:w="820" w:type="pct"/>
            <w:tcBorders>
              <w:top w:val="single" w:sz="4" w:space="0" w:color="000000"/>
              <w:left w:val="single" w:sz="4" w:space="0" w:color="000000"/>
              <w:bottom w:val="single" w:sz="4" w:space="0" w:color="000000"/>
              <w:right w:val="single" w:sz="4" w:space="0" w:color="000000"/>
            </w:tcBorders>
            <w:hideMark/>
          </w:tcPr>
          <w:p w14:paraId="2C2C8D02" w14:textId="77777777" w:rsidR="00A41E60" w:rsidRPr="00D85E09" w:rsidRDefault="00A41E60" w:rsidP="0043316B">
            <w:pPr>
              <w:pStyle w:val="Tabletext"/>
              <w:keepNext w:val="0"/>
              <w:widowControl w:val="0"/>
            </w:pPr>
            <w:r w:rsidRPr="00D85E09">
              <w:t>0.5389</w:t>
            </w:r>
          </w:p>
        </w:tc>
        <w:tc>
          <w:tcPr>
            <w:tcW w:w="820" w:type="pct"/>
            <w:tcBorders>
              <w:top w:val="single" w:sz="4" w:space="0" w:color="000000"/>
              <w:left w:val="single" w:sz="4" w:space="0" w:color="000000"/>
              <w:bottom w:val="single" w:sz="4" w:space="0" w:color="000000"/>
              <w:right w:val="single" w:sz="4" w:space="0" w:color="000000"/>
            </w:tcBorders>
            <w:hideMark/>
          </w:tcPr>
          <w:p w14:paraId="442A5454" w14:textId="77777777" w:rsidR="00A41E60" w:rsidRPr="00D85E09" w:rsidRDefault="00A41E60" w:rsidP="0043316B">
            <w:pPr>
              <w:pStyle w:val="Tabletext"/>
              <w:keepNext w:val="0"/>
              <w:widowControl w:val="0"/>
            </w:pPr>
            <w:r w:rsidRPr="00D85E09">
              <w:t>$17,838</w:t>
            </w:r>
          </w:p>
        </w:tc>
        <w:tc>
          <w:tcPr>
            <w:tcW w:w="818" w:type="pct"/>
            <w:tcBorders>
              <w:top w:val="single" w:sz="4" w:space="0" w:color="000000"/>
              <w:left w:val="single" w:sz="4" w:space="0" w:color="000000"/>
              <w:bottom w:val="single" w:sz="4" w:space="0" w:color="000000"/>
              <w:right w:val="single" w:sz="4" w:space="0" w:color="000000"/>
            </w:tcBorders>
            <w:hideMark/>
          </w:tcPr>
          <w:p w14:paraId="26F1E2C0" w14:textId="77777777" w:rsidR="00A41E60" w:rsidRPr="00D85E09" w:rsidRDefault="00A41E60" w:rsidP="0043316B">
            <w:pPr>
              <w:pStyle w:val="Tabletext"/>
              <w:keepNext w:val="0"/>
              <w:widowControl w:val="0"/>
            </w:pPr>
            <w:r w:rsidRPr="00D85E09">
              <w:t>$33,101</w:t>
            </w:r>
          </w:p>
        </w:tc>
      </w:tr>
      <w:tr w:rsidR="00A41E60" w:rsidRPr="00D85E09" w14:paraId="0F5070D1"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766304" w14:textId="77777777" w:rsidR="00A41E60" w:rsidRPr="00D85E09" w:rsidRDefault="00A41E60" w:rsidP="0043316B">
            <w:pPr>
              <w:widowControl w:val="0"/>
              <w:spacing w:after="0" w:line="240" w:lineRule="auto"/>
              <w:rPr>
                <w:rFonts w:ascii="Arial Narrow" w:hAnsi="Arial Narrow" w:cs="Times New Roman"/>
                <w:sz w:val="20"/>
                <w:szCs w:val="20"/>
                <w:lang w:eastAsia="ja-JP"/>
              </w:rPr>
            </w:pPr>
          </w:p>
        </w:tc>
        <w:tc>
          <w:tcPr>
            <w:tcW w:w="1477" w:type="pct"/>
            <w:tcBorders>
              <w:top w:val="single" w:sz="4" w:space="0" w:color="000000"/>
              <w:left w:val="single" w:sz="4" w:space="0" w:color="000000"/>
              <w:bottom w:val="single" w:sz="4" w:space="0" w:color="000000"/>
              <w:right w:val="single" w:sz="4" w:space="0" w:color="000000"/>
            </w:tcBorders>
            <w:hideMark/>
          </w:tcPr>
          <w:p w14:paraId="43C179BA" w14:textId="77777777" w:rsidR="00A41E60" w:rsidRPr="00D85E09" w:rsidRDefault="00A41E60" w:rsidP="0043316B">
            <w:pPr>
              <w:pStyle w:val="Tabletext"/>
              <w:keepNext w:val="0"/>
              <w:widowControl w:val="0"/>
            </w:pPr>
            <w:r w:rsidRPr="00D85E09">
              <w:t>No transition after Day 90 („trial based)</w:t>
            </w:r>
          </w:p>
        </w:tc>
        <w:tc>
          <w:tcPr>
            <w:tcW w:w="820" w:type="pct"/>
            <w:tcBorders>
              <w:top w:val="single" w:sz="4" w:space="0" w:color="000000"/>
              <w:left w:val="single" w:sz="4" w:space="0" w:color="000000"/>
              <w:bottom w:val="single" w:sz="4" w:space="0" w:color="000000"/>
              <w:right w:val="single" w:sz="4" w:space="0" w:color="000000"/>
            </w:tcBorders>
            <w:hideMark/>
          </w:tcPr>
          <w:p w14:paraId="7067B646" w14:textId="77777777" w:rsidR="00A41E60" w:rsidRPr="00D85E09" w:rsidRDefault="00A41E60" w:rsidP="0043316B">
            <w:pPr>
              <w:pStyle w:val="Tabletext"/>
              <w:keepNext w:val="0"/>
              <w:widowControl w:val="0"/>
            </w:pPr>
            <w:r w:rsidRPr="00D85E09">
              <w:t>1.0688</w:t>
            </w:r>
          </w:p>
        </w:tc>
        <w:tc>
          <w:tcPr>
            <w:tcW w:w="820" w:type="pct"/>
            <w:tcBorders>
              <w:top w:val="single" w:sz="4" w:space="0" w:color="000000"/>
              <w:left w:val="single" w:sz="4" w:space="0" w:color="000000"/>
              <w:bottom w:val="single" w:sz="4" w:space="0" w:color="000000"/>
              <w:right w:val="single" w:sz="4" w:space="0" w:color="000000"/>
            </w:tcBorders>
            <w:hideMark/>
          </w:tcPr>
          <w:p w14:paraId="55C8963C" w14:textId="77777777" w:rsidR="00A41E60" w:rsidRPr="00D85E09" w:rsidRDefault="00A41E60" w:rsidP="0043316B">
            <w:pPr>
              <w:pStyle w:val="Tabletext"/>
              <w:keepNext w:val="0"/>
              <w:widowControl w:val="0"/>
            </w:pPr>
            <w:r w:rsidRPr="00D85E09">
              <w:t>-$3,290</w:t>
            </w:r>
          </w:p>
        </w:tc>
        <w:tc>
          <w:tcPr>
            <w:tcW w:w="818" w:type="pct"/>
            <w:tcBorders>
              <w:top w:val="single" w:sz="4" w:space="0" w:color="000000"/>
              <w:left w:val="single" w:sz="4" w:space="0" w:color="000000"/>
              <w:bottom w:val="single" w:sz="4" w:space="0" w:color="000000"/>
              <w:right w:val="single" w:sz="4" w:space="0" w:color="000000"/>
            </w:tcBorders>
            <w:hideMark/>
          </w:tcPr>
          <w:p w14:paraId="0B3870EA" w14:textId="77777777" w:rsidR="00A41E60" w:rsidRPr="00D85E09" w:rsidRDefault="00A41E60" w:rsidP="0043316B">
            <w:pPr>
              <w:pStyle w:val="Tabletext"/>
              <w:keepNext w:val="0"/>
              <w:widowControl w:val="0"/>
            </w:pPr>
            <w:r w:rsidRPr="00D85E09">
              <w:t>-$3,078</w:t>
            </w:r>
          </w:p>
        </w:tc>
      </w:tr>
      <w:tr w:rsidR="00A41E60" w:rsidRPr="00D85E09" w14:paraId="3D0CCAAD" w14:textId="77777777" w:rsidTr="00A41E60">
        <w:tc>
          <w:tcPr>
            <w:tcW w:w="1065" w:type="pct"/>
            <w:vMerge w:val="restart"/>
            <w:tcBorders>
              <w:top w:val="single" w:sz="4" w:space="0" w:color="000000"/>
              <w:left w:val="single" w:sz="4" w:space="0" w:color="000000"/>
              <w:bottom w:val="single" w:sz="4" w:space="0" w:color="000000"/>
              <w:right w:val="single" w:sz="4" w:space="0" w:color="000000"/>
            </w:tcBorders>
            <w:hideMark/>
          </w:tcPr>
          <w:p w14:paraId="1C04B10F" w14:textId="77777777" w:rsidR="00A41E60" w:rsidRPr="00D85E09" w:rsidRDefault="00A41E60" w:rsidP="0043316B">
            <w:pPr>
              <w:pStyle w:val="Tabletext"/>
              <w:keepNext w:val="0"/>
              <w:widowControl w:val="0"/>
            </w:pPr>
            <w:r w:rsidRPr="00D85E09">
              <w:t>Recurrent stroke (6.49% to Day 365, 2.01% annually thereafter; Mohan 2011)</w:t>
            </w:r>
          </w:p>
        </w:tc>
        <w:tc>
          <w:tcPr>
            <w:tcW w:w="1477" w:type="pct"/>
            <w:tcBorders>
              <w:top w:val="single" w:sz="4" w:space="0" w:color="000000"/>
              <w:left w:val="single" w:sz="4" w:space="0" w:color="000000"/>
              <w:bottom w:val="single" w:sz="4" w:space="0" w:color="000000"/>
              <w:right w:val="single" w:sz="4" w:space="0" w:color="000000"/>
            </w:tcBorders>
            <w:hideMark/>
          </w:tcPr>
          <w:p w14:paraId="7B094996" w14:textId="77777777" w:rsidR="00A41E60" w:rsidRPr="00D85E09" w:rsidRDefault="00A41E60" w:rsidP="0043316B">
            <w:pPr>
              <w:pStyle w:val="Tabletext"/>
              <w:keepNext w:val="0"/>
              <w:widowControl w:val="0"/>
            </w:pPr>
            <w:r w:rsidRPr="00D85E09">
              <w:t>Half</w:t>
            </w:r>
          </w:p>
        </w:tc>
        <w:tc>
          <w:tcPr>
            <w:tcW w:w="820" w:type="pct"/>
            <w:tcBorders>
              <w:top w:val="single" w:sz="4" w:space="0" w:color="000000"/>
              <w:left w:val="single" w:sz="4" w:space="0" w:color="000000"/>
              <w:bottom w:val="single" w:sz="4" w:space="0" w:color="000000"/>
              <w:right w:val="single" w:sz="4" w:space="0" w:color="000000"/>
            </w:tcBorders>
            <w:hideMark/>
          </w:tcPr>
          <w:p w14:paraId="2E590816" w14:textId="77777777" w:rsidR="00A41E60" w:rsidRPr="00D85E09" w:rsidRDefault="00A41E60" w:rsidP="0043316B">
            <w:pPr>
              <w:pStyle w:val="Tabletext"/>
              <w:keepNext w:val="0"/>
              <w:widowControl w:val="0"/>
            </w:pPr>
            <w:r w:rsidRPr="00D85E09">
              <w:t>0.8857</w:t>
            </w:r>
          </w:p>
        </w:tc>
        <w:tc>
          <w:tcPr>
            <w:tcW w:w="820" w:type="pct"/>
            <w:tcBorders>
              <w:top w:val="single" w:sz="4" w:space="0" w:color="000000"/>
              <w:left w:val="single" w:sz="4" w:space="0" w:color="000000"/>
              <w:bottom w:val="single" w:sz="4" w:space="0" w:color="000000"/>
              <w:right w:val="single" w:sz="4" w:space="0" w:color="000000"/>
            </w:tcBorders>
            <w:hideMark/>
          </w:tcPr>
          <w:p w14:paraId="289812EE" w14:textId="77777777" w:rsidR="00A41E60" w:rsidRPr="00D85E09" w:rsidRDefault="00A41E60" w:rsidP="0043316B">
            <w:pPr>
              <w:pStyle w:val="Tabletext"/>
              <w:keepNext w:val="0"/>
              <w:widowControl w:val="0"/>
            </w:pPr>
            <w:r w:rsidRPr="00D85E09">
              <w:t>$9,541</w:t>
            </w:r>
          </w:p>
        </w:tc>
        <w:tc>
          <w:tcPr>
            <w:tcW w:w="818" w:type="pct"/>
            <w:tcBorders>
              <w:top w:val="single" w:sz="4" w:space="0" w:color="000000"/>
              <w:left w:val="single" w:sz="4" w:space="0" w:color="000000"/>
              <w:bottom w:val="single" w:sz="4" w:space="0" w:color="000000"/>
              <w:right w:val="single" w:sz="4" w:space="0" w:color="000000"/>
            </w:tcBorders>
            <w:hideMark/>
          </w:tcPr>
          <w:p w14:paraId="6D1AED41" w14:textId="77777777" w:rsidR="00A41E60" w:rsidRPr="00D85E09" w:rsidRDefault="00A41E60" w:rsidP="0043316B">
            <w:pPr>
              <w:pStyle w:val="Tabletext"/>
              <w:keepNext w:val="0"/>
              <w:widowControl w:val="0"/>
            </w:pPr>
            <w:r w:rsidRPr="00D85E09">
              <w:t>$10,771</w:t>
            </w:r>
          </w:p>
        </w:tc>
      </w:tr>
      <w:tr w:rsidR="00A41E60" w:rsidRPr="00D85E09" w14:paraId="1C777C8B"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836A0"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51E4618E" w14:textId="77777777" w:rsidR="00A41E60" w:rsidRPr="00D85E09" w:rsidRDefault="00A41E60" w:rsidP="0043316B">
            <w:pPr>
              <w:pStyle w:val="Tabletext"/>
              <w:keepNext w:val="0"/>
              <w:widowControl w:val="0"/>
            </w:pPr>
            <w:r w:rsidRPr="00D85E09">
              <w:t>Double</w:t>
            </w:r>
          </w:p>
        </w:tc>
        <w:tc>
          <w:tcPr>
            <w:tcW w:w="820" w:type="pct"/>
            <w:tcBorders>
              <w:top w:val="single" w:sz="4" w:space="0" w:color="000000"/>
              <w:left w:val="single" w:sz="4" w:space="0" w:color="000000"/>
              <w:bottom w:val="single" w:sz="4" w:space="0" w:color="000000"/>
              <w:right w:val="single" w:sz="4" w:space="0" w:color="000000"/>
            </w:tcBorders>
            <w:hideMark/>
          </w:tcPr>
          <w:p w14:paraId="417F5EBA" w14:textId="77777777" w:rsidR="00A41E60" w:rsidRPr="00D85E09" w:rsidRDefault="00A41E60" w:rsidP="0043316B">
            <w:pPr>
              <w:pStyle w:val="Tabletext"/>
              <w:keepNext w:val="0"/>
              <w:widowControl w:val="0"/>
            </w:pPr>
            <w:r w:rsidRPr="00D85E09">
              <w:t>0.7238</w:t>
            </w:r>
          </w:p>
        </w:tc>
        <w:tc>
          <w:tcPr>
            <w:tcW w:w="820" w:type="pct"/>
            <w:tcBorders>
              <w:top w:val="single" w:sz="4" w:space="0" w:color="000000"/>
              <w:left w:val="single" w:sz="4" w:space="0" w:color="000000"/>
              <w:bottom w:val="single" w:sz="4" w:space="0" w:color="000000"/>
              <w:right w:val="single" w:sz="4" w:space="0" w:color="000000"/>
            </w:tcBorders>
            <w:hideMark/>
          </w:tcPr>
          <w:p w14:paraId="4E61CCC0" w14:textId="77777777" w:rsidR="00A41E60" w:rsidRPr="00D85E09" w:rsidRDefault="00A41E60" w:rsidP="0043316B">
            <w:pPr>
              <w:pStyle w:val="Tabletext"/>
              <w:keepNext w:val="0"/>
              <w:widowControl w:val="0"/>
            </w:pPr>
            <w:r w:rsidRPr="00D85E09">
              <w:t>$12,702</w:t>
            </w:r>
          </w:p>
        </w:tc>
        <w:tc>
          <w:tcPr>
            <w:tcW w:w="818" w:type="pct"/>
            <w:tcBorders>
              <w:top w:val="single" w:sz="4" w:space="0" w:color="000000"/>
              <w:left w:val="single" w:sz="4" w:space="0" w:color="000000"/>
              <w:bottom w:val="single" w:sz="4" w:space="0" w:color="000000"/>
              <w:right w:val="single" w:sz="4" w:space="0" w:color="000000"/>
            </w:tcBorders>
            <w:hideMark/>
          </w:tcPr>
          <w:p w14:paraId="18F8D105" w14:textId="77777777" w:rsidR="00A41E60" w:rsidRPr="00D85E09" w:rsidRDefault="00A41E60" w:rsidP="0043316B">
            <w:pPr>
              <w:pStyle w:val="Tabletext"/>
              <w:keepNext w:val="0"/>
              <w:widowControl w:val="0"/>
            </w:pPr>
            <w:r w:rsidRPr="00D85E09">
              <w:t>$17,550</w:t>
            </w:r>
          </w:p>
        </w:tc>
      </w:tr>
      <w:tr w:rsidR="00A41E60" w:rsidRPr="00D85E09" w14:paraId="7E3E59CC"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F19E2A"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064D778B" w14:textId="7EE15130" w:rsidR="00A41E60" w:rsidRPr="00D85E09" w:rsidRDefault="00A41E60" w:rsidP="0043316B">
            <w:pPr>
              <w:pStyle w:val="Tabletext"/>
              <w:keepNext w:val="0"/>
              <w:widowControl w:val="0"/>
            </w:pPr>
            <w:r w:rsidRPr="00D85E09">
              <w:t xml:space="preserve">Taken out (also see </w:t>
            </w:r>
            <w:r w:rsidRPr="00D85E09">
              <w:fldChar w:fldCharType="begin"/>
            </w:r>
            <w:r w:rsidRPr="00D85E09">
              <w:instrText xml:space="preserve"> REF _Ref451771847 \h </w:instrText>
            </w:r>
            <w:r w:rsidRPr="00D85E09">
              <w:fldChar w:fldCharType="separate"/>
            </w:r>
            <w:r w:rsidR="00A456ED" w:rsidRPr="00D85E09">
              <w:rPr>
                <w:lang w:val="en-AU"/>
              </w:rPr>
              <w:t xml:space="preserve">Table </w:t>
            </w:r>
            <w:r w:rsidR="00A456ED">
              <w:rPr>
                <w:noProof/>
                <w:lang w:val="en-AU"/>
              </w:rPr>
              <w:t>98</w:t>
            </w:r>
            <w:r w:rsidRPr="00D85E09">
              <w:fldChar w:fldCharType="end"/>
            </w:r>
            <w:r w:rsidRPr="00D85E09">
              <w:t>)</w:t>
            </w:r>
          </w:p>
        </w:tc>
        <w:tc>
          <w:tcPr>
            <w:tcW w:w="820" w:type="pct"/>
            <w:tcBorders>
              <w:top w:val="single" w:sz="4" w:space="0" w:color="000000"/>
              <w:left w:val="single" w:sz="4" w:space="0" w:color="000000"/>
              <w:bottom w:val="single" w:sz="4" w:space="0" w:color="000000"/>
              <w:right w:val="single" w:sz="4" w:space="0" w:color="000000"/>
            </w:tcBorders>
            <w:hideMark/>
          </w:tcPr>
          <w:p w14:paraId="64EFD182" w14:textId="77777777" w:rsidR="00A41E60" w:rsidRPr="00D85E09" w:rsidRDefault="00A41E60" w:rsidP="0043316B">
            <w:pPr>
              <w:pStyle w:val="Tabletext"/>
              <w:keepNext w:val="0"/>
              <w:widowControl w:val="0"/>
            </w:pPr>
            <w:r w:rsidRPr="00D85E09">
              <w:t>0.9473</w:t>
            </w:r>
          </w:p>
        </w:tc>
        <w:tc>
          <w:tcPr>
            <w:tcW w:w="820" w:type="pct"/>
            <w:tcBorders>
              <w:top w:val="single" w:sz="4" w:space="0" w:color="000000"/>
              <w:left w:val="single" w:sz="4" w:space="0" w:color="000000"/>
              <w:bottom w:val="single" w:sz="4" w:space="0" w:color="000000"/>
              <w:right w:val="single" w:sz="4" w:space="0" w:color="000000"/>
            </w:tcBorders>
            <w:hideMark/>
          </w:tcPr>
          <w:p w14:paraId="5F45430A" w14:textId="77777777" w:rsidR="00A41E60" w:rsidRPr="00D85E09" w:rsidRDefault="00A41E60" w:rsidP="0043316B">
            <w:pPr>
              <w:pStyle w:val="Tabletext"/>
              <w:keepNext w:val="0"/>
              <w:widowControl w:val="0"/>
            </w:pPr>
            <w:r w:rsidRPr="00D85E09">
              <w:t>$8,337</w:t>
            </w:r>
          </w:p>
        </w:tc>
        <w:tc>
          <w:tcPr>
            <w:tcW w:w="818" w:type="pct"/>
            <w:tcBorders>
              <w:top w:val="single" w:sz="4" w:space="0" w:color="000000"/>
              <w:left w:val="single" w:sz="4" w:space="0" w:color="000000"/>
              <w:bottom w:val="single" w:sz="4" w:space="0" w:color="000000"/>
              <w:right w:val="single" w:sz="4" w:space="0" w:color="000000"/>
            </w:tcBorders>
            <w:hideMark/>
          </w:tcPr>
          <w:p w14:paraId="7F29B62A" w14:textId="77777777" w:rsidR="00A41E60" w:rsidRPr="00D85E09" w:rsidRDefault="00A41E60" w:rsidP="0043316B">
            <w:pPr>
              <w:pStyle w:val="Tabletext"/>
              <w:keepNext w:val="0"/>
              <w:widowControl w:val="0"/>
            </w:pPr>
            <w:r w:rsidRPr="00D85E09">
              <w:t>$8,801</w:t>
            </w:r>
          </w:p>
        </w:tc>
      </w:tr>
      <w:tr w:rsidR="00A41E60" w:rsidRPr="00D85E09" w14:paraId="7FF28572" w14:textId="77777777" w:rsidTr="00A41E6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7E0B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1477" w:type="pct"/>
            <w:tcBorders>
              <w:top w:val="single" w:sz="4" w:space="0" w:color="000000"/>
              <w:left w:val="single" w:sz="4" w:space="0" w:color="000000"/>
              <w:bottom w:val="single" w:sz="4" w:space="0" w:color="000000"/>
              <w:right w:val="single" w:sz="4" w:space="0" w:color="000000"/>
            </w:tcBorders>
            <w:hideMark/>
          </w:tcPr>
          <w:p w14:paraId="7E44C530" w14:textId="77777777" w:rsidR="00A41E60" w:rsidRPr="00D85E09" w:rsidRDefault="00A41E60" w:rsidP="0043316B">
            <w:pPr>
              <w:pStyle w:val="Tabletext"/>
              <w:keepNext w:val="0"/>
              <w:widowControl w:val="0"/>
            </w:pPr>
            <w:r w:rsidRPr="00D85E09">
              <w:t xml:space="preserve">Use mechanical thrombectomy for </w:t>
            </w:r>
            <w:r w:rsidRPr="00D85E09">
              <w:lastRenderedPageBreak/>
              <w:t>recurrent strokes (for the mechanical thrombectomy arm)</w:t>
            </w:r>
          </w:p>
        </w:tc>
        <w:tc>
          <w:tcPr>
            <w:tcW w:w="820" w:type="pct"/>
            <w:tcBorders>
              <w:top w:val="single" w:sz="4" w:space="0" w:color="000000"/>
              <w:left w:val="single" w:sz="4" w:space="0" w:color="000000"/>
              <w:bottom w:val="single" w:sz="4" w:space="0" w:color="000000"/>
              <w:right w:val="single" w:sz="4" w:space="0" w:color="000000"/>
            </w:tcBorders>
            <w:hideMark/>
          </w:tcPr>
          <w:p w14:paraId="2F4DB42E" w14:textId="77777777" w:rsidR="00A41E60" w:rsidRPr="00D85E09" w:rsidRDefault="00A41E60" w:rsidP="0043316B">
            <w:pPr>
              <w:pStyle w:val="Tabletext"/>
              <w:keepNext w:val="0"/>
              <w:widowControl w:val="0"/>
            </w:pPr>
            <w:r w:rsidRPr="00D85E09">
              <w:lastRenderedPageBreak/>
              <w:t>0.8928</w:t>
            </w:r>
          </w:p>
        </w:tc>
        <w:tc>
          <w:tcPr>
            <w:tcW w:w="820" w:type="pct"/>
            <w:tcBorders>
              <w:top w:val="single" w:sz="4" w:space="0" w:color="000000"/>
              <w:left w:val="single" w:sz="4" w:space="0" w:color="000000"/>
              <w:bottom w:val="single" w:sz="4" w:space="0" w:color="000000"/>
              <w:right w:val="single" w:sz="4" w:space="0" w:color="000000"/>
            </w:tcBorders>
            <w:hideMark/>
          </w:tcPr>
          <w:p w14:paraId="5306185C" w14:textId="77777777" w:rsidR="00A41E60" w:rsidRPr="00D85E09" w:rsidRDefault="00A41E60" w:rsidP="0043316B">
            <w:pPr>
              <w:pStyle w:val="Tabletext"/>
              <w:keepNext w:val="0"/>
              <w:widowControl w:val="0"/>
            </w:pPr>
            <w:r w:rsidRPr="00D85E09">
              <w:t>$13,671</w:t>
            </w:r>
          </w:p>
        </w:tc>
        <w:tc>
          <w:tcPr>
            <w:tcW w:w="818" w:type="pct"/>
            <w:tcBorders>
              <w:top w:val="single" w:sz="4" w:space="0" w:color="000000"/>
              <w:left w:val="single" w:sz="4" w:space="0" w:color="000000"/>
              <w:bottom w:val="single" w:sz="4" w:space="0" w:color="000000"/>
              <w:right w:val="single" w:sz="4" w:space="0" w:color="000000"/>
            </w:tcBorders>
            <w:hideMark/>
          </w:tcPr>
          <w:p w14:paraId="2BE15E7C" w14:textId="77777777" w:rsidR="00A41E60" w:rsidRPr="00D85E09" w:rsidRDefault="00A41E60" w:rsidP="0043316B">
            <w:pPr>
              <w:pStyle w:val="Tabletext"/>
              <w:keepNext w:val="0"/>
              <w:widowControl w:val="0"/>
            </w:pPr>
            <w:r w:rsidRPr="00D85E09">
              <w:t>$15,312</w:t>
            </w:r>
          </w:p>
        </w:tc>
      </w:tr>
      <w:tr w:rsidR="00A41E60" w:rsidRPr="00D85E09" w14:paraId="76B86298" w14:textId="77777777" w:rsidTr="00A41E60">
        <w:tc>
          <w:tcPr>
            <w:tcW w:w="1065" w:type="pct"/>
            <w:tcBorders>
              <w:top w:val="single" w:sz="4" w:space="0" w:color="000000"/>
              <w:left w:val="single" w:sz="4" w:space="0" w:color="000000"/>
              <w:bottom w:val="single" w:sz="4" w:space="0" w:color="000000"/>
              <w:right w:val="nil"/>
            </w:tcBorders>
            <w:hideMark/>
          </w:tcPr>
          <w:p w14:paraId="15F674C8" w14:textId="77777777" w:rsidR="00A41E60" w:rsidRPr="00D85E09" w:rsidRDefault="00A41E60" w:rsidP="0043316B">
            <w:pPr>
              <w:pStyle w:val="Tabletext"/>
              <w:keepNext w:val="0"/>
              <w:widowControl w:val="0"/>
              <w:rPr>
                <w:b/>
                <w:i/>
              </w:rPr>
            </w:pPr>
            <w:r w:rsidRPr="00D85E09">
              <w:rPr>
                <w:b/>
                <w:i/>
              </w:rPr>
              <w:lastRenderedPageBreak/>
              <w:t xml:space="preserve">Others </w:t>
            </w:r>
          </w:p>
        </w:tc>
        <w:tc>
          <w:tcPr>
            <w:tcW w:w="1477" w:type="pct"/>
            <w:tcBorders>
              <w:top w:val="single" w:sz="4" w:space="0" w:color="000000"/>
              <w:left w:val="nil"/>
              <w:bottom w:val="single" w:sz="4" w:space="0" w:color="000000"/>
              <w:right w:val="nil"/>
            </w:tcBorders>
          </w:tcPr>
          <w:p w14:paraId="2AEAD4A1" w14:textId="77777777" w:rsidR="00A41E60" w:rsidRPr="00D85E09" w:rsidRDefault="00A41E60" w:rsidP="0043316B">
            <w:pPr>
              <w:pStyle w:val="Tabletext"/>
              <w:keepNext w:val="0"/>
              <w:widowControl w:val="0"/>
            </w:pPr>
          </w:p>
        </w:tc>
        <w:tc>
          <w:tcPr>
            <w:tcW w:w="820" w:type="pct"/>
            <w:tcBorders>
              <w:top w:val="single" w:sz="4" w:space="0" w:color="000000"/>
              <w:left w:val="nil"/>
              <w:bottom w:val="single" w:sz="4" w:space="0" w:color="000000"/>
              <w:right w:val="nil"/>
            </w:tcBorders>
          </w:tcPr>
          <w:p w14:paraId="0DEBF244" w14:textId="77777777" w:rsidR="00A41E60" w:rsidRPr="00D85E09" w:rsidRDefault="00A41E60" w:rsidP="0043316B">
            <w:pPr>
              <w:pStyle w:val="Tabletext"/>
              <w:keepNext w:val="0"/>
              <w:widowControl w:val="0"/>
            </w:pPr>
          </w:p>
        </w:tc>
        <w:tc>
          <w:tcPr>
            <w:tcW w:w="820" w:type="pct"/>
            <w:tcBorders>
              <w:top w:val="single" w:sz="4" w:space="0" w:color="000000"/>
              <w:left w:val="nil"/>
              <w:bottom w:val="single" w:sz="4" w:space="0" w:color="000000"/>
              <w:right w:val="nil"/>
            </w:tcBorders>
          </w:tcPr>
          <w:p w14:paraId="2FB9E303" w14:textId="77777777" w:rsidR="00A41E60" w:rsidRPr="00D85E09" w:rsidRDefault="00A41E60" w:rsidP="0043316B">
            <w:pPr>
              <w:pStyle w:val="Tabletext"/>
              <w:keepNext w:val="0"/>
              <w:widowControl w:val="0"/>
            </w:pPr>
          </w:p>
        </w:tc>
        <w:tc>
          <w:tcPr>
            <w:tcW w:w="818" w:type="pct"/>
            <w:tcBorders>
              <w:top w:val="single" w:sz="4" w:space="0" w:color="000000"/>
              <w:left w:val="nil"/>
              <w:bottom w:val="single" w:sz="4" w:space="0" w:color="000000"/>
              <w:right w:val="single" w:sz="4" w:space="0" w:color="000000"/>
            </w:tcBorders>
          </w:tcPr>
          <w:p w14:paraId="0946A86F" w14:textId="77777777" w:rsidR="00A41E60" w:rsidRPr="00D85E09" w:rsidRDefault="00A41E60" w:rsidP="0043316B">
            <w:pPr>
              <w:pStyle w:val="Tabletext"/>
              <w:keepNext w:val="0"/>
              <w:widowControl w:val="0"/>
            </w:pPr>
          </w:p>
        </w:tc>
      </w:tr>
      <w:tr w:rsidR="00A41E60" w:rsidRPr="00D85E09" w14:paraId="7A0059C1" w14:textId="77777777" w:rsidTr="00A41E60">
        <w:tc>
          <w:tcPr>
            <w:tcW w:w="1065" w:type="pct"/>
            <w:tcBorders>
              <w:top w:val="single" w:sz="4" w:space="0" w:color="000000"/>
              <w:left w:val="single" w:sz="4" w:space="0" w:color="000000"/>
              <w:bottom w:val="single" w:sz="4" w:space="0" w:color="000000"/>
              <w:right w:val="single" w:sz="4" w:space="0" w:color="000000"/>
            </w:tcBorders>
            <w:hideMark/>
          </w:tcPr>
          <w:p w14:paraId="1AAB4ADF" w14:textId="77777777" w:rsidR="00A41E60" w:rsidRPr="00D85E09" w:rsidRDefault="00A41E60" w:rsidP="0043316B">
            <w:pPr>
              <w:pStyle w:val="Tabletext"/>
              <w:keepNext w:val="0"/>
              <w:widowControl w:val="0"/>
            </w:pPr>
            <w:r w:rsidRPr="00D85E09">
              <w:t>Other cause death (as per Aus life table)</w:t>
            </w:r>
          </w:p>
        </w:tc>
        <w:tc>
          <w:tcPr>
            <w:tcW w:w="1477" w:type="pct"/>
            <w:tcBorders>
              <w:top w:val="single" w:sz="4" w:space="0" w:color="000000"/>
              <w:left w:val="single" w:sz="4" w:space="0" w:color="000000"/>
              <w:bottom w:val="single" w:sz="4" w:space="0" w:color="000000"/>
              <w:right w:val="single" w:sz="4" w:space="0" w:color="000000"/>
            </w:tcBorders>
            <w:hideMark/>
          </w:tcPr>
          <w:p w14:paraId="386404FC" w14:textId="77777777" w:rsidR="00A41E60" w:rsidRPr="00D85E09" w:rsidRDefault="00A41E60" w:rsidP="0043316B">
            <w:pPr>
              <w:pStyle w:val="Tabletext"/>
              <w:keepNext w:val="0"/>
              <w:widowControl w:val="0"/>
            </w:pPr>
            <w:r w:rsidRPr="00D85E09">
              <w:t>Elevated post-stroke mortality (based on Slot 2009)</w:t>
            </w:r>
          </w:p>
        </w:tc>
        <w:tc>
          <w:tcPr>
            <w:tcW w:w="820" w:type="pct"/>
            <w:tcBorders>
              <w:top w:val="single" w:sz="4" w:space="0" w:color="000000"/>
              <w:left w:val="single" w:sz="4" w:space="0" w:color="000000"/>
              <w:bottom w:val="single" w:sz="4" w:space="0" w:color="000000"/>
              <w:right w:val="single" w:sz="4" w:space="0" w:color="000000"/>
            </w:tcBorders>
            <w:hideMark/>
          </w:tcPr>
          <w:p w14:paraId="70200552" w14:textId="77777777" w:rsidR="00A41E60" w:rsidRPr="00D85E09" w:rsidRDefault="00A41E60" w:rsidP="0043316B">
            <w:pPr>
              <w:pStyle w:val="Tabletext"/>
              <w:keepNext w:val="0"/>
              <w:widowControl w:val="0"/>
            </w:pPr>
            <w:r w:rsidRPr="00D85E09">
              <w:t>0.8285</w:t>
            </w:r>
          </w:p>
        </w:tc>
        <w:tc>
          <w:tcPr>
            <w:tcW w:w="820" w:type="pct"/>
            <w:tcBorders>
              <w:top w:val="single" w:sz="4" w:space="0" w:color="000000"/>
              <w:left w:val="single" w:sz="4" w:space="0" w:color="000000"/>
              <w:bottom w:val="single" w:sz="4" w:space="0" w:color="000000"/>
              <w:right w:val="single" w:sz="4" w:space="0" w:color="000000"/>
            </w:tcBorders>
            <w:hideMark/>
          </w:tcPr>
          <w:p w14:paraId="17790976" w14:textId="77777777" w:rsidR="00A41E60" w:rsidRPr="00D85E09" w:rsidRDefault="00A41E60" w:rsidP="0043316B">
            <w:pPr>
              <w:pStyle w:val="Tabletext"/>
              <w:keepNext w:val="0"/>
              <w:widowControl w:val="0"/>
            </w:pPr>
            <w:r w:rsidRPr="00D85E09">
              <w:t>$12,959</w:t>
            </w:r>
          </w:p>
        </w:tc>
        <w:tc>
          <w:tcPr>
            <w:tcW w:w="818" w:type="pct"/>
            <w:tcBorders>
              <w:top w:val="single" w:sz="4" w:space="0" w:color="000000"/>
              <w:left w:val="single" w:sz="4" w:space="0" w:color="000000"/>
              <w:bottom w:val="single" w:sz="4" w:space="0" w:color="000000"/>
              <w:right w:val="single" w:sz="4" w:space="0" w:color="000000"/>
            </w:tcBorders>
            <w:hideMark/>
          </w:tcPr>
          <w:p w14:paraId="196CB249" w14:textId="77777777" w:rsidR="00A41E60" w:rsidRPr="00D85E09" w:rsidRDefault="00A41E60" w:rsidP="0043316B">
            <w:pPr>
              <w:pStyle w:val="Tabletext"/>
              <w:keepNext w:val="0"/>
              <w:widowControl w:val="0"/>
            </w:pPr>
            <w:r w:rsidRPr="00D85E09">
              <w:t>$15,642</w:t>
            </w:r>
          </w:p>
        </w:tc>
      </w:tr>
      <w:tr w:rsidR="00A41E60" w:rsidRPr="00D85E09" w14:paraId="145BD5F9" w14:textId="77777777" w:rsidTr="00A41E60">
        <w:tc>
          <w:tcPr>
            <w:tcW w:w="1065" w:type="pct"/>
            <w:tcBorders>
              <w:top w:val="single" w:sz="4" w:space="0" w:color="000000"/>
              <w:left w:val="single" w:sz="4" w:space="0" w:color="000000"/>
              <w:bottom w:val="single" w:sz="4" w:space="0" w:color="000000"/>
              <w:right w:val="single" w:sz="4" w:space="0" w:color="000000"/>
            </w:tcBorders>
            <w:hideMark/>
          </w:tcPr>
          <w:p w14:paraId="7A804D00" w14:textId="77777777" w:rsidR="00A41E60" w:rsidRPr="00D85E09" w:rsidRDefault="00A41E60" w:rsidP="0043316B">
            <w:pPr>
              <w:pStyle w:val="Tabletext"/>
              <w:keepNext w:val="0"/>
              <w:widowControl w:val="0"/>
            </w:pPr>
            <w:r w:rsidRPr="00D85E09">
              <w:t>Discounting (5% per annum)</w:t>
            </w:r>
          </w:p>
        </w:tc>
        <w:tc>
          <w:tcPr>
            <w:tcW w:w="1477" w:type="pct"/>
            <w:tcBorders>
              <w:top w:val="single" w:sz="4" w:space="0" w:color="000000"/>
              <w:left w:val="single" w:sz="4" w:space="0" w:color="000000"/>
              <w:bottom w:val="single" w:sz="4" w:space="0" w:color="000000"/>
              <w:right w:val="single" w:sz="4" w:space="0" w:color="000000"/>
            </w:tcBorders>
            <w:hideMark/>
          </w:tcPr>
          <w:p w14:paraId="2716FE00" w14:textId="77777777" w:rsidR="00A41E60" w:rsidRPr="00D85E09" w:rsidRDefault="00A41E60" w:rsidP="0043316B">
            <w:pPr>
              <w:pStyle w:val="Tabletext"/>
              <w:keepNext w:val="0"/>
              <w:widowControl w:val="0"/>
            </w:pPr>
            <w:r w:rsidRPr="00D85E09">
              <w:t>Taken out</w:t>
            </w:r>
          </w:p>
        </w:tc>
        <w:tc>
          <w:tcPr>
            <w:tcW w:w="820" w:type="pct"/>
            <w:tcBorders>
              <w:top w:val="single" w:sz="4" w:space="0" w:color="000000"/>
              <w:left w:val="single" w:sz="4" w:space="0" w:color="000000"/>
              <w:bottom w:val="single" w:sz="4" w:space="0" w:color="000000"/>
              <w:right w:val="single" w:sz="4" w:space="0" w:color="000000"/>
            </w:tcBorders>
            <w:hideMark/>
          </w:tcPr>
          <w:p w14:paraId="381B095D" w14:textId="77777777" w:rsidR="00A41E60" w:rsidRPr="00D85E09" w:rsidRDefault="00A41E60" w:rsidP="0043316B">
            <w:pPr>
              <w:pStyle w:val="Tabletext"/>
              <w:keepNext w:val="0"/>
              <w:widowControl w:val="0"/>
            </w:pPr>
            <w:r w:rsidRPr="00D85E09">
              <w:t>1.2381</w:t>
            </w:r>
          </w:p>
        </w:tc>
        <w:tc>
          <w:tcPr>
            <w:tcW w:w="820" w:type="pct"/>
            <w:tcBorders>
              <w:top w:val="single" w:sz="4" w:space="0" w:color="000000"/>
              <w:left w:val="single" w:sz="4" w:space="0" w:color="000000"/>
              <w:bottom w:val="single" w:sz="4" w:space="0" w:color="000000"/>
              <w:right w:val="single" w:sz="4" w:space="0" w:color="000000"/>
            </w:tcBorders>
            <w:hideMark/>
          </w:tcPr>
          <w:p w14:paraId="0042F394" w14:textId="77777777" w:rsidR="00A41E60" w:rsidRPr="00D85E09" w:rsidRDefault="00A41E60" w:rsidP="0043316B">
            <w:pPr>
              <w:pStyle w:val="Tabletext"/>
              <w:keepNext w:val="0"/>
              <w:widowControl w:val="0"/>
            </w:pPr>
            <w:r w:rsidRPr="00D85E09">
              <w:t>$6,803</w:t>
            </w:r>
          </w:p>
        </w:tc>
        <w:tc>
          <w:tcPr>
            <w:tcW w:w="818" w:type="pct"/>
            <w:tcBorders>
              <w:top w:val="single" w:sz="4" w:space="0" w:color="000000"/>
              <w:left w:val="single" w:sz="4" w:space="0" w:color="000000"/>
              <w:bottom w:val="single" w:sz="4" w:space="0" w:color="000000"/>
              <w:right w:val="single" w:sz="4" w:space="0" w:color="000000"/>
            </w:tcBorders>
            <w:hideMark/>
          </w:tcPr>
          <w:p w14:paraId="2387307C" w14:textId="77777777" w:rsidR="00A41E60" w:rsidRPr="00D85E09" w:rsidRDefault="00A41E60" w:rsidP="0043316B">
            <w:pPr>
              <w:pStyle w:val="Tabletext"/>
              <w:keepNext w:val="0"/>
              <w:widowControl w:val="0"/>
            </w:pPr>
            <w:r w:rsidRPr="00D85E09">
              <w:t>$5,495</w:t>
            </w:r>
          </w:p>
        </w:tc>
      </w:tr>
    </w:tbl>
    <w:p w14:paraId="222C79EA" w14:textId="2BAFFF57" w:rsidR="00A41E60" w:rsidRPr="00D85E09" w:rsidRDefault="00A41E60" w:rsidP="0043316B">
      <w:pPr>
        <w:pStyle w:val="TableNotes1"/>
        <w:keepNext w:val="0"/>
        <w:keepLines w:val="0"/>
        <w:widowControl w:val="0"/>
      </w:pPr>
      <w:r w:rsidRPr="00D85E09">
        <w:rPr>
          <w:vertAlign w:val="superscript"/>
        </w:rPr>
        <w:t>1</w:t>
      </w:r>
      <w:r w:rsidRPr="00D85E09">
        <w:t xml:space="preserve"> MBS item 35307 ($1121.15) + $1800 for a stent.</w:t>
      </w:r>
    </w:p>
    <w:p w14:paraId="1F4DD24A" w14:textId="77777777" w:rsidR="00A41E60" w:rsidRPr="00D85E09" w:rsidRDefault="00A41E60" w:rsidP="0043316B">
      <w:pPr>
        <w:widowControl w:val="0"/>
        <w:rPr>
          <w:lang w:eastAsia="en-AU"/>
        </w:rPr>
      </w:pPr>
    </w:p>
    <w:p w14:paraId="078910EA" w14:textId="0A70A56E" w:rsidR="00A41E60" w:rsidRPr="00D85E09" w:rsidRDefault="00A41E60" w:rsidP="0043316B">
      <w:pPr>
        <w:pStyle w:val="Heading5"/>
        <w:widowControl w:val="0"/>
        <w:rPr>
          <w:lang w:val="en-AU"/>
        </w:rPr>
      </w:pPr>
      <w:r w:rsidRPr="00D85E09">
        <w:rPr>
          <w:lang w:val="en-AU"/>
        </w:rPr>
        <w:t>Alternative models to explore key extrapolation issues</w:t>
      </w:r>
    </w:p>
    <w:p w14:paraId="305AA50B" w14:textId="77777777" w:rsidR="00A41E60" w:rsidRPr="00D85E09" w:rsidRDefault="00A41E60" w:rsidP="0043316B">
      <w:pPr>
        <w:widowControl w:val="0"/>
      </w:pPr>
      <w:r w:rsidRPr="00D85E09">
        <w:t>As discussed above, the modelling of stroke recurrence added considerable complexity to the otherwise very simple model. It has been also discussed that the model may have a potential double counting of mRS changes because while the modelling of stroke recurrence is explicitly incorporated in the base case model, the mRS transition data from Gensicke et al (2013) might have already accounted for recurrence-related mRS changes.</w:t>
      </w:r>
    </w:p>
    <w:p w14:paraId="207A6E24" w14:textId="6EF5A4D6" w:rsidR="00A41E60" w:rsidRPr="00D85E09" w:rsidRDefault="00A41E60" w:rsidP="0043316B">
      <w:pPr>
        <w:widowControl w:val="0"/>
      </w:pPr>
      <w:r w:rsidRPr="00D85E09">
        <w:t>Alternative Model 1 omits the explicit modelling of stroke recurrence. This alternative model will hence address the considerable model complexities necessary to capture the mRS transitions caused by stroke recurrence. This model assumes no further mRS transitions post 3 years</w:t>
      </w:r>
      <w:r w:rsidRPr="00D85E09">
        <w:rPr>
          <w:rStyle w:val="FootnoteReference"/>
        </w:rPr>
        <w:footnoteReference w:id="18"/>
      </w:r>
      <w:r w:rsidRPr="00D85E09">
        <w:t>, as reported by Gensicke et al (2013), and these transitions are assumed to be absorbed by 12 months in the model.</w:t>
      </w:r>
    </w:p>
    <w:p w14:paraId="13E01813" w14:textId="1B2C23A0" w:rsidR="00A41E60" w:rsidRPr="00D85E09" w:rsidRDefault="00A41E60" w:rsidP="0043316B">
      <w:pPr>
        <w:widowControl w:val="0"/>
      </w:pPr>
      <w:r w:rsidRPr="00D85E09">
        <w:fldChar w:fldCharType="begin"/>
      </w:r>
      <w:r w:rsidRPr="00D85E09">
        <w:instrText xml:space="preserve"> REF _Ref451771847 \h </w:instrText>
      </w:r>
      <w:r w:rsidRPr="00D85E09">
        <w:fldChar w:fldCharType="separate"/>
      </w:r>
      <w:r w:rsidR="00A456ED" w:rsidRPr="00D85E09">
        <w:t xml:space="preserve">Table </w:t>
      </w:r>
      <w:r w:rsidR="00A456ED">
        <w:rPr>
          <w:noProof/>
        </w:rPr>
        <w:t>98</w:t>
      </w:r>
      <w:r w:rsidRPr="00D85E09">
        <w:fldChar w:fldCharType="end"/>
      </w:r>
      <w:r w:rsidRPr="00D85E09">
        <w:t xml:space="preserve"> suggests the base case results may have underestimated the true cost-effectiveness of mechanical thrombectomy.</w:t>
      </w:r>
    </w:p>
    <w:p w14:paraId="17083ED6" w14:textId="1F84C89A" w:rsidR="00A41E60" w:rsidRPr="00D85E09" w:rsidRDefault="00A41E60" w:rsidP="0043316B">
      <w:pPr>
        <w:pStyle w:val="Caption"/>
        <w:keepNext w:val="0"/>
        <w:widowControl w:val="0"/>
        <w:rPr>
          <w:lang w:val="en-AU"/>
        </w:rPr>
      </w:pPr>
      <w:bookmarkStart w:id="583" w:name="_Ref451771847"/>
      <w:bookmarkStart w:id="584" w:name="_Toc453065434"/>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98</w:t>
      </w:r>
      <w:r w:rsidRPr="00D85E09">
        <w:rPr>
          <w:lang w:val="en-AU"/>
        </w:rPr>
        <w:fldChar w:fldCharType="end"/>
      </w:r>
      <w:bookmarkEnd w:id="583"/>
      <w:r w:rsidRPr="00D85E09">
        <w:rPr>
          <w:lang w:val="en-AU"/>
        </w:rPr>
        <w:tab/>
        <w:t>I</w:t>
      </w:r>
      <w:r w:rsidR="00A8075A" w:rsidRPr="00D85E09">
        <w:rPr>
          <w:lang w:val="en-AU"/>
        </w:rPr>
        <w:t>CERs</w:t>
      </w:r>
      <w:r w:rsidRPr="00D85E09">
        <w:rPr>
          <w:lang w:val="en-AU"/>
        </w:rPr>
        <w:t xml:space="preserve"> of mechanical thrombectomy vs usual care – Alternative Model 1</w:t>
      </w:r>
      <w:bookmarkEnd w:id="584"/>
    </w:p>
    <w:tbl>
      <w:tblPr>
        <w:tblW w:w="5000" w:type="pct"/>
        <w:tblLook w:val="04A0" w:firstRow="1" w:lastRow="0" w:firstColumn="1" w:lastColumn="0" w:noHBand="0" w:noVBand="1"/>
        <w:tblDescription w:val="Table 98 ICERs of mechanical thrombectomy vs usual care – Alternative Model 1"/>
      </w:tblPr>
      <w:tblGrid>
        <w:gridCol w:w="4299"/>
        <w:gridCol w:w="1663"/>
        <w:gridCol w:w="1663"/>
        <w:gridCol w:w="1663"/>
      </w:tblGrid>
      <w:tr w:rsidR="00A41E60" w:rsidRPr="00D85E09" w14:paraId="6F9927BA" w14:textId="77777777" w:rsidTr="00A41E60">
        <w:trPr>
          <w:trHeight w:val="170"/>
        </w:trPr>
        <w:tc>
          <w:tcPr>
            <w:tcW w:w="2315" w:type="pct"/>
            <w:tcBorders>
              <w:top w:val="single" w:sz="4" w:space="0" w:color="auto"/>
              <w:left w:val="single" w:sz="4" w:space="0" w:color="auto"/>
              <w:bottom w:val="single" w:sz="4" w:space="0" w:color="auto"/>
              <w:right w:val="nil"/>
            </w:tcBorders>
            <w:noWrap/>
            <w:vAlign w:val="center"/>
            <w:hideMark/>
          </w:tcPr>
          <w:p w14:paraId="325F587B" w14:textId="77777777" w:rsidR="00A41E60" w:rsidRPr="00D85E09" w:rsidRDefault="00A41E60" w:rsidP="0043316B">
            <w:pPr>
              <w:pStyle w:val="Tabletext"/>
              <w:keepNext w:val="0"/>
              <w:widowControl w:val="0"/>
            </w:pPr>
            <w:r w:rsidRPr="00D85E09">
              <w:t xml:space="preserve">Effectiveness measure </w:t>
            </w:r>
          </w:p>
        </w:tc>
        <w:tc>
          <w:tcPr>
            <w:tcW w:w="895" w:type="pct"/>
            <w:tcBorders>
              <w:top w:val="single" w:sz="4" w:space="0" w:color="auto"/>
              <w:left w:val="single" w:sz="4" w:space="0" w:color="auto"/>
              <w:bottom w:val="single" w:sz="4" w:space="0" w:color="auto"/>
              <w:right w:val="single" w:sz="4" w:space="0" w:color="auto"/>
            </w:tcBorders>
            <w:noWrap/>
            <w:vAlign w:val="center"/>
            <w:hideMark/>
          </w:tcPr>
          <w:p w14:paraId="0ED23E21" w14:textId="77777777" w:rsidR="00A41E60" w:rsidRPr="00D85E09" w:rsidRDefault="00A41E60" w:rsidP="0043316B">
            <w:pPr>
              <w:pStyle w:val="Tabletext"/>
              <w:keepNext w:val="0"/>
              <w:widowControl w:val="0"/>
            </w:pPr>
            <w:r w:rsidRPr="00D85E09">
              <w:t>Inc effectiveness</w:t>
            </w:r>
          </w:p>
        </w:tc>
        <w:tc>
          <w:tcPr>
            <w:tcW w:w="895" w:type="pct"/>
            <w:tcBorders>
              <w:top w:val="single" w:sz="4" w:space="0" w:color="auto"/>
              <w:left w:val="single" w:sz="4" w:space="0" w:color="auto"/>
              <w:bottom w:val="single" w:sz="4" w:space="0" w:color="auto"/>
              <w:right w:val="single" w:sz="4" w:space="0" w:color="auto"/>
            </w:tcBorders>
            <w:hideMark/>
          </w:tcPr>
          <w:p w14:paraId="32A62A7E" w14:textId="77777777" w:rsidR="00A41E60" w:rsidRPr="00D85E09" w:rsidRDefault="00A41E60" w:rsidP="0043316B">
            <w:pPr>
              <w:pStyle w:val="Tabletext"/>
              <w:keepNext w:val="0"/>
              <w:widowControl w:val="0"/>
            </w:pPr>
            <w:r w:rsidRPr="00D85E09">
              <w:t>Inc cost</w:t>
            </w:r>
          </w:p>
        </w:tc>
        <w:tc>
          <w:tcPr>
            <w:tcW w:w="895" w:type="pct"/>
            <w:tcBorders>
              <w:top w:val="single" w:sz="4" w:space="0" w:color="auto"/>
              <w:left w:val="single" w:sz="4" w:space="0" w:color="auto"/>
              <w:bottom w:val="single" w:sz="4" w:space="0" w:color="auto"/>
              <w:right w:val="single" w:sz="4" w:space="0" w:color="auto"/>
            </w:tcBorders>
            <w:hideMark/>
          </w:tcPr>
          <w:p w14:paraId="2BB8E796" w14:textId="77777777" w:rsidR="00A41E60" w:rsidRPr="00D85E09" w:rsidRDefault="00A41E60" w:rsidP="0043316B">
            <w:pPr>
              <w:pStyle w:val="Tabletext"/>
              <w:keepNext w:val="0"/>
              <w:widowControl w:val="0"/>
            </w:pPr>
            <w:r w:rsidRPr="00D85E09">
              <w:t xml:space="preserve">ICER </w:t>
            </w:r>
          </w:p>
        </w:tc>
      </w:tr>
      <w:tr w:rsidR="00A41E60" w:rsidRPr="00D85E09" w14:paraId="46FBFF5F" w14:textId="77777777" w:rsidTr="00A41E60">
        <w:trPr>
          <w:trHeight w:val="170"/>
        </w:trPr>
        <w:tc>
          <w:tcPr>
            <w:tcW w:w="2315" w:type="pct"/>
            <w:tcBorders>
              <w:top w:val="single" w:sz="4" w:space="0" w:color="auto"/>
              <w:left w:val="single" w:sz="4" w:space="0" w:color="auto"/>
              <w:bottom w:val="single" w:sz="4" w:space="0" w:color="auto"/>
              <w:right w:val="nil"/>
            </w:tcBorders>
            <w:noWrap/>
            <w:hideMark/>
          </w:tcPr>
          <w:p w14:paraId="6195FA49" w14:textId="77777777" w:rsidR="00A41E60" w:rsidRPr="00D85E09" w:rsidRDefault="00A41E60" w:rsidP="0043316B">
            <w:pPr>
              <w:pStyle w:val="Tabletext"/>
              <w:keepNext w:val="0"/>
              <w:widowControl w:val="0"/>
            </w:pPr>
            <w:r w:rsidRPr="00D85E09">
              <w:t>Total life years (discounted)</w:t>
            </w:r>
          </w:p>
        </w:tc>
        <w:tc>
          <w:tcPr>
            <w:tcW w:w="895" w:type="pct"/>
            <w:tcBorders>
              <w:top w:val="single" w:sz="4" w:space="0" w:color="auto"/>
              <w:left w:val="single" w:sz="4" w:space="0" w:color="auto"/>
              <w:bottom w:val="single" w:sz="4" w:space="0" w:color="auto"/>
              <w:right w:val="single" w:sz="4" w:space="0" w:color="auto"/>
            </w:tcBorders>
            <w:noWrap/>
            <w:hideMark/>
          </w:tcPr>
          <w:p w14:paraId="51AFBC21" w14:textId="77777777" w:rsidR="00A41E60" w:rsidRPr="00D85E09" w:rsidRDefault="00A41E60" w:rsidP="0043316B">
            <w:pPr>
              <w:pStyle w:val="Tabletext"/>
              <w:keepNext w:val="0"/>
              <w:widowControl w:val="0"/>
            </w:pPr>
            <w:r w:rsidRPr="00D85E09">
              <w:t>0.8303</w:t>
            </w:r>
          </w:p>
        </w:tc>
        <w:tc>
          <w:tcPr>
            <w:tcW w:w="895" w:type="pct"/>
            <w:vMerge w:val="restart"/>
            <w:tcBorders>
              <w:top w:val="single" w:sz="4" w:space="0" w:color="auto"/>
              <w:left w:val="single" w:sz="4" w:space="0" w:color="auto"/>
              <w:bottom w:val="single" w:sz="4" w:space="0" w:color="auto"/>
              <w:right w:val="single" w:sz="4" w:space="0" w:color="auto"/>
            </w:tcBorders>
            <w:hideMark/>
          </w:tcPr>
          <w:p w14:paraId="5DD11042" w14:textId="77777777" w:rsidR="00A41E60" w:rsidRPr="00D85E09" w:rsidRDefault="00A41E60" w:rsidP="0043316B">
            <w:pPr>
              <w:pStyle w:val="Tabletext"/>
              <w:keepNext w:val="0"/>
              <w:widowControl w:val="0"/>
            </w:pPr>
            <w:r w:rsidRPr="00D85E09">
              <w:t>$8,337</w:t>
            </w:r>
          </w:p>
        </w:tc>
        <w:tc>
          <w:tcPr>
            <w:tcW w:w="895" w:type="pct"/>
            <w:tcBorders>
              <w:top w:val="single" w:sz="4" w:space="0" w:color="auto"/>
              <w:left w:val="single" w:sz="4" w:space="0" w:color="auto"/>
              <w:bottom w:val="single" w:sz="4" w:space="0" w:color="auto"/>
              <w:right w:val="single" w:sz="4" w:space="0" w:color="auto"/>
            </w:tcBorders>
            <w:hideMark/>
          </w:tcPr>
          <w:p w14:paraId="38699EC0" w14:textId="77777777" w:rsidR="00A41E60" w:rsidRPr="00D85E09" w:rsidRDefault="00A41E60" w:rsidP="0043316B">
            <w:pPr>
              <w:pStyle w:val="Tabletext"/>
              <w:keepNext w:val="0"/>
              <w:widowControl w:val="0"/>
            </w:pPr>
            <w:r w:rsidRPr="00D85E09">
              <w:t>$10,041</w:t>
            </w:r>
          </w:p>
        </w:tc>
      </w:tr>
      <w:tr w:rsidR="00A41E60" w:rsidRPr="00D85E09" w14:paraId="5345346F" w14:textId="77777777" w:rsidTr="00A41E60">
        <w:trPr>
          <w:trHeight w:val="170"/>
        </w:trPr>
        <w:tc>
          <w:tcPr>
            <w:tcW w:w="2315" w:type="pct"/>
            <w:tcBorders>
              <w:top w:val="single" w:sz="4" w:space="0" w:color="auto"/>
              <w:left w:val="single" w:sz="4" w:space="0" w:color="auto"/>
              <w:bottom w:val="single" w:sz="4" w:space="0" w:color="auto"/>
              <w:right w:val="single" w:sz="4" w:space="0" w:color="auto"/>
            </w:tcBorders>
            <w:noWrap/>
            <w:hideMark/>
          </w:tcPr>
          <w:p w14:paraId="4C80AE43" w14:textId="77777777" w:rsidR="00A41E60" w:rsidRPr="00D85E09" w:rsidRDefault="00A41E60" w:rsidP="0043316B">
            <w:pPr>
              <w:pStyle w:val="Tabletext"/>
              <w:keepNext w:val="0"/>
              <w:widowControl w:val="0"/>
            </w:pPr>
            <w:r w:rsidRPr="00D85E09">
              <w:t>Total QALYs (discounted)</w:t>
            </w:r>
          </w:p>
        </w:tc>
        <w:tc>
          <w:tcPr>
            <w:tcW w:w="895" w:type="pct"/>
            <w:tcBorders>
              <w:top w:val="single" w:sz="4" w:space="0" w:color="auto"/>
              <w:left w:val="single" w:sz="4" w:space="0" w:color="auto"/>
              <w:bottom w:val="single" w:sz="4" w:space="0" w:color="auto"/>
              <w:right w:val="single" w:sz="4" w:space="0" w:color="auto"/>
            </w:tcBorders>
            <w:noWrap/>
            <w:hideMark/>
          </w:tcPr>
          <w:p w14:paraId="7FAA1681" w14:textId="77777777" w:rsidR="00A41E60" w:rsidRPr="00D85E09" w:rsidRDefault="00A41E60" w:rsidP="0043316B">
            <w:pPr>
              <w:pStyle w:val="Tabletext"/>
              <w:keepNext w:val="0"/>
              <w:widowControl w:val="0"/>
            </w:pPr>
            <w:r w:rsidRPr="00D85E09">
              <w:t>0.9473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E4EB8"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95" w:type="pct"/>
            <w:tcBorders>
              <w:top w:val="single" w:sz="4" w:space="0" w:color="auto"/>
              <w:left w:val="single" w:sz="4" w:space="0" w:color="auto"/>
              <w:bottom w:val="single" w:sz="4" w:space="0" w:color="auto"/>
              <w:right w:val="single" w:sz="4" w:space="0" w:color="auto"/>
            </w:tcBorders>
            <w:hideMark/>
          </w:tcPr>
          <w:p w14:paraId="7A8ECC6C" w14:textId="77777777" w:rsidR="00A41E60" w:rsidRPr="00D85E09" w:rsidRDefault="00A41E60" w:rsidP="0043316B">
            <w:pPr>
              <w:pStyle w:val="Tabletext"/>
              <w:keepNext w:val="0"/>
              <w:widowControl w:val="0"/>
            </w:pPr>
            <w:r w:rsidRPr="00D85E09">
              <w:t>$8,801</w:t>
            </w:r>
          </w:p>
        </w:tc>
      </w:tr>
    </w:tbl>
    <w:p w14:paraId="20F96111" w14:textId="77777777" w:rsidR="00A41E60" w:rsidRPr="00D85E09" w:rsidRDefault="00A41E60" w:rsidP="0043316B">
      <w:pPr>
        <w:pStyle w:val="Tablefooter"/>
        <w:widowControl w:val="0"/>
      </w:pPr>
      <w:r w:rsidRPr="00D85E09">
        <w:t>Note: See “Results - SUMMARY” worksheet of “MT MSAC June 2016 Section D.xlsx”.</w:t>
      </w:r>
    </w:p>
    <w:p w14:paraId="1A0D7B61" w14:textId="77777777" w:rsidR="00A41E60" w:rsidRPr="00D85E09" w:rsidRDefault="00A41E60" w:rsidP="0043316B">
      <w:pPr>
        <w:widowControl w:val="0"/>
      </w:pPr>
    </w:p>
    <w:p w14:paraId="1243068B" w14:textId="725B3156" w:rsidR="00A41E60" w:rsidRPr="00D85E09" w:rsidRDefault="00A41E60" w:rsidP="0043316B">
      <w:pPr>
        <w:widowControl w:val="0"/>
      </w:pPr>
      <w:r w:rsidRPr="00D85E09">
        <w:t xml:space="preserve">As also discussed in Section </w:t>
      </w:r>
      <w:r w:rsidR="00092415" w:rsidRPr="00D85E09">
        <w:fldChar w:fldCharType="begin"/>
      </w:r>
      <w:r w:rsidR="00092415" w:rsidRPr="00D85E09">
        <w:instrText xml:space="preserve"> REF _Ref452113564 \r \h </w:instrText>
      </w:r>
      <w:r w:rsidR="00092415" w:rsidRPr="00D85E09">
        <w:fldChar w:fldCharType="separate"/>
      </w:r>
      <w:r w:rsidR="00A456ED">
        <w:t>C.7.3</w:t>
      </w:r>
      <w:r w:rsidR="00092415" w:rsidRPr="00D85E09">
        <w:fldChar w:fldCharType="end"/>
      </w:r>
      <w:r w:rsidRPr="00D85E09">
        <w:t>, the Applicant acknowledges that the assumption of having all mRS changes absorbed by 12 months affects the way discounting is performed by the model, in particular, the calculation of life years over the model time horizon.</w:t>
      </w:r>
    </w:p>
    <w:p w14:paraId="305EAEDB" w14:textId="77A48FA8" w:rsidR="00A41E60" w:rsidRPr="00D85E09" w:rsidRDefault="00A41E60" w:rsidP="0043316B">
      <w:pPr>
        <w:widowControl w:val="0"/>
      </w:pPr>
      <w:r w:rsidRPr="00D85E09">
        <w:t xml:space="preserve">To this end, Alternative Model 2 applies annualised mortality rates based on the reported 3-year rates throughout the long-term phase (instead of assuming these deaths to occur by 12 </w:t>
      </w:r>
      <w:r w:rsidRPr="00D85E09">
        <w:lastRenderedPageBreak/>
        <w:t xml:space="preserve">months); 5.11% and 32.14% per annum for mRS 0-4 and mRS 6, respectively (see </w:t>
      </w:r>
      <w:r w:rsidR="00092415" w:rsidRPr="00D85E09">
        <w:t xml:space="preserve">Section </w:t>
      </w:r>
      <w:r w:rsidR="00092415" w:rsidRPr="00D85E09">
        <w:fldChar w:fldCharType="begin"/>
      </w:r>
      <w:r w:rsidR="00092415" w:rsidRPr="00D85E09">
        <w:instrText xml:space="preserve"> REF _Ref452113564 \r \h </w:instrText>
      </w:r>
      <w:r w:rsidR="00092415" w:rsidRPr="00D85E09">
        <w:fldChar w:fldCharType="separate"/>
      </w:r>
      <w:r w:rsidR="00A456ED">
        <w:t>C.7.3</w:t>
      </w:r>
      <w:r w:rsidR="00092415" w:rsidRPr="00D85E09">
        <w:fldChar w:fldCharType="end"/>
      </w:r>
      <w:r w:rsidRPr="00D85E09">
        <w:t>; Gensicke et al 2013). Transitions across mRS 0 to 5 are still assumed to be absorbed by 12 months in this alternative model.</w:t>
      </w:r>
    </w:p>
    <w:p w14:paraId="3B66CF6A" w14:textId="6526060C" w:rsidR="00A41E60" w:rsidRPr="00D85E09" w:rsidRDefault="00A41E60" w:rsidP="0043316B">
      <w:pPr>
        <w:widowControl w:val="0"/>
      </w:pPr>
      <w:r w:rsidRPr="00D85E09">
        <w:t xml:space="preserve">This model again ascertains a favourable cost-effectiveness of mechanical thrombectomy vs usual care with an estimated ICER of $22,601 per QALY gain, as shown in </w:t>
      </w:r>
      <w:r w:rsidRPr="00D85E09">
        <w:fldChar w:fldCharType="begin"/>
      </w:r>
      <w:r w:rsidRPr="00D85E09">
        <w:instrText xml:space="preserve"> REF _Ref451777288 \h </w:instrText>
      </w:r>
      <w:r w:rsidRPr="00D85E09">
        <w:fldChar w:fldCharType="separate"/>
      </w:r>
      <w:r w:rsidR="00A456ED" w:rsidRPr="00D85E09">
        <w:t xml:space="preserve">Table </w:t>
      </w:r>
      <w:r w:rsidR="00A456ED">
        <w:rPr>
          <w:noProof/>
        </w:rPr>
        <w:t>99</w:t>
      </w:r>
      <w:r w:rsidRPr="00D85E09">
        <w:fldChar w:fldCharType="end"/>
      </w:r>
      <w:r w:rsidRPr="00D85E09">
        <w:t>.</w:t>
      </w:r>
    </w:p>
    <w:p w14:paraId="722FF6C3" w14:textId="265DE65C" w:rsidR="00A41E60" w:rsidRPr="00D85E09" w:rsidRDefault="00A41E60" w:rsidP="0043316B">
      <w:pPr>
        <w:pStyle w:val="Caption"/>
        <w:keepNext w:val="0"/>
        <w:widowControl w:val="0"/>
        <w:rPr>
          <w:lang w:val="en-AU"/>
        </w:rPr>
      </w:pPr>
      <w:bookmarkStart w:id="585" w:name="_Ref451777288"/>
      <w:bookmarkStart w:id="586" w:name="_Toc453065435"/>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99</w:t>
      </w:r>
      <w:r w:rsidRPr="00D85E09">
        <w:rPr>
          <w:lang w:val="en-AU"/>
        </w:rPr>
        <w:fldChar w:fldCharType="end"/>
      </w:r>
      <w:bookmarkEnd w:id="585"/>
      <w:r w:rsidRPr="00D85E09">
        <w:rPr>
          <w:lang w:val="en-AU"/>
        </w:rPr>
        <w:tab/>
        <w:t>I</w:t>
      </w:r>
      <w:r w:rsidR="00A8075A" w:rsidRPr="00D85E09">
        <w:rPr>
          <w:lang w:val="en-AU"/>
        </w:rPr>
        <w:t>CERs</w:t>
      </w:r>
      <w:r w:rsidRPr="00D85E09">
        <w:rPr>
          <w:lang w:val="en-AU"/>
        </w:rPr>
        <w:t xml:space="preserve"> of mechanical thrombectomy vs usual care – Alternative Model 2</w:t>
      </w:r>
      <w:bookmarkEnd w:id="586"/>
    </w:p>
    <w:tbl>
      <w:tblPr>
        <w:tblW w:w="5000" w:type="pct"/>
        <w:tblLook w:val="04A0" w:firstRow="1" w:lastRow="0" w:firstColumn="1" w:lastColumn="0" w:noHBand="0" w:noVBand="1"/>
        <w:tblDescription w:val="Table 99 ICERs of mechanical thrombectomy vs usual care – Alternative Model 2"/>
      </w:tblPr>
      <w:tblGrid>
        <w:gridCol w:w="4299"/>
        <w:gridCol w:w="1663"/>
        <w:gridCol w:w="1663"/>
        <w:gridCol w:w="1663"/>
      </w:tblGrid>
      <w:tr w:rsidR="00A41E60" w:rsidRPr="00D85E09" w14:paraId="11D81658" w14:textId="77777777" w:rsidTr="00A41E60">
        <w:trPr>
          <w:trHeight w:val="170"/>
        </w:trPr>
        <w:tc>
          <w:tcPr>
            <w:tcW w:w="2315" w:type="pct"/>
            <w:tcBorders>
              <w:top w:val="single" w:sz="4" w:space="0" w:color="auto"/>
              <w:left w:val="single" w:sz="4" w:space="0" w:color="auto"/>
              <w:bottom w:val="single" w:sz="4" w:space="0" w:color="auto"/>
              <w:right w:val="nil"/>
            </w:tcBorders>
            <w:noWrap/>
            <w:vAlign w:val="center"/>
            <w:hideMark/>
          </w:tcPr>
          <w:p w14:paraId="351A8E34" w14:textId="77777777" w:rsidR="00A41E60" w:rsidRPr="00D85E09" w:rsidRDefault="00A41E60" w:rsidP="0043316B">
            <w:pPr>
              <w:pStyle w:val="Tabletext"/>
              <w:keepNext w:val="0"/>
              <w:widowControl w:val="0"/>
            </w:pPr>
            <w:r w:rsidRPr="00D85E09">
              <w:t xml:space="preserve">Effectiveness measure </w:t>
            </w:r>
          </w:p>
        </w:tc>
        <w:tc>
          <w:tcPr>
            <w:tcW w:w="895" w:type="pct"/>
            <w:tcBorders>
              <w:top w:val="single" w:sz="4" w:space="0" w:color="auto"/>
              <w:left w:val="single" w:sz="4" w:space="0" w:color="auto"/>
              <w:bottom w:val="single" w:sz="4" w:space="0" w:color="auto"/>
              <w:right w:val="single" w:sz="4" w:space="0" w:color="auto"/>
            </w:tcBorders>
            <w:noWrap/>
            <w:vAlign w:val="center"/>
            <w:hideMark/>
          </w:tcPr>
          <w:p w14:paraId="56CE2201" w14:textId="77777777" w:rsidR="00A41E60" w:rsidRPr="00D85E09" w:rsidRDefault="00A41E60" w:rsidP="0043316B">
            <w:pPr>
              <w:pStyle w:val="Tabletext"/>
              <w:keepNext w:val="0"/>
              <w:widowControl w:val="0"/>
            </w:pPr>
            <w:r w:rsidRPr="00D85E09">
              <w:t>Inc effectiveness</w:t>
            </w:r>
          </w:p>
        </w:tc>
        <w:tc>
          <w:tcPr>
            <w:tcW w:w="895" w:type="pct"/>
            <w:tcBorders>
              <w:top w:val="single" w:sz="4" w:space="0" w:color="auto"/>
              <w:left w:val="single" w:sz="4" w:space="0" w:color="auto"/>
              <w:bottom w:val="single" w:sz="4" w:space="0" w:color="auto"/>
              <w:right w:val="single" w:sz="4" w:space="0" w:color="auto"/>
            </w:tcBorders>
            <w:hideMark/>
          </w:tcPr>
          <w:p w14:paraId="3CFB5449" w14:textId="77777777" w:rsidR="00A41E60" w:rsidRPr="00D85E09" w:rsidRDefault="00A41E60" w:rsidP="0043316B">
            <w:pPr>
              <w:pStyle w:val="Tabletext"/>
              <w:keepNext w:val="0"/>
              <w:widowControl w:val="0"/>
            </w:pPr>
            <w:r w:rsidRPr="00D85E09">
              <w:t>Inc cost</w:t>
            </w:r>
          </w:p>
        </w:tc>
        <w:tc>
          <w:tcPr>
            <w:tcW w:w="895" w:type="pct"/>
            <w:tcBorders>
              <w:top w:val="single" w:sz="4" w:space="0" w:color="auto"/>
              <w:left w:val="single" w:sz="4" w:space="0" w:color="auto"/>
              <w:bottom w:val="single" w:sz="4" w:space="0" w:color="auto"/>
              <w:right w:val="single" w:sz="4" w:space="0" w:color="auto"/>
            </w:tcBorders>
            <w:hideMark/>
          </w:tcPr>
          <w:p w14:paraId="10DD38C8" w14:textId="77777777" w:rsidR="00A41E60" w:rsidRPr="00D85E09" w:rsidRDefault="00A41E60" w:rsidP="0043316B">
            <w:pPr>
              <w:pStyle w:val="Tabletext"/>
              <w:keepNext w:val="0"/>
              <w:widowControl w:val="0"/>
            </w:pPr>
            <w:r w:rsidRPr="00D85E09">
              <w:t xml:space="preserve">ICER </w:t>
            </w:r>
          </w:p>
        </w:tc>
      </w:tr>
      <w:tr w:rsidR="00A41E60" w:rsidRPr="00D85E09" w14:paraId="2F8E42BF" w14:textId="77777777" w:rsidTr="00A41E60">
        <w:trPr>
          <w:trHeight w:val="170"/>
        </w:trPr>
        <w:tc>
          <w:tcPr>
            <w:tcW w:w="2315" w:type="pct"/>
            <w:tcBorders>
              <w:top w:val="single" w:sz="4" w:space="0" w:color="auto"/>
              <w:left w:val="single" w:sz="4" w:space="0" w:color="auto"/>
              <w:bottom w:val="single" w:sz="4" w:space="0" w:color="auto"/>
              <w:right w:val="nil"/>
            </w:tcBorders>
            <w:noWrap/>
            <w:hideMark/>
          </w:tcPr>
          <w:p w14:paraId="29DDDE99" w14:textId="77777777" w:rsidR="00A41E60" w:rsidRPr="00D85E09" w:rsidRDefault="00A41E60" w:rsidP="0043316B">
            <w:pPr>
              <w:pStyle w:val="Tabletext"/>
              <w:keepNext w:val="0"/>
              <w:widowControl w:val="0"/>
            </w:pPr>
            <w:r w:rsidRPr="00D85E09">
              <w:t>Total life years (discounted)</w:t>
            </w:r>
          </w:p>
        </w:tc>
        <w:tc>
          <w:tcPr>
            <w:tcW w:w="895" w:type="pct"/>
            <w:tcBorders>
              <w:top w:val="single" w:sz="4" w:space="0" w:color="auto"/>
              <w:left w:val="single" w:sz="4" w:space="0" w:color="auto"/>
              <w:bottom w:val="single" w:sz="4" w:space="0" w:color="auto"/>
              <w:right w:val="single" w:sz="4" w:space="0" w:color="auto"/>
            </w:tcBorders>
            <w:noWrap/>
            <w:hideMark/>
          </w:tcPr>
          <w:p w14:paraId="3FB16900" w14:textId="77777777" w:rsidR="00A41E60" w:rsidRPr="00D85E09" w:rsidRDefault="00A41E60" w:rsidP="0043316B">
            <w:pPr>
              <w:pStyle w:val="Tabletext"/>
              <w:keepNext w:val="0"/>
              <w:widowControl w:val="0"/>
            </w:pPr>
            <w:r w:rsidRPr="00D85E09">
              <w:t>1.1177</w:t>
            </w:r>
          </w:p>
        </w:tc>
        <w:tc>
          <w:tcPr>
            <w:tcW w:w="895" w:type="pct"/>
            <w:vMerge w:val="restart"/>
            <w:tcBorders>
              <w:top w:val="single" w:sz="4" w:space="0" w:color="auto"/>
              <w:left w:val="single" w:sz="4" w:space="0" w:color="auto"/>
              <w:bottom w:val="single" w:sz="4" w:space="0" w:color="auto"/>
              <w:right w:val="single" w:sz="4" w:space="0" w:color="auto"/>
            </w:tcBorders>
            <w:hideMark/>
          </w:tcPr>
          <w:p w14:paraId="1416018A" w14:textId="77777777" w:rsidR="00A41E60" w:rsidRPr="00D85E09" w:rsidRDefault="00A41E60" w:rsidP="0043316B">
            <w:pPr>
              <w:pStyle w:val="Tabletext"/>
              <w:keepNext w:val="0"/>
              <w:widowControl w:val="0"/>
            </w:pPr>
            <w:r w:rsidRPr="00D85E09">
              <w:t>$14,683</w:t>
            </w:r>
          </w:p>
        </w:tc>
        <w:tc>
          <w:tcPr>
            <w:tcW w:w="895" w:type="pct"/>
            <w:tcBorders>
              <w:top w:val="single" w:sz="4" w:space="0" w:color="auto"/>
              <w:left w:val="single" w:sz="4" w:space="0" w:color="auto"/>
              <w:bottom w:val="single" w:sz="4" w:space="0" w:color="auto"/>
              <w:right w:val="single" w:sz="4" w:space="0" w:color="auto"/>
            </w:tcBorders>
            <w:hideMark/>
          </w:tcPr>
          <w:p w14:paraId="2B45CB20" w14:textId="77777777" w:rsidR="00A41E60" w:rsidRPr="00D85E09" w:rsidRDefault="00A41E60" w:rsidP="0043316B">
            <w:pPr>
              <w:pStyle w:val="Tabletext"/>
              <w:keepNext w:val="0"/>
              <w:widowControl w:val="0"/>
            </w:pPr>
            <w:r w:rsidRPr="00D85E09">
              <w:t>$13,136</w:t>
            </w:r>
          </w:p>
        </w:tc>
      </w:tr>
      <w:tr w:rsidR="00A41E60" w:rsidRPr="00D85E09" w14:paraId="205D292B" w14:textId="77777777" w:rsidTr="00A41E60">
        <w:trPr>
          <w:trHeight w:val="170"/>
        </w:trPr>
        <w:tc>
          <w:tcPr>
            <w:tcW w:w="2315" w:type="pct"/>
            <w:tcBorders>
              <w:top w:val="single" w:sz="4" w:space="0" w:color="auto"/>
              <w:left w:val="single" w:sz="4" w:space="0" w:color="auto"/>
              <w:bottom w:val="single" w:sz="4" w:space="0" w:color="auto"/>
              <w:right w:val="single" w:sz="4" w:space="0" w:color="auto"/>
            </w:tcBorders>
            <w:noWrap/>
            <w:hideMark/>
          </w:tcPr>
          <w:p w14:paraId="7FA37518" w14:textId="77777777" w:rsidR="00A41E60" w:rsidRPr="00D85E09" w:rsidRDefault="00A41E60" w:rsidP="0043316B">
            <w:pPr>
              <w:pStyle w:val="Tabletext"/>
              <w:keepNext w:val="0"/>
              <w:widowControl w:val="0"/>
            </w:pPr>
            <w:r w:rsidRPr="00D85E09">
              <w:t>Total QALYs (discounted)</w:t>
            </w:r>
          </w:p>
        </w:tc>
        <w:tc>
          <w:tcPr>
            <w:tcW w:w="895" w:type="pct"/>
            <w:tcBorders>
              <w:top w:val="single" w:sz="4" w:space="0" w:color="auto"/>
              <w:left w:val="single" w:sz="4" w:space="0" w:color="auto"/>
              <w:bottom w:val="single" w:sz="4" w:space="0" w:color="auto"/>
              <w:right w:val="single" w:sz="4" w:space="0" w:color="auto"/>
            </w:tcBorders>
            <w:noWrap/>
            <w:hideMark/>
          </w:tcPr>
          <w:p w14:paraId="3CD02682" w14:textId="77777777" w:rsidR="00A41E60" w:rsidRPr="00D85E09" w:rsidRDefault="00A41E60" w:rsidP="0043316B">
            <w:pPr>
              <w:pStyle w:val="Tabletext"/>
              <w:keepNext w:val="0"/>
              <w:widowControl w:val="0"/>
            </w:pPr>
            <w:r w:rsidRPr="00D85E09">
              <w:t>0.9203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622EC2" w14:textId="77777777" w:rsidR="00A41E60" w:rsidRPr="00D85E09" w:rsidRDefault="00A41E60" w:rsidP="0043316B">
            <w:pPr>
              <w:widowControl w:val="0"/>
              <w:spacing w:after="0" w:line="240" w:lineRule="auto"/>
              <w:rPr>
                <w:rFonts w:ascii="Arial Narrow" w:hAnsi="Arial Narrow" w:cs="Times New Roman"/>
                <w:sz w:val="20"/>
                <w:szCs w:val="20"/>
              </w:rPr>
            </w:pPr>
          </w:p>
        </w:tc>
        <w:tc>
          <w:tcPr>
            <w:tcW w:w="895" w:type="pct"/>
            <w:tcBorders>
              <w:top w:val="single" w:sz="4" w:space="0" w:color="auto"/>
              <w:left w:val="single" w:sz="4" w:space="0" w:color="auto"/>
              <w:bottom w:val="single" w:sz="4" w:space="0" w:color="auto"/>
              <w:right w:val="single" w:sz="4" w:space="0" w:color="auto"/>
            </w:tcBorders>
            <w:hideMark/>
          </w:tcPr>
          <w:p w14:paraId="09A880AD" w14:textId="77777777" w:rsidR="00A41E60" w:rsidRPr="00D85E09" w:rsidRDefault="00A41E60" w:rsidP="0043316B">
            <w:pPr>
              <w:pStyle w:val="Tabletext"/>
              <w:keepNext w:val="0"/>
              <w:widowControl w:val="0"/>
            </w:pPr>
            <w:r w:rsidRPr="00D85E09">
              <w:t>$15,953</w:t>
            </w:r>
          </w:p>
        </w:tc>
      </w:tr>
    </w:tbl>
    <w:p w14:paraId="31011291" w14:textId="77777777" w:rsidR="00A41E60" w:rsidRPr="00D85E09" w:rsidRDefault="00A41E60" w:rsidP="0043316B">
      <w:pPr>
        <w:pStyle w:val="Tablefooter"/>
        <w:widowControl w:val="0"/>
      </w:pPr>
      <w:r w:rsidRPr="00D85E09">
        <w:t>Note: See “Results - SUMMARY” worksheet of “MT MSAC June 2016 Section D.xlsx”.</w:t>
      </w:r>
    </w:p>
    <w:p w14:paraId="11320425" w14:textId="77777777" w:rsidR="00A41E60" w:rsidRPr="00D85E09" w:rsidRDefault="00A41E60" w:rsidP="0043316B">
      <w:pPr>
        <w:widowControl w:val="0"/>
      </w:pPr>
    </w:p>
    <w:p w14:paraId="46D5AD26" w14:textId="5C9A3428" w:rsidR="00A41E60" w:rsidRPr="00D85E09" w:rsidRDefault="00A41E60" w:rsidP="0043316B">
      <w:pPr>
        <w:widowControl w:val="0"/>
      </w:pPr>
      <w:r w:rsidRPr="00D85E09">
        <w:t>Of note, this model applies higher post</w:t>
      </w:r>
      <w:r w:rsidR="00300BB6" w:rsidRPr="00D85E09">
        <w:t>-</w:t>
      </w:r>
      <w:r w:rsidRPr="00D85E09">
        <w:t xml:space="preserve">stroke mortality risks than other two models presented previously. </w:t>
      </w:r>
      <w:r w:rsidRPr="00D85E09">
        <w:fldChar w:fldCharType="begin"/>
      </w:r>
      <w:r w:rsidRPr="00D85E09">
        <w:instrText xml:space="preserve"> REF _Ref451779583 \h </w:instrText>
      </w:r>
      <w:r w:rsidRPr="00D85E09">
        <w:fldChar w:fldCharType="separate"/>
      </w:r>
      <w:r w:rsidR="00A456ED" w:rsidRPr="00D85E09">
        <w:t xml:space="preserve">Figure </w:t>
      </w:r>
      <w:r w:rsidR="00A456ED">
        <w:rPr>
          <w:noProof/>
        </w:rPr>
        <w:t>17</w:t>
      </w:r>
      <w:r w:rsidRPr="00D85E09">
        <w:fldChar w:fldCharType="end"/>
      </w:r>
      <w:r w:rsidRPr="00D85E09">
        <w:t xml:space="preserve"> suggest a modelled overall survival rate of approximately 40% at 10 years, with an additional survival in the mechanical thrombectomy arm by roughly 10%. Survival data reported in the Perth Community Stroke Study (Hardie et al 2003; see Section </w:t>
      </w:r>
      <w:r w:rsidR="00092415" w:rsidRPr="00D85E09">
        <w:fldChar w:fldCharType="begin"/>
      </w:r>
      <w:r w:rsidR="00092415" w:rsidRPr="00D85E09">
        <w:instrText xml:space="preserve"> REF _Ref451421814 \r \h </w:instrText>
      </w:r>
      <w:r w:rsidR="00092415" w:rsidRPr="00D85E09">
        <w:fldChar w:fldCharType="separate"/>
      </w:r>
      <w:r w:rsidR="00A456ED">
        <w:t>C.6</w:t>
      </w:r>
      <w:r w:rsidR="00092415" w:rsidRPr="00D85E09">
        <w:fldChar w:fldCharType="end"/>
      </w:r>
      <w:r w:rsidRPr="00D85E09">
        <w:t xml:space="preserve">) largely confirm the modelled survival curves, as shown in </w:t>
      </w:r>
      <w:r w:rsidRPr="00D85E09">
        <w:fldChar w:fldCharType="begin"/>
      </w:r>
      <w:r w:rsidRPr="00D85E09">
        <w:instrText xml:space="preserve"> REF _Ref451779585 \h </w:instrText>
      </w:r>
      <w:r w:rsidRPr="00D85E09">
        <w:fldChar w:fldCharType="separate"/>
      </w:r>
      <w:r w:rsidR="00A456ED" w:rsidRPr="00D85E09">
        <w:t xml:space="preserve">Figure </w:t>
      </w:r>
      <w:r w:rsidR="00A456ED">
        <w:rPr>
          <w:noProof/>
        </w:rPr>
        <w:t>18</w:t>
      </w:r>
      <w:r w:rsidRPr="00D85E09">
        <w:fldChar w:fldCharType="end"/>
      </w:r>
      <w:r w:rsidRPr="00D85E09">
        <w:t>.</w:t>
      </w:r>
    </w:p>
    <w:p w14:paraId="0E605D01" w14:textId="42BC1D19" w:rsidR="00A41E60" w:rsidRPr="00D85E09" w:rsidRDefault="00A41E60" w:rsidP="0043316B">
      <w:pPr>
        <w:widowControl w:val="0"/>
      </w:pPr>
      <w:r w:rsidRPr="00D85E09">
        <w:rPr>
          <w:noProof/>
          <w:lang w:eastAsia="en-AU"/>
        </w:rPr>
        <w:drawing>
          <wp:inline distT="0" distB="0" distL="0" distR="0" wp14:anchorId="35C7C5E8" wp14:editId="72930B58">
            <wp:extent cx="4619625" cy="2826385"/>
            <wp:effectExtent l="0" t="0" r="9525" b="0"/>
            <wp:docPr id="19" name="Picture 19" descr="Post-stroke survival as modelled in Alternative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9625" cy="2826385"/>
                    </a:xfrm>
                    <a:prstGeom prst="rect">
                      <a:avLst/>
                    </a:prstGeom>
                    <a:noFill/>
                    <a:ln>
                      <a:noFill/>
                    </a:ln>
                  </pic:spPr>
                </pic:pic>
              </a:graphicData>
            </a:graphic>
          </wp:inline>
        </w:drawing>
      </w:r>
    </w:p>
    <w:p w14:paraId="21DCACCF" w14:textId="6AA69955" w:rsidR="00A41E60" w:rsidRPr="00D85E09" w:rsidRDefault="00A41E60" w:rsidP="0043316B">
      <w:pPr>
        <w:pStyle w:val="Caption"/>
        <w:keepNext w:val="0"/>
        <w:widowControl w:val="0"/>
        <w:rPr>
          <w:lang w:val="en-AU"/>
        </w:rPr>
      </w:pPr>
      <w:bookmarkStart w:id="587" w:name="_Ref451779583"/>
      <w:bookmarkStart w:id="588" w:name="_Toc453065464"/>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17</w:t>
      </w:r>
      <w:r w:rsidRPr="00D85E09">
        <w:rPr>
          <w:lang w:val="en-AU"/>
        </w:rPr>
        <w:fldChar w:fldCharType="end"/>
      </w:r>
      <w:bookmarkEnd w:id="587"/>
      <w:r w:rsidRPr="00D85E09">
        <w:rPr>
          <w:lang w:val="en-AU"/>
        </w:rPr>
        <w:tab/>
        <w:t xml:space="preserve"> Post</w:t>
      </w:r>
      <w:r w:rsidR="00300BB6" w:rsidRPr="00D85E09">
        <w:rPr>
          <w:lang w:val="en-AU"/>
        </w:rPr>
        <w:t>-</w:t>
      </w:r>
      <w:r w:rsidRPr="00D85E09">
        <w:rPr>
          <w:lang w:val="en-AU"/>
        </w:rPr>
        <w:t>stroke survival as modelled in Alternative Model 2</w:t>
      </w:r>
      <w:bookmarkEnd w:id="588"/>
    </w:p>
    <w:p w14:paraId="29DE3294" w14:textId="77777777" w:rsidR="00A41E60" w:rsidRPr="00D85E09" w:rsidRDefault="00A41E60" w:rsidP="0043316B">
      <w:pPr>
        <w:pStyle w:val="Tablefooter"/>
        <w:widowControl w:val="0"/>
      </w:pPr>
      <w:r w:rsidRPr="00D85E09">
        <w:t>Note: See “Trace_MT Ob data based” and “Trace_Control Ob data based” worksheets of “MT MSAC June 2016 Section D.xlsx”.</w:t>
      </w:r>
    </w:p>
    <w:p w14:paraId="4C472624" w14:textId="77777777" w:rsidR="00A41E60" w:rsidRPr="00D85E09" w:rsidRDefault="00A41E60" w:rsidP="0043316B">
      <w:pPr>
        <w:widowControl w:val="0"/>
      </w:pPr>
    </w:p>
    <w:p w14:paraId="608F0CC4" w14:textId="06CCCD7B" w:rsidR="00A41E60" w:rsidRPr="00D85E09" w:rsidRDefault="00A41E60" w:rsidP="0043316B">
      <w:pPr>
        <w:widowControl w:val="0"/>
      </w:pPr>
      <w:r w:rsidRPr="00D85E09">
        <w:rPr>
          <w:noProof/>
          <w:lang w:eastAsia="en-AU"/>
        </w:rPr>
        <w:lastRenderedPageBreak/>
        <w:drawing>
          <wp:inline distT="0" distB="0" distL="0" distR="0" wp14:anchorId="4C0037D0" wp14:editId="0E27554E">
            <wp:extent cx="3859530" cy="2446020"/>
            <wp:effectExtent l="0" t="0" r="7620" b="0"/>
            <wp:docPr id="18" name="Picture 18" descr="Kaplan-Meier curves showing probability of survival over 10 years of follow-up stratified by the pathology of first-ever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9530" cy="2446020"/>
                    </a:xfrm>
                    <a:prstGeom prst="rect">
                      <a:avLst/>
                    </a:prstGeom>
                    <a:noFill/>
                    <a:ln>
                      <a:noFill/>
                    </a:ln>
                  </pic:spPr>
                </pic:pic>
              </a:graphicData>
            </a:graphic>
          </wp:inline>
        </w:drawing>
      </w:r>
    </w:p>
    <w:p w14:paraId="6AE9A54D" w14:textId="662913AB" w:rsidR="00A41E60" w:rsidRPr="00D85E09" w:rsidRDefault="00A41E60" w:rsidP="0043316B">
      <w:pPr>
        <w:pStyle w:val="Caption"/>
        <w:keepNext w:val="0"/>
        <w:widowControl w:val="0"/>
        <w:rPr>
          <w:lang w:val="en-AU"/>
        </w:rPr>
      </w:pPr>
      <w:bookmarkStart w:id="589" w:name="_Ref451779585"/>
      <w:bookmarkStart w:id="590" w:name="_Toc453065465"/>
      <w:r w:rsidRPr="00D85E09">
        <w:rPr>
          <w:lang w:val="en-AU"/>
        </w:rPr>
        <w:t xml:space="preserve">Figure </w:t>
      </w:r>
      <w:r w:rsidRPr="00D85E09">
        <w:rPr>
          <w:lang w:val="en-AU"/>
        </w:rPr>
        <w:fldChar w:fldCharType="begin"/>
      </w:r>
      <w:r w:rsidRPr="00D85E09">
        <w:rPr>
          <w:lang w:val="en-AU"/>
        </w:rPr>
        <w:instrText xml:space="preserve"> SEQ Figure \* ARABIC </w:instrText>
      </w:r>
      <w:r w:rsidRPr="00D85E09">
        <w:rPr>
          <w:lang w:val="en-AU"/>
        </w:rPr>
        <w:fldChar w:fldCharType="separate"/>
      </w:r>
      <w:r w:rsidR="00A456ED">
        <w:rPr>
          <w:noProof/>
          <w:lang w:val="en-AU"/>
        </w:rPr>
        <w:t>18</w:t>
      </w:r>
      <w:r w:rsidRPr="00D85E09">
        <w:rPr>
          <w:lang w:val="en-AU"/>
        </w:rPr>
        <w:fldChar w:fldCharType="end"/>
      </w:r>
      <w:bookmarkEnd w:id="589"/>
      <w:r w:rsidRPr="00D85E09">
        <w:rPr>
          <w:lang w:val="en-AU"/>
        </w:rPr>
        <w:tab/>
        <w:t>Kaplan-Meier curves showing probability of survival over 10 years of follow-up stratified by the pathology of first</w:t>
      </w:r>
      <w:r w:rsidR="00D32933" w:rsidRPr="00D85E09">
        <w:rPr>
          <w:lang w:val="en-AU"/>
        </w:rPr>
        <w:t>-</w:t>
      </w:r>
      <w:r w:rsidRPr="00D85E09">
        <w:rPr>
          <w:lang w:val="en-AU"/>
        </w:rPr>
        <w:t>ever stroke</w:t>
      </w:r>
      <w:bookmarkEnd w:id="590"/>
    </w:p>
    <w:p w14:paraId="20775C9B" w14:textId="2E18F6C5" w:rsidR="00A41E60" w:rsidRPr="00D85E09" w:rsidRDefault="00A41E60" w:rsidP="0043316B">
      <w:pPr>
        <w:pStyle w:val="Tablefooter"/>
        <w:widowControl w:val="0"/>
      </w:pPr>
      <w:r w:rsidRPr="00D85E09">
        <w:t>Note: Taken from Hardie et al 2003. Isch indicates cerebral infarction; PICH, primary intracerebral h</w:t>
      </w:r>
      <w:r w:rsidR="00582C35" w:rsidRPr="00D85E09">
        <w:t>aemorrhage</w:t>
      </w:r>
      <w:r w:rsidRPr="00D85E09">
        <w:t>; SAH, subarachnoid h</w:t>
      </w:r>
      <w:r w:rsidR="00582C35" w:rsidRPr="00D85E09">
        <w:t>aemorrhage</w:t>
      </w:r>
      <w:r w:rsidRPr="00D85E09">
        <w:t>; and Und, undetermined.</w:t>
      </w:r>
    </w:p>
    <w:bookmarkEnd w:id="563"/>
    <w:p w14:paraId="1E2873DD" w14:textId="77777777" w:rsidR="00A41E60" w:rsidRPr="00D85E09" w:rsidRDefault="00A41E60" w:rsidP="0043316B">
      <w:pPr>
        <w:widowControl w:val="0"/>
      </w:pPr>
    </w:p>
    <w:p w14:paraId="10F198B0" w14:textId="0CC2F829" w:rsidR="00A41E60" w:rsidRPr="00D85E09" w:rsidRDefault="00A41E60" w:rsidP="0043316B">
      <w:pPr>
        <w:pStyle w:val="Heading5"/>
        <w:widowControl w:val="0"/>
        <w:rPr>
          <w:lang w:val="en-AU"/>
        </w:rPr>
      </w:pPr>
      <w:r w:rsidRPr="00D85E09">
        <w:rPr>
          <w:lang w:val="en-AU"/>
        </w:rPr>
        <w:t>Conclusion from the sensitivity analysis</w:t>
      </w:r>
    </w:p>
    <w:p w14:paraId="1F7B62A5" w14:textId="5666E7EA" w:rsidR="00A41E60" w:rsidRPr="00D85E09" w:rsidRDefault="00A41E60" w:rsidP="0043316B">
      <w:pPr>
        <w:widowControl w:val="0"/>
      </w:pPr>
      <w:r w:rsidRPr="00D85E09">
        <w:t>A range of sensitivity analysis and the presentation of alternative models (primarily to address extrapolation-related uncertainties) have been presented to demonstrate the robustness of the base case results. These analyses, as a whole, are believed to provide a sufficient evidence base in favour of the acceptable cost-effectiveness of mechanical thrombectomy under the proposed listing on the MBS. Of note, the presented model does not account for indirect costs (productivity loss) or carers’ burden, which may hence represent a significantly conservative analysis; likely underestimating the true cost-effectiveness of mechanical thrombectomy.</w:t>
      </w:r>
    </w:p>
    <w:p w14:paraId="5D0E6DEC" w14:textId="62A91581" w:rsidR="00502149" w:rsidRPr="00D85E09" w:rsidRDefault="00502149" w:rsidP="0043316B">
      <w:pPr>
        <w:widowControl w:val="0"/>
      </w:pPr>
    </w:p>
    <w:p w14:paraId="0BAAE8E2" w14:textId="77777777" w:rsidR="00931C70" w:rsidRPr="00D85E09" w:rsidRDefault="00931C70" w:rsidP="0043316B">
      <w:pPr>
        <w:widowControl w:val="0"/>
        <w:sectPr w:rsidR="00931C70" w:rsidRPr="00D85E09">
          <w:headerReference w:type="default" r:id="rId53"/>
          <w:pgSz w:w="11906" w:h="16838"/>
          <w:pgMar w:top="1417" w:right="1417" w:bottom="1134" w:left="1417" w:header="708" w:footer="708" w:gutter="0"/>
          <w:cols w:space="720"/>
        </w:sectPr>
      </w:pPr>
    </w:p>
    <w:p w14:paraId="40B988FB" w14:textId="77777777" w:rsidR="006C3C67" w:rsidRPr="00D85E09" w:rsidRDefault="006C3C67" w:rsidP="0043316B">
      <w:pPr>
        <w:pStyle w:val="Heading1"/>
        <w:keepNext w:val="0"/>
        <w:pageBreakBefore w:val="0"/>
        <w:widowControl w:val="0"/>
        <w:ind w:left="993" w:hanging="993"/>
        <w:rPr>
          <w:lang w:val="en-AU"/>
        </w:rPr>
      </w:pPr>
      <w:bookmarkStart w:id="591" w:name="_Toc358731927"/>
      <w:bookmarkStart w:id="592" w:name="_Toc273301512"/>
      <w:bookmarkStart w:id="593" w:name="_Toc258501802"/>
      <w:bookmarkStart w:id="594" w:name="_Toc191822285"/>
      <w:bookmarkStart w:id="595" w:name="_Toc191822235"/>
      <w:bookmarkStart w:id="596" w:name="_Toc191822185"/>
      <w:bookmarkStart w:id="597" w:name="_Toc191199101"/>
      <w:bookmarkStart w:id="598" w:name="_Toc453065324"/>
      <w:bookmarkStart w:id="599" w:name="_Toc358731928"/>
      <w:bookmarkStart w:id="600" w:name="_Toc273301513"/>
      <w:bookmarkStart w:id="601" w:name="_Toc258501803"/>
      <w:r w:rsidRPr="00D85E09">
        <w:rPr>
          <w:lang w:val="en-AU"/>
        </w:rPr>
        <w:lastRenderedPageBreak/>
        <w:t>Estimated Extent of use and Financial Implications</w:t>
      </w:r>
      <w:bookmarkEnd w:id="591"/>
      <w:bookmarkEnd w:id="592"/>
      <w:bookmarkEnd w:id="593"/>
      <w:bookmarkEnd w:id="594"/>
      <w:bookmarkEnd w:id="595"/>
      <w:bookmarkEnd w:id="596"/>
      <w:bookmarkEnd w:id="597"/>
      <w:bookmarkEnd w:id="598"/>
    </w:p>
    <w:tbl>
      <w:tblPr>
        <w:tblStyle w:val="TableGrid"/>
        <w:tblW w:w="0" w:type="auto"/>
        <w:tblLook w:val="04A0" w:firstRow="1" w:lastRow="0" w:firstColumn="1" w:lastColumn="0" w:noHBand="0" w:noVBand="1"/>
        <w:tblDescription w:val="ESTIMATED EXTENT OF USE AND FINANCIAL IMPLICATIONS-Summary"/>
      </w:tblPr>
      <w:tblGrid>
        <w:gridCol w:w="9004"/>
      </w:tblGrid>
      <w:tr w:rsidR="006C3C67" w:rsidRPr="00D85E09" w14:paraId="285F4F75" w14:textId="77777777" w:rsidTr="00BE6331">
        <w:trPr>
          <w:trHeight w:val="2966"/>
          <w:tblHeader/>
        </w:trPr>
        <w:tc>
          <w:tcPr>
            <w:tcW w:w="90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8C8EED6" w14:textId="77777777" w:rsidR="006C3C67" w:rsidRPr="00D85E09" w:rsidRDefault="006C3C67" w:rsidP="0043316B">
            <w:pPr>
              <w:pStyle w:val="NoSpacing"/>
              <w:widowControl w:val="0"/>
              <w:rPr>
                <w:b/>
                <w:lang w:val="en-AU"/>
              </w:rPr>
            </w:pPr>
            <w:r w:rsidRPr="00D85E09">
              <w:rPr>
                <w:b/>
                <w:lang w:val="en-AU"/>
              </w:rPr>
              <w:t>Summary</w:t>
            </w:r>
          </w:p>
          <w:p w14:paraId="3F7F3F90" w14:textId="66CDDD56" w:rsidR="006C3C67" w:rsidRPr="00D85E09" w:rsidRDefault="006C3C67" w:rsidP="0043316B">
            <w:pPr>
              <w:pStyle w:val="NoSpacing"/>
              <w:widowControl w:val="0"/>
              <w:numPr>
                <w:ilvl w:val="0"/>
                <w:numId w:val="31"/>
              </w:numPr>
              <w:rPr>
                <w:lang w:val="en-AU"/>
              </w:rPr>
            </w:pPr>
            <w:r w:rsidRPr="00D85E09">
              <w:rPr>
                <w:lang w:val="en-AU"/>
              </w:rPr>
              <w:t>The available epidemiological data suggests a</w:t>
            </w:r>
            <w:r w:rsidR="008C7DB5" w:rsidRPr="00D85E09">
              <w:rPr>
                <w:lang w:val="en-AU"/>
              </w:rPr>
              <w:t>n</w:t>
            </w:r>
            <w:r w:rsidRPr="00D85E09">
              <w:rPr>
                <w:lang w:val="en-AU"/>
              </w:rPr>
              <w:t xml:space="preserve"> estimated total of 18,320 ischaemic stroke cases associated with large vessel occlusion in 2016. The eligibility for mechanical thrombectomy is estimated to be met by up to </w:t>
            </w:r>
            <w:r w:rsidR="004541C0" w:rsidRPr="00D85E09">
              <w:rPr>
                <w:lang w:val="en-AU"/>
              </w:rPr>
              <w:t>2,700</w:t>
            </w:r>
            <w:r w:rsidRPr="00D85E09">
              <w:rPr>
                <w:lang w:val="en-AU"/>
              </w:rPr>
              <w:t xml:space="preserve"> cases if a full uptake is achieved (i.e., the procedure is given to all potentially eligible patients; private and public combined).</w:t>
            </w:r>
          </w:p>
          <w:p w14:paraId="0FB65D85" w14:textId="046DF1EE" w:rsidR="006C3C67" w:rsidRPr="00D85E09" w:rsidRDefault="006C3C67" w:rsidP="0043316B">
            <w:pPr>
              <w:pStyle w:val="NoSpacing"/>
              <w:widowControl w:val="0"/>
              <w:numPr>
                <w:ilvl w:val="0"/>
                <w:numId w:val="31"/>
              </w:numPr>
              <w:rPr>
                <w:lang w:val="en-AU"/>
              </w:rPr>
            </w:pPr>
            <w:r w:rsidRPr="00D85E09">
              <w:rPr>
                <w:lang w:val="en-AU"/>
              </w:rPr>
              <w:t>The infrastructure to provide adequate “hyperacute” care during the first critical hours of symptom onset is suboptimal in Australia (National Stroke Foundation 2015). For example, IV</w:t>
            </w:r>
            <w:r w:rsidR="00D32933" w:rsidRPr="00D85E09">
              <w:rPr>
                <w:lang w:val="en-AU"/>
              </w:rPr>
              <w:t>-</w:t>
            </w:r>
            <w:r w:rsidRPr="00D85E09">
              <w:rPr>
                <w:lang w:val="en-AU"/>
              </w:rPr>
              <w:t>tPA was given in only 7% of all ischaemic cases (or 24% of those arriving within 4.5 hours of onset). The number of mechanical thrombectomy procedures will be hence limited by the case load capacity available in Australia; currently there are six private centres offering the service, each performing on average 10 procedures each year.</w:t>
            </w:r>
          </w:p>
          <w:p w14:paraId="03E5EDBC" w14:textId="72679B15" w:rsidR="006161F8" w:rsidRPr="00D85E09" w:rsidRDefault="006C3C67" w:rsidP="0043316B">
            <w:pPr>
              <w:pStyle w:val="NoSpacing"/>
              <w:widowControl w:val="0"/>
              <w:numPr>
                <w:ilvl w:val="0"/>
                <w:numId w:val="31"/>
              </w:numPr>
              <w:rPr>
                <w:lang w:val="en-AU"/>
              </w:rPr>
            </w:pPr>
            <w:r w:rsidRPr="00D85E09">
              <w:rPr>
                <w:lang w:val="en-AU"/>
              </w:rPr>
              <w:t>The case load capacity analysis estimates that up to 10 private centres would be offering the service by the fifth year of listing; each centre performing on average 15 procedures each year. This equates to $393,750 in Year 5 for the proposed service. The total MBS costs for that year (including other services such as anaesthetics and imaging tests) would be $578,687.</w:t>
            </w:r>
          </w:p>
          <w:p w14:paraId="5E6426C0" w14:textId="49D6E226" w:rsidR="00F81D43" w:rsidRPr="00D85E09" w:rsidRDefault="00766F2A" w:rsidP="0043316B">
            <w:pPr>
              <w:pStyle w:val="NoSpacing"/>
              <w:widowControl w:val="0"/>
              <w:numPr>
                <w:ilvl w:val="0"/>
                <w:numId w:val="31"/>
              </w:numPr>
              <w:rPr>
                <w:lang w:val="en-AU"/>
              </w:rPr>
            </w:pPr>
            <w:r w:rsidRPr="00D85E09">
              <w:rPr>
                <w:lang w:val="en-AU"/>
              </w:rPr>
              <w:t xml:space="preserve">The availability of mechanical thrombectomy on the MBS is estimated to provide cost savings to the wider Australian healthcare system: from </w:t>
            </w:r>
            <w:r w:rsidR="004E6CDE" w:rsidRPr="00D85E09">
              <w:rPr>
                <w:lang w:val="en-AU"/>
              </w:rPr>
              <w:t>$884,244 in Year 1, rising to $2,456,232 in year 5.</w:t>
            </w:r>
          </w:p>
          <w:p w14:paraId="622E6180" w14:textId="3A5B7289" w:rsidR="00D85C36" w:rsidRPr="00D85E09" w:rsidRDefault="00F81D43" w:rsidP="0043316B">
            <w:pPr>
              <w:pStyle w:val="NoSpacing"/>
              <w:widowControl w:val="0"/>
              <w:numPr>
                <w:ilvl w:val="0"/>
                <w:numId w:val="31"/>
              </w:numPr>
              <w:spacing w:after="120"/>
              <w:ind w:left="714" w:hanging="357"/>
              <w:rPr>
                <w:lang w:val="en-AU"/>
              </w:rPr>
            </w:pPr>
            <w:r w:rsidRPr="00D85E09">
              <w:rPr>
                <w:lang w:val="en-AU"/>
              </w:rPr>
              <w:t>Broader societal benefits and indirect cost savings from avoided impact on productivity costs and reduced carer burden are also anticipated as result of improved access to mechanical thrombectomy.</w:t>
            </w:r>
          </w:p>
        </w:tc>
      </w:tr>
    </w:tbl>
    <w:p w14:paraId="6B77FAD1" w14:textId="77777777" w:rsidR="006C3C67" w:rsidRPr="00D85E09" w:rsidRDefault="006C3C67" w:rsidP="0043316B">
      <w:pPr>
        <w:widowControl w:val="0"/>
      </w:pPr>
    </w:p>
    <w:p w14:paraId="74DE106B" w14:textId="095178CC" w:rsidR="006C3C67" w:rsidRPr="00D85E09" w:rsidRDefault="006C3C67" w:rsidP="0043316B">
      <w:pPr>
        <w:widowControl w:val="0"/>
      </w:pPr>
      <w:r w:rsidRPr="00D85E09">
        <w:t>As also acknowledged in the Protocol, the current submission proposes clearly defined eligibility criteria, restricting the requested MBS funding to a specific patient population for which the efficacy and safety of the procedure has been demonstrated (see Section C.2 and C.3).</w:t>
      </w:r>
    </w:p>
    <w:p w14:paraId="0628D9AD" w14:textId="1C4706ED" w:rsidR="006C3C67" w:rsidRPr="00D85E09" w:rsidRDefault="006C3C67" w:rsidP="0043316B">
      <w:pPr>
        <w:widowControl w:val="0"/>
      </w:pPr>
      <w:r w:rsidRPr="00D85E09">
        <w:t xml:space="preserve">For individuals who are experiencing an </w:t>
      </w:r>
      <w:r w:rsidR="00E56287" w:rsidRPr="00D85E09">
        <w:t>AIS</w:t>
      </w:r>
      <w:r w:rsidRPr="00D85E09">
        <w:t>, the key to favourable prognosis is early reperfusion of ischaemic brain. Importantly, a speedy intervention with an effective treatment during the first critical hours provides mortality benefits as well as long-term (often life-long) functional benefits among survivors. To achieve reperfusion, intravenous tissue plasminogen activator (IV</w:t>
      </w:r>
      <w:r w:rsidR="00D32933" w:rsidRPr="00D85E09">
        <w:t>-</w:t>
      </w:r>
      <w:r w:rsidRPr="00D85E09">
        <w:t>tPA) is recommended in treatment guidelines; however, many patients fail to respond to, or are ineligible to receive thrombolytic therapy. M</w:t>
      </w:r>
      <w:r w:rsidR="0070191F" w:rsidRPr="00D85E09">
        <w:t>T</w:t>
      </w:r>
      <w:r w:rsidRPr="00D85E09">
        <w:t xml:space="preserve"> has become an important complementary or alternative treatment option for these patients. Section B </w:t>
      </w:r>
      <w:r w:rsidR="008C7DB5" w:rsidRPr="00D85E09">
        <w:t>has</w:t>
      </w:r>
      <w:r w:rsidRPr="00D85E09">
        <w:t xml:space="preserve"> presented comprehensive clinical data to support its effectiveness and safety. Also, the favourable cost-effectiveness of MT has been adequately demonstrated in this patient population by the current submission (see </w:t>
      </w:r>
      <w:r w:rsidR="008C7DB5" w:rsidRPr="00D85E09">
        <w:t xml:space="preserve">Section C and </w:t>
      </w:r>
      <w:r w:rsidRPr="00D85E09">
        <w:t>Section D).</w:t>
      </w:r>
    </w:p>
    <w:p w14:paraId="68337E9D" w14:textId="38049337" w:rsidR="006C3C67" w:rsidRPr="00D85E09" w:rsidRDefault="006C3C67" w:rsidP="0043316B">
      <w:pPr>
        <w:widowControl w:val="0"/>
      </w:pPr>
      <w:r w:rsidRPr="00D85E09">
        <w:t xml:space="preserve">Estimated financial implications of adding MT for the treatment of AIS due to a </w:t>
      </w:r>
      <w:r w:rsidR="0070191F" w:rsidRPr="00D85E09">
        <w:t>LVO</w:t>
      </w:r>
      <w:r w:rsidRPr="00D85E09">
        <w:t xml:space="preserve"> are determined in this section. A review of epidemiological data is presented to examine the </w:t>
      </w:r>
      <w:r w:rsidRPr="00D85E09">
        <w:lastRenderedPageBreak/>
        <w:t>annual incidence of AISs associated with LVO in Australia. The patient subpopulation for which MT is considered as a viable treatment option will be however smaller than the overall ischaemic stroke incidence because of patient eligibility criteria.</w:t>
      </w:r>
    </w:p>
    <w:p w14:paraId="1A8D32CA" w14:textId="39B32F3D" w:rsidR="006C3C67" w:rsidRPr="00D85E09" w:rsidRDefault="006C3C67" w:rsidP="0043316B">
      <w:pPr>
        <w:widowControl w:val="0"/>
      </w:pPr>
      <w:r w:rsidRPr="00D85E09">
        <w:t xml:space="preserve">Here, the </w:t>
      </w:r>
      <w:r w:rsidR="0070191F" w:rsidRPr="00D85E09">
        <w:t>A</w:t>
      </w:r>
      <w:r w:rsidRPr="00D85E09">
        <w:t>pplicant would like to note that, while a relatively large patient pool potentially eligible for MT may exist in the community (i.e., up to 3,400 cases, see Section E.2), the actual MT usage will be limited by the caseload capacity available in Australia to perform the procedure. There are currently 6 private centres equipped to perform MT in Australia, each providing on average 10 procedures each year (Medtronic, data on file). An analysis of likely local capacity to perform the procedure is presented to provide more realistic budget estimates to the MBS.</w:t>
      </w:r>
      <w:r w:rsidR="00A95567" w:rsidRPr="00D85E09">
        <w:t xml:space="preserve"> For completeness, the submission also presents an estimate of the size of the population that would be eligible of MT if it were funded, based on the available epidemiological data. </w:t>
      </w:r>
      <w:r w:rsidR="009B5EA2" w:rsidRPr="00D85E09">
        <w:t>This of course assumes no capacity or infrastructure constraints on providing MT – with access available to all potentially eligible AIS patients.</w:t>
      </w:r>
    </w:p>
    <w:p w14:paraId="35E23C7C" w14:textId="77777777" w:rsidR="006C3C67" w:rsidRPr="00D85E09" w:rsidRDefault="006C3C67" w:rsidP="0043316B">
      <w:pPr>
        <w:pStyle w:val="Heading2"/>
        <w:widowControl w:val="0"/>
        <w:numPr>
          <w:ilvl w:val="1"/>
          <w:numId w:val="32"/>
        </w:numPr>
        <w:ind w:left="851" w:hanging="851"/>
        <w:rPr>
          <w:lang w:val="en-AU"/>
        </w:rPr>
      </w:pPr>
      <w:bookmarkStart w:id="602" w:name="_Toc453065325"/>
      <w:r w:rsidRPr="00D85E09">
        <w:rPr>
          <w:lang w:val="en-AU"/>
        </w:rPr>
        <w:t>Justification of the selection of sources of data</w:t>
      </w:r>
      <w:bookmarkEnd w:id="599"/>
      <w:bookmarkEnd w:id="600"/>
      <w:bookmarkEnd w:id="601"/>
      <w:bookmarkEnd w:id="602"/>
    </w:p>
    <w:p w14:paraId="4337375D" w14:textId="45FE7230" w:rsidR="006C3C67" w:rsidRPr="00D85E09" w:rsidRDefault="006C3C67" w:rsidP="0043316B">
      <w:pPr>
        <w:widowControl w:val="0"/>
      </w:pPr>
      <w:r w:rsidRPr="00D85E09">
        <w:t xml:space="preserve">As noted above, while the epidemiological evidence suggests a sizable potentially eligible patient population for MT, the actual MT usage will be limited by the capacity to perform the procedure. </w:t>
      </w:r>
      <w:r w:rsidR="00A95567" w:rsidRPr="00D85E09">
        <w:t>For completeness, estimates of the eligible population size based on epidemiological data are presented in Section E.1.1. However, a</w:t>
      </w:r>
      <w:r w:rsidRPr="00D85E09">
        <w:t>n analysis of likely local caseload capacity is performed to inform more realistic budget estimates to the MBS. This is presented in Section E.1.2 below.</w:t>
      </w:r>
    </w:p>
    <w:p w14:paraId="3853CE37" w14:textId="77777777" w:rsidR="006C3C67" w:rsidRPr="00D85E09" w:rsidRDefault="006C3C67" w:rsidP="0043316B">
      <w:pPr>
        <w:pStyle w:val="Heading3"/>
        <w:keepNext w:val="0"/>
        <w:widowControl w:val="0"/>
        <w:numPr>
          <w:ilvl w:val="2"/>
          <w:numId w:val="32"/>
        </w:numPr>
        <w:rPr>
          <w:lang w:val="en-AU"/>
        </w:rPr>
      </w:pPr>
      <w:bookmarkStart w:id="603" w:name="_Toc453065326"/>
      <w:r w:rsidRPr="00D85E09">
        <w:rPr>
          <w:lang w:val="en-AU"/>
        </w:rPr>
        <w:t>Epidemiology of acute ischaemic stroke due to large vessel occlusion</w:t>
      </w:r>
      <w:bookmarkEnd w:id="603"/>
    </w:p>
    <w:p w14:paraId="021AEF3F" w14:textId="46B27FAC" w:rsidR="00C13682" w:rsidRDefault="006C3C67" w:rsidP="0043316B">
      <w:pPr>
        <w:widowControl w:val="0"/>
      </w:pPr>
      <w:r w:rsidRPr="00D85E09">
        <w:t xml:space="preserve">There exists good data capture for stroke incidence in Australia. It is estimated that 18,320 AIS are caused by LVO in Australia every year, as presented in </w:t>
      </w:r>
      <w:r w:rsidRPr="00D85E09">
        <w:fldChar w:fldCharType="begin"/>
      </w:r>
      <w:r w:rsidRPr="00D85E09">
        <w:instrText xml:space="preserve"> REF _Ref450231167 \h </w:instrText>
      </w:r>
      <w:r w:rsidRPr="00D85E09">
        <w:fldChar w:fldCharType="separate"/>
      </w:r>
      <w:r w:rsidR="00A456ED" w:rsidRPr="00D85E09">
        <w:t xml:space="preserve">Table </w:t>
      </w:r>
      <w:r w:rsidR="00A456ED">
        <w:rPr>
          <w:noProof/>
        </w:rPr>
        <w:t>100</w:t>
      </w:r>
      <w:r w:rsidRPr="00D85E09">
        <w:fldChar w:fldCharType="end"/>
      </w:r>
      <w:r w:rsidRPr="00D85E09">
        <w:t xml:space="preserve"> below. This estimate slightly differs from 13,578 as presented in the Protocol; primarily because a local and more recent proportion of ischaemic strokes in the overall stroke incidence is being applied (79%; compares to 88% based on D’Anna et al 2015) and a more locally-relevant estimate for the proportion of LVO is also employed here (68%; compares to 46% in the Protocol based on Wade et al 2009).</w:t>
      </w:r>
      <w:r w:rsidR="00C13682">
        <w:br w:type="page"/>
      </w:r>
    </w:p>
    <w:p w14:paraId="6A8FA1F8" w14:textId="77777777" w:rsidR="006C3C67" w:rsidRPr="00D85E09" w:rsidRDefault="006C3C67" w:rsidP="0043316B">
      <w:pPr>
        <w:widowControl w:val="0"/>
      </w:pPr>
    </w:p>
    <w:p w14:paraId="5E590081" w14:textId="77F277E5" w:rsidR="006C3C67" w:rsidRPr="00D85E09" w:rsidRDefault="006C3C67" w:rsidP="0043316B">
      <w:pPr>
        <w:pStyle w:val="Caption"/>
        <w:keepNext w:val="0"/>
        <w:widowControl w:val="0"/>
        <w:rPr>
          <w:lang w:val="en-AU"/>
        </w:rPr>
      </w:pPr>
      <w:bookmarkStart w:id="604" w:name="_Ref450231167"/>
      <w:bookmarkStart w:id="605" w:name="_Toc453065436"/>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100</w:t>
      </w:r>
      <w:r w:rsidRPr="00D85E09">
        <w:rPr>
          <w:lang w:val="en-AU"/>
        </w:rPr>
        <w:fldChar w:fldCharType="end"/>
      </w:r>
      <w:bookmarkEnd w:id="604"/>
      <w:r w:rsidRPr="00D85E09">
        <w:rPr>
          <w:lang w:val="en-AU"/>
        </w:rPr>
        <w:tab/>
        <w:t>Estimated incidence of acute ischaemic stroke due to large vessel occlusion in Australia, 2016</w:t>
      </w:r>
      <w:bookmarkEnd w:id="605"/>
    </w:p>
    <w:tbl>
      <w:tblPr>
        <w:tblStyle w:val="TableGrid"/>
        <w:tblW w:w="5000" w:type="pct"/>
        <w:tblLook w:val="04A0" w:firstRow="1" w:lastRow="0" w:firstColumn="1" w:lastColumn="0" w:noHBand="0" w:noVBand="1"/>
        <w:tblDescription w:val="Table 100 Estimated incidence of acute ischaemic stroke due to large vessel occlusion in Australia, 2016"/>
      </w:tblPr>
      <w:tblGrid>
        <w:gridCol w:w="2029"/>
        <w:gridCol w:w="1888"/>
        <w:gridCol w:w="1890"/>
        <w:gridCol w:w="3481"/>
      </w:tblGrid>
      <w:tr w:rsidR="006C3C67" w:rsidRPr="00D85E09" w14:paraId="3ED752F1" w14:textId="77777777" w:rsidTr="009C64DD">
        <w:trPr>
          <w:tblHeader/>
        </w:trPr>
        <w:tc>
          <w:tcPr>
            <w:tcW w:w="1092" w:type="pct"/>
            <w:tcBorders>
              <w:top w:val="single" w:sz="4" w:space="0" w:color="000000"/>
              <w:left w:val="single" w:sz="4" w:space="0" w:color="000000"/>
              <w:bottom w:val="single" w:sz="4" w:space="0" w:color="000000"/>
              <w:right w:val="single" w:sz="4" w:space="0" w:color="000000"/>
            </w:tcBorders>
            <w:hideMark/>
          </w:tcPr>
          <w:p w14:paraId="17752CAF" w14:textId="77777777" w:rsidR="006C3C67" w:rsidRPr="00D85E09" w:rsidRDefault="006C3C67" w:rsidP="0043316B">
            <w:pPr>
              <w:pStyle w:val="Tabletext"/>
              <w:keepNext w:val="0"/>
              <w:widowControl w:val="0"/>
              <w:rPr>
                <w:b/>
              </w:rPr>
            </w:pPr>
            <w:r w:rsidRPr="00D85E09">
              <w:rPr>
                <w:b/>
              </w:rPr>
              <w:t xml:space="preserve">Parameter </w:t>
            </w:r>
          </w:p>
        </w:tc>
        <w:tc>
          <w:tcPr>
            <w:tcW w:w="1016" w:type="pct"/>
            <w:tcBorders>
              <w:top w:val="single" w:sz="4" w:space="0" w:color="000000"/>
              <w:left w:val="single" w:sz="4" w:space="0" w:color="000000"/>
              <w:bottom w:val="single" w:sz="4" w:space="0" w:color="000000"/>
              <w:right w:val="single" w:sz="4" w:space="0" w:color="000000"/>
            </w:tcBorders>
            <w:hideMark/>
          </w:tcPr>
          <w:p w14:paraId="053FFB90" w14:textId="77777777" w:rsidR="006C3C67" w:rsidRPr="00D85E09" w:rsidRDefault="006C3C67" w:rsidP="0043316B">
            <w:pPr>
              <w:pStyle w:val="Tabletext"/>
              <w:keepNext w:val="0"/>
              <w:widowControl w:val="0"/>
              <w:jc w:val="center"/>
              <w:rPr>
                <w:b/>
              </w:rPr>
            </w:pPr>
            <w:r w:rsidRPr="00D85E09">
              <w:rPr>
                <w:b/>
              </w:rPr>
              <w:t>Reported rate</w:t>
            </w:r>
          </w:p>
        </w:tc>
        <w:tc>
          <w:tcPr>
            <w:tcW w:w="1017" w:type="pct"/>
            <w:tcBorders>
              <w:top w:val="single" w:sz="4" w:space="0" w:color="000000"/>
              <w:left w:val="single" w:sz="4" w:space="0" w:color="000000"/>
              <w:bottom w:val="single" w:sz="4" w:space="0" w:color="000000"/>
              <w:right w:val="single" w:sz="4" w:space="0" w:color="000000"/>
            </w:tcBorders>
            <w:hideMark/>
          </w:tcPr>
          <w:p w14:paraId="02A26974" w14:textId="77777777" w:rsidR="006C3C67" w:rsidRPr="00D85E09" w:rsidRDefault="006C3C67" w:rsidP="0043316B">
            <w:pPr>
              <w:pStyle w:val="Tabletext"/>
              <w:keepNext w:val="0"/>
              <w:widowControl w:val="0"/>
              <w:jc w:val="center"/>
              <w:rPr>
                <w:b/>
              </w:rPr>
            </w:pPr>
            <w:r w:rsidRPr="00D85E09">
              <w:rPr>
                <w:b/>
              </w:rPr>
              <w:t>Estimated incidence</w:t>
            </w:r>
          </w:p>
        </w:tc>
        <w:tc>
          <w:tcPr>
            <w:tcW w:w="1874" w:type="pct"/>
            <w:tcBorders>
              <w:top w:val="single" w:sz="4" w:space="0" w:color="000000"/>
              <w:left w:val="single" w:sz="4" w:space="0" w:color="000000"/>
              <w:bottom w:val="single" w:sz="4" w:space="0" w:color="000000"/>
              <w:right w:val="single" w:sz="4" w:space="0" w:color="000000"/>
            </w:tcBorders>
            <w:hideMark/>
          </w:tcPr>
          <w:p w14:paraId="2BB44C14" w14:textId="77777777" w:rsidR="006C3C67" w:rsidRPr="00D85E09" w:rsidRDefault="006C3C67" w:rsidP="0043316B">
            <w:pPr>
              <w:pStyle w:val="Tabletext"/>
              <w:keepNext w:val="0"/>
              <w:widowControl w:val="0"/>
              <w:rPr>
                <w:b/>
              </w:rPr>
            </w:pPr>
            <w:r w:rsidRPr="00D85E09">
              <w:rPr>
                <w:b/>
              </w:rPr>
              <w:t xml:space="preserve">Source </w:t>
            </w:r>
          </w:p>
        </w:tc>
      </w:tr>
      <w:tr w:rsidR="006C3C67" w:rsidRPr="00D85E09" w14:paraId="34E84BF2" w14:textId="77777777" w:rsidTr="009C64DD">
        <w:tc>
          <w:tcPr>
            <w:tcW w:w="1092" w:type="pct"/>
            <w:tcBorders>
              <w:top w:val="single" w:sz="4" w:space="0" w:color="000000"/>
              <w:left w:val="single" w:sz="4" w:space="0" w:color="000000"/>
              <w:bottom w:val="single" w:sz="4" w:space="0" w:color="000000"/>
              <w:right w:val="single" w:sz="4" w:space="0" w:color="000000"/>
            </w:tcBorders>
            <w:hideMark/>
          </w:tcPr>
          <w:p w14:paraId="6595B074" w14:textId="77777777" w:rsidR="006C3C67" w:rsidRPr="00D85E09" w:rsidRDefault="006C3C67" w:rsidP="0043316B">
            <w:pPr>
              <w:pStyle w:val="Tabletext"/>
              <w:keepNext w:val="0"/>
              <w:widowControl w:val="0"/>
            </w:pPr>
            <w:r w:rsidRPr="00D85E09">
              <w:t>Population of Australia</w:t>
            </w:r>
          </w:p>
        </w:tc>
        <w:tc>
          <w:tcPr>
            <w:tcW w:w="1016" w:type="pct"/>
            <w:tcBorders>
              <w:top w:val="single" w:sz="4" w:space="0" w:color="000000"/>
              <w:left w:val="single" w:sz="4" w:space="0" w:color="000000"/>
              <w:bottom w:val="single" w:sz="4" w:space="0" w:color="000000"/>
              <w:right w:val="single" w:sz="4" w:space="0" w:color="000000"/>
            </w:tcBorders>
            <w:vAlign w:val="center"/>
            <w:hideMark/>
          </w:tcPr>
          <w:p w14:paraId="3A9F483A" w14:textId="77777777" w:rsidR="006C3C67" w:rsidRPr="00D85E09" w:rsidRDefault="006C3C67" w:rsidP="0043316B">
            <w:pPr>
              <w:pStyle w:val="Tabletext"/>
              <w:keepNext w:val="0"/>
              <w:widowControl w:val="0"/>
              <w:jc w:val="center"/>
            </w:pPr>
            <w:r w:rsidRPr="00D85E09">
              <w:t>-</w:t>
            </w:r>
          </w:p>
        </w:tc>
        <w:tc>
          <w:tcPr>
            <w:tcW w:w="1017" w:type="pct"/>
            <w:tcBorders>
              <w:top w:val="single" w:sz="4" w:space="0" w:color="000000"/>
              <w:left w:val="single" w:sz="4" w:space="0" w:color="000000"/>
              <w:bottom w:val="single" w:sz="4" w:space="0" w:color="000000"/>
              <w:right w:val="single" w:sz="4" w:space="0" w:color="000000"/>
            </w:tcBorders>
            <w:vAlign w:val="center"/>
            <w:hideMark/>
          </w:tcPr>
          <w:p w14:paraId="0BA2BD1A" w14:textId="77777777" w:rsidR="006C3C67" w:rsidRPr="00D85E09" w:rsidRDefault="006C3C67" w:rsidP="0043316B">
            <w:pPr>
              <w:pStyle w:val="Tabletext"/>
              <w:keepNext w:val="0"/>
              <w:widowControl w:val="0"/>
              <w:jc w:val="center"/>
            </w:pPr>
            <w:r w:rsidRPr="00D85E09">
              <w:t>24,359,761</w:t>
            </w:r>
          </w:p>
        </w:tc>
        <w:tc>
          <w:tcPr>
            <w:tcW w:w="1874" w:type="pct"/>
            <w:tcBorders>
              <w:top w:val="single" w:sz="4" w:space="0" w:color="000000"/>
              <w:left w:val="single" w:sz="4" w:space="0" w:color="000000"/>
              <w:bottom w:val="single" w:sz="4" w:space="0" w:color="000000"/>
              <w:right w:val="single" w:sz="4" w:space="0" w:color="000000"/>
            </w:tcBorders>
            <w:hideMark/>
          </w:tcPr>
          <w:p w14:paraId="7D3D54BA" w14:textId="2720F44E" w:rsidR="006C3C67" w:rsidRPr="00D85E09" w:rsidRDefault="006C3C67" w:rsidP="00AB4BBF">
            <w:pPr>
              <w:pStyle w:val="Tabletext"/>
              <w:keepNext w:val="0"/>
              <w:widowControl w:val="0"/>
            </w:pPr>
            <w:r w:rsidRPr="00D85E09">
              <w:t xml:space="preserve">Australian Bureau of Statistics, Population Projection 3220.0, Series B </w:t>
            </w:r>
          </w:p>
        </w:tc>
      </w:tr>
      <w:tr w:rsidR="006C3C67" w:rsidRPr="00D85E09" w14:paraId="2FF3766E" w14:textId="77777777" w:rsidTr="009C64DD">
        <w:tc>
          <w:tcPr>
            <w:tcW w:w="1092" w:type="pct"/>
            <w:tcBorders>
              <w:top w:val="single" w:sz="4" w:space="0" w:color="000000"/>
              <w:left w:val="single" w:sz="4" w:space="0" w:color="000000"/>
              <w:bottom w:val="single" w:sz="4" w:space="0" w:color="000000"/>
              <w:right w:val="single" w:sz="4" w:space="0" w:color="000000"/>
            </w:tcBorders>
            <w:hideMark/>
          </w:tcPr>
          <w:p w14:paraId="4EB65DCD" w14:textId="77777777" w:rsidR="006C3C67" w:rsidRPr="00D85E09" w:rsidRDefault="006C3C67" w:rsidP="0043316B">
            <w:pPr>
              <w:pStyle w:val="Tabletext"/>
              <w:keepNext w:val="0"/>
              <w:widowControl w:val="0"/>
            </w:pPr>
            <w:r w:rsidRPr="00D85E09">
              <w:t>All-cause stroke</w:t>
            </w:r>
          </w:p>
        </w:tc>
        <w:tc>
          <w:tcPr>
            <w:tcW w:w="1016" w:type="pct"/>
            <w:tcBorders>
              <w:top w:val="single" w:sz="4" w:space="0" w:color="000000"/>
              <w:left w:val="single" w:sz="4" w:space="0" w:color="000000"/>
              <w:bottom w:val="single" w:sz="4" w:space="0" w:color="000000"/>
              <w:right w:val="single" w:sz="4" w:space="0" w:color="000000"/>
            </w:tcBorders>
            <w:vAlign w:val="center"/>
            <w:hideMark/>
          </w:tcPr>
          <w:p w14:paraId="453967F9" w14:textId="77777777" w:rsidR="006C3C67" w:rsidRPr="00D85E09" w:rsidRDefault="006C3C67" w:rsidP="0043316B">
            <w:pPr>
              <w:pStyle w:val="Tabletext"/>
              <w:keepNext w:val="0"/>
              <w:widowControl w:val="0"/>
              <w:jc w:val="center"/>
            </w:pPr>
            <w:r w:rsidRPr="00D85E09">
              <w:t>0.14%</w:t>
            </w:r>
          </w:p>
        </w:tc>
        <w:tc>
          <w:tcPr>
            <w:tcW w:w="1017" w:type="pct"/>
            <w:tcBorders>
              <w:top w:val="single" w:sz="4" w:space="0" w:color="000000"/>
              <w:left w:val="single" w:sz="4" w:space="0" w:color="000000"/>
              <w:bottom w:val="single" w:sz="4" w:space="0" w:color="000000"/>
              <w:right w:val="single" w:sz="4" w:space="0" w:color="000000"/>
            </w:tcBorders>
            <w:vAlign w:val="center"/>
            <w:hideMark/>
          </w:tcPr>
          <w:p w14:paraId="4656A7E1" w14:textId="77777777" w:rsidR="006C3C67" w:rsidRPr="00D85E09" w:rsidRDefault="006C3C67" w:rsidP="0043316B">
            <w:pPr>
              <w:pStyle w:val="Tabletext"/>
              <w:keepNext w:val="0"/>
              <w:widowControl w:val="0"/>
              <w:jc w:val="center"/>
            </w:pPr>
            <w:r w:rsidRPr="00D85E09">
              <w:t>34,104</w:t>
            </w:r>
          </w:p>
        </w:tc>
        <w:tc>
          <w:tcPr>
            <w:tcW w:w="1874" w:type="pct"/>
            <w:tcBorders>
              <w:top w:val="single" w:sz="4" w:space="0" w:color="000000"/>
              <w:left w:val="single" w:sz="4" w:space="0" w:color="000000"/>
              <w:bottom w:val="single" w:sz="4" w:space="0" w:color="000000"/>
              <w:right w:val="single" w:sz="4" w:space="0" w:color="000000"/>
            </w:tcBorders>
            <w:hideMark/>
          </w:tcPr>
          <w:p w14:paraId="05733636" w14:textId="77777777" w:rsidR="006C3C67" w:rsidRPr="00D85E09" w:rsidRDefault="006C3C67" w:rsidP="0043316B">
            <w:pPr>
              <w:pStyle w:val="Tabletext"/>
              <w:keepNext w:val="0"/>
              <w:widowControl w:val="0"/>
            </w:pPr>
            <w:r w:rsidRPr="00D85E09">
              <w:t>AIHW “Stroke and its management in Australia: an update”, 2013</w:t>
            </w:r>
          </w:p>
        </w:tc>
      </w:tr>
      <w:tr w:rsidR="006C3C67" w:rsidRPr="00D85E09" w14:paraId="604C65A5" w14:textId="77777777" w:rsidTr="009C64DD">
        <w:tc>
          <w:tcPr>
            <w:tcW w:w="1092" w:type="pct"/>
            <w:tcBorders>
              <w:top w:val="single" w:sz="4" w:space="0" w:color="000000"/>
              <w:left w:val="single" w:sz="4" w:space="0" w:color="000000"/>
              <w:bottom w:val="single" w:sz="4" w:space="0" w:color="000000"/>
              <w:right w:val="single" w:sz="4" w:space="0" w:color="000000"/>
            </w:tcBorders>
            <w:hideMark/>
          </w:tcPr>
          <w:p w14:paraId="2A13385F" w14:textId="77777777" w:rsidR="006C3C67" w:rsidRPr="00D85E09" w:rsidRDefault="006C3C67" w:rsidP="0043316B">
            <w:pPr>
              <w:pStyle w:val="Tabletext"/>
              <w:keepNext w:val="0"/>
              <w:widowControl w:val="0"/>
            </w:pPr>
            <w:r w:rsidRPr="00D85E09">
              <w:t xml:space="preserve">% of stroke that is ischaemic </w:t>
            </w:r>
          </w:p>
        </w:tc>
        <w:tc>
          <w:tcPr>
            <w:tcW w:w="1016" w:type="pct"/>
            <w:tcBorders>
              <w:top w:val="single" w:sz="4" w:space="0" w:color="000000"/>
              <w:left w:val="single" w:sz="4" w:space="0" w:color="000000"/>
              <w:bottom w:val="single" w:sz="4" w:space="0" w:color="000000"/>
              <w:right w:val="single" w:sz="4" w:space="0" w:color="000000"/>
            </w:tcBorders>
            <w:vAlign w:val="center"/>
            <w:hideMark/>
          </w:tcPr>
          <w:p w14:paraId="3E666942" w14:textId="77777777" w:rsidR="006C3C67" w:rsidRPr="00D85E09" w:rsidRDefault="006C3C67" w:rsidP="0043316B">
            <w:pPr>
              <w:pStyle w:val="Tabletext"/>
              <w:keepNext w:val="0"/>
              <w:widowControl w:val="0"/>
              <w:jc w:val="center"/>
            </w:pPr>
            <w:r w:rsidRPr="00D85E09">
              <w:t>79%</w:t>
            </w:r>
          </w:p>
        </w:tc>
        <w:tc>
          <w:tcPr>
            <w:tcW w:w="1017" w:type="pct"/>
            <w:tcBorders>
              <w:top w:val="single" w:sz="4" w:space="0" w:color="000000"/>
              <w:left w:val="single" w:sz="4" w:space="0" w:color="000000"/>
              <w:bottom w:val="single" w:sz="4" w:space="0" w:color="000000"/>
              <w:right w:val="single" w:sz="4" w:space="0" w:color="000000"/>
            </w:tcBorders>
            <w:vAlign w:val="center"/>
            <w:hideMark/>
          </w:tcPr>
          <w:p w14:paraId="79E0CD28" w14:textId="77777777" w:rsidR="006C3C67" w:rsidRPr="00D85E09" w:rsidRDefault="006C3C67" w:rsidP="0043316B">
            <w:pPr>
              <w:pStyle w:val="Tabletext"/>
              <w:keepNext w:val="0"/>
              <w:widowControl w:val="0"/>
              <w:jc w:val="center"/>
            </w:pPr>
            <w:r w:rsidRPr="00D85E09">
              <w:t>26,942</w:t>
            </w:r>
          </w:p>
        </w:tc>
        <w:tc>
          <w:tcPr>
            <w:tcW w:w="1874" w:type="pct"/>
            <w:tcBorders>
              <w:top w:val="single" w:sz="4" w:space="0" w:color="000000"/>
              <w:left w:val="single" w:sz="4" w:space="0" w:color="000000"/>
              <w:bottom w:val="single" w:sz="4" w:space="0" w:color="000000"/>
              <w:right w:val="single" w:sz="4" w:space="0" w:color="000000"/>
            </w:tcBorders>
            <w:hideMark/>
          </w:tcPr>
          <w:p w14:paraId="402B82F9" w14:textId="280CB847" w:rsidR="006C3C67" w:rsidRPr="00D85E09" w:rsidRDefault="006C3C67" w:rsidP="00AB4BBF">
            <w:pPr>
              <w:pStyle w:val="Tabletext"/>
              <w:keepNext w:val="0"/>
              <w:widowControl w:val="0"/>
            </w:pPr>
            <w:r w:rsidRPr="00D85E09">
              <w:t>National Stroke Foundation. National Stroke Audit – Acute Services Report 2015. Melbourne, Australia</w:t>
            </w:r>
          </w:p>
        </w:tc>
      </w:tr>
      <w:tr w:rsidR="006C3C67" w:rsidRPr="00D85E09" w14:paraId="1ADBBD93" w14:textId="77777777" w:rsidTr="009C64DD">
        <w:tc>
          <w:tcPr>
            <w:tcW w:w="1092" w:type="pct"/>
            <w:tcBorders>
              <w:top w:val="single" w:sz="4" w:space="0" w:color="000000"/>
              <w:left w:val="single" w:sz="4" w:space="0" w:color="000000"/>
              <w:bottom w:val="single" w:sz="4" w:space="0" w:color="000000"/>
              <w:right w:val="single" w:sz="4" w:space="0" w:color="000000"/>
            </w:tcBorders>
            <w:hideMark/>
          </w:tcPr>
          <w:p w14:paraId="6DE446F3" w14:textId="19956768" w:rsidR="006C3C67" w:rsidRPr="00D85E09" w:rsidRDefault="006C3C67" w:rsidP="0043316B">
            <w:pPr>
              <w:pStyle w:val="Tabletext"/>
              <w:keepNext w:val="0"/>
              <w:widowControl w:val="0"/>
            </w:pPr>
            <w:r w:rsidRPr="00D85E09">
              <w:t>% of isch</w:t>
            </w:r>
            <w:r w:rsidR="00E56287" w:rsidRPr="00D85E09">
              <w:t>aemic</w:t>
            </w:r>
            <w:r w:rsidRPr="00D85E09">
              <w:t xml:space="preserve"> stroke that is LVO</w:t>
            </w:r>
          </w:p>
        </w:tc>
        <w:tc>
          <w:tcPr>
            <w:tcW w:w="1016" w:type="pct"/>
            <w:tcBorders>
              <w:top w:val="single" w:sz="4" w:space="0" w:color="000000"/>
              <w:left w:val="single" w:sz="4" w:space="0" w:color="000000"/>
              <w:bottom w:val="single" w:sz="4" w:space="0" w:color="000000"/>
              <w:right w:val="single" w:sz="4" w:space="0" w:color="000000"/>
            </w:tcBorders>
            <w:vAlign w:val="center"/>
            <w:hideMark/>
          </w:tcPr>
          <w:p w14:paraId="6982DA93" w14:textId="77777777" w:rsidR="006C3C67" w:rsidRPr="00D85E09" w:rsidRDefault="006C3C67" w:rsidP="0043316B">
            <w:pPr>
              <w:pStyle w:val="Tabletext"/>
              <w:keepNext w:val="0"/>
              <w:widowControl w:val="0"/>
              <w:jc w:val="center"/>
            </w:pPr>
            <w:r w:rsidRPr="00D85E09">
              <w:t>68%</w:t>
            </w:r>
          </w:p>
        </w:tc>
        <w:tc>
          <w:tcPr>
            <w:tcW w:w="1017" w:type="pct"/>
            <w:tcBorders>
              <w:top w:val="single" w:sz="4" w:space="0" w:color="000000"/>
              <w:left w:val="single" w:sz="4" w:space="0" w:color="000000"/>
              <w:bottom w:val="single" w:sz="4" w:space="0" w:color="000000"/>
              <w:right w:val="single" w:sz="4" w:space="0" w:color="000000"/>
            </w:tcBorders>
            <w:vAlign w:val="center"/>
            <w:hideMark/>
          </w:tcPr>
          <w:p w14:paraId="5C0834CF" w14:textId="77777777" w:rsidR="006C3C67" w:rsidRPr="00D85E09" w:rsidRDefault="006C3C67" w:rsidP="0043316B">
            <w:pPr>
              <w:pStyle w:val="Tabletext"/>
              <w:keepNext w:val="0"/>
              <w:widowControl w:val="0"/>
              <w:jc w:val="center"/>
            </w:pPr>
            <w:r w:rsidRPr="00D85E09">
              <w:t>18,320</w:t>
            </w:r>
          </w:p>
        </w:tc>
        <w:tc>
          <w:tcPr>
            <w:tcW w:w="1874" w:type="pct"/>
            <w:tcBorders>
              <w:top w:val="single" w:sz="4" w:space="0" w:color="000000"/>
              <w:left w:val="single" w:sz="4" w:space="0" w:color="000000"/>
              <w:bottom w:val="single" w:sz="4" w:space="0" w:color="000000"/>
              <w:right w:val="single" w:sz="4" w:space="0" w:color="000000"/>
            </w:tcBorders>
            <w:hideMark/>
          </w:tcPr>
          <w:p w14:paraId="41DEC942" w14:textId="77777777" w:rsidR="006C3C67" w:rsidRPr="00D85E09" w:rsidRDefault="006C3C67" w:rsidP="0043316B">
            <w:pPr>
              <w:pStyle w:val="Tabletext"/>
              <w:keepNext w:val="0"/>
              <w:widowControl w:val="0"/>
            </w:pPr>
            <w:r w:rsidRPr="00D85E09">
              <w:t>Perth Community Stroke Study (Hankey et al 1998)</w:t>
            </w:r>
          </w:p>
        </w:tc>
      </w:tr>
    </w:tbl>
    <w:p w14:paraId="7B0466A6" w14:textId="3CD06959" w:rsidR="006C3C67" w:rsidRPr="00D85E09" w:rsidRDefault="006C3C67" w:rsidP="0043316B">
      <w:pPr>
        <w:pStyle w:val="Tablefootnote"/>
        <w:widowControl w:val="0"/>
        <w:rPr>
          <w:lang w:val="en-AU"/>
        </w:rPr>
      </w:pPr>
      <w:r w:rsidRPr="00D85E09">
        <w:rPr>
          <w:lang w:val="en-AU"/>
        </w:rPr>
        <w:t>Note: See full calculation details in the attached Section E spreadsheet. See Table 4 of the Protocol.</w:t>
      </w:r>
    </w:p>
    <w:p w14:paraId="72E2DB9F" w14:textId="0EB67737" w:rsidR="006C3C67" w:rsidRPr="00D85E09" w:rsidRDefault="006C3C67" w:rsidP="0043316B">
      <w:pPr>
        <w:pStyle w:val="Tablefootnote"/>
        <w:widowControl w:val="0"/>
        <w:rPr>
          <w:lang w:val="en-AU"/>
        </w:rPr>
      </w:pPr>
      <w:r w:rsidRPr="00D85E09">
        <w:rPr>
          <w:lang w:val="en-AU"/>
        </w:rPr>
        <w:t>Abbreviations: AIHW = Australian Institute of Health and Welfare; AIS = acute ischaemic stroke; LVO = large vessel occlusion.</w:t>
      </w:r>
    </w:p>
    <w:p w14:paraId="04106391" w14:textId="77777777" w:rsidR="006C3C67" w:rsidRPr="00D85E09" w:rsidRDefault="006C3C67" w:rsidP="0043316B">
      <w:pPr>
        <w:widowControl w:val="0"/>
      </w:pPr>
    </w:p>
    <w:p w14:paraId="03C86E72" w14:textId="34D2ECB3" w:rsidR="006C3C67" w:rsidRPr="00D85E09" w:rsidRDefault="006C3C67" w:rsidP="0043316B">
      <w:pPr>
        <w:widowControl w:val="0"/>
      </w:pPr>
      <w:r w:rsidRPr="00D85E09">
        <w:t xml:space="preserve">There is a paucity of incidence data by stroke subtypes. While slightly dated (data collection between February 1989 and August 1990), a large, population-based study performed in Australia, the Perth Community Stroke Study, suggested that 68% of all ischaemic cases were due to large artery occlusion (Hankey et al 1998), as shown in </w:t>
      </w:r>
      <w:r w:rsidRPr="00D85E09">
        <w:fldChar w:fldCharType="begin"/>
      </w:r>
      <w:r w:rsidRPr="00D85E09">
        <w:instrText xml:space="preserve"> REF _Ref450297836 \h </w:instrText>
      </w:r>
      <w:r w:rsidRPr="00D85E09">
        <w:fldChar w:fldCharType="separate"/>
      </w:r>
      <w:r w:rsidR="00A456ED" w:rsidRPr="00D85E09">
        <w:t xml:space="preserve">Table </w:t>
      </w:r>
      <w:r w:rsidR="00A456ED">
        <w:rPr>
          <w:noProof/>
        </w:rPr>
        <w:t>101</w:t>
      </w:r>
      <w:r w:rsidRPr="00D85E09">
        <w:fldChar w:fldCharType="end"/>
      </w:r>
      <w:r w:rsidRPr="00D85E09">
        <w:t xml:space="preserve">. This study also suggested that 73% of all recorded stroke cases were ischaemic (n=250/343), demonstrating a good consistency with the national and more recent data reported by the National Stroke Foundation (2015; see </w:t>
      </w:r>
      <w:r w:rsidRPr="00D85E09">
        <w:fldChar w:fldCharType="begin"/>
      </w:r>
      <w:r w:rsidRPr="00D85E09">
        <w:instrText xml:space="preserve"> REF _Ref450231167 \h </w:instrText>
      </w:r>
      <w:r w:rsidRPr="00D85E09">
        <w:fldChar w:fldCharType="separate"/>
      </w:r>
      <w:r w:rsidR="00A456ED" w:rsidRPr="00D85E09">
        <w:t xml:space="preserve">Table </w:t>
      </w:r>
      <w:r w:rsidR="00A456ED">
        <w:rPr>
          <w:noProof/>
        </w:rPr>
        <w:t>100</w:t>
      </w:r>
      <w:r w:rsidRPr="00D85E09">
        <w:fldChar w:fldCharType="end"/>
      </w:r>
      <w:r w:rsidRPr="00D85E09">
        <w:t>)</w:t>
      </w:r>
    </w:p>
    <w:p w14:paraId="3B41CACE" w14:textId="1B855E87" w:rsidR="006C3C67" w:rsidRPr="00D85E09" w:rsidRDefault="006C3C67" w:rsidP="0043316B">
      <w:pPr>
        <w:pStyle w:val="Caption"/>
        <w:keepNext w:val="0"/>
        <w:widowControl w:val="0"/>
        <w:rPr>
          <w:lang w:val="en-AU"/>
        </w:rPr>
      </w:pPr>
      <w:bookmarkStart w:id="606" w:name="_Ref450297836"/>
      <w:bookmarkStart w:id="607" w:name="_Toc453065437"/>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101</w:t>
      </w:r>
      <w:r w:rsidRPr="00D85E09">
        <w:rPr>
          <w:lang w:val="en-AU"/>
        </w:rPr>
        <w:fldChar w:fldCharType="end"/>
      </w:r>
      <w:bookmarkEnd w:id="606"/>
      <w:r w:rsidRPr="00D85E09">
        <w:rPr>
          <w:lang w:val="en-AU"/>
        </w:rPr>
        <w:tab/>
        <w:t>Ischaemic stroke by stroke subtypes, the Perth Community Stroke Study</w:t>
      </w:r>
      <w:bookmarkEnd w:id="607"/>
    </w:p>
    <w:tbl>
      <w:tblPr>
        <w:tblStyle w:val="TableGrid"/>
        <w:tblW w:w="0" w:type="auto"/>
        <w:tblLook w:val="04A0" w:firstRow="1" w:lastRow="0" w:firstColumn="1" w:lastColumn="0" w:noHBand="0" w:noVBand="1"/>
        <w:tblDescription w:val="Table 101 Ischaemic stroke by stroke subtypes, the Perth Community Stroke Study"/>
      </w:tblPr>
      <w:tblGrid>
        <w:gridCol w:w="3020"/>
        <w:gridCol w:w="3021"/>
        <w:gridCol w:w="3021"/>
      </w:tblGrid>
      <w:tr w:rsidR="006C3C67" w:rsidRPr="00D85E09" w14:paraId="4134A682" w14:textId="77777777" w:rsidTr="00BE6331">
        <w:trPr>
          <w:tblHeader/>
        </w:trPr>
        <w:tc>
          <w:tcPr>
            <w:tcW w:w="3020" w:type="dxa"/>
            <w:tcBorders>
              <w:top w:val="single" w:sz="4" w:space="0" w:color="000000"/>
              <w:left w:val="single" w:sz="4" w:space="0" w:color="000000"/>
              <w:bottom w:val="single" w:sz="4" w:space="0" w:color="000000"/>
              <w:right w:val="single" w:sz="4" w:space="0" w:color="000000"/>
            </w:tcBorders>
            <w:hideMark/>
          </w:tcPr>
          <w:p w14:paraId="660E0DEF" w14:textId="77777777" w:rsidR="006C3C67" w:rsidRPr="00D85E09" w:rsidRDefault="006C3C67" w:rsidP="0043316B">
            <w:pPr>
              <w:pStyle w:val="Tabletext"/>
              <w:keepNext w:val="0"/>
              <w:widowControl w:val="0"/>
              <w:rPr>
                <w:b/>
              </w:rPr>
            </w:pPr>
            <w:r w:rsidRPr="00D85E09">
              <w:rPr>
                <w:b/>
              </w:rPr>
              <w:t>Stroke types / subtypes</w:t>
            </w:r>
          </w:p>
        </w:tc>
        <w:tc>
          <w:tcPr>
            <w:tcW w:w="3021" w:type="dxa"/>
            <w:tcBorders>
              <w:top w:val="single" w:sz="4" w:space="0" w:color="000000"/>
              <w:left w:val="single" w:sz="4" w:space="0" w:color="000000"/>
              <w:bottom w:val="single" w:sz="4" w:space="0" w:color="000000"/>
              <w:right w:val="single" w:sz="4" w:space="0" w:color="000000"/>
            </w:tcBorders>
            <w:hideMark/>
          </w:tcPr>
          <w:p w14:paraId="44398681" w14:textId="77777777" w:rsidR="006C3C67" w:rsidRPr="00D85E09" w:rsidRDefault="006C3C67" w:rsidP="0043316B">
            <w:pPr>
              <w:pStyle w:val="Tabletext"/>
              <w:keepNext w:val="0"/>
              <w:widowControl w:val="0"/>
              <w:jc w:val="center"/>
              <w:rPr>
                <w:b/>
              </w:rPr>
            </w:pPr>
            <w:r w:rsidRPr="00D85E09">
              <w:rPr>
                <w:b/>
              </w:rPr>
              <w:t>N</w:t>
            </w:r>
          </w:p>
        </w:tc>
        <w:tc>
          <w:tcPr>
            <w:tcW w:w="3021" w:type="dxa"/>
            <w:tcBorders>
              <w:top w:val="single" w:sz="4" w:space="0" w:color="000000"/>
              <w:left w:val="single" w:sz="4" w:space="0" w:color="000000"/>
              <w:bottom w:val="single" w:sz="4" w:space="0" w:color="000000"/>
              <w:right w:val="single" w:sz="4" w:space="0" w:color="000000"/>
            </w:tcBorders>
            <w:hideMark/>
          </w:tcPr>
          <w:p w14:paraId="6DE9E64A" w14:textId="77777777" w:rsidR="006C3C67" w:rsidRPr="00D85E09" w:rsidRDefault="006C3C67" w:rsidP="0043316B">
            <w:pPr>
              <w:pStyle w:val="Tabletext"/>
              <w:keepNext w:val="0"/>
              <w:widowControl w:val="0"/>
              <w:jc w:val="center"/>
              <w:rPr>
                <w:b/>
              </w:rPr>
            </w:pPr>
            <w:r w:rsidRPr="00D85E09">
              <w:rPr>
                <w:b/>
              </w:rPr>
              <w:t>%</w:t>
            </w:r>
          </w:p>
        </w:tc>
      </w:tr>
      <w:tr w:rsidR="006C3C67" w:rsidRPr="00D85E09" w14:paraId="4D038C13" w14:textId="77777777" w:rsidTr="009C64DD">
        <w:tc>
          <w:tcPr>
            <w:tcW w:w="3020" w:type="dxa"/>
            <w:tcBorders>
              <w:top w:val="single" w:sz="4" w:space="0" w:color="000000"/>
              <w:left w:val="single" w:sz="4" w:space="0" w:color="000000"/>
              <w:bottom w:val="single" w:sz="4" w:space="0" w:color="000000"/>
              <w:right w:val="single" w:sz="4" w:space="0" w:color="000000"/>
            </w:tcBorders>
            <w:hideMark/>
          </w:tcPr>
          <w:p w14:paraId="1BE4AC5C" w14:textId="4CF133E6" w:rsidR="006C3C67" w:rsidRPr="00D85E09" w:rsidRDefault="006C3C67" w:rsidP="0043316B">
            <w:pPr>
              <w:pStyle w:val="Tabletext"/>
              <w:keepNext w:val="0"/>
              <w:widowControl w:val="0"/>
            </w:pPr>
            <w:r w:rsidRPr="00D85E09">
              <w:t xml:space="preserve">Cerebral infarction </w:t>
            </w:r>
          </w:p>
        </w:tc>
        <w:tc>
          <w:tcPr>
            <w:tcW w:w="3021" w:type="dxa"/>
            <w:tcBorders>
              <w:top w:val="single" w:sz="4" w:space="0" w:color="000000"/>
              <w:left w:val="single" w:sz="4" w:space="0" w:color="000000"/>
              <w:bottom w:val="single" w:sz="4" w:space="0" w:color="000000"/>
              <w:right w:val="single" w:sz="4" w:space="0" w:color="000000"/>
            </w:tcBorders>
            <w:hideMark/>
          </w:tcPr>
          <w:p w14:paraId="2EB504D0" w14:textId="77777777" w:rsidR="006C3C67" w:rsidRPr="00D85E09" w:rsidRDefault="006C3C67" w:rsidP="0043316B">
            <w:pPr>
              <w:pStyle w:val="Tabletext"/>
              <w:keepNext w:val="0"/>
              <w:widowControl w:val="0"/>
              <w:jc w:val="center"/>
            </w:pPr>
            <w:r w:rsidRPr="00D85E09">
              <w:t>250</w:t>
            </w:r>
          </w:p>
        </w:tc>
        <w:tc>
          <w:tcPr>
            <w:tcW w:w="3021" w:type="dxa"/>
            <w:tcBorders>
              <w:top w:val="single" w:sz="4" w:space="0" w:color="000000"/>
              <w:left w:val="single" w:sz="4" w:space="0" w:color="000000"/>
              <w:bottom w:val="single" w:sz="4" w:space="0" w:color="000000"/>
              <w:right w:val="single" w:sz="4" w:space="0" w:color="000000"/>
            </w:tcBorders>
            <w:hideMark/>
          </w:tcPr>
          <w:p w14:paraId="71866CA9" w14:textId="77777777" w:rsidR="006C3C67" w:rsidRPr="00D85E09" w:rsidRDefault="006C3C67" w:rsidP="0043316B">
            <w:pPr>
              <w:pStyle w:val="Tabletext"/>
              <w:keepNext w:val="0"/>
              <w:widowControl w:val="0"/>
              <w:jc w:val="center"/>
            </w:pPr>
            <w:r w:rsidRPr="00D85E09">
              <w:t>100%</w:t>
            </w:r>
          </w:p>
        </w:tc>
      </w:tr>
      <w:tr w:rsidR="006C3C67" w:rsidRPr="00D85E09" w14:paraId="4F1B8F44" w14:textId="77777777" w:rsidTr="009C64DD">
        <w:tc>
          <w:tcPr>
            <w:tcW w:w="3020" w:type="dxa"/>
            <w:tcBorders>
              <w:top w:val="single" w:sz="4" w:space="0" w:color="000000"/>
              <w:left w:val="single" w:sz="4" w:space="0" w:color="000000"/>
              <w:bottom w:val="single" w:sz="4" w:space="0" w:color="000000"/>
              <w:right w:val="single" w:sz="4" w:space="0" w:color="000000"/>
            </w:tcBorders>
            <w:hideMark/>
          </w:tcPr>
          <w:p w14:paraId="1C219856" w14:textId="6AF268AA" w:rsidR="006C3C67" w:rsidRPr="00D85E09" w:rsidRDefault="006C3C67" w:rsidP="0043316B">
            <w:pPr>
              <w:pStyle w:val="Tabletext"/>
              <w:keepNext w:val="0"/>
              <w:widowControl w:val="0"/>
            </w:pPr>
            <w:r w:rsidRPr="00D85E09">
              <w:t xml:space="preserve"> Large</w:t>
            </w:r>
            <w:r w:rsidR="00D32933" w:rsidRPr="00D85E09">
              <w:t xml:space="preserve"> </w:t>
            </w:r>
            <w:r w:rsidRPr="00D85E09">
              <w:t>artery occlusion</w:t>
            </w:r>
          </w:p>
        </w:tc>
        <w:tc>
          <w:tcPr>
            <w:tcW w:w="3021" w:type="dxa"/>
            <w:tcBorders>
              <w:top w:val="single" w:sz="4" w:space="0" w:color="000000"/>
              <w:left w:val="single" w:sz="4" w:space="0" w:color="000000"/>
              <w:bottom w:val="single" w:sz="4" w:space="0" w:color="000000"/>
              <w:right w:val="single" w:sz="4" w:space="0" w:color="000000"/>
            </w:tcBorders>
            <w:hideMark/>
          </w:tcPr>
          <w:p w14:paraId="4FDDD024" w14:textId="77777777" w:rsidR="006C3C67" w:rsidRPr="00D85E09" w:rsidRDefault="006C3C67" w:rsidP="0043316B">
            <w:pPr>
              <w:pStyle w:val="Tabletext"/>
              <w:keepNext w:val="0"/>
              <w:widowControl w:val="0"/>
              <w:jc w:val="center"/>
            </w:pPr>
            <w:r w:rsidRPr="00D85E09">
              <w:t>170</w:t>
            </w:r>
          </w:p>
        </w:tc>
        <w:tc>
          <w:tcPr>
            <w:tcW w:w="3021" w:type="dxa"/>
            <w:tcBorders>
              <w:top w:val="single" w:sz="4" w:space="0" w:color="000000"/>
              <w:left w:val="single" w:sz="4" w:space="0" w:color="000000"/>
              <w:bottom w:val="single" w:sz="4" w:space="0" w:color="000000"/>
              <w:right w:val="single" w:sz="4" w:space="0" w:color="000000"/>
            </w:tcBorders>
            <w:hideMark/>
          </w:tcPr>
          <w:p w14:paraId="0B86D810" w14:textId="77777777" w:rsidR="006C3C67" w:rsidRPr="00D85E09" w:rsidRDefault="006C3C67" w:rsidP="0043316B">
            <w:pPr>
              <w:pStyle w:val="Tabletext"/>
              <w:keepNext w:val="0"/>
              <w:widowControl w:val="0"/>
              <w:jc w:val="center"/>
            </w:pPr>
            <w:r w:rsidRPr="00D85E09">
              <w:t>68%</w:t>
            </w:r>
          </w:p>
        </w:tc>
      </w:tr>
      <w:tr w:rsidR="006C3C67" w:rsidRPr="00D85E09" w14:paraId="5899BAE4" w14:textId="77777777" w:rsidTr="009C64DD">
        <w:tc>
          <w:tcPr>
            <w:tcW w:w="3020" w:type="dxa"/>
            <w:tcBorders>
              <w:top w:val="single" w:sz="4" w:space="0" w:color="000000"/>
              <w:left w:val="single" w:sz="4" w:space="0" w:color="000000"/>
              <w:bottom w:val="single" w:sz="4" w:space="0" w:color="000000"/>
              <w:right w:val="single" w:sz="4" w:space="0" w:color="000000"/>
            </w:tcBorders>
            <w:hideMark/>
          </w:tcPr>
          <w:p w14:paraId="6F53F90B" w14:textId="601ED7DA" w:rsidR="006C3C67" w:rsidRPr="00D85E09" w:rsidRDefault="006C3C67" w:rsidP="0043316B">
            <w:pPr>
              <w:pStyle w:val="Tabletext"/>
              <w:keepNext w:val="0"/>
              <w:widowControl w:val="0"/>
            </w:pPr>
            <w:r w:rsidRPr="00D85E09">
              <w:t xml:space="preserve"> Lacunar</w:t>
            </w:r>
          </w:p>
        </w:tc>
        <w:tc>
          <w:tcPr>
            <w:tcW w:w="3021" w:type="dxa"/>
            <w:tcBorders>
              <w:top w:val="single" w:sz="4" w:space="0" w:color="000000"/>
              <w:left w:val="single" w:sz="4" w:space="0" w:color="000000"/>
              <w:bottom w:val="single" w:sz="4" w:space="0" w:color="000000"/>
              <w:right w:val="single" w:sz="4" w:space="0" w:color="000000"/>
            </w:tcBorders>
            <w:hideMark/>
          </w:tcPr>
          <w:p w14:paraId="038616EE" w14:textId="77777777" w:rsidR="006C3C67" w:rsidRPr="00D85E09" w:rsidRDefault="006C3C67" w:rsidP="0043316B">
            <w:pPr>
              <w:pStyle w:val="Tabletext"/>
              <w:keepNext w:val="0"/>
              <w:widowControl w:val="0"/>
              <w:jc w:val="center"/>
            </w:pPr>
            <w:r w:rsidRPr="00D85E09">
              <w:t>25</w:t>
            </w:r>
          </w:p>
        </w:tc>
        <w:tc>
          <w:tcPr>
            <w:tcW w:w="3021" w:type="dxa"/>
            <w:tcBorders>
              <w:top w:val="single" w:sz="4" w:space="0" w:color="000000"/>
              <w:left w:val="single" w:sz="4" w:space="0" w:color="000000"/>
              <w:bottom w:val="single" w:sz="4" w:space="0" w:color="000000"/>
              <w:right w:val="single" w:sz="4" w:space="0" w:color="000000"/>
            </w:tcBorders>
            <w:hideMark/>
          </w:tcPr>
          <w:p w14:paraId="4A2A6CB8" w14:textId="77777777" w:rsidR="006C3C67" w:rsidRPr="00D85E09" w:rsidRDefault="006C3C67" w:rsidP="0043316B">
            <w:pPr>
              <w:pStyle w:val="Tabletext"/>
              <w:keepNext w:val="0"/>
              <w:widowControl w:val="0"/>
              <w:jc w:val="center"/>
            </w:pPr>
            <w:r w:rsidRPr="00D85E09">
              <w:t>10%</w:t>
            </w:r>
          </w:p>
        </w:tc>
      </w:tr>
      <w:tr w:rsidR="006C3C67" w:rsidRPr="00D85E09" w14:paraId="68B1DD3C" w14:textId="77777777" w:rsidTr="009C64DD">
        <w:tc>
          <w:tcPr>
            <w:tcW w:w="3020" w:type="dxa"/>
            <w:tcBorders>
              <w:top w:val="single" w:sz="4" w:space="0" w:color="000000"/>
              <w:left w:val="single" w:sz="4" w:space="0" w:color="000000"/>
              <w:bottom w:val="single" w:sz="4" w:space="0" w:color="000000"/>
              <w:right w:val="single" w:sz="4" w:space="0" w:color="000000"/>
            </w:tcBorders>
            <w:hideMark/>
          </w:tcPr>
          <w:p w14:paraId="1CA393D3" w14:textId="446D5DF8" w:rsidR="006C3C67" w:rsidRPr="00D85E09" w:rsidRDefault="006C3C67" w:rsidP="0043316B">
            <w:pPr>
              <w:pStyle w:val="Tabletext"/>
              <w:keepNext w:val="0"/>
              <w:widowControl w:val="0"/>
            </w:pPr>
            <w:r w:rsidRPr="00D85E09">
              <w:t xml:space="preserve"> Cardioembolic</w:t>
            </w:r>
          </w:p>
        </w:tc>
        <w:tc>
          <w:tcPr>
            <w:tcW w:w="3021" w:type="dxa"/>
            <w:tcBorders>
              <w:top w:val="single" w:sz="4" w:space="0" w:color="000000"/>
              <w:left w:val="single" w:sz="4" w:space="0" w:color="000000"/>
              <w:bottom w:val="single" w:sz="4" w:space="0" w:color="000000"/>
              <w:right w:val="single" w:sz="4" w:space="0" w:color="000000"/>
            </w:tcBorders>
            <w:hideMark/>
          </w:tcPr>
          <w:p w14:paraId="4A6AB4B5" w14:textId="77777777" w:rsidR="006C3C67" w:rsidRPr="00D85E09" w:rsidRDefault="006C3C67" w:rsidP="0043316B">
            <w:pPr>
              <w:pStyle w:val="Tabletext"/>
              <w:keepNext w:val="0"/>
              <w:widowControl w:val="0"/>
              <w:jc w:val="center"/>
            </w:pPr>
            <w:r w:rsidRPr="00D85E09">
              <w:t>43</w:t>
            </w:r>
          </w:p>
        </w:tc>
        <w:tc>
          <w:tcPr>
            <w:tcW w:w="3021" w:type="dxa"/>
            <w:tcBorders>
              <w:top w:val="single" w:sz="4" w:space="0" w:color="000000"/>
              <w:left w:val="single" w:sz="4" w:space="0" w:color="000000"/>
              <w:bottom w:val="single" w:sz="4" w:space="0" w:color="000000"/>
              <w:right w:val="single" w:sz="4" w:space="0" w:color="000000"/>
            </w:tcBorders>
            <w:hideMark/>
          </w:tcPr>
          <w:p w14:paraId="7AA36049" w14:textId="77777777" w:rsidR="006C3C67" w:rsidRPr="00D85E09" w:rsidRDefault="006C3C67" w:rsidP="0043316B">
            <w:pPr>
              <w:pStyle w:val="Tabletext"/>
              <w:keepNext w:val="0"/>
              <w:widowControl w:val="0"/>
              <w:jc w:val="center"/>
            </w:pPr>
            <w:r w:rsidRPr="00D85E09">
              <w:t>17%</w:t>
            </w:r>
          </w:p>
        </w:tc>
      </w:tr>
      <w:tr w:rsidR="006C3C67" w:rsidRPr="00D85E09" w14:paraId="499F43C3" w14:textId="77777777" w:rsidTr="009C64DD">
        <w:tc>
          <w:tcPr>
            <w:tcW w:w="3020" w:type="dxa"/>
            <w:tcBorders>
              <w:top w:val="single" w:sz="4" w:space="0" w:color="000000"/>
              <w:left w:val="single" w:sz="4" w:space="0" w:color="000000"/>
              <w:bottom w:val="single" w:sz="4" w:space="0" w:color="000000"/>
              <w:right w:val="single" w:sz="4" w:space="0" w:color="000000"/>
            </w:tcBorders>
            <w:hideMark/>
          </w:tcPr>
          <w:p w14:paraId="0A81256F" w14:textId="73D37F86" w:rsidR="006C3C67" w:rsidRPr="00D85E09" w:rsidRDefault="006C3C67" w:rsidP="0043316B">
            <w:pPr>
              <w:pStyle w:val="Tabletext"/>
              <w:keepNext w:val="0"/>
              <w:widowControl w:val="0"/>
            </w:pPr>
            <w:r w:rsidRPr="00D85E09">
              <w:t xml:space="preserve"> Boundary zone</w:t>
            </w:r>
          </w:p>
        </w:tc>
        <w:tc>
          <w:tcPr>
            <w:tcW w:w="3021" w:type="dxa"/>
            <w:tcBorders>
              <w:top w:val="single" w:sz="4" w:space="0" w:color="000000"/>
              <w:left w:val="single" w:sz="4" w:space="0" w:color="000000"/>
              <w:bottom w:val="single" w:sz="4" w:space="0" w:color="000000"/>
              <w:right w:val="single" w:sz="4" w:space="0" w:color="000000"/>
            </w:tcBorders>
            <w:hideMark/>
          </w:tcPr>
          <w:p w14:paraId="1785D69D" w14:textId="77777777" w:rsidR="006C3C67" w:rsidRPr="00D85E09" w:rsidRDefault="006C3C67" w:rsidP="0043316B">
            <w:pPr>
              <w:pStyle w:val="Tabletext"/>
              <w:keepNext w:val="0"/>
              <w:widowControl w:val="0"/>
              <w:jc w:val="center"/>
            </w:pPr>
            <w:r w:rsidRPr="00D85E09">
              <w:t>12</w:t>
            </w:r>
          </w:p>
        </w:tc>
        <w:tc>
          <w:tcPr>
            <w:tcW w:w="3021" w:type="dxa"/>
            <w:tcBorders>
              <w:top w:val="single" w:sz="4" w:space="0" w:color="000000"/>
              <w:left w:val="single" w:sz="4" w:space="0" w:color="000000"/>
              <w:bottom w:val="single" w:sz="4" w:space="0" w:color="000000"/>
              <w:right w:val="single" w:sz="4" w:space="0" w:color="000000"/>
            </w:tcBorders>
            <w:hideMark/>
          </w:tcPr>
          <w:p w14:paraId="0486FCDC" w14:textId="77777777" w:rsidR="006C3C67" w:rsidRPr="00D85E09" w:rsidRDefault="006C3C67" w:rsidP="0043316B">
            <w:pPr>
              <w:pStyle w:val="Tabletext"/>
              <w:keepNext w:val="0"/>
              <w:widowControl w:val="0"/>
              <w:jc w:val="center"/>
            </w:pPr>
            <w:r w:rsidRPr="00D85E09">
              <w:t>5%</w:t>
            </w:r>
          </w:p>
        </w:tc>
      </w:tr>
    </w:tbl>
    <w:p w14:paraId="7DF76062" w14:textId="319797FF" w:rsidR="006C3C67" w:rsidRPr="00D85E09" w:rsidRDefault="006C3C67" w:rsidP="0043316B">
      <w:pPr>
        <w:pStyle w:val="Tablefootnote"/>
        <w:widowControl w:val="0"/>
        <w:rPr>
          <w:lang w:val="en-AU"/>
        </w:rPr>
      </w:pPr>
      <w:r w:rsidRPr="00D85E09">
        <w:rPr>
          <w:lang w:val="en-AU"/>
        </w:rPr>
        <w:t>Source: Hankey et al 1998 (see Section C.6).</w:t>
      </w:r>
    </w:p>
    <w:p w14:paraId="163999EC" w14:textId="77777777" w:rsidR="006C3C67" w:rsidRPr="00D85E09" w:rsidRDefault="006C3C67" w:rsidP="0043316B">
      <w:pPr>
        <w:widowControl w:val="0"/>
      </w:pPr>
    </w:p>
    <w:p w14:paraId="3AD2B233" w14:textId="5EE1AAF4" w:rsidR="006C3C67" w:rsidRPr="00D85E09" w:rsidRDefault="006C3C67" w:rsidP="0043316B">
      <w:pPr>
        <w:pStyle w:val="Heading3"/>
        <w:keepNext w:val="0"/>
        <w:widowControl w:val="0"/>
        <w:numPr>
          <w:ilvl w:val="2"/>
          <w:numId w:val="32"/>
        </w:numPr>
        <w:rPr>
          <w:lang w:val="en-AU"/>
        </w:rPr>
      </w:pPr>
      <w:bookmarkStart w:id="608" w:name="_Toc453065327"/>
      <w:r w:rsidRPr="00D85E09">
        <w:rPr>
          <w:lang w:val="en-AU"/>
        </w:rPr>
        <w:t>Estimated number of patients potentially eligible for mechanical thrombectomy under the proposed indication</w:t>
      </w:r>
      <w:bookmarkEnd w:id="608"/>
    </w:p>
    <w:p w14:paraId="400B2299" w14:textId="0F77AE8B" w:rsidR="006C3C67" w:rsidRPr="00D85E09" w:rsidRDefault="006C3C67" w:rsidP="0043316B">
      <w:pPr>
        <w:pStyle w:val="Heading5"/>
        <w:widowControl w:val="0"/>
        <w:rPr>
          <w:lang w:val="en-AU"/>
        </w:rPr>
      </w:pPr>
      <w:r w:rsidRPr="00D85E09">
        <w:rPr>
          <w:lang w:val="en-AU"/>
        </w:rPr>
        <w:t>Use of IV</w:t>
      </w:r>
      <w:r w:rsidR="00D32933" w:rsidRPr="00D85E09">
        <w:rPr>
          <w:lang w:val="en-AU"/>
        </w:rPr>
        <w:t>-</w:t>
      </w:r>
      <w:r w:rsidRPr="00D85E09">
        <w:rPr>
          <w:lang w:val="en-AU"/>
        </w:rPr>
        <w:t>tPA and admission within 4.5 hours of symptom onset</w:t>
      </w:r>
    </w:p>
    <w:p w14:paraId="063B19C8" w14:textId="47D2DF60" w:rsidR="006C3C67" w:rsidRPr="00D85E09" w:rsidRDefault="006C3C67" w:rsidP="0043316B">
      <w:pPr>
        <w:widowControl w:val="0"/>
      </w:pPr>
      <w:r w:rsidRPr="00D85E09">
        <w:t>A si</w:t>
      </w:r>
      <w:r w:rsidR="00985CAA" w:rsidRPr="00D85E09">
        <w:t xml:space="preserve">gnificant </w:t>
      </w:r>
      <w:r w:rsidRPr="00D85E09">
        <w:t>proportion of patients receiving MT are expected to be given a concomitant IV</w:t>
      </w:r>
      <w:r w:rsidR="00D32933" w:rsidRPr="00D85E09">
        <w:t>-</w:t>
      </w:r>
      <w:r w:rsidRPr="00D85E09">
        <w:t xml:space="preserve">tPA. The National Stroke Audit Acute Services Report 2015 </w:t>
      </w:r>
      <w:r w:rsidR="00ED4FA4" w:rsidRPr="00D85E09">
        <w:t xml:space="preserve">reported </w:t>
      </w:r>
      <w:r w:rsidR="00187F26" w:rsidRPr="00D85E09">
        <w:t>that</w:t>
      </w:r>
      <w:r w:rsidR="00ED4FA4" w:rsidRPr="00D85E09">
        <w:t xml:space="preserve"> only </w:t>
      </w:r>
      <w:r w:rsidRPr="00D85E09">
        <w:t>7% of all ischaemic stroke patients received IV</w:t>
      </w:r>
      <w:r w:rsidR="00D32933" w:rsidRPr="00D85E09">
        <w:t>-</w:t>
      </w:r>
      <w:r w:rsidRPr="00D85E09">
        <w:t xml:space="preserve">tPA in 2015, and this rate has been stable since 2013 (National Stroke Foundation 2015). These data are based on a clinical audit targeting all </w:t>
      </w:r>
      <w:r w:rsidRPr="00D85E09">
        <w:lastRenderedPageBreak/>
        <w:t>public and private centres admitting more than 50 stroke patients a year in Australia (National Stroke Foundation 2015).</w:t>
      </w:r>
      <w:r w:rsidRPr="00D85E09">
        <w:rPr>
          <w:rStyle w:val="FootnoteReference"/>
        </w:rPr>
        <w:footnoteReference w:id="19"/>
      </w:r>
    </w:p>
    <w:p w14:paraId="2458CB19" w14:textId="3CF4BED9" w:rsidR="006C3C67" w:rsidRPr="00D85E09" w:rsidRDefault="006C3C67" w:rsidP="0043316B">
      <w:pPr>
        <w:widowControl w:val="0"/>
      </w:pPr>
      <w:r w:rsidRPr="00D85E09">
        <w:t>Of note, the Audit also suggested that IV</w:t>
      </w:r>
      <w:r w:rsidR="00D32933" w:rsidRPr="00D85E09">
        <w:t>-</w:t>
      </w:r>
      <w:r w:rsidRPr="00D85E09">
        <w:t xml:space="preserve">tPA was administered in only 24% of all ischaemic stroke patients who arrive within 4.5 hours of symptom onset (National Stroke Foundation 2015). </w:t>
      </w:r>
      <w:r w:rsidR="00ED4FA4" w:rsidRPr="00D85E09">
        <w:t>Indicating that many patients may have been contraindicated for IV</w:t>
      </w:r>
      <w:r w:rsidR="00D32933" w:rsidRPr="00D85E09">
        <w:t>-</w:t>
      </w:r>
      <w:r w:rsidR="00ED4FA4" w:rsidRPr="00D85E09">
        <w:t>tPA</w:t>
      </w:r>
      <w:r w:rsidR="0062694D" w:rsidRPr="00D85E09">
        <w:t xml:space="preserve"> for reasons other than time since stroke onset</w:t>
      </w:r>
      <w:r w:rsidR="00ED4FA4" w:rsidRPr="00D85E09">
        <w:t xml:space="preserve">. </w:t>
      </w:r>
      <w:r w:rsidRPr="00D85E09">
        <w:t>While the Audit suggests the IV</w:t>
      </w:r>
      <w:r w:rsidR="00D32933" w:rsidRPr="00D85E09">
        <w:t>-</w:t>
      </w:r>
      <w:r w:rsidRPr="00D85E09">
        <w:t xml:space="preserve">tPA therapy is also used in some patients </w:t>
      </w:r>
      <w:r w:rsidR="0062694D" w:rsidRPr="00D85E09">
        <w:t xml:space="preserve">after </w:t>
      </w:r>
      <w:r w:rsidRPr="00D85E09">
        <w:t xml:space="preserve">4.5 hours of symptom onset, these numbers roughly mean that approximately 30% of all ischaemic patients arrive within 4.5 hours of symptom onset (see </w:t>
      </w:r>
      <w:r w:rsidRPr="00D85E09">
        <w:fldChar w:fldCharType="begin"/>
      </w:r>
      <w:r w:rsidRPr="00D85E09">
        <w:instrText xml:space="preserve"> REF _Ref450309260 \h </w:instrText>
      </w:r>
      <w:r w:rsidRPr="00D85E09">
        <w:fldChar w:fldCharType="separate"/>
      </w:r>
      <w:r w:rsidR="00A456ED" w:rsidRPr="00D85E09">
        <w:t xml:space="preserve">Table </w:t>
      </w:r>
      <w:r w:rsidR="00A456ED">
        <w:rPr>
          <w:noProof/>
        </w:rPr>
        <w:t>102</w:t>
      </w:r>
      <w:r w:rsidRPr="00D85E09">
        <w:fldChar w:fldCharType="end"/>
      </w:r>
      <w:r w:rsidRPr="00D85E09">
        <w:t>).</w:t>
      </w:r>
    </w:p>
    <w:p w14:paraId="7D7455D2" w14:textId="6B79CF8C" w:rsidR="006C3C67" w:rsidRPr="00D85E09" w:rsidRDefault="006C3C67" w:rsidP="0043316B">
      <w:pPr>
        <w:widowControl w:val="0"/>
      </w:pPr>
      <w:r w:rsidRPr="00D85E09">
        <w:t xml:space="preserve">Based on </w:t>
      </w:r>
      <w:r w:rsidR="00873D00" w:rsidRPr="00D85E09">
        <w:t xml:space="preserve">the rate of treatment reported in the NSF </w:t>
      </w:r>
      <w:r w:rsidR="00187F26" w:rsidRPr="00D85E09">
        <w:t>A</w:t>
      </w:r>
      <w:r w:rsidR="00873D00" w:rsidRPr="00D85E09">
        <w:t>udit</w:t>
      </w:r>
      <w:r w:rsidRPr="00D85E09">
        <w:t>, it can be estimated that approximately 1300 patients</w:t>
      </w:r>
      <w:r w:rsidR="00873D00" w:rsidRPr="00D85E09">
        <w:t xml:space="preserve"> with AIS due to LVO</w:t>
      </w:r>
      <w:r w:rsidRPr="00D85E09">
        <w:t xml:space="preserve"> </w:t>
      </w:r>
      <w:r w:rsidR="00E207E9" w:rsidRPr="00D85E09">
        <w:t xml:space="preserve">could be </w:t>
      </w:r>
      <w:r w:rsidRPr="00D85E09">
        <w:t>treated with IV</w:t>
      </w:r>
      <w:r w:rsidR="00D32933" w:rsidRPr="00D85E09">
        <w:t>-</w:t>
      </w:r>
      <w:r w:rsidRPr="00D85E09">
        <w:t xml:space="preserve">tPA, as shown in </w:t>
      </w:r>
      <w:r w:rsidRPr="00D85E09">
        <w:fldChar w:fldCharType="begin"/>
      </w:r>
      <w:r w:rsidRPr="00D85E09">
        <w:instrText xml:space="preserve"> REF _Ref450309260 \h </w:instrText>
      </w:r>
      <w:r w:rsidRPr="00D85E09">
        <w:fldChar w:fldCharType="separate"/>
      </w:r>
      <w:r w:rsidR="00A456ED" w:rsidRPr="00D85E09">
        <w:t xml:space="preserve">Table </w:t>
      </w:r>
      <w:r w:rsidR="00A456ED">
        <w:rPr>
          <w:noProof/>
        </w:rPr>
        <w:t>102</w:t>
      </w:r>
      <w:r w:rsidRPr="00D85E09">
        <w:fldChar w:fldCharType="end"/>
      </w:r>
      <w:r w:rsidRPr="00D85E09">
        <w:t>. Furthermore, approximately 5500 patients are admitted to hospital within 4.5 hours of symptom onset. Of note, this approach assumes that the reported data are directly applicable to the LVO subgroup.</w:t>
      </w:r>
    </w:p>
    <w:p w14:paraId="730D4E06" w14:textId="75D3434A" w:rsidR="006C3C67" w:rsidRPr="00D85E09" w:rsidRDefault="006C3C67" w:rsidP="0043316B">
      <w:pPr>
        <w:pStyle w:val="Caption"/>
        <w:keepNext w:val="0"/>
        <w:widowControl w:val="0"/>
        <w:rPr>
          <w:lang w:val="en-AU"/>
        </w:rPr>
      </w:pPr>
      <w:bookmarkStart w:id="609" w:name="_Ref450309260"/>
      <w:bookmarkStart w:id="610" w:name="_Toc453065438"/>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102</w:t>
      </w:r>
      <w:r w:rsidRPr="00D85E09">
        <w:rPr>
          <w:lang w:val="en-AU"/>
        </w:rPr>
        <w:fldChar w:fldCharType="end"/>
      </w:r>
      <w:bookmarkEnd w:id="609"/>
      <w:r w:rsidRPr="00D85E09">
        <w:rPr>
          <w:lang w:val="en-AU"/>
        </w:rPr>
        <w:tab/>
        <w:t>Estimated incidence of acute ischaemic stroke due to large vessel occlusion – IV</w:t>
      </w:r>
      <w:r w:rsidR="00D32933" w:rsidRPr="00D85E09">
        <w:rPr>
          <w:lang w:val="en-AU"/>
        </w:rPr>
        <w:t>-</w:t>
      </w:r>
      <w:r w:rsidRPr="00D85E09">
        <w:rPr>
          <w:lang w:val="en-AU"/>
        </w:rPr>
        <w:t>tPA treated and admission by 4.5 hours of symptom onset</w:t>
      </w:r>
      <w:bookmarkEnd w:id="610"/>
    </w:p>
    <w:tbl>
      <w:tblPr>
        <w:tblStyle w:val="TableGrid"/>
        <w:tblW w:w="5000" w:type="pct"/>
        <w:tblLook w:val="04A0" w:firstRow="1" w:lastRow="0" w:firstColumn="1" w:lastColumn="0" w:noHBand="0" w:noVBand="1"/>
        <w:tblDescription w:val="Table 102 Estimated incidence of acute ischaemic stroke due to large vessel occlusion – IV-tPA treated and admission by 4.5 hours of symptom onset"/>
      </w:tblPr>
      <w:tblGrid>
        <w:gridCol w:w="2757"/>
        <w:gridCol w:w="1525"/>
        <w:gridCol w:w="1525"/>
        <w:gridCol w:w="3481"/>
      </w:tblGrid>
      <w:tr w:rsidR="006C3C67" w:rsidRPr="00D85E09" w14:paraId="4B8458E8" w14:textId="77777777" w:rsidTr="009C64DD">
        <w:trPr>
          <w:tblHeader/>
        </w:trPr>
        <w:tc>
          <w:tcPr>
            <w:tcW w:w="1484" w:type="pct"/>
            <w:tcBorders>
              <w:top w:val="single" w:sz="4" w:space="0" w:color="000000"/>
              <w:left w:val="single" w:sz="4" w:space="0" w:color="000000"/>
              <w:bottom w:val="single" w:sz="4" w:space="0" w:color="000000"/>
              <w:right w:val="single" w:sz="4" w:space="0" w:color="000000"/>
            </w:tcBorders>
            <w:hideMark/>
          </w:tcPr>
          <w:p w14:paraId="60773C61" w14:textId="77777777" w:rsidR="006C3C67" w:rsidRPr="00D85E09" w:rsidRDefault="006C3C67" w:rsidP="0043316B">
            <w:pPr>
              <w:pStyle w:val="Tabletext"/>
              <w:keepNext w:val="0"/>
              <w:widowControl w:val="0"/>
              <w:rPr>
                <w:b/>
              </w:rPr>
            </w:pPr>
            <w:r w:rsidRPr="00D85E09">
              <w:rPr>
                <w:b/>
              </w:rPr>
              <w:t xml:space="preserve">Parameter </w:t>
            </w:r>
          </w:p>
        </w:tc>
        <w:tc>
          <w:tcPr>
            <w:tcW w:w="821" w:type="pct"/>
            <w:tcBorders>
              <w:top w:val="single" w:sz="4" w:space="0" w:color="000000"/>
              <w:left w:val="single" w:sz="4" w:space="0" w:color="000000"/>
              <w:bottom w:val="single" w:sz="4" w:space="0" w:color="000000"/>
              <w:right w:val="single" w:sz="4" w:space="0" w:color="000000"/>
            </w:tcBorders>
            <w:hideMark/>
          </w:tcPr>
          <w:p w14:paraId="59544D59" w14:textId="77777777" w:rsidR="006C3C67" w:rsidRPr="00D85E09" w:rsidRDefault="006C3C67" w:rsidP="0043316B">
            <w:pPr>
              <w:pStyle w:val="Tabletext"/>
              <w:keepNext w:val="0"/>
              <w:widowControl w:val="0"/>
              <w:jc w:val="center"/>
              <w:rPr>
                <w:b/>
              </w:rPr>
            </w:pPr>
            <w:r w:rsidRPr="00D85E09">
              <w:rPr>
                <w:b/>
              </w:rPr>
              <w:t>Reported / derived rate</w:t>
            </w:r>
          </w:p>
        </w:tc>
        <w:tc>
          <w:tcPr>
            <w:tcW w:w="821" w:type="pct"/>
            <w:tcBorders>
              <w:top w:val="single" w:sz="4" w:space="0" w:color="000000"/>
              <w:left w:val="single" w:sz="4" w:space="0" w:color="000000"/>
              <w:bottom w:val="single" w:sz="4" w:space="0" w:color="000000"/>
              <w:right w:val="single" w:sz="4" w:space="0" w:color="000000"/>
            </w:tcBorders>
            <w:hideMark/>
          </w:tcPr>
          <w:p w14:paraId="12282FB1" w14:textId="77777777" w:rsidR="006C3C67" w:rsidRPr="00D85E09" w:rsidRDefault="006C3C67" w:rsidP="0043316B">
            <w:pPr>
              <w:pStyle w:val="Tabletext"/>
              <w:keepNext w:val="0"/>
              <w:widowControl w:val="0"/>
              <w:jc w:val="center"/>
              <w:rPr>
                <w:b/>
              </w:rPr>
            </w:pPr>
            <w:r w:rsidRPr="00D85E09">
              <w:rPr>
                <w:b/>
              </w:rPr>
              <w:t>Estimated incidence</w:t>
            </w:r>
          </w:p>
        </w:tc>
        <w:tc>
          <w:tcPr>
            <w:tcW w:w="1874" w:type="pct"/>
            <w:tcBorders>
              <w:top w:val="single" w:sz="4" w:space="0" w:color="000000"/>
              <w:left w:val="single" w:sz="4" w:space="0" w:color="000000"/>
              <w:bottom w:val="single" w:sz="4" w:space="0" w:color="000000"/>
              <w:right w:val="single" w:sz="4" w:space="0" w:color="000000"/>
            </w:tcBorders>
            <w:hideMark/>
          </w:tcPr>
          <w:p w14:paraId="2ABA6368" w14:textId="77777777" w:rsidR="006C3C67" w:rsidRPr="00D85E09" w:rsidRDefault="006C3C67" w:rsidP="0043316B">
            <w:pPr>
              <w:pStyle w:val="Tabletext"/>
              <w:keepNext w:val="0"/>
              <w:widowControl w:val="0"/>
              <w:rPr>
                <w:b/>
              </w:rPr>
            </w:pPr>
            <w:r w:rsidRPr="00D85E09">
              <w:rPr>
                <w:b/>
              </w:rPr>
              <w:t xml:space="preserve">Source </w:t>
            </w:r>
          </w:p>
        </w:tc>
      </w:tr>
      <w:tr w:rsidR="006C3C67" w:rsidRPr="00D85E09" w14:paraId="27E7E182" w14:textId="77777777" w:rsidTr="004477EF">
        <w:tc>
          <w:tcPr>
            <w:tcW w:w="1484" w:type="pct"/>
            <w:tcBorders>
              <w:top w:val="single" w:sz="4" w:space="0" w:color="000000"/>
              <w:left w:val="single" w:sz="4" w:space="0" w:color="000000"/>
              <w:bottom w:val="single" w:sz="4" w:space="0" w:color="000000"/>
              <w:right w:val="single" w:sz="4" w:space="0" w:color="000000"/>
            </w:tcBorders>
            <w:hideMark/>
          </w:tcPr>
          <w:p w14:paraId="2F53AB1A" w14:textId="580DB4A2" w:rsidR="006C3C67" w:rsidRPr="00D85E09" w:rsidRDefault="006C3C67" w:rsidP="0043316B">
            <w:pPr>
              <w:pStyle w:val="Tabletext"/>
              <w:keepNext w:val="0"/>
              <w:widowControl w:val="0"/>
            </w:pPr>
            <w:r w:rsidRPr="00D85E09">
              <w:t>Patients treated with IV</w:t>
            </w:r>
            <w:r w:rsidR="00D32933" w:rsidRPr="00D85E09">
              <w:t>-</w:t>
            </w:r>
            <w:r w:rsidRPr="00D85E09">
              <w:t>tPA</w:t>
            </w:r>
          </w:p>
        </w:tc>
        <w:tc>
          <w:tcPr>
            <w:tcW w:w="821" w:type="pct"/>
            <w:tcBorders>
              <w:top w:val="single" w:sz="4" w:space="0" w:color="000000"/>
              <w:left w:val="single" w:sz="4" w:space="0" w:color="000000"/>
              <w:bottom w:val="single" w:sz="4" w:space="0" w:color="000000"/>
              <w:right w:val="single" w:sz="4" w:space="0" w:color="000000"/>
            </w:tcBorders>
            <w:hideMark/>
          </w:tcPr>
          <w:p w14:paraId="37D7D0B9" w14:textId="77777777" w:rsidR="006C3C67" w:rsidRPr="00D85E09" w:rsidRDefault="006C3C67" w:rsidP="0043316B">
            <w:pPr>
              <w:pStyle w:val="Tabletext"/>
              <w:keepNext w:val="0"/>
              <w:widowControl w:val="0"/>
            </w:pPr>
            <w:r w:rsidRPr="00D85E09">
              <w:t>7%</w:t>
            </w:r>
          </w:p>
        </w:tc>
        <w:tc>
          <w:tcPr>
            <w:tcW w:w="821" w:type="pct"/>
            <w:tcBorders>
              <w:top w:val="single" w:sz="4" w:space="0" w:color="000000"/>
              <w:left w:val="single" w:sz="4" w:space="0" w:color="000000"/>
              <w:bottom w:val="single" w:sz="4" w:space="0" w:color="000000"/>
              <w:right w:val="single" w:sz="4" w:space="0" w:color="000000"/>
            </w:tcBorders>
            <w:hideMark/>
          </w:tcPr>
          <w:p w14:paraId="6D6F1F99" w14:textId="77777777" w:rsidR="006C3C67" w:rsidRPr="00D85E09" w:rsidRDefault="006C3C67" w:rsidP="0043316B">
            <w:pPr>
              <w:pStyle w:val="Tabletext"/>
              <w:keepNext w:val="0"/>
              <w:widowControl w:val="0"/>
            </w:pPr>
            <w:r w:rsidRPr="00D85E09">
              <w:t>1,282</w:t>
            </w:r>
          </w:p>
        </w:tc>
        <w:tc>
          <w:tcPr>
            <w:tcW w:w="1874" w:type="pct"/>
            <w:tcBorders>
              <w:top w:val="single" w:sz="4" w:space="0" w:color="000000"/>
              <w:left w:val="single" w:sz="4" w:space="0" w:color="000000"/>
              <w:bottom w:val="single" w:sz="4" w:space="0" w:color="000000"/>
              <w:right w:val="single" w:sz="4" w:space="0" w:color="000000"/>
            </w:tcBorders>
            <w:hideMark/>
          </w:tcPr>
          <w:p w14:paraId="5B1C1AFB" w14:textId="77777777" w:rsidR="006C3C67" w:rsidRPr="00D85E09" w:rsidRDefault="006C3C67" w:rsidP="0043316B">
            <w:pPr>
              <w:pStyle w:val="Tabletext"/>
              <w:keepNext w:val="0"/>
              <w:widowControl w:val="0"/>
            </w:pPr>
            <w:r w:rsidRPr="00D85E09">
              <w:t>National Stroke Foundation 2015</w:t>
            </w:r>
          </w:p>
          <w:p w14:paraId="6043E653" w14:textId="77777777" w:rsidR="006C3C67" w:rsidRPr="00D85E09" w:rsidRDefault="006C3C67" w:rsidP="0043316B">
            <w:pPr>
              <w:pStyle w:val="Tabletext"/>
              <w:keepNext w:val="0"/>
              <w:widowControl w:val="0"/>
            </w:pPr>
            <w:r w:rsidRPr="00D85E09">
              <w:t xml:space="preserve">Relevant to all ischaemic cases; assumed to be applicable to the LVO subgroup. </w:t>
            </w:r>
          </w:p>
        </w:tc>
      </w:tr>
      <w:tr w:rsidR="006C3C67" w:rsidRPr="00D85E09" w14:paraId="1563107B" w14:textId="77777777" w:rsidTr="004477EF">
        <w:tc>
          <w:tcPr>
            <w:tcW w:w="1484" w:type="pct"/>
            <w:tcBorders>
              <w:top w:val="single" w:sz="4" w:space="0" w:color="000000"/>
              <w:left w:val="single" w:sz="4" w:space="0" w:color="000000"/>
              <w:bottom w:val="single" w:sz="4" w:space="0" w:color="000000"/>
              <w:right w:val="single" w:sz="4" w:space="0" w:color="000000"/>
            </w:tcBorders>
            <w:hideMark/>
          </w:tcPr>
          <w:p w14:paraId="05C30C86" w14:textId="464747CB" w:rsidR="006C3C67" w:rsidRPr="00D85E09" w:rsidRDefault="006C3C67" w:rsidP="0043316B">
            <w:pPr>
              <w:pStyle w:val="Tabletext"/>
              <w:keepNext w:val="0"/>
              <w:widowControl w:val="0"/>
            </w:pPr>
            <w:r w:rsidRPr="00D85E09">
              <w:t>Patients arriving within 4.5</w:t>
            </w:r>
            <w:r w:rsidR="0062694D" w:rsidRPr="00D85E09">
              <w:t xml:space="preserve"> </w:t>
            </w:r>
            <w:r w:rsidRPr="00D85E09">
              <w:t>hrs of symptom onset</w:t>
            </w:r>
          </w:p>
        </w:tc>
        <w:tc>
          <w:tcPr>
            <w:tcW w:w="821" w:type="pct"/>
            <w:tcBorders>
              <w:top w:val="single" w:sz="4" w:space="0" w:color="000000"/>
              <w:left w:val="single" w:sz="4" w:space="0" w:color="000000"/>
              <w:bottom w:val="single" w:sz="4" w:space="0" w:color="000000"/>
              <w:right w:val="single" w:sz="4" w:space="0" w:color="000000"/>
            </w:tcBorders>
            <w:hideMark/>
          </w:tcPr>
          <w:p w14:paraId="26C4316B" w14:textId="77777777" w:rsidR="006C3C67" w:rsidRPr="00D85E09" w:rsidRDefault="006C3C67" w:rsidP="0043316B">
            <w:pPr>
              <w:pStyle w:val="Tabletext"/>
              <w:keepNext w:val="0"/>
              <w:widowControl w:val="0"/>
            </w:pPr>
            <w:r w:rsidRPr="00D85E09">
              <w:t>30%</w:t>
            </w:r>
          </w:p>
        </w:tc>
        <w:tc>
          <w:tcPr>
            <w:tcW w:w="821" w:type="pct"/>
            <w:tcBorders>
              <w:top w:val="single" w:sz="4" w:space="0" w:color="000000"/>
              <w:left w:val="single" w:sz="4" w:space="0" w:color="000000"/>
              <w:bottom w:val="single" w:sz="4" w:space="0" w:color="000000"/>
              <w:right w:val="single" w:sz="4" w:space="0" w:color="000000"/>
            </w:tcBorders>
            <w:hideMark/>
          </w:tcPr>
          <w:p w14:paraId="4FA8AD50" w14:textId="77777777" w:rsidR="006C3C67" w:rsidRPr="00D85E09" w:rsidRDefault="006C3C67" w:rsidP="0043316B">
            <w:pPr>
              <w:pStyle w:val="Tabletext"/>
              <w:keepNext w:val="0"/>
              <w:widowControl w:val="0"/>
            </w:pPr>
            <w:r w:rsidRPr="00D85E09">
              <w:t>5,496</w:t>
            </w:r>
          </w:p>
        </w:tc>
        <w:tc>
          <w:tcPr>
            <w:tcW w:w="1874" w:type="pct"/>
            <w:tcBorders>
              <w:top w:val="single" w:sz="4" w:space="0" w:color="000000"/>
              <w:left w:val="single" w:sz="4" w:space="0" w:color="000000"/>
              <w:bottom w:val="single" w:sz="4" w:space="0" w:color="000000"/>
              <w:right w:val="single" w:sz="4" w:space="0" w:color="000000"/>
            </w:tcBorders>
            <w:hideMark/>
          </w:tcPr>
          <w:p w14:paraId="150DAEEE" w14:textId="70700FA4" w:rsidR="006C3C67" w:rsidRPr="00D85E09" w:rsidRDefault="006C3C67" w:rsidP="0043316B">
            <w:pPr>
              <w:pStyle w:val="Tabletext"/>
              <w:keepNext w:val="0"/>
              <w:widowControl w:val="0"/>
            </w:pPr>
            <w:r w:rsidRPr="00D85E09">
              <w:t>Approximation. Only 24% of patients arriving within 4.5 hrs receive IV</w:t>
            </w:r>
            <w:r w:rsidR="00D32933" w:rsidRPr="00D85E09">
              <w:t>-</w:t>
            </w:r>
            <w:r w:rsidRPr="00D85E09">
              <w:t>tPA and the overall IV</w:t>
            </w:r>
            <w:r w:rsidR="00D32933" w:rsidRPr="00D85E09">
              <w:t>-</w:t>
            </w:r>
            <w:r w:rsidRPr="00D85E09">
              <w:t>tPA use is 7%.</w:t>
            </w:r>
          </w:p>
          <w:p w14:paraId="48FCA445" w14:textId="77777777" w:rsidR="006C3C67" w:rsidRPr="00D85E09" w:rsidRDefault="006C3C67" w:rsidP="0043316B">
            <w:pPr>
              <w:pStyle w:val="Tabletext"/>
              <w:keepNext w:val="0"/>
              <w:widowControl w:val="0"/>
            </w:pPr>
            <w:r w:rsidRPr="00D85E09">
              <w:t>Derived based on National Stroke Foundation (2015).</w:t>
            </w:r>
          </w:p>
          <w:p w14:paraId="1F36D3AB" w14:textId="77777777" w:rsidR="006C3C67" w:rsidRPr="00D85E09" w:rsidRDefault="006C3C67" w:rsidP="0043316B">
            <w:pPr>
              <w:pStyle w:val="Tabletext"/>
              <w:keepNext w:val="0"/>
              <w:widowControl w:val="0"/>
            </w:pPr>
            <w:r w:rsidRPr="00D85E09">
              <w:t>Relevant to all ischaemic cases; assumed to be applicable to the LVO subgroup.</w:t>
            </w:r>
          </w:p>
        </w:tc>
      </w:tr>
    </w:tbl>
    <w:p w14:paraId="147BEB7E" w14:textId="6C53E34F" w:rsidR="006C3C67" w:rsidRPr="00D85E09" w:rsidRDefault="006C3C67" w:rsidP="0043316B">
      <w:pPr>
        <w:pStyle w:val="Tablefootnote"/>
        <w:widowControl w:val="0"/>
        <w:rPr>
          <w:lang w:val="en-AU"/>
        </w:rPr>
      </w:pPr>
      <w:r w:rsidRPr="00D85E09">
        <w:rPr>
          <w:lang w:val="en-AU"/>
        </w:rPr>
        <w:t>Note: See full calculation details in the attached Section E spreadsheet.</w:t>
      </w:r>
    </w:p>
    <w:p w14:paraId="100A23CD" w14:textId="5798B199" w:rsidR="006C3C67" w:rsidRPr="00D85E09" w:rsidRDefault="006C3C67" w:rsidP="0043316B">
      <w:pPr>
        <w:widowControl w:val="0"/>
        <w:spacing w:before="80" w:after="360" w:line="240" w:lineRule="auto"/>
      </w:pPr>
      <w:r w:rsidRPr="00D85E09">
        <w:rPr>
          <w:rFonts w:ascii="Arial Narrow" w:hAnsi="Arial Narrow" w:cs="Arial Narrow"/>
          <w:sz w:val="16"/>
          <w:szCs w:val="16"/>
          <w:lang w:eastAsia="en-AU"/>
        </w:rPr>
        <w:t>Abbreviations: LVO = large vessel occlusion; IV</w:t>
      </w:r>
      <w:r w:rsidR="00D32933" w:rsidRPr="00D85E09">
        <w:rPr>
          <w:rFonts w:ascii="Arial Narrow" w:hAnsi="Arial Narrow" w:cs="Arial Narrow"/>
          <w:sz w:val="16"/>
          <w:szCs w:val="16"/>
          <w:lang w:eastAsia="en-AU"/>
        </w:rPr>
        <w:t>-</w:t>
      </w:r>
      <w:r w:rsidRPr="00D85E09">
        <w:rPr>
          <w:rFonts w:ascii="Arial Narrow" w:hAnsi="Arial Narrow" w:cs="Arial Narrow"/>
          <w:sz w:val="16"/>
          <w:szCs w:val="16"/>
          <w:lang w:eastAsia="en-AU"/>
        </w:rPr>
        <w:t>tPA, intravenous tissue plasminogen activator.</w:t>
      </w:r>
    </w:p>
    <w:p w14:paraId="700C1C5A" w14:textId="77777777" w:rsidR="006C3C67" w:rsidRPr="00D85E09" w:rsidRDefault="006C3C67" w:rsidP="0043316B">
      <w:pPr>
        <w:pStyle w:val="Heading5"/>
        <w:widowControl w:val="0"/>
        <w:rPr>
          <w:lang w:val="en-AU"/>
        </w:rPr>
      </w:pPr>
      <w:r w:rsidRPr="00D85E09">
        <w:rPr>
          <w:lang w:val="en-AU"/>
        </w:rPr>
        <w:t>Consideration for patient eligibility selection for mechanical thrombectomy</w:t>
      </w:r>
    </w:p>
    <w:p w14:paraId="1BA8A155" w14:textId="47872902" w:rsidR="006C3C67" w:rsidRPr="00D85E09" w:rsidRDefault="006C3C67" w:rsidP="0043316B">
      <w:pPr>
        <w:widowControl w:val="0"/>
      </w:pPr>
      <w:r w:rsidRPr="00D85E09">
        <w:t xml:space="preserve">A range of factors are considered in determining a patient’s eligibility for MT. Recommendations made in the published treatment guidelines have been discussed in Section A and again summarised in </w:t>
      </w:r>
      <w:r w:rsidRPr="00D85E09">
        <w:fldChar w:fldCharType="begin"/>
      </w:r>
      <w:r w:rsidRPr="00D85E09">
        <w:instrText xml:space="preserve"> REF _Ref442358811 \h </w:instrText>
      </w:r>
      <w:r w:rsidRPr="00D85E09">
        <w:fldChar w:fldCharType="separate"/>
      </w:r>
      <w:r w:rsidR="00A456ED" w:rsidRPr="00D85E09">
        <w:t xml:space="preserve">Table </w:t>
      </w:r>
      <w:r w:rsidR="00A456ED">
        <w:rPr>
          <w:noProof/>
        </w:rPr>
        <w:t>103</w:t>
      </w:r>
      <w:r w:rsidRPr="00D85E09">
        <w:fldChar w:fldCharType="end"/>
      </w:r>
      <w:r w:rsidRPr="00D85E09">
        <w:t xml:space="preserve"> below. In addition to the confirmed diagnosis of AIS due to LVO, such factors as time since onset, location of occlusion (imaging tests), and pre-stroke functional ability are considered in selecting eligible candidates. It is nonetheless expected that the final eligibility selection in practice would be based on clinical </w:t>
      </w:r>
      <w:r w:rsidRPr="00D85E09">
        <w:lastRenderedPageBreak/>
        <w:t>judgement made on the individual patient basis.</w:t>
      </w:r>
    </w:p>
    <w:p w14:paraId="2F41FE71" w14:textId="0CEE7274" w:rsidR="006C3C67" w:rsidRPr="00D85E09" w:rsidRDefault="006C3C67" w:rsidP="0043316B">
      <w:pPr>
        <w:widowControl w:val="0"/>
      </w:pPr>
      <w:r w:rsidRPr="00D85E09">
        <w:t xml:space="preserve">The above analysis estimated that roughly 5500 patients are admitted to hospital within 4.5 hours of symptom onset (see </w:t>
      </w:r>
      <w:r w:rsidRPr="00D85E09">
        <w:fldChar w:fldCharType="begin"/>
      </w:r>
      <w:r w:rsidRPr="00D85E09">
        <w:instrText xml:space="preserve"> REF _Ref450309260 \h </w:instrText>
      </w:r>
      <w:r w:rsidR="00BF2DA4" w:rsidRPr="00D85E09">
        <w:instrText xml:space="preserve"> \* MERGEFORMAT </w:instrText>
      </w:r>
      <w:r w:rsidRPr="00D85E09">
        <w:fldChar w:fldCharType="separate"/>
      </w:r>
      <w:r w:rsidR="00A456ED" w:rsidRPr="00D85E09">
        <w:t xml:space="preserve">Table </w:t>
      </w:r>
      <w:r w:rsidR="00A456ED">
        <w:rPr>
          <w:noProof/>
        </w:rPr>
        <w:t>102</w:t>
      </w:r>
      <w:r w:rsidRPr="00D85E09">
        <w:fldChar w:fldCharType="end"/>
      </w:r>
      <w:r w:rsidRPr="00D85E09">
        <w:t>). While no evidence is available to assist this estimation, it could be reasonably speculated that less than 8,000-10,000 patients would meet a time</w:t>
      </w:r>
      <w:r w:rsidR="00300BB6" w:rsidRPr="00D85E09">
        <w:t xml:space="preserve"> </w:t>
      </w:r>
      <w:r w:rsidRPr="00D85E09">
        <w:t xml:space="preserve">based eligibility criterion alone (i.e., 43-54% arriving within ~6 hours of symptom onset; see </w:t>
      </w:r>
      <w:r w:rsidRPr="00D85E09">
        <w:fldChar w:fldCharType="begin"/>
      </w:r>
      <w:r w:rsidRPr="00D85E09">
        <w:instrText xml:space="preserve"> REF _Ref442358811 \h </w:instrText>
      </w:r>
      <w:r w:rsidR="00244BBF" w:rsidRPr="00D85E09">
        <w:instrText xml:space="preserve"> \* MERGEFORMAT </w:instrText>
      </w:r>
      <w:r w:rsidRPr="00D85E09">
        <w:fldChar w:fldCharType="separate"/>
      </w:r>
      <w:r w:rsidR="00A456ED" w:rsidRPr="00D85E09">
        <w:t xml:space="preserve">Table </w:t>
      </w:r>
      <w:r w:rsidR="00A456ED">
        <w:rPr>
          <w:noProof/>
        </w:rPr>
        <w:t>103</w:t>
      </w:r>
      <w:r w:rsidRPr="00D85E09">
        <w:fldChar w:fldCharType="end"/>
      </w:r>
      <w:r w:rsidRPr="00D85E09">
        <w:t xml:space="preserve">). Of note, an analysis from the US suggests 61% would arrive within the 6-hour window, and this rate would be lower given the greater </w:t>
      </w:r>
      <w:r w:rsidR="00A95567" w:rsidRPr="00D85E09">
        <w:t xml:space="preserve">geographical </w:t>
      </w:r>
      <w:r w:rsidRPr="00D85E09">
        <w:t>spread of the Australian population (</w:t>
      </w:r>
      <w:r w:rsidR="00471657" w:rsidRPr="00D85E09">
        <w:t>Lacey et al, 2001)</w:t>
      </w:r>
      <w:r w:rsidRPr="00D85E09">
        <w:t>.</w:t>
      </w:r>
    </w:p>
    <w:p w14:paraId="71A11CEB" w14:textId="19AAE49B" w:rsidR="006C3C67" w:rsidRPr="00D85E09" w:rsidRDefault="006C3C67" w:rsidP="0043316B">
      <w:pPr>
        <w:widowControl w:val="0"/>
        <w:rPr>
          <w:i/>
        </w:rPr>
      </w:pPr>
      <w:r w:rsidRPr="00D85E09">
        <w:t xml:space="preserve">It is important to note that criteria </w:t>
      </w:r>
      <w:r w:rsidR="00985CAA" w:rsidRPr="00D85E09">
        <w:t xml:space="preserve">(see </w:t>
      </w:r>
      <w:r w:rsidR="00985CAA" w:rsidRPr="00D85E09">
        <w:fldChar w:fldCharType="begin"/>
      </w:r>
      <w:r w:rsidR="00985CAA" w:rsidRPr="00D85E09">
        <w:instrText xml:space="preserve"> REF _Ref442358811 \h </w:instrText>
      </w:r>
      <w:r w:rsidR="00985CAA" w:rsidRPr="00D85E09">
        <w:fldChar w:fldCharType="separate"/>
      </w:r>
      <w:r w:rsidR="00A456ED" w:rsidRPr="00D85E09">
        <w:t xml:space="preserve">Table </w:t>
      </w:r>
      <w:r w:rsidR="00A456ED">
        <w:rPr>
          <w:noProof/>
        </w:rPr>
        <w:t>103</w:t>
      </w:r>
      <w:r w:rsidR="00985CAA" w:rsidRPr="00D85E09">
        <w:fldChar w:fldCharType="end"/>
      </w:r>
      <w:r w:rsidR="00985CAA" w:rsidRPr="00D85E09">
        <w:t xml:space="preserve">) </w:t>
      </w:r>
      <w:r w:rsidRPr="00D85E09">
        <w:t>other than the aforementioned time</w:t>
      </w:r>
      <w:r w:rsidR="00300BB6" w:rsidRPr="00D85E09">
        <w:t xml:space="preserve"> </w:t>
      </w:r>
      <w:r w:rsidRPr="00D85E09">
        <w:t>based criterion are also considered in practice in assessing the patient eligibility</w:t>
      </w:r>
      <w:r w:rsidR="00985CAA" w:rsidRPr="00D85E09">
        <w:t xml:space="preserve">. </w:t>
      </w:r>
      <w:r w:rsidRPr="00D85E09">
        <w:t>which would likely further reduce the patient pool</w:t>
      </w:r>
    </w:p>
    <w:p w14:paraId="3E6EC865" w14:textId="55D7283B" w:rsidR="006C3C67" w:rsidRPr="00D85E09" w:rsidRDefault="006C3C67" w:rsidP="0043316B">
      <w:pPr>
        <w:pStyle w:val="Caption"/>
        <w:keepNext w:val="0"/>
        <w:widowControl w:val="0"/>
        <w:rPr>
          <w:lang w:val="en-AU"/>
        </w:rPr>
      </w:pPr>
      <w:bookmarkStart w:id="611" w:name="_Ref442358811"/>
      <w:bookmarkStart w:id="612" w:name="_Toc453065439"/>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103</w:t>
      </w:r>
      <w:r w:rsidRPr="00D85E09">
        <w:rPr>
          <w:lang w:val="en-AU"/>
        </w:rPr>
        <w:fldChar w:fldCharType="end"/>
      </w:r>
      <w:bookmarkEnd w:id="611"/>
      <w:r w:rsidRPr="00D85E09">
        <w:rPr>
          <w:lang w:val="en-AU"/>
        </w:rPr>
        <w:tab/>
        <w:t>Summary of guideline recommendations relevant to proposed populations most suitable for mechanical thrombectomy</w:t>
      </w:r>
      <w:bookmarkEnd w:id="612"/>
    </w:p>
    <w:tbl>
      <w:tblPr>
        <w:tblStyle w:val="TableGrid"/>
        <w:tblW w:w="5000" w:type="pct"/>
        <w:tblLook w:val="04A0" w:firstRow="1" w:lastRow="0" w:firstColumn="1" w:lastColumn="0" w:noHBand="0" w:noVBand="1"/>
        <w:tblDescription w:val="Table 2 Summary of guideline recommendations relevant to proposed populations most suitable for mechanical thrombectomy"/>
      </w:tblPr>
      <w:tblGrid>
        <w:gridCol w:w="1261"/>
        <w:gridCol w:w="8027"/>
      </w:tblGrid>
      <w:tr w:rsidR="006C3C67" w:rsidRPr="00D85E09" w14:paraId="21068D37" w14:textId="77777777" w:rsidTr="009C64DD">
        <w:trPr>
          <w:tblHeader/>
        </w:trPr>
        <w:tc>
          <w:tcPr>
            <w:tcW w:w="5000" w:type="pct"/>
            <w:gridSpan w:val="2"/>
            <w:tcBorders>
              <w:top w:val="single" w:sz="4" w:space="0" w:color="000000"/>
              <w:left w:val="single" w:sz="4" w:space="0" w:color="000000"/>
              <w:bottom w:val="single" w:sz="4" w:space="0" w:color="000000"/>
              <w:right w:val="single" w:sz="4" w:space="0" w:color="000000"/>
            </w:tcBorders>
            <w:hideMark/>
          </w:tcPr>
          <w:p w14:paraId="3B0A9BC4" w14:textId="77777777" w:rsidR="006C3C67" w:rsidRPr="00D85E09" w:rsidRDefault="006C3C67" w:rsidP="0043316B">
            <w:pPr>
              <w:pStyle w:val="Tabletext"/>
              <w:keepNext w:val="0"/>
              <w:widowControl w:val="0"/>
              <w:rPr>
                <w:b/>
              </w:rPr>
            </w:pPr>
            <w:r w:rsidRPr="00D85E09">
              <w:rPr>
                <w:b/>
              </w:rPr>
              <w:t>Relevant recommendations from guidelines</w:t>
            </w:r>
          </w:p>
        </w:tc>
      </w:tr>
      <w:tr w:rsidR="006C3C67" w:rsidRPr="00D85E09" w14:paraId="172E5702" w14:textId="77777777" w:rsidTr="009C64DD">
        <w:tc>
          <w:tcPr>
            <w:tcW w:w="679" w:type="pct"/>
            <w:tcBorders>
              <w:top w:val="single" w:sz="4" w:space="0" w:color="000000"/>
              <w:left w:val="single" w:sz="4" w:space="0" w:color="000000"/>
              <w:bottom w:val="single" w:sz="4" w:space="0" w:color="000000"/>
              <w:right w:val="single" w:sz="4" w:space="0" w:color="000000"/>
            </w:tcBorders>
            <w:hideMark/>
          </w:tcPr>
          <w:p w14:paraId="136436BF" w14:textId="77777777" w:rsidR="006C3C67" w:rsidRPr="00D85E09" w:rsidRDefault="006C3C67" w:rsidP="0043316B">
            <w:pPr>
              <w:pStyle w:val="Tabletext"/>
              <w:keepNext w:val="0"/>
              <w:widowControl w:val="0"/>
            </w:pPr>
            <w:r w:rsidRPr="00D85E09">
              <w:t>US guidelines (Powers, 2015)</w:t>
            </w:r>
          </w:p>
        </w:tc>
        <w:tc>
          <w:tcPr>
            <w:tcW w:w="4321" w:type="pct"/>
            <w:tcBorders>
              <w:top w:val="single" w:sz="4" w:space="0" w:color="000000"/>
              <w:left w:val="single" w:sz="4" w:space="0" w:color="000000"/>
              <w:bottom w:val="single" w:sz="4" w:space="0" w:color="000000"/>
              <w:right w:val="single" w:sz="4" w:space="0" w:color="000000"/>
            </w:tcBorders>
            <w:hideMark/>
          </w:tcPr>
          <w:p w14:paraId="069506F8" w14:textId="41F1AF10" w:rsidR="006C3C67" w:rsidRPr="00D85E09" w:rsidRDefault="006C3C67" w:rsidP="0043316B">
            <w:pPr>
              <w:pStyle w:val="Tabletext"/>
              <w:keepNext w:val="0"/>
              <w:widowControl w:val="0"/>
            </w:pPr>
            <w:r w:rsidRPr="00D85E09">
              <w:t>Patients eligible for intravenous r-tPA should receive intravenous r-tPA even if endovascular treatments are being considered (Class I; Level of Evidence A).</w:t>
            </w:r>
          </w:p>
          <w:p w14:paraId="1E3919CF" w14:textId="75BD6B31" w:rsidR="006C3C67" w:rsidRPr="00D85E09" w:rsidRDefault="006C3C67" w:rsidP="0043316B">
            <w:pPr>
              <w:pStyle w:val="Tabletext"/>
              <w:keepNext w:val="0"/>
              <w:widowControl w:val="0"/>
            </w:pPr>
            <w:r w:rsidRPr="00D85E09">
              <w:t>Patients should receive MT with a stent retriever if they meet the following criteria: pre-stroke mRS score (0–1), timing of IV</w:t>
            </w:r>
            <w:r w:rsidR="00D32933" w:rsidRPr="00D85E09">
              <w:t>-</w:t>
            </w:r>
            <w:r w:rsidRPr="00D85E09">
              <w:t>tPA treatment from stroke onset (within 4.5 h), causative occlusion of the ICA or proximal MCA (M1), age (≥18 years), NIHSS score (≥6), ASPECTS (≥6), and ability to initiate treatment within 6 hrs of symptom onset.</w:t>
            </w:r>
          </w:p>
          <w:p w14:paraId="0F9FD924" w14:textId="6783A1E8" w:rsidR="006C3C67" w:rsidRPr="00D85E09" w:rsidRDefault="006C3C67" w:rsidP="0043316B">
            <w:pPr>
              <w:pStyle w:val="Tabletext"/>
              <w:keepNext w:val="0"/>
              <w:widowControl w:val="0"/>
            </w:pPr>
            <w:r w:rsidRPr="00D85E09">
              <w:t>Benefits are uncertain and use may be reasonable in the following patient groups: Occlusion of the M2 or M3, anterior cerebral arteries, vertebral arteries, basilar artery, or posterior cerebral arteries (within 6 hrs) mRS &gt;1, ASPECTS &lt;6 or NIHSS &lt;6 and occlusion of the ICA or M1.</w:t>
            </w:r>
          </w:p>
          <w:p w14:paraId="025A03BD" w14:textId="1B777C57" w:rsidR="006C3C67" w:rsidRPr="00D85E09" w:rsidRDefault="006C3C67" w:rsidP="0043316B">
            <w:pPr>
              <w:pStyle w:val="Tabletext"/>
              <w:keepNext w:val="0"/>
              <w:widowControl w:val="0"/>
            </w:pPr>
            <w:r w:rsidRPr="00D85E09">
              <w:t>Observing patients after intravenous r-tPA to assess for clinical response before pursuing endovascular therapy is not required to achieve beneficial outcomes and is not recommended. (Class III; Level of Evidence B-R).</w:t>
            </w:r>
          </w:p>
          <w:p w14:paraId="524E0BFA" w14:textId="3EB0434A" w:rsidR="006C3C67" w:rsidRPr="00D85E09" w:rsidRDefault="006C3C67" w:rsidP="0043316B">
            <w:pPr>
              <w:pStyle w:val="Tabletext"/>
              <w:keepNext w:val="0"/>
              <w:widowControl w:val="0"/>
            </w:pPr>
            <w:r w:rsidRPr="00D85E09">
              <w:t>In carefully selected patients with anterior circulation occlusion who have contraindications to intravenous r-tPA, endovascular therapy with stent retrievers completed within 6 hours of stroke onset is reasonable (Class IIa; Level of Evidence C).There are inadequate data available at this time to determine the clinical efficacy of endovascular therapy with stent retrievers for those patients whose contraindications are time</w:t>
            </w:r>
            <w:r w:rsidR="00300BB6" w:rsidRPr="00D85E09">
              <w:t xml:space="preserve"> </w:t>
            </w:r>
            <w:r w:rsidRPr="00D85E09">
              <w:t>based or non</w:t>
            </w:r>
            <w:r w:rsidR="00582C35" w:rsidRPr="00D85E09">
              <w:t>-</w:t>
            </w:r>
            <w:r w:rsidRPr="00D85E09">
              <w:t>time based (eg, prior stroke, serious head trauma, h</w:t>
            </w:r>
            <w:r w:rsidR="00582C35" w:rsidRPr="00D85E09">
              <w:t>aemorrhagic</w:t>
            </w:r>
            <w:r w:rsidRPr="00D85E09">
              <w:t xml:space="preserve"> coagulopathy, or receiving anticoagulant medications). </w:t>
            </w:r>
          </w:p>
        </w:tc>
      </w:tr>
      <w:tr w:rsidR="006C3C67" w:rsidRPr="00D85E09" w14:paraId="0DA1B394" w14:textId="77777777" w:rsidTr="009C64DD">
        <w:tc>
          <w:tcPr>
            <w:tcW w:w="679" w:type="pct"/>
            <w:tcBorders>
              <w:top w:val="single" w:sz="4" w:space="0" w:color="000000"/>
              <w:left w:val="single" w:sz="4" w:space="0" w:color="000000"/>
              <w:bottom w:val="single" w:sz="4" w:space="0" w:color="000000"/>
              <w:right w:val="single" w:sz="4" w:space="0" w:color="000000"/>
            </w:tcBorders>
            <w:hideMark/>
          </w:tcPr>
          <w:p w14:paraId="67CCA265" w14:textId="77777777" w:rsidR="006C3C67" w:rsidRPr="00D85E09" w:rsidRDefault="006C3C67" w:rsidP="0043316B">
            <w:pPr>
              <w:pStyle w:val="Tabletext"/>
              <w:keepNext w:val="0"/>
              <w:widowControl w:val="0"/>
            </w:pPr>
            <w:r w:rsidRPr="00D85E09">
              <w:t>European guidance (ESO, 2014)</w:t>
            </w:r>
          </w:p>
        </w:tc>
        <w:tc>
          <w:tcPr>
            <w:tcW w:w="4321" w:type="pct"/>
            <w:tcBorders>
              <w:top w:val="single" w:sz="4" w:space="0" w:color="000000"/>
              <w:left w:val="single" w:sz="4" w:space="0" w:color="000000"/>
              <w:bottom w:val="single" w:sz="4" w:space="0" w:color="000000"/>
              <w:right w:val="single" w:sz="4" w:space="0" w:color="000000"/>
            </w:tcBorders>
            <w:hideMark/>
          </w:tcPr>
          <w:p w14:paraId="307EDF26" w14:textId="65A17D2E" w:rsidR="006C3C67" w:rsidRPr="00D85E09" w:rsidRDefault="006C3C67" w:rsidP="0043316B">
            <w:pPr>
              <w:pStyle w:val="Tabletext"/>
              <w:keepNext w:val="0"/>
              <w:widowControl w:val="0"/>
            </w:pPr>
            <w:r w:rsidRPr="00D85E09">
              <w:t xml:space="preserve">Mechanical thrombectomy, in addition to </w:t>
            </w:r>
            <w:r w:rsidR="00F67AF7" w:rsidRPr="00D85E09">
              <w:t>IV</w:t>
            </w:r>
            <w:r w:rsidR="00D32933" w:rsidRPr="00D85E09">
              <w:t>-</w:t>
            </w:r>
            <w:r w:rsidRPr="00D85E09">
              <w:t>tPA within 4.5 hrs when eligible, is recommended to treat acute stroke patients with large artery occlusions in the anterior circulation up to 6 hrs after symptom onset (KSU Grade A)</w:t>
            </w:r>
            <w:r w:rsidR="00AB4BBF" w:rsidRPr="00D85E09">
              <w:t>.</w:t>
            </w:r>
          </w:p>
          <w:p w14:paraId="0E438235" w14:textId="77777777" w:rsidR="006C3C67" w:rsidRPr="00D85E09" w:rsidRDefault="006C3C67" w:rsidP="0043316B">
            <w:pPr>
              <w:pStyle w:val="Tabletext"/>
              <w:keepNext w:val="0"/>
              <w:widowControl w:val="0"/>
            </w:pPr>
            <w:r w:rsidRPr="00D85E09">
              <w:t>Mechanical thrombectomy should be performed as soon as possible after its indication (Grade A, Level IA, KSU Grade A).</w:t>
            </w:r>
          </w:p>
          <w:p w14:paraId="4EE6F715" w14:textId="32AFE12F" w:rsidR="006C3C67" w:rsidRPr="00D85E09" w:rsidRDefault="006C3C67" w:rsidP="0043316B">
            <w:pPr>
              <w:pStyle w:val="Tabletext"/>
              <w:keepNext w:val="0"/>
              <w:widowControl w:val="0"/>
            </w:pPr>
            <w:r w:rsidRPr="00D85E09">
              <w:t xml:space="preserve">If intravenous thrombolysis is contraindicated (e.g. Warfarin-treated with therapeutic INR) mechanical thrombectomy is recommended as first-line treatment in large vessel occlusions (Grade A, Level IA, KSU Grade </w:t>
            </w:r>
            <w:r w:rsidR="00AB4BBF" w:rsidRPr="00D85E09">
              <w:t>A).</w:t>
            </w:r>
            <w:r w:rsidRPr="00D85E09">
              <w:t xml:space="preserve"> </w:t>
            </w:r>
          </w:p>
        </w:tc>
      </w:tr>
      <w:tr w:rsidR="006C3C67" w:rsidRPr="00D85E09" w14:paraId="3C966CB8" w14:textId="77777777" w:rsidTr="009C64DD">
        <w:tc>
          <w:tcPr>
            <w:tcW w:w="679" w:type="pct"/>
            <w:tcBorders>
              <w:top w:val="single" w:sz="4" w:space="0" w:color="000000"/>
              <w:left w:val="single" w:sz="4" w:space="0" w:color="000000"/>
              <w:bottom w:val="single" w:sz="4" w:space="0" w:color="000000"/>
              <w:right w:val="single" w:sz="4" w:space="0" w:color="000000"/>
            </w:tcBorders>
            <w:hideMark/>
          </w:tcPr>
          <w:p w14:paraId="0F72EB2B" w14:textId="77777777" w:rsidR="006C3C67" w:rsidRPr="00D85E09" w:rsidRDefault="006C3C67" w:rsidP="0043316B">
            <w:pPr>
              <w:pStyle w:val="Tabletext"/>
              <w:keepNext w:val="0"/>
              <w:widowControl w:val="0"/>
            </w:pPr>
            <w:r w:rsidRPr="00D85E09">
              <w:t>European assessment</w:t>
            </w:r>
          </w:p>
          <w:p w14:paraId="46B47F27" w14:textId="77777777" w:rsidR="006C3C67" w:rsidRPr="00D85E09" w:rsidRDefault="006C3C67" w:rsidP="0043316B">
            <w:pPr>
              <w:pStyle w:val="Tabletext"/>
              <w:keepNext w:val="0"/>
              <w:widowControl w:val="0"/>
            </w:pPr>
            <w:r w:rsidRPr="00D85E09">
              <w:t>(EUnetHTA, 2015)</w:t>
            </w:r>
          </w:p>
        </w:tc>
        <w:tc>
          <w:tcPr>
            <w:tcW w:w="4321" w:type="pct"/>
            <w:tcBorders>
              <w:top w:val="single" w:sz="4" w:space="0" w:color="000000"/>
              <w:left w:val="single" w:sz="4" w:space="0" w:color="000000"/>
              <w:bottom w:val="single" w:sz="4" w:space="0" w:color="000000"/>
              <w:right w:val="single" w:sz="4" w:space="0" w:color="000000"/>
            </w:tcBorders>
            <w:hideMark/>
          </w:tcPr>
          <w:p w14:paraId="157ECD4B" w14:textId="0C03C349" w:rsidR="006C3C67" w:rsidRPr="00D85E09" w:rsidRDefault="006C3C67" w:rsidP="0043316B">
            <w:pPr>
              <w:pStyle w:val="Tabletext"/>
              <w:keepNext w:val="0"/>
              <w:widowControl w:val="0"/>
            </w:pPr>
            <w:r w:rsidRPr="00D85E09">
              <w:t>The evidence suggests that mechanical thrombectomy is of benefit, in terms of morbidity and function and, perhaps, generic quality of life, in selected patients with anterior circulation AIS, treated with 2nd-generation (stent retriever) thrombectomy devices after having first received IV</w:t>
            </w:r>
            <w:r w:rsidR="00D32933" w:rsidRPr="00D85E09">
              <w:t>-</w:t>
            </w:r>
            <w:r w:rsidRPr="00D85E09">
              <w:t xml:space="preserve">tPA, where appropriate. </w:t>
            </w:r>
          </w:p>
        </w:tc>
      </w:tr>
    </w:tbl>
    <w:p w14:paraId="71D5AAB4" w14:textId="1B8C2ED9" w:rsidR="006C3C67" w:rsidRPr="00D85E09" w:rsidRDefault="006C3C67" w:rsidP="0043316B">
      <w:pPr>
        <w:widowControl w:val="0"/>
        <w:spacing w:after="360" w:line="240" w:lineRule="auto"/>
        <w:rPr>
          <w:rFonts w:ascii="Arial Narrow" w:eastAsia="Calibri" w:hAnsi="Arial Narrow" w:cs="Times New Roman"/>
          <w:sz w:val="18"/>
          <w:szCs w:val="18"/>
        </w:rPr>
      </w:pPr>
      <w:r w:rsidRPr="00D85E09">
        <w:rPr>
          <w:rFonts w:ascii="Arial Narrow" w:eastAsia="Calibri" w:hAnsi="Arial Narrow" w:cs="Times New Roman"/>
          <w:sz w:val="18"/>
          <w:szCs w:val="18"/>
        </w:rPr>
        <w:t>Abbreviations: AHA, American Heart Association; AIS, acute ischaemic stroke; ASA, American Stroke Association; ASPECTS, Alberta Stroke Program Early Computed Tomography Score; ESO, European Stroke Organisation; EUnetHTA, European Network for Health Technology Assessment; MT, Endovascular thrombectomy; hrs = hours; ICA, internal carotid artery; IV</w:t>
      </w:r>
      <w:r w:rsidR="00D32933" w:rsidRPr="00D85E09">
        <w:rPr>
          <w:rFonts w:ascii="Arial Narrow" w:eastAsia="Calibri" w:hAnsi="Arial Narrow" w:cs="Times New Roman"/>
          <w:sz w:val="18"/>
          <w:szCs w:val="18"/>
        </w:rPr>
        <w:t>-</w:t>
      </w:r>
      <w:r w:rsidRPr="00D85E09">
        <w:rPr>
          <w:rFonts w:ascii="Arial Narrow" w:eastAsia="Calibri" w:hAnsi="Arial Narrow" w:cs="Times New Roman"/>
          <w:sz w:val="18"/>
          <w:szCs w:val="18"/>
        </w:rPr>
        <w:t xml:space="preserve">tPA, intravenous tissue </w:t>
      </w:r>
      <w:r w:rsidRPr="00D85E09">
        <w:rPr>
          <w:rFonts w:ascii="Arial Narrow" w:eastAsia="Calibri" w:hAnsi="Arial Narrow" w:cs="Times New Roman"/>
          <w:sz w:val="18"/>
          <w:szCs w:val="18"/>
        </w:rPr>
        <w:lastRenderedPageBreak/>
        <w:t>plasminogen activator; KSU, Karolinska Stroke Update; M1, first segment of the MCA; M2, second segment of the MCA; MCA, middle cerebral artery; mRS, modified Rankin scale; NIHSS, National Institute of Stroke Health Scale</w:t>
      </w:r>
    </w:p>
    <w:p w14:paraId="691475A6" w14:textId="7201D535" w:rsidR="00BF2DA4" w:rsidRPr="00D85E09" w:rsidRDefault="00BF2DA4" w:rsidP="0043316B">
      <w:pPr>
        <w:widowControl w:val="0"/>
      </w:pPr>
      <w:r w:rsidRPr="00D85E09">
        <w:t>No specific information is available to inform the proportion of AIS cases (due to LVO) that would meet all the eligibility criteria and present as a suitable candidate for the procedure. T</w:t>
      </w:r>
      <w:r w:rsidR="001C668D" w:rsidRPr="00D85E09">
        <w:t xml:space="preserve">he Ontario HTA evaluation for mechanical thrombectomy </w:t>
      </w:r>
      <w:r w:rsidRPr="00D85E09">
        <w:t xml:space="preserve">however </w:t>
      </w:r>
      <w:r w:rsidR="001C668D" w:rsidRPr="00D85E09">
        <w:t xml:space="preserve">suggested that 10% of all AIS </w:t>
      </w:r>
      <w:r w:rsidR="00BF040B" w:rsidRPr="00D85E09">
        <w:t xml:space="preserve">cases </w:t>
      </w:r>
      <w:r w:rsidR="001C668D" w:rsidRPr="00D85E09">
        <w:t xml:space="preserve">would be </w:t>
      </w:r>
      <w:r w:rsidR="00BF040B" w:rsidRPr="00D85E09">
        <w:t xml:space="preserve">potentially </w:t>
      </w:r>
      <w:r w:rsidR="001C668D" w:rsidRPr="00D85E09">
        <w:t>considered for the procedure (201</w:t>
      </w:r>
      <w:r w:rsidR="00BF040B" w:rsidRPr="00D85E09">
        <w:t xml:space="preserve">6), which would translate to 2,694 </w:t>
      </w:r>
      <w:r w:rsidR="001C668D" w:rsidRPr="00D85E09">
        <w:t>based on the AIHW data above</w:t>
      </w:r>
      <w:r w:rsidR="00BF040B" w:rsidRPr="00D85E09">
        <w:t xml:space="preserve"> (26,942; see </w:t>
      </w:r>
      <w:r w:rsidR="00BA144F" w:rsidRPr="00D85E09">
        <w:fldChar w:fldCharType="begin"/>
      </w:r>
      <w:r w:rsidR="00BA144F" w:rsidRPr="00D85E09">
        <w:instrText xml:space="preserve"> REF _Ref450231167 \h </w:instrText>
      </w:r>
      <w:r w:rsidR="00BA144F" w:rsidRPr="00D85E09">
        <w:fldChar w:fldCharType="separate"/>
      </w:r>
      <w:r w:rsidR="00A456ED" w:rsidRPr="00D85E09">
        <w:t xml:space="preserve">Table </w:t>
      </w:r>
      <w:r w:rsidR="00A456ED">
        <w:rPr>
          <w:noProof/>
        </w:rPr>
        <w:t>100</w:t>
      </w:r>
      <w:r w:rsidR="00BA144F" w:rsidRPr="00D85E09">
        <w:fldChar w:fldCharType="end"/>
      </w:r>
      <w:r w:rsidR="00BF040B" w:rsidRPr="00D85E09">
        <w:t>)</w:t>
      </w:r>
      <w:r w:rsidR="001C668D" w:rsidRPr="00D85E09">
        <w:t>.</w:t>
      </w:r>
    </w:p>
    <w:p w14:paraId="49FDCFC6" w14:textId="5FF185F1" w:rsidR="001C668D" w:rsidRPr="00D85E09" w:rsidRDefault="00BF2DA4" w:rsidP="0043316B">
      <w:pPr>
        <w:widowControl w:val="0"/>
      </w:pPr>
      <w:r w:rsidRPr="00D85E09">
        <w:t xml:space="preserve">All calculations and supporting evidence / assumptions are summarised in </w:t>
      </w:r>
      <w:r w:rsidRPr="00D85E09">
        <w:fldChar w:fldCharType="begin"/>
      </w:r>
      <w:r w:rsidRPr="00D85E09">
        <w:instrText xml:space="preserve"> REF _Ref452653936 \h </w:instrText>
      </w:r>
      <w:r w:rsidRPr="00D85E09">
        <w:fldChar w:fldCharType="separate"/>
      </w:r>
      <w:r w:rsidR="00A456ED" w:rsidRPr="00D85E09">
        <w:t xml:space="preserve">Table </w:t>
      </w:r>
      <w:r w:rsidR="00A456ED">
        <w:rPr>
          <w:noProof/>
        </w:rPr>
        <w:t>104</w:t>
      </w:r>
      <w:r w:rsidRPr="00D85E09">
        <w:fldChar w:fldCharType="end"/>
      </w:r>
      <w:r w:rsidRPr="00D85E09">
        <w:t xml:space="preserve"> below.</w:t>
      </w:r>
    </w:p>
    <w:p w14:paraId="75C9DFC9" w14:textId="70B82001" w:rsidR="001C668D" w:rsidRPr="00D85E09" w:rsidRDefault="001C668D" w:rsidP="0043316B">
      <w:pPr>
        <w:pStyle w:val="Caption"/>
        <w:keepNext w:val="0"/>
        <w:widowControl w:val="0"/>
        <w:rPr>
          <w:lang w:val="en-AU"/>
        </w:rPr>
      </w:pPr>
      <w:bookmarkStart w:id="613" w:name="_Ref452653936"/>
      <w:bookmarkStart w:id="614" w:name="_Toc453065440"/>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104</w:t>
      </w:r>
      <w:r w:rsidRPr="00D85E09">
        <w:rPr>
          <w:lang w:val="en-AU"/>
        </w:rPr>
        <w:fldChar w:fldCharType="end"/>
      </w:r>
      <w:bookmarkEnd w:id="613"/>
      <w:r w:rsidRPr="00D85E09">
        <w:rPr>
          <w:lang w:val="en-AU"/>
        </w:rPr>
        <w:tab/>
        <w:t>Estimated number of patients potentially becoming eligible for mechanical thrombectomy under the proposed listing in 2016 (not considering the capacity issues)</w:t>
      </w:r>
      <w:bookmarkEnd w:id="614"/>
    </w:p>
    <w:tbl>
      <w:tblPr>
        <w:tblStyle w:val="TableGrid"/>
        <w:tblW w:w="5000" w:type="pct"/>
        <w:tblLook w:val="04A0" w:firstRow="1" w:lastRow="0" w:firstColumn="1" w:lastColumn="0" w:noHBand="0" w:noVBand="1"/>
        <w:tblDescription w:val="Table 104 Estimated number of patients potentially becoming eligible for mechanical thrombectomy under the proposed listing in 2016 (not considering the capacity issues)"/>
      </w:tblPr>
      <w:tblGrid>
        <w:gridCol w:w="2467"/>
        <w:gridCol w:w="1451"/>
        <w:gridCol w:w="1889"/>
        <w:gridCol w:w="3481"/>
      </w:tblGrid>
      <w:tr w:rsidR="001C668D" w:rsidRPr="00D85E09" w14:paraId="48C0A8C3" w14:textId="77777777" w:rsidTr="00833E5E">
        <w:trPr>
          <w:tblHeader/>
        </w:trPr>
        <w:tc>
          <w:tcPr>
            <w:tcW w:w="1328" w:type="pct"/>
            <w:tcBorders>
              <w:top w:val="single" w:sz="4" w:space="0" w:color="000000"/>
              <w:left w:val="single" w:sz="4" w:space="0" w:color="000000"/>
              <w:bottom w:val="single" w:sz="4" w:space="0" w:color="000000"/>
              <w:right w:val="single" w:sz="4" w:space="0" w:color="000000"/>
            </w:tcBorders>
            <w:hideMark/>
          </w:tcPr>
          <w:p w14:paraId="5C9B0945" w14:textId="77777777" w:rsidR="001C668D" w:rsidRPr="00D85E09" w:rsidRDefault="001C668D" w:rsidP="0043316B">
            <w:pPr>
              <w:pStyle w:val="Tabletext"/>
              <w:keepNext w:val="0"/>
              <w:widowControl w:val="0"/>
              <w:rPr>
                <w:b/>
              </w:rPr>
            </w:pPr>
            <w:r w:rsidRPr="00D85E09">
              <w:rPr>
                <w:b/>
              </w:rPr>
              <w:t xml:space="preserve">Parameter </w:t>
            </w:r>
          </w:p>
        </w:tc>
        <w:tc>
          <w:tcPr>
            <w:tcW w:w="781" w:type="pct"/>
            <w:tcBorders>
              <w:top w:val="single" w:sz="4" w:space="0" w:color="000000"/>
              <w:left w:val="single" w:sz="4" w:space="0" w:color="000000"/>
              <w:bottom w:val="single" w:sz="4" w:space="0" w:color="000000"/>
              <w:right w:val="single" w:sz="4" w:space="0" w:color="000000"/>
            </w:tcBorders>
            <w:hideMark/>
          </w:tcPr>
          <w:p w14:paraId="42BF8198" w14:textId="77777777" w:rsidR="001C668D" w:rsidRPr="00D85E09" w:rsidRDefault="001C668D" w:rsidP="0043316B">
            <w:pPr>
              <w:pStyle w:val="Tabletext"/>
              <w:keepNext w:val="0"/>
              <w:widowControl w:val="0"/>
              <w:jc w:val="center"/>
              <w:rPr>
                <w:b/>
              </w:rPr>
            </w:pPr>
            <w:r w:rsidRPr="00D85E09">
              <w:rPr>
                <w:b/>
              </w:rPr>
              <w:t>%</w:t>
            </w:r>
          </w:p>
        </w:tc>
        <w:tc>
          <w:tcPr>
            <w:tcW w:w="1017" w:type="pct"/>
            <w:tcBorders>
              <w:top w:val="single" w:sz="4" w:space="0" w:color="000000"/>
              <w:left w:val="single" w:sz="4" w:space="0" w:color="000000"/>
              <w:bottom w:val="single" w:sz="4" w:space="0" w:color="000000"/>
              <w:right w:val="single" w:sz="4" w:space="0" w:color="000000"/>
            </w:tcBorders>
            <w:hideMark/>
          </w:tcPr>
          <w:p w14:paraId="47DB82C7" w14:textId="77777777" w:rsidR="001C668D" w:rsidRPr="00D85E09" w:rsidRDefault="001C668D" w:rsidP="0043316B">
            <w:pPr>
              <w:pStyle w:val="Tabletext"/>
              <w:keepNext w:val="0"/>
              <w:widowControl w:val="0"/>
              <w:jc w:val="center"/>
              <w:rPr>
                <w:b/>
              </w:rPr>
            </w:pPr>
            <w:r w:rsidRPr="00D85E09">
              <w:rPr>
                <w:b/>
              </w:rPr>
              <w:t>Estimated incidence</w:t>
            </w:r>
          </w:p>
        </w:tc>
        <w:tc>
          <w:tcPr>
            <w:tcW w:w="1875" w:type="pct"/>
            <w:tcBorders>
              <w:top w:val="single" w:sz="4" w:space="0" w:color="000000"/>
              <w:left w:val="single" w:sz="4" w:space="0" w:color="000000"/>
              <w:bottom w:val="single" w:sz="4" w:space="0" w:color="000000"/>
              <w:right w:val="single" w:sz="4" w:space="0" w:color="000000"/>
            </w:tcBorders>
            <w:hideMark/>
          </w:tcPr>
          <w:p w14:paraId="4B34EEF9" w14:textId="77777777" w:rsidR="001C668D" w:rsidRPr="00D85E09" w:rsidRDefault="001C668D" w:rsidP="0043316B">
            <w:pPr>
              <w:pStyle w:val="Tabletext"/>
              <w:keepNext w:val="0"/>
              <w:widowControl w:val="0"/>
              <w:rPr>
                <w:b/>
              </w:rPr>
            </w:pPr>
            <w:r w:rsidRPr="00D85E09">
              <w:rPr>
                <w:b/>
              </w:rPr>
              <w:t xml:space="preserve">Source </w:t>
            </w:r>
          </w:p>
        </w:tc>
      </w:tr>
      <w:tr w:rsidR="001C668D" w:rsidRPr="00D85E09" w14:paraId="6D334230" w14:textId="77777777" w:rsidTr="00833E5E">
        <w:tc>
          <w:tcPr>
            <w:tcW w:w="5000" w:type="pct"/>
            <w:gridSpan w:val="4"/>
            <w:tcBorders>
              <w:top w:val="single" w:sz="4" w:space="0" w:color="000000"/>
              <w:left w:val="single" w:sz="4" w:space="0" w:color="000000"/>
              <w:bottom w:val="single" w:sz="4" w:space="0" w:color="000000"/>
              <w:right w:val="single" w:sz="4" w:space="0" w:color="000000"/>
            </w:tcBorders>
          </w:tcPr>
          <w:p w14:paraId="221726AB" w14:textId="1E0B25FB" w:rsidR="001C668D" w:rsidRPr="00D85E09" w:rsidRDefault="001C668D" w:rsidP="0043316B">
            <w:pPr>
              <w:pStyle w:val="Tabletext"/>
              <w:keepNext w:val="0"/>
              <w:widowControl w:val="0"/>
              <w:rPr>
                <w:b/>
                <w:i/>
              </w:rPr>
            </w:pPr>
            <w:r w:rsidRPr="00D85E09">
              <w:rPr>
                <w:b/>
                <w:i/>
              </w:rPr>
              <w:t xml:space="preserve">Incidence of AIS with LVO (see </w:t>
            </w:r>
            <w:r w:rsidRPr="00D85E09">
              <w:rPr>
                <w:b/>
                <w:i/>
              </w:rPr>
              <w:fldChar w:fldCharType="begin"/>
            </w:r>
            <w:r w:rsidRPr="00D85E09">
              <w:rPr>
                <w:b/>
                <w:i/>
              </w:rPr>
              <w:instrText xml:space="preserve"> REF _Ref450231167 \h  \* MERGEFORMAT </w:instrText>
            </w:r>
            <w:r w:rsidRPr="00D85E09">
              <w:rPr>
                <w:b/>
                <w:i/>
              </w:rPr>
            </w:r>
            <w:r w:rsidRPr="00D85E09">
              <w:rPr>
                <w:b/>
                <w:i/>
              </w:rPr>
              <w:fldChar w:fldCharType="separate"/>
            </w:r>
            <w:r w:rsidR="00A456ED" w:rsidRPr="00A456ED">
              <w:rPr>
                <w:b/>
                <w:i/>
              </w:rPr>
              <w:t xml:space="preserve">Table </w:t>
            </w:r>
            <w:r w:rsidR="00A456ED" w:rsidRPr="00A456ED">
              <w:rPr>
                <w:b/>
                <w:i/>
                <w:noProof/>
              </w:rPr>
              <w:t>100</w:t>
            </w:r>
            <w:r w:rsidRPr="00D85E09">
              <w:rPr>
                <w:b/>
                <w:i/>
              </w:rPr>
              <w:fldChar w:fldCharType="end"/>
            </w:r>
            <w:r w:rsidRPr="00D85E09">
              <w:rPr>
                <w:b/>
                <w:i/>
              </w:rPr>
              <w:t>)</w:t>
            </w:r>
          </w:p>
        </w:tc>
      </w:tr>
      <w:tr w:rsidR="001C668D" w:rsidRPr="00D85E09" w14:paraId="3A6C6C28" w14:textId="77777777" w:rsidTr="00833E5E">
        <w:tc>
          <w:tcPr>
            <w:tcW w:w="1328" w:type="pct"/>
            <w:tcBorders>
              <w:top w:val="single" w:sz="4" w:space="0" w:color="000000"/>
              <w:left w:val="single" w:sz="4" w:space="0" w:color="000000"/>
              <w:bottom w:val="single" w:sz="4" w:space="0" w:color="000000"/>
              <w:right w:val="single" w:sz="4" w:space="0" w:color="000000"/>
            </w:tcBorders>
            <w:hideMark/>
          </w:tcPr>
          <w:p w14:paraId="627F23FF" w14:textId="77777777" w:rsidR="001C668D" w:rsidRPr="00D85E09" w:rsidRDefault="001C668D" w:rsidP="0043316B">
            <w:pPr>
              <w:pStyle w:val="Tabletext"/>
              <w:keepNext w:val="0"/>
              <w:widowControl w:val="0"/>
            </w:pPr>
            <w:r w:rsidRPr="00D85E09">
              <w:t>Population of Australia</w:t>
            </w:r>
          </w:p>
        </w:tc>
        <w:tc>
          <w:tcPr>
            <w:tcW w:w="781" w:type="pct"/>
            <w:tcBorders>
              <w:top w:val="single" w:sz="4" w:space="0" w:color="000000"/>
              <w:left w:val="single" w:sz="4" w:space="0" w:color="000000"/>
              <w:bottom w:val="single" w:sz="4" w:space="0" w:color="000000"/>
              <w:right w:val="single" w:sz="4" w:space="0" w:color="000000"/>
            </w:tcBorders>
            <w:hideMark/>
          </w:tcPr>
          <w:p w14:paraId="4294D184" w14:textId="77777777" w:rsidR="001C668D" w:rsidRPr="00D85E09" w:rsidRDefault="001C668D" w:rsidP="0043316B">
            <w:pPr>
              <w:pStyle w:val="Tabletext"/>
              <w:keepNext w:val="0"/>
              <w:widowControl w:val="0"/>
              <w:jc w:val="center"/>
            </w:pPr>
            <w:r w:rsidRPr="00D85E09">
              <w:t>-</w:t>
            </w:r>
          </w:p>
        </w:tc>
        <w:tc>
          <w:tcPr>
            <w:tcW w:w="1017" w:type="pct"/>
            <w:tcBorders>
              <w:top w:val="single" w:sz="4" w:space="0" w:color="000000"/>
              <w:left w:val="single" w:sz="4" w:space="0" w:color="000000"/>
              <w:bottom w:val="single" w:sz="4" w:space="0" w:color="000000"/>
              <w:right w:val="single" w:sz="4" w:space="0" w:color="000000"/>
            </w:tcBorders>
            <w:hideMark/>
          </w:tcPr>
          <w:p w14:paraId="623693A9" w14:textId="77777777" w:rsidR="001C668D" w:rsidRPr="00D85E09" w:rsidRDefault="001C668D" w:rsidP="0043316B">
            <w:pPr>
              <w:pStyle w:val="Tabletext"/>
              <w:keepNext w:val="0"/>
              <w:widowControl w:val="0"/>
              <w:jc w:val="center"/>
            </w:pPr>
            <w:r w:rsidRPr="00D85E09">
              <w:t>24,359,761</w:t>
            </w:r>
          </w:p>
        </w:tc>
        <w:tc>
          <w:tcPr>
            <w:tcW w:w="1875" w:type="pct"/>
            <w:tcBorders>
              <w:top w:val="single" w:sz="4" w:space="0" w:color="000000"/>
              <w:left w:val="single" w:sz="4" w:space="0" w:color="000000"/>
              <w:bottom w:val="single" w:sz="4" w:space="0" w:color="000000"/>
              <w:right w:val="single" w:sz="4" w:space="0" w:color="000000"/>
            </w:tcBorders>
            <w:hideMark/>
          </w:tcPr>
          <w:p w14:paraId="62CBAB03" w14:textId="77777777" w:rsidR="001C668D" w:rsidRPr="00D85E09" w:rsidRDefault="001C668D" w:rsidP="0043316B">
            <w:pPr>
              <w:pStyle w:val="Tabletext"/>
              <w:keepNext w:val="0"/>
              <w:widowControl w:val="0"/>
            </w:pPr>
            <w:r w:rsidRPr="00D85E09">
              <w:t xml:space="preserve">Australian Bureau of Statistics, Population Projection 3220.0, Series B. </w:t>
            </w:r>
          </w:p>
        </w:tc>
      </w:tr>
      <w:tr w:rsidR="001C668D" w:rsidRPr="00D85E09" w14:paraId="35F57110" w14:textId="77777777" w:rsidTr="00833E5E">
        <w:tc>
          <w:tcPr>
            <w:tcW w:w="1328" w:type="pct"/>
            <w:tcBorders>
              <w:top w:val="single" w:sz="4" w:space="0" w:color="000000"/>
              <w:left w:val="single" w:sz="4" w:space="0" w:color="000000"/>
              <w:bottom w:val="single" w:sz="4" w:space="0" w:color="000000"/>
              <w:right w:val="single" w:sz="4" w:space="0" w:color="000000"/>
            </w:tcBorders>
            <w:hideMark/>
          </w:tcPr>
          <w:p w14:paraId="6C7DFABE" w14:textId="77777777" w:rsidR="001C668D" w:rsidRPr="00D85E09" w:rsidRDefault="001C668D" w:rsidP="0043316B">
            <w:pPr>
              <w:pStyle w:val="Tabletext"/>
              <w:keepNext w:val="0"/>
              <w:widowControl w:val="0"/>
            </w:pPr>
            <w:r w:rsidRPr="00D85E09">
              <w:t>All-cause stroke</w:t>
            </w:r>
          </w:p>
        </w:tc>
        <w:tc>
          <w:tcPr>
            <w:tcW w:w="781" w:type="pct"/>
            <w:tcBorders>
              <w:top w:val="single" w:sz="4" w:space="0" w:color="000000"/>
              <w:left w:val="single" w:sz="4" w:space="0" w:color="000000"/>
              <w:bottom w:val="single" w:sz="4" w:space="0" w:color="000000"/>
              <w:right w:val="single" w:sz="4" w:space="0" w:color="000000"/>
            </w:tcBorders>
            <w:hideMark/>
          </w:tcPr>
          <w:p w14:paraId="38093E6A" w14:textId="77777777" w:rsidR="001C668D" w:rsidRPr="00D85E09" w:rsidRDefault="001C668D" w:rsidP="0043316B">
            <w:pPr>
              <w:pStyle w:val="Tabletext"/>
              <w:keepNext w:val="0"/>
              <w:widowControl w:val="0"/>
              <w:jc w:val="center"/>
            </w:pPr>
            <w:r w:rsidRPr="00D85E09">
              <w:t>0.14%</w:t>
            </w:r>
          </w:p>
        </w:tc>
        <w:tc>
          <w:tcPr>
            <w:tcW w:w="1017" w:type="pct"/>
            <w:tcBorders>
              <w:top w:val="single" w:sz="4" w:space="0" w:color="000000"/>
              <w:left w:val="single" w:sz="4" w:space="0" w:color="000000"/>
              <w:bottom w:val="single" w:sz="4" w:space="0" w:color="000000"/>
              <w:right w:val="single" w:sz="4" w:space="0" w:color="000000"/>
            </w:tcBorders>
            <w:hideMark/>
          </w:tcPr>
          <w:p w14:paraId="55AC37DB" w14:textId="77777777" w:rsidR="001C668D" w:rsidRPr="00D85E09" w:rsidRDefault="001C668D" w:rsidP="0043316B">
            <w:pPr>
              <w:pStyle w:val="Tabletext"/>
              <w:keepNext w:val="0"/>
              <w:widowControl w:val="0"/>
              <w:jc w:val="center"/>
            </w:pPr>
            <w:r w:rsidRPr="00D85E09">
              <w:t>34,104</w:t>
            </w:r>
          </w:p>
        </w:tc>
        <w:tc>
          <w:tcPr>
            <w:tcW w:w="1875" w:type="pct"/>
            <w:tcBorders>
              <w:top w:val="single" w:sz="4" w:space="0" w:color="000000"/>
              <w:left w:val="single" w:sz="4" w:space="0" w:color="000000"/>
              <w:bottom w:val="single" w:sz="4" w:space="0" w:color="000000"/>
              <w:right w:val="single" w:sz="4" w:space="0" w:color="000000"/>
            </w:tcBorders>
            <w:hideMark/>
          </w:tcPr>
          <w:p w14:paraId="4AE7B41C" w14:textId="77777777" w:rsidR="001C668D" w:rsidRPr="00D85E09" w:rsidRDefault="001C668D" w:rsidP="0043316B">
            <w:pPr>
              <w:pStyle w:val="Tabletext"/>
              <w:keepNext w:val="0"/>
              <w:widowControl w:val="0"/>
            </w:pPr>
            <w:r w:rsidRPr="00D85E09">
              <w:t>AIHW “Stroke and its management in Australia: an update”, 2013</w:t>
            </w:r>
          </w:p>
        </w:tc>
      </w:tr>
      <w:tr w:rsidR="001C668D" w:rsidRPr="00D85E09" w14:paraId="6A788478" w14:textId="77777777" w:rsidTr="00833E5E">
        <w:tc>
          <w:tcPr>
            <w:tcW w:w="1328" w:type="pct"/>
            <w:tcBorders>
              <w:top w:val="single" w:sz="4" w:space="0" w:color="000000"/>
              <w:left w:val="single" w:sz="4" w:space="0" w:color="000000"/>
              <w:bottom w:val="single" w:sz="4" w:space="0" w:color="000000"/>
              <w:right w:val="single" w:sz="4" w:space="0" w:color="000000"/>
            </w:tcBorders>
            <w:hideMark/>
          </w:tcPr>
          <w:p w14:paraId="23FF32F4" w14:textId="77777777" w:rsidR="001C668D" w:rsidRPr="00D85E09" w:rsidRDefault="001C668D" w:rsidP="0043316B">
            <w:pPr>
              <w:pStyle w:val="Tabletext"/>
              <w:keepNext w:val="0"/>
              <w:widowControl w:val="0"/>
            </w:pPr>
            <w:r w:rsidRPr="00D85E09">
              <w:t xml:space="preserve">% of stroke that is ischaemic </w:t>
            </w:r>
          </w:p>
        </w:tc>
        <w:tc>
          <w:tcPr>
            <w:tcW w:w="781" w:type="pct"/>
            <w:tcBorders>
              <w:top w:val="single" w:sz="4" w:space="0" w:color="000000"/>
              <w:left w:val="single" w:sz="4" w:space="0" w:color="000000"/>
              <w:bottom w:val="single" w:sz="4" w:space="0" w:color="000000"/>
              <w:right w:val="single" w:sz="4" w:space="0" w:color="000000"/>
            </w:tcBorders>
            <w:hideMark/>
          </w:tcPr>
          <w:p w14:paraId="105280B4" w14:textId="77777777" w:rsidR="001C668D" w:rsidRPr="00D85E09" w:rsidRDefault="001C668D" w:rsidP="0043316B">
            <w:pPr>
              <w:pStyle w:val="Tabletext"/>
              <w:keepNext w:val="0"/>
              <w:widowControl w:val="0"/>
              <w:jc w:val="center"/>
            </w:pPr>
            <w:r w:rsidRPr="00D85E09">
              <w:t>79%</w:t>
            </w:r>
          </w:p>
        </w:tc>
        <w:tc>
          <w:tcPr>
            <w:tcW w:w="1017" w:type="pct"/>
            <w:tcBorders>
              <w:top w:val="single" w:sz="4" w:space="0" w:color="000000"/>
              <w:left w:val="single" w:sz="4" w:space="0" w:color="000000"/>
              <w:bottom w:val="single" w:sz="4" w:space="0" w:color="000000"/>
              <w:right w:val="single" w:sz="4" w:space="0" w:color="000000"/>
            </w:tcBorders>
            <w:hideMark/>
          </w:tcPr>
          <w:p w14:paraId="4820267F" w14:textId="77777777" w:rsidR="001C668D" w:rsidRPr="00D85E09" w:rsidRDefault="001C668D" w:rsidP="0043316B">
            <w:pPr>
              <w:pStyle w:val="Tabletext"/>
              <w:keepNext w:val="0"/>
              <w:widowControl w:val="0"/>
              <w:jc w:val="center"/>
            </w:pPr>
            <w:r w:rsidRPr="00D85E09">
              <w:t>26,942</w:t>
            </w:r>
          </w:p>
        </w:tc>
        <w:tc>
          <w:tcPr>
            <w:tcW w:w="1875" w:type="pct"/>
            <w:tcBorders>
              <w:top w:val="single" w:sz="4" w:space="0" w:color="000000"/>
              <w:left w:val="single" w:sz="4" w:space="0" w:color="000000"/>
              <w:bottom w:val="single" w:sz="4" w:space="0" w:color="000000"/>
              <w:right w:val="single" w:sz="4" w:space="0" w:color="000000"/>
            </w:tcBorders>
            <w:hideMark/>
          </w:tcPr>
          <w:p w14:paraId="1471BD51" w14:textId="77777777" w:rsidR="001C668D" w:rsidRPr="00D85E09" w:rsidRDefault="001C668D" w:rsidP="0043316B">
            <w:pPr>
              <w:pStyle w:val="Tabletext"/>
              <w:keepNext w:val="0"/>
              <w:widowControl w:val="0"/>
            </w:pPr>
            <w:r w:rsidRPr="00D85E09">
              <w:t>National Stroke Foundation. National Stroke Audit – Acute Services Report 2015. Melbourne, Australia.</w:t>
            </w:r>
          </w:p>
        </w:tc>
      </w:tr>
      <w:tr w:rsidR="001C668D" w:rsidRPr="00D85E09" w14:paraId="4337F327" w14:textId="77777777" w:rsidTr="00833E5E">
        <w:tc>
          <w:tcPr>
            <w:tcW w:w="1328" w:type="pct"/>
            <w:tcBorders>
              <w:top w:val="single" w:sz="4" w:space="0" w:color="000000"/>
              <w:left w:val="single" w:sz="4" w:space="0" w:color="000000"/>
              <w:bottom w:val="single" w:sz="4" w:space="0" w:color="000000"/>
              <w:right w:val="single" w:sz="4" w:space="0" w:color="000000"/>
            </w:tcBorders>
            <w:hideMark/>
          </w:tcPr>
          <w:p w14:paraId="2C7EEAB4" w14:textId="0B35C75E" w:rsidR="001C668D" w:rsidRPr="00D85E09" w:rsidRDefault="001C668D" w:rsidP="0043316B">
            <w:pPr>
              <w:pStyle w:val="Tabletext"/>
              <w:keepNext w:val="0"/>
              <w:widowControl w:val="0"/>
            </w:pPr>
            <w:r w:rsidRPr="00D85E09">
              <w:t>% of isch</w:t>
            </w:r>
            <w:r w:rsidR="00E56287" w:rsidRPr="00D85E09">
              <w:t>aemic</w:t>
            </w:r>
            <w:r w:rsidRPr="00D85E09">
              <w:t xml:space="preserve"> stroke that is LVO</w:t>
            </w:r>
          </w:p>
        </w:tc>
        <w:tc>
          <w:tcPr>
            <w:tcW w:w="781" w:type="pct"/>
            <w:tcBorders>
              <w:top w:val="single" w:sz="4" w:space="0" w:color="000000"/>
              <w:left w:val="single" w:sz="4" w:space="0" w:color="000000"/>
              <w:bottom w:val="single" w:sz="4" w:space="0" w:color="000000"/>
              <w:right w:val="single" w:sz="4" w:space="0" w:color="000000"/>
            </w:tcBorders>
            <w:hideMark/>
          </w:tcPr>
          <w:p w14:paraId="1BFEBF94" w14:textId="77777777" w:rsidR="001C668D" w:rsidRPr="00D85E09" w:rsidRDefault="001C668D" w:rsidP="0043316B">
            <w:pPr>
              <w:pStyle w:val="Tabletext"/>
              <w:keepNext w:val="0"/>
              <w:widowControl w:val="0"/>
              <w:jc w:val="center"/>
            </w:pPr>
            <w:r w:rsidRPr="00D85E09">
              <w:t>68%</w:t>
            </w:r>
          </w:p>
        </w:tc>
        <w:tc>
          <w:tcPr>
            <w:tcW w:w="1017" w:type="pct"/>
            <w:tcBorders>
              <w:top w:val="single" w:sz="4" w:space="0" w:color="000000"/>
              <w:left w:val="single" w:sz="4" w:space="0" w:color="000000"/>
              <w:bottom w:val="single" w:sz="4" w:space="0" w:color="000000"/>
              <w:right w:val="single" w:sz="4" w:space="0" w:color="000000"/>
            </w:tcBorders>
            <w:hideMark/>
          </w:tcPr>
          <w:p w14:paraId="17084F7C" w14:textId="77777777" w:rsidR="001C668D" w:rsidRPr="00D85E09" w:rsidRDefault="001C668D" w:rsidP="0043316B">
            <w:pPr>
              <w:pStyle w:val="Tabletext"/>
              <w:keepNext w:val="0"/>
              <w:widowControl w:val="0"/>
              <w:jc w:val="center"/>
            </w:pPr>
            <w:r w:rsidRPr="00D85E09">
              <w:t>18,320</w:t>
            </w:r>
          </w:p>
        </w:tc>
        <w:tc>
          <w:tcPr>
            <w:tcW w:w="1875" w:type="pct"/>
            <w:tcBorders>
              <w:top w:val="single" w:sz="4" w:space="0" w:color="000000"/>
              <w:left w:val="single" w:sz="4" w:space="0" w:color="000000"/>
              <w:bottom w:val="single" w:sz="4" w:space="0" w:color="000000"/>
              <w:right w:val="single" w:sz="4" w:space="0" w:color="000000"/>
            </w:tcBorders>
            <w:hideMark/>
          </w:tcPr>
          <w:p w14:paraId="34DDFCCC" w14:textId="77777777" w:rsidR="001C668D" w:rsidRPr="00D85E09" w:rsidRDefault="001C668D" w:rsidP="0043316B">
            <w:pPr>
              <w:pStyle w:val="Tabletext"/>
              <w:keepNext w:val="0"/>
              <w:widowControl w:val="0"/>
            </w:pPr>
            <w:r w:rsidRPr="00D85E09">
              <w:t>Perth Community Stroke Study (Hankey et al 1998)</w:t>
            </w:r>
          </w:p>
        </w:tc>
      </w:tr>
      <w:tr w:rsidR="001C668D" w:rsidRPr="00D85E09" w14:paraId="1A8728AB" w14:textId="77777777" w:rsidTr="00833E5E">
        <w:tc>
          <w:tcPr>
            <w:tcW w:w="5000" w:type="pct"/>
            <w:gridSpan w:val="4"/>
            <w:tcBorders>
              <w:top w:val="single" w:sz="4" w:space="0" w:color="000000"/>
              <w:left w:val="single" w:sz="4" w:space="0" w:color="000000"/>
              <w:bottom w:val="single" w:sz="4" w:space="0" w:color="000000"/>
              <w:right w:val="single" w:sz="4" w:space="0" w:color="000000"/>
            </w:tcBorders>
          </w:tcPr>
          <w:p w14:paraId="5477FF3A" w14:textId="65C90326" w:rsidR="001C668D" w:rsidRPr="00D85E09" w:rsidRDefault="001C668D" w:rsidP="0043316B">
            <w:pPr>
              <w:pStyle w:val="Tabletext"/>
              <w:keepNext w:val="0"/>
              <w:widowControl w:val="0"/>
            </w:pPr>
            <w:r w:rsidRPr="00D85E09">
              <w:rPr>
                <w:b/>
                <w:i/>
              </w:rPr>
              <w:t>Estimation of % meeting the “time based” eligibility alone, i.e., 6 hours from onset (</w:t>
            </w:r>
            <w:r w:rsidRPr="00D85E09">
              <w:rPr>
                <w:b/>
                <w:i/>
              </w:rPr>
              <w:fldChar w:fldCharType="begin"/>
            </w:r>
            <w:r w:rsidRPr="00D85E09">
              <w:rPr>
                <w:b/>
                <w:i/>
              </w:rPr>
              <w:instrText xml:space="preserve"> REF _Ref450309260 \h  \* MERGEFORMAT </w:instrText>
            </w:r>
            <w:r w:rsidRPr="00D85E09">
              <w:rPr>
                <w:b/>
                <w:i/>
              </w:rPr>
            </w:r>
            <w:r w:rsidRPr="00D85E09">
              <w:rPr>
                <w:b/>
                <w:i/>
              </w:rPr>
              <w:fldChar w:fldCharType="separate"/>
            </w:r>
            <w:r w:rsidR="00A456ED" w:rsidRPr="00A456ED">
              <w:rPr>
                <w:b/>
                <w:i/>
              </w:rPr>
              <w:t xml:space="preserve">Table </w:t>
            </w:r>
            <w:r w:rsidR="00A456ED" w:rsidRPr="00A456ED">
              <w:rPr>
                <w:b/>
                <w:i/>
                <w:noProof/>
              </w:rPr>
              <w:t>102</w:t>
            </w:r>
            <w:r w:rsidRPr="00D85E09">
              <w:rPr>
                <w:b/>
                <w:i/>
              </w:rPr>
              <w:fldChar w:fldCharType="end"/>
            </w:r>
            <w:r w:rsidRPr="00D85E09">
              <w:rPr>
                <w:b/>
                <w:i/>
              </w:rPr>
              <w:t>)</w:t>
            </w:r>
          </w:p>
        </w:tc>
      </w:tr>
      <w:tr w:rsidR="001C668D" w:rsidRPr="00D85E09" w14:paraId="76B4492F" w14:textId="77777777" w:rsidTr="00833E5E">
        <w:tc>
          <w:tcPr>
            <w:tcW w:w="1328" w:type="pct"/>
            <w:tcBorders>
              <w:top w:val="single" w:sz="4" w:space="0" w:color="000000"/>
              <w:left w:val="single" w:sz="4" w:space="0" w:color="000000"/>
              <w:bottom w:val="single" w:sz="4" w:space="0" w:color="000000"/>
              <w:right w:val="single" w:sz="4" w:space="0" w:color="000000"/>
            </w:tcBorders>
          </w:tcPr>
          <w:p w14:paraId="4E2FDE5E" w14:textId="551C16B0" w:rsidR="001C668D" w:rsidRPr="00D85E09" w:rsidRDefault="001C668D" w:rsidP="0043316B">
            <w:pPr>
              <w:pStyle w:val="Tabletext"/>
              <w:keepNext w:val="0"/>
              <w:widowControl w:val="0"/>
            </w:pPr>
            <w:r w:rsidRPr="00D85E09">
              <w:t>Patients treated with IV</w:t>
            </w:r>
            <w:r w:rsidR="00D32933" w:rsidRPr="00D85E09">
              <w:t>-</w:t>
            </w:r>
            <w:r w:rsidRPr="00D85E09">
              <w:t>tPA</w:t>
            </w:r>
          </w:p>
        </w:tc>
        <w:tc>
          <w:tcPr>
            <w:tcW w:w="781" w:type="pct"/>
            <w:tcBorders>
              <w:top w:val="single" w:sz="4" w:space="0" w:color="000000"/>
              <w:left w:val="single" w:sz="4" w:space="0" w:color="000000"/>
              <w:bottom w:val="single" w:sz="4" w:space="0" w:color="000000"/>
              <w:right w:val="single" w:sz="4" w:space="0" w:color="000000"/>
            </w:tcBorders>
          </w:tcPr>
          <w:p w14:paraId="1D72A979" w14:textId="77777777" w:rsidR="001C668D" w:rsidRPr="00D85E09" w:rsidRDefault="001C668D" w:rsidP="0043316B">
            <w:pPr>
              <w:pStyle w:val="Tabletext"/>
              <w:keepNext w:val="0"/>
              <w:widowControl w:val="0"/>
              <w:jc w:val="center"/>
            </w:pPr>
            <w:r w:rsidRPr="00D85E09">
              <w:t>7%</w:t>
            </w:r>
          </w:p>
        </w:tc>
        <w:tc>
          <w:tcPr>
            <w:tcW w:w="1017" w:type="pct"/>
            <w:tcBorders>
              <w:top w:val="single" w:sz="4" w:space="0" w:color="000000"/>
              <w:left w:val="single" w:sz="4" w:space="0" w:color="000000"/>
              <w:bottom w:val="single" w:sz="4" w:space="0" w:color="000000"/>
              <w:right w:val="single" w:sz="4" w:space="0" w:color="000000"/>
            </w:tcBorders>
          </w:tcPr>
          <w:p w14:paraId="52DC3AF5" w14:textId="77777777" w:rsidR="001C668D" w:rsidRPr="00D85E09" w:rsidRDefault="001C668D" w:rsidP="0043316B">
            <w:pPr>
              <w:pStyle w:val="Tabletext"/>
              <w:keepNext w:val="0"/>
              <w:widowControl w:val="0"/>
              <w:jc w:val="center"/>
            </w:pPr>
            <w:r w:rsidRPr="00D85E09">
              <w:t>1,282</w:t>
            </w:r>
          </w:p>
        </w:tc>
        <w:tc>
          <w:tcPr>
            <w:tcW w:w="1875" w:type="pct"/>
            <w:tcBorders>
              <w:top w:val="single" w:sz="4" w:space="0" w:color="000000"/>
              <w:left w:val="single" w:sz="4" w:space="0" w:color="000000"/>
              <w:bottom w:val="single" w:sz="4" w:space="0" w:color="000000"/>
              <w:right w:val="single" w:sz="4" w:space="0" w:color="000000"/>
            </w:tcBorders>
          </w:tcPr>
          <w:p w14:paraId="65CEA517" w14:textId="77777777" w:rsidR="001C668D" w:rsidRPr="00D85E09" w:rsidRDefault="001C668D" w:rsidP="0043316B">
            <w:pPr>
              <w:pStyle w:val="Tabletext"/>
              <w:keepNext w:val="0"/>
              <w:widowControl w:val="0"/>
            </w:pPr>
            <w:r w:rsidRPr="00D85E09">
              <w:t>National Stroke Foundation 2015</w:t>
            </w:r>
          </w:p>
          <w:p w14:paraId="43A04643" w14:textId="77777777" w:rsidR="001C668D" w:rsidRPr="00D85E09" w:rsidRDefault="001C668D" w:rsidP="0043316B">
            <w:pPr>
              <w:pStyle w:val="Tabletext"/>
              <w:keepNext w:val="0"/>
              <w:widowControl w:val="0"/>
            </w:pPr>
            <w:r w:rsidRPr="00D85E09">
              <w:t xml:space="preserve">Relevant to all ischaemic cases; assumed to be also applicable to the LVO subgroup. </w:t>
            </w:r>
          </w:p>
        </w:tc>
      </w:tr>
      <w:tr w:rsidR="001C668D" w:rsidRPr="00D85E09" w14:paraId="7EEE5B24" w14:textId="77777777" w:rsidTr="00833E5E">
        <w:tc>
          <w:tcPr>
            <w:tcW w:w="1328" w:type="pct"/>
            <w:tcBorders>
              <w:top w:val="single" w:sz="4" w:space="0" w:color="000000"/>
              <w:left w:val="single" w:sz="4" w:space="0" w:color="000000"/>
              <w:bottom w:val="single" w:sz="4" w:space="0" w:color="000000"/>
              <w:right w:val="single" w:sz="4" w:space="0" w:color="000000"/>
            </w:tcBorders>
          </w:tcPr>
          <w:p w14:paraId="7D688FE6" w14:textId="5B72C05C" w:rsidR="001C668D" w:rsidRPr="00D85E09" w:rsidRDefault="001C668D" w:rsidP="0043316B">
            <w:pPr>
              <w:pStyle w:val="Tabletext"/>
              <w:keepNext w:val="0"/>
              <w:widowControl w:val="0"/>
            </w:pPr>
            <w:r w:rsidRPr="00D85E09">
              <w:t>Patients arriving within 4.5</w:t>
            </w:r>
            <w:r w:rsidR="00A95567" w:rsidRPr="00D85E09">
              <w:t xml:space="preserve"> </w:t>
            </w:r>
            <w:r w:rsidRPr="00D85E09">
              <w:t>hrs of symptom onset</w:t>
            </w:r>
          </w:p>
        </w:tc>
        <w:tc>
          <w:tcPr>
            <w:tcW w:w="781" w:type="pct"/>
            <w:tcBorders>
              <w:top w:val="single" w:sz="4" w:space="0" w:color="000000"/>
              <w:left w:val="single" w:sz="4" w:space="0" w:color="000000"/>
              <w:bottom w:val="single" w:sz="4" w:space="0" w:color="000000"/>
              <w:right w:val="single" w:sz="4" w:space="0" w:color="000000"/>
            </w:tcBorders>
          </w:tcPr>
          <w:p w14:paraId="2F656643" w14:textId="77777777" w:rsidR="001C668D" w:rsidRPr="00D85E09" w:rsidRDefault="001C668D" w:rsidP="0043316B">
            <w:pPr>
              <w:pStyle w:val="Tabletext"/>
              <w:keepNext w:val="0"/>
              <w:widowControl w:val="0"/>
              <w:jc w:val="center"/>
            </w:pPr>
            <w:r w:rsidRPr="00D85E09">
              <w:t>30%</w:t>
            </w:r>
          </w:p>
        </w:tc>
        <w:tc>
          <w:tcPr>
            <w:tcW w:w="1017" w:type="pct"/>
            <w:tcBorders>
              <w:top w:val="single" w:sz="4" w:space="0" w:color="000000"/>
              <w:left w:val="single" w:sz="4" w:space="0" w:color="000000"/>
              <w:bottom w:val="single" w:sz="4" w:space="0" w:color="000000"/>
              <w:right w:val="single" w:sz="4" w:space="0" w:color="000000"/>
            </w:tcBorders>
          </w:tcPr>
          <w:p w14:paraId="6010EDFB" w14:textId="77777777" w:rsidR="001C668D" w:rsidRPr="00D85E09" w:rsidRDefault="001C668D" w:rsidP="0043316B">
            <w:pPr>
              <w:pStyle w:val="Tabletext"/>
              <w:keepNext w:val="0"/>
              <w:widowControl w:val="0"/>
              <w:jc w:val="center"/>
            </w:pPr>
            <w:r w:rsidRPr="00D85E09">
              <w:t>5,496</w:t>
            </w:r>
          </w:p>
        </w:tc>
        <w:tc>
          <w:tcPr>
            <w:tcW w:w="1875" w:type="pct"/>
            <w:tcBorders>
              <w:top w:val="single" w:sz="4" w:space="0" w:color="000000"/>
              <w:left w:val="single" w:sz="4" w:space="0" w:color="000000"/>
              <w:bottom w:val="single" w:sz="4" w:space="0" w:color="000000"/>
              <w:right w:val="single" w:sz="4" w:space="0" w:color="000000"/>
            </w:tcBorders>
          </w:tcPr>
          <w:p w14:paraId="0486A7A1" w14:textId="45461E5D" w:rsidR="001C668D" w:rsidRPr="00D85E09" w:rsidRDefault="001C668D" w:rsidP="0043316B">
            <w:pPr>
              <w:pStyle w:val="Tabletext"/>
              <w:keepNext w:val="0"/>
              <w:widowControl w:val="0"/>
            </w:pPr>
            <w:r w:rsidRPr="00D85E09">
              <w:t xml:space="preserve">Derived based on National Stroke Foundation (2015); see </w:t>
            </w:r>
            <w:r w:rsidRPr="00D85E09">
              <w:fldChar w:fldCharType="begin"/>
            </w:r>
            <w:r w:rsidRPr="00D85E09">
              <w:instrText xml:space="preserve"> REF _Ref450309260 \h  \* MERGEFORMAT </w:instrText>
            </w:r>
            <w:r w:rsidRPr="00D85E09">
              <w:fldChar w:fldCharType="separate"/>
            </w:r>
            <w:r w:rsidR="00A456ED" w:rsidRPr="00A456ED">
              <w:t xml:space="preserve">Table </w:t>
            </w:r>
            <w:r w:rsidR="00A456ED" w:rsidRPr="00A456ED">
              <w:rPr>
                <w:noProof/>
              </w:rPr>
              <w:t>102</w:t>
            </w:r>
            <w:r w:rsidRPr="00D85E09">
              <w:fldChar w:fldCharType="end"/>
            </w:r>
          </w:p>
          <w:p w14:paraId="3CD97F1D" w14:textId="77777777" w:rsidR="001C668D" w:rsidRPr="00D85E09" w:rsidRDefault="001C668D" w:rsidP="0043316B">
            <w:pPr>
              <w:pStyle w:val="Tabletext"/>
              <w:keepNext w:val="0"/>
              <w:widowControl w:val="0"/>
            </w:pPr>
            <w:r w:rsidRPr="00D85E09">
              <w:t>Relevant to all ischaemic cases; assumed to be also applicable to the LVO subgroup.</w:t>
            </w:r>
          </w:p>
        </w:tc>
      </w:tr>
      <w:tr w:rsidR="001C668D" w:rsidRPr="00D85E09" w14:paraId="1D3601E3" w14:textId="77777777" w:rsidTr="00833E5E">
        <w:tc>
          <w:tcPr>
            <w:tcW w:w="1328" w:type="pct"/>
            <w:tcBorders>
              <w:top w:val="single" w:sz="4" w:space="0" w:color="000000"/>
              <w:left w:val="single" w:sz="4" w:space="0" w:color="000000"/>
              <w:bottom w:val="single" w:sz="4" w:space="0" w:color="000000"/>
              <w:right w:val="single" w:sz="4" w:space="0" w:color="000000"/>
            </w:tcBorders>
          </w:tcPr>
          <w:p w14:paraId="192B6B97" w14:textId="77777777" w:rsidR="001C668D" w:rsidRPr="00D85E09" w:rsidRDefault="001C668D" w:rsidP="0043316B">
            <w:pPr>
              <w:pStyle w:val="Tabletext"/>
              <w:keepNext w:val="0"/>
              <w:widowControl w:val="0"/>
            </w:pPr>
            <w:r w:rsidRPr="00D85E09">
              <w:t>Patients arriving within 6 hrs of symptom onset</w:t>
            </w:r>
          </w:p>
        </w:tc>
        <w:tc>
          <w:tcPr>
            <w:tcW w:w="781" w:type="pct"/>
            <w:tcBorders>
              <w:top w:val="single" w:sz="4" w:space="0" w:color="000000"/>
              <w:left w:val="single" w:sz="4" w:space="0" w:color="000000"/>
              <w:bottom w:val="single" w:sz="4" w:space="0" w:color="000000"/>
              <w:right w:val="single" w:sz="4" w:space="0" w:color="000000"/>
            </w:tcBorders>
          </w:tcPr>
          <w:p w14:paraId="31CB4EE8" w14:textId="77777777" w:rsidR="001C668D" w:rsidRPr="00D85E09" w:rsidRDefault="001C668D" w:rsidP="0043316B">
            <w:pPr>
              <w:pStyle w:val="Tabletext"/>
              <w:keepNext w:val="0"/>
              <w:widowControl w:val="0"/>
              <w:jc w:val="center"/>
            </w:pPr>
            <w:r w:rsidRPr="00D85E09">
              <w:t>43-54%</w:t>
            </w:r>
          </w:p>
        </w:tc>
        <w:tc>
          <w:tcPr>
            <w:tcW w:w="1017" w:type="pct"/>
            <w:tcBorders>
              <w:top w:val="single" w:sz="4" w:space="0" w:color="000000"/>
              <w:left w:val="single" w:sz="4" w:space="0" w:color="000000"/>
              <w:bottom w:val="single" w:sz="4" w:space="0" w:color="000000"/>
              <w:right w:val="single" w:sz="4" w:space="0" w:color="000000"/>
            </w:tcBorders>
          </w:tcPr>
          <w:p w14:paraId="5F9EE5F5" w14:textId="77777777" w:rsidR="001C668D" w:rsidRPr="00D85E09" w:rsidRDefault="001C668D" w:rsidP="0043316B">
            <w:pPr>
              <w:pStyle w:val="Tabletext"/>
              <w:keepNext w:val="0"/>
              <w:widowControl w:val="0"/>
              <w:jc w:val="center"/>
            </w:pPr>
            <w:r w:rsidRPr="00D85E09">
              <w:t>8,000-10,000</w:t>
            </w:r>
          </w:p>
        </w:tc>
        <w:tc>
          <w:tcPr>
            <w:tcW w:w="1875" w:type="pct"/>
            <w:tcBorders>
              <w:top w:val="single" w:sz="4" w:space="0" w:color="000000"/>
              <w:left w:val="single" w:sz="4" w:space="0" w:color="000000"/>
              <w:bottom w:val="single" w:sz="4" w:space="0" w:color="000000"/>
              <w:right w:val="single" w:sz="4" w:space="0" w:color="000000"/>
            </w:tcBorders>
          </w:tcPr>
          <w:p w14:paraId="6DE8D360" w14:textId="2EDD0579" w:rsidR="001C668D" w:rsidRPr="00D85E09" w:rsidRDefault="001C668D" w:rsidP="0043316B">
            <w:pPr>
              <w:pStyle w:val="Tabletext"/>
              <w:keepNext w:val="0"/>
              <w:widowControl w:val="0"/>
            </w:pPr>
            <w:r w:rsidRPr="00D85E09">
              <w:t>Estimate and assumption.</w:t>
            </w:r>
          </w:p>
          <w:p w14:paraId="1801EEE2" w14:textId="272C72BE" w:rsidR="001C668D" w:rsidRPr="00D85E09" w:rsidRDefault="001C668D" w:rsidP="0043316B">
            <w:pPr>
              <w:pStyle w:val="Tabletext"/>
              <w:keepNext w:val="0"/>
              <w:widowControl w:val="0"/>
            </w:pPr>
            <w:r w:rsidRPr="00D85E09">
              <w:t>Supported by the US data (61%, Lacy et al 2001); expected to be lower in Australia (because of, e.g., the greater geo</w:t>
            </w:r>
            <w:r w:rsidR="00A95567" w:rsidRPr="00D85E09">
              <w:t>graphical</w:t>
            </w:r>
            <w:r w:rsidRPr="00D85E09">
              <w:t xml:space="preserve"> spread of the Australian population)</w:t>
            </w:r>
          </w:p>
        </w:tc>
      </w:tr>
      <w:tr w:rsidR="001C668D" w:rsidRPr="00D85E09" w14:paraId="775D5462" w14:textId="77777777" w:rsidTr="00833E5E">
        <w:tc>
          <w:tcPr>
            <w:tcW w:w="5000" w:type="pct"/>
            <w:gridSpan w:val="4"/>
            <w:tcBorders>
              <w:top w:val="single" w:sz="4" w:space="0" w:color="000000"/>
              <w:left w:val="single" w:sz="4" w:space="0" w:color="000000"/>
              <w:bottom w:val="single" w:sz="4" w:space="0" w:color="000000"/>
              <w:right w:val="single" w:sz="4" w:space="0" w:color="000000"/>
            </w:tcBorders>
          </w:tcPr>
          <w:p w14:paraId="3BF31444" w14:textId="0D355D37" w:rsidR="001C668D" w:rsidRPr="00D85E09" w:rsidRDefault="001C668D" w:rsidP="00F06286">
            <w:pPr>
              <w:pStyle w:val="Tabletext"/>
              <w:keepNext w:val="0"/>
              <w:widowControl w:val="0"/>
            </w:pPr>
            <w:r w:rsidRPr="00D85E09">
              <w:rPr>
                <w:b/>
                <w:i/>
              </w:rPr>
              <w:t xml:space="preserve">Estimation of % meeting other eligibility </w:t>
            </w:r>
          </w:p>
        </w:tc>
      </w:tr>
      <w:tr w:rsidR="001C668D" w:rsidRPr="00D85E09" w14:paraId="571B33CF" w14:textId="77777777" w:rsidTr="00833E5E">
        <w:tc>
          <w:tcPr>
            <w:tcW w:w="1328" w:type="pct"/>
            <w:tcBorders>
              <w:top w:val="single" w:sz="4" w:space="0" w:color="000000"/>
              <w:left w:val="single" w:sz="4" w:space="0" w:color="000000"/>
              <w:bottom w:val="single" w:sz="4" w:space="0" w:color="000000"/>
              <w:right w:val="single" w:sz="4" w:space="0" w:color="000000"/>
            </w:tcBorders>
          </w:tcPr>
          <w:p w14:paraId="527B3214" w14:textId="77777777" w:rsidR="001C668D" w:rsidRPr="00D85E09" w:rsidRDefault="001C668D" w:rsidP="0043316B">
            <w:pPr>
              <w:pStyle w:val="Tabletext"/>
              <w:keepNext w:val="0"/>
              <w:widowControl w:val="0"/>
            </w:pPr>
            <w:r w:rsidRPr="00D85E09">
              <w:t xml:space="preserve">Patients meeting the eligibility criteria for mechanical thrombectomy in Australia </w:t>
            </w:r>
          </w:p>
        </w:tc>
        <w:tc>
          <w:tcPr>
            <w:tcW w:w="781" w:type="pct"/>
            <w:tcBorders>
              <w:top w:val="single" w:sz="4" w:space="0" w:color="000000"/>
              <w:left w:val="single" w:sz="4" w:space="0" w:color="000000"/>
              <w:bottom w:val="single" w:sz="4" w:space="0" w:color="000000"/>
              <w:right w:val="single" w:sz="4" w:space="0" w:color="000000"/>
            </w:tcBorders>
          </w:tcPr>
          <w:p w14:paraId="5B3D1A7B" w14:textId="6F3AAD20" w:rsidR="001C668D" w:rsidRPr="00D85E09" w:rsidRDefault="00BF2DA4" w:rsidP="0043316B">
            <w:pPr>
              <w:pStyle w:val="Tabletext"/>
              <w:keepNext w:val="0"/>
              <w:widowControl w:val="0"/>
              <w:jc w:val="center"/>
            </w:pPr>
            <w:r w:rsidRPr="00D85E09">
              <w:t>10% of all AIS</w:t>
            </w:r>
          </w:p>
        </w:tc>
        <w:tc>
          <w:tcPr>
            <w:tcW w:w="1017" w:type="pct"/>
            <w:tcBorders>
              <w:top w:val="single" w:sz="4" w:space="0" w:color="000000"/>
              <w:left w:val="single" w:sz="4" w:space="0" w:color="000000"/>
              <w:bottom w:val="single" w:sz="4" w:space="0" w:color="000000"/>
              <w:right w:val="single" w:sz="4" w:space="0" w:color="000000"/>
            </w:tcBorders>
          </w:tcPr>
          <w:p w14:paraId="522DCC21" w14:textId="3910971E" w:rsidR="001C668D" w:rsidRPr="00D85E09" w:rsidRDefault="00BF2DA4" w:rsidP="0043316B">
            <w:pPr>
              <w:pStyle w:val="Tabletext"/>
              <w:keepNext w:val="0"/>
              <w:widowControl w:val="0"/>
              <w:jc w:val="center"/>
            </w:pPr>
            <w:r w:rsidRPr="00D85E09">
              <w:t>2,694</w:t>
            </w:r>
          </w:p>
        </w:tc>
        <w:tc>
          <w:tcPr>
            <w:tcW w:w="1875" w:type="pct"/>
            <w:tcBorders>
              <w:top w:val="single" w:sz="4" w:space="0" w:color="000000"/>
              <w:left w:val="single" w:sz="4" w:space="0" w:color="000000"/>
              <w:bottom w:val="single" w:sz="4" w:space="0" w:color="000000"/>
              <w:right w:val="single" w:sz="4" w:space="0" w:color="000000"/>
            </w:tcBorders>
          </w:tcPr>
          <w:p w14:paraId="210E2265" w14:textId="5AEF4D65" w:rsidR="001C668D" w:rsidRPr="00D85E09" w:rsidRDefault="00BF2DA4" w:rsidP="0043316B">
            <w:pPr>
              <w:pStyle w:val="Tabletext"/>
              <w:keepNext w:val="0"/>
              <w:widowControl w:val="0"/>
            </w:pPr>
            <w:r w:rsidRPr="00D85E09">
              <w:t xml:space="preserve">Informed </w:t>
            </w:r>
            <w:r w:rsidR="001C668D" w:rsidRPr="00D85E09">
              <w:t>by the Ontario HTA group, suggesting 10% of all AIS would be considered for the procedure (2016).</w:t>
            </w:r>
          </w:p>
          <w:p w14:paraId="364A2FDE" w14:textId="1C419130" w:rsidR="001C668D" w:rsidRPr="00D85E09" w:rsidRDefault="001C668D" w:rsidP="0043316B">
            <w:pPr>
              <w:pStyle w:val="Tabletext"/>
              <w:keepNext w:val="0"/>
              <w:widowControl w:val="0"/>
            </w:pPr>
          </w:p>
        </w:tc>
      </w:tr>
    </w:tbl>
    <w:p w14:paraId="499F7613" w14:textId="5B8BA9C0" w:rsidR="001C668D" w:rsidRPr="00D85E09" w:rsidRDefault="001C668D" w:rsidP="0043316B">
      <w:pPr>
        <w:pStyle w:val="Tablefootnote"/>
        <w:widowControl w:val="0"/>
        <w:rPr>
          <w:lang w:val="en-AU"/>
        </w:rPr>
      </w:pPr>
      <w:r w:rsidRPr="00D85E09">
        <w:rPr>
          <w:lang w:val="en-AU"/>
        </w:rPr>
        <w:t xml:space="preserve">Note: See full calculation details in the attached Section E spreadsheet. See </w:t>
      </w:r>
      <w:r w:rsidRPr="00D85E09">
        <w:rPr>
          <w:lang w:val="en-AU"/>
        </w:rPr>
        <w:fldChar w:fldCharType="begin"/>
      </w:r>
      <w:r w:rsidRPr="00D85E09">
        <w:rPr>
          <w:lang w:val="en-AU"/>
        </w:rPr>
        <w:instrText xml:space="preserve"> REF _Ref450231167 \h </w:instrText>
      </w:r>
      <w:r w:rsidRPr="00D85E09">
        <w:rPr>
          <w:lang w:val="en-AU"/>
        </w:rPr>
      </w:r>
      <w:r w:rsidRPr="00D85E09">
        <w:rPr>
          <w:lang w:val="en-AU"/>
        </w:rPr>
        <w:fldChar w:fldCharType="separate"/>
      </w:r>
      <w:r w:rsidR="00A456ED" w:rsidRPr="00D85E09">
        <w:rPr>
          <w:lang w:val="en-AU"/>
        </w:rPr>
        <w:t xml:space="preserve">Table </w:t>
      </w:r>
      <w:r w:rsidR="00A456ED">
        <w:rPr>
          <w:noProof/>
          <w:lang w:val="en-AU"/>
        </w:rPr>
        <w:t>100</w:t>
      </w:r>
      <w:r w:rsidRPr="00D85E09">
        <w:rPr>
          <w:lang w:val="en-AU"/>
        </w:rPr>
        <w:fldChar w:fldCharType="end"/>
      </w:r>
      <w:r w:rsidRPr="00D85E09">
        <w:rPr>
          <w:lang w:val="en-AU"/>
        </w:rPr>
        <w:t>,</w:t>
      </w:r>
    </w:p>
    <w:p w14:paraId="058183A2" w14:textId="0EC28F8E" w:rsidR="001C668D" w:rsidRPr="00D85E09" w:rsidRDefault="001C668D" w:rsidP="0043316B">
      <w:pPr>
        <w:pStyle w:val="Tablefootnote"/>
        <w:widowControl w:val="0"/>
        <w:rPr>
          <w:lang w:val="en-AU"/>
        </w:rPr>
      </w:pPr>
      <w:r w:rsidRPr="00D85E09">
        <w:rPr>
          <w:lang w:val="en-AU"/>
        </w:rPr>
        <w:t>Abbreviations: AIHW = Australian Institute of Health and Welfare; AIS = acute ischaemic stroke; LVO = large vessel occlusion.</w:t>
      </w:r>
    </w:p>
    <w:p w14:paraId="291290B1" w14:textId="77777777" w:rsidR="001C668D" w:rsidRPr="00D85E09" w:rsidRDefault="001C668D" w:rsidP="0043316B">
      <w:pPr>
        <w:widowControl w:val="0"/>
      </w:pPr>
    </w:p>
    <w:p w14:paraId="3C84C197" w14:textId="61AB1CE9" w:rsidR="001C668D" w:rsidRPr="00D85E09" w:rsidRDefault="001C668D" w:rsidP="0043316B">
      <w:pPr>
        <w:widowControl w:val="0"/>
        <w:rPr>
          <w:i/>
        </w:rPr>
      </w:pPr>
      <w:r w:rsidRPr="00D85E09">
        <w:rPr>
          <w:i/>
        </w:rPr>
        <w:t xml:space="preserve">The balance of evidence hence suggests that each year </w:t>
      </w:r>
      <w:r w:rsidR="00BF2DA4" w:rsidRPr="00D85E09">
        <w:rPr>
          <w:i/>
        </w:rPr>
        <w:t>roughly 2,700</w:t>
      </w:r>
      <w:r w:rsidRPr="00D85E09">
        <w:rPr>
          <w:i/>
        </w:rPr>
        <w:t xml:space="preserve"> patients may become </w:t>
      </w:r>
      <w:r w:rsidRPr="00D85E09">
        <w:rPr>
          <w:i/>
        </w:rPr>
        <w:lastRenderedPageBreak/>
        <w:t>eligible for MT in Australia if MT is fully accessible to these patients (i.e., 100% uptake rate, private and public combined). The available evidence presented in the following section will highlight that there exists a paucity of adequate infrastructure to offer hyperacute care such as MT in Australia. The actual usage will be hence limited by the local capacity to deliver the MT services. This is examined in the following section.</w:t>
      </w:r>
    </w:p>
    <w:p w14:paraId="5B1D5C66" w14:textId="39F65A29" w:rsidR="006C3C67" w:rsidRPr="00D85E09" w:rsidRDefault="006C3C67" w:rsidP="0043316B">
      <w:pPr>
        <w:pStyle w:val="Heading3"/>
        <w:keepNext w:val="0"/>
        <w:widowControl w:val="0"/>
        <w:numPr>
          <w:ilvl w:val="2"/>
          <w:numId w:val="32"/>
        </w:numPr>
        <w:rPr>
          <w:lang w:val="en-AU"/>
        </w:rPr>
      </w:pPr>
      <w:bookmarkStart w:id="615" w:name="_Ref450557128"/>
      <w:bookmarkStart w:id="616" w:name="_Toc453065328"/>
      <w:r w:rsidRPr="00D85E09">
        <w:rPr>
          <w:lang w:val="en-AU"/>
        </w:rPr>
        <w:t>Caseload capacity to perform mechanical thrombectomy in Australia</w:t>
      </w:r>
      <w:bookmarkEnd w:id="615"/>
      <w:bookmarkEnd w:id="616"/>
    </w:p>
    <w:p w14:paraId="106E945E" w14:textId="6F36BD45" w:rsidR="006C3C67" w:rsidRPr="00D85E09" w:rsidRDefault="006C3C67" w:rsidP="0043316B">
      <w:pPr>
        <w:widowControl w:val="0"/>
      </w:pPr>
      <w:r w:rsidRPr="00D85E09">
        <w:t>While the available epidemiological evidence may suggest that up to 2,</w:t>
      </w:r>
      <w:r w:rsidR="00BF2DA4" w:rsidRPr="00D85E09">
        <w:t>700</w:t>
      </w:r>
      <w:r w:rsidRPr="00D85E09">
        <w:t xml:space="preserve"> patients may satisfy the eligibility criteria for MT, the actual usage will be limited by the capacity available to perform the procedure in Australia. Also, stroke care is predominantly provided in the public sector in Australia. The aforementioned National Stroke Foundation report suggests there are only eight private centres admitting more than 50 stroke patients a year in Australia; further reducing potential cost implications to the MBS.</w:t>
      </w:r>
    </w:p>
    <w:p w14:paraId="7D3E8F6B" w14:textId="77777777" w:rsidR="006C3C67" w:rsidRPr="00D85E09" w:rsidRDefault="006C3C67" w:rsidP="0043316B">
      <w:pPr>
        <w:pStyle w:val="Heading5"/>
        <w:widowControl w:val="0"/>
        <w:rPr>
          <w:lang w:val="en-AU"/>
        </w:rPr>
      </w:pPr>
      <w:r w:rsidRPr="00D85E09">
        <w:rPr>
          <w:lang w:val="en-AU"/>
        </w:rPr>
        <w:t>Current caseload capacity in Australia – the 2015 National Stroke Audit</w:t>
      </w:r>
    </w:p>
    <w:p w14:paraId="641101B1" w14:textId="18138621" w:rsidR="006C3C67" w:rsidRPr="00D85E09" w:rsidRDefault="006C3C67" w:rsidP="0043316B">
      <w:pPr>
        <w:widowControl w:val="0"/>
      </w:pPr>
      <w:bookmarkStart w:id="617" w:name="_Ref442441862"/>
      <w:r w:rsidRPr="00D85E09">
        <w:t>The infrastructure to provide adequate “hyperacute” care during the first critical hours of symptom onset is less than satisfactory in Australia. The National Stroke Audit Acute Services Report 2015 notes that “</w:t>
      </w:r>
      <w:r w:rsidRPr="00D85E09">
        <w:rPr>
          <w:i/>
        </w:rPr>
        <w:t>acute stroke care and services in this country have stagnated. Despite significant advancements in the treatment and care guidelines for acute stroke and the best efforts of health professionals and hospitals, many patients are missing out on best practice care. Patients are continuing to suffer poorer outcomes and even death as a result. Just one hospital in the survey was found to meet all the elements of a comprehensive stroke service including, but not limited to, the provision of hyperacute treatments (endovascular [clot retrieval] therapy and intravenous thrombolysis [clot busting] services) and stroke unit care 24 hours a day, seven days a week</w:t>
      </w:r>
      <w:r w:rsidRPr="00D85E09">
        <w:t>” (pg. 4; National Stroke Foundation 2015).</w:t>
      </w:r>
    </w:p>
    <w:bookmarkEnd w:id="617"/>
    <w:p w14:paraId="7B7ACD05" w14:textId="35FD5C99" w:rsidR="006C3C67" w:rsidRPr="00D85E09" w:rsidRDefault="006C3C67" w:rsidP="0043316B">
      <w:pPr>
        <w:widowControl w:val="0"/>
      </w:pPr>
      <w:r w:rsidRPr="00D85E09">
        <w:t xml:space="preserve">Relevant findings from the Audit are summarised in </w:t>
      </w:r>
      <w:r w:rsidRPr="00D85E09">
        <w:fldChar w:fldCharType="begin"/>
      </w:r>
      <w:r w:rsidRPr="00D85E09">
        <w:instrText xml:space="preserve"> REF _Ref450313363 \h </w:instrText>
      </w:r>
      <w:r w:rsidRPr="00D85E09">
        <w:fldChar w:fldCharType="separate"/>
      </w:r>
      <w:r w:rsidR="00A456ED" w:rsidRPr="00D85E09">
        <w:t xml:space="preserve">Table </w:t>
      </w:r>
      <w:r w:rsidR="00A456ED">
        <w:rPr>
          <w:noProof/>
        </w:rPr>
        <w:t>105</w:t>
      </w:r>
      <w:r w:rsidRPr="00D85E09">
        <w:fldChar w:fldCharType="end"/>
      </w:r>
      <w:r w:rsidRPr="00D85E09">
        <w:t xml:space="preserve"> below. The findings were not reported by private and public centres in the publication (National Stroke Foundation 2015). While this Audit only targeted those centres that treat ≥50 patients per year (with 89% participation rate), it is expected that MT services will be primarily performed at these mid/large centres.</w:t>
      </w:r>
    </w:p>
    <w:p w14:paraId="31184456" w14:textId="5D82B7A6" w:rsidR="006C3C67" w:rsidRPr="00D85E09" w:rsidRDefault="006C3C67" w:rsidP="0043316B">
      <w:pPr>
        <w:widowControl w:val="0"/>
      </w:pPr>
      <w:r w:rsidRPr="00D85E09">
        <w:t xml:space="preserve">Onsite neurosurgical procedures are delivered at 28 centres (26%) in Australia, while 19 (18%) centres were capable of providing endovascular clot retrieval procedures like mechanical thrombectomy. Only 11 centres are equipped to offer the service 24/7 (10%; see </w:t>
      </w:r>
      <w:r w:rsidRPr="00D85E09">
        <w:fldChar w:fldCharType="begin"/>
      </w:r>
      <w:r w:rsidRPr="00D85E09">
        <w:instrText xml:space="preserve"> REF _Ref450313363 \h </w:instrText>
      </w:r>
      <w:r w:rsidRPr="00D85E09">
        <w:fldChar w:fldCharType="separate"/>
      </w:r>
      <w:r w:rsidR="00A456ED" w:rsidRPr="00D85E09">
        <w:t xml:space="preserve">Table </w:t>
      </w:r>
      <w:r w:rsidR="00A456ED">
        <w:rPr>
          <w:noProof/>
        </w:rPr>
        <w:t>105</w:t>
      </w:r>
      <w:r w:rsidRPr="00D85E09">
        <w:fldChar w:fldCharType="end"/>
      </w:r>
      <w:r w:rsidRPr="00D85E09">
        <w:t>). Of relevance, the number of patients treated with IV</w:t>
      </w:r>
      <w:r w:rsidR="00D32933" w:rsidRPr="00D85E09">
        <w:t>-</w:t>
      </w:r>
      <w:r w:rsidRPr="00D85E09">
        <w:t>tPA is relatively small per centre; 14 patients on average. The Audit found that only 48 patients in total received IV</w:t>
      </w:r>
      <w:r w:rsidR="00D32933" w:rsidRPr="00D85E09">
        <w:t>-</w:t>
      </w:r>
      <w:r w:rsidRPr="00D85E09">
        <w:t xml:space="preserve">tPA </w:t>
      </w:r>
      <w:r w:rsidRPr="00D85E09">
        <w:lastRenderedPageBreak/>
        <w:t>at the six private centres participated in the Audit, i.e., 8 patients per centre.</w:t>
      </w:r>
    </w:p>
    <w:p w14:paraId="0B02531D" w14:textId="3F8524A4" w:rsidR="006C3C67" w:rsidRPr="00D85E09" w:rsidRDefault="006C3C67" w:rsidP="0043316B">
      <w:pPr>
        <w:widowControl w:val="0"/>
      </w:pPr>
      <w:r w:rsidRPr="00D85E09">
        <w:rPr>
          <w:i/>
        </w:rPr>
        <w:t>The balance of evidence hence clearly indicates that the actual number of patients treated with MT on the MBS would be small, limited by the capacity to deliver MT services in the private sector in Australia.</w:t>
      </w:r>
      <w:r w:rsidRPr="00D85E09">
        <w:t xml:space="preserve"> This is considered in the following section.</w:t>
      </w:r>
    </w:p>
    <w:p w14:paraId="733B3807" w14:textId="77777777" w:rsidR="006C3C67" w:rsidRPr="00D85E09" w:rsidRDefault="006C3C67" w:rsidP="0043316B">
      <w:pPr>
        <w:widowControl w:val="0"/>
      </w:pPr>
    </w:p>
    <w:p w14:paraId="41E16319" w14:textId="77777777" w:rsidR="006C3C67" w:rsidRPr="00D85E09" w:rsidRDefault="006C3C67" w:rsidP="0043316B">
      <w:pPr>
        <w:widowControl w:val="0"/>
        <w:spacing w:after="0"/>
        <w:sectPr w:rsidR="006C3C67" w:rsidRPr="00D85E09">
          <w:headerReference w:type="default" r:id="rId54"/>
          <w:pgSz w:w="11906" w:h="16838"/>
          <w:pgMar w:top="1417" w:right="1417" w:bottom="1134" w:left="1417" w:header="708" w:footer="708" w:gutter="0"/>
          <w:cols w:space="720"/>
        </w:sectPr>
      </w:pPr>
    </w:p>
    <w:p w14:paraId="7EA387FA" w14:textId="6D72EF1A" w:rsidR="006C3C67" w:rsidRPr="00D85E09" w:rsidRDefault="006C3C67" w:rsidP="0043316B">
      <w:pPr>
        <w:pStyle w:val="Caption"/>
        <w:keepNext w:val="0"/>
        <w:widowControl w:val="0"/>
        <w:rPr>
          <w:lang w:val="en-AU"/>
        </w:rPr>
      </w:pPr>
      <w:bookmarkStart w:id="618" w:name="_Ref450313363"/>
      <w:bookmarkStart w:id="619" w:name="_Toc453065441"/>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105</w:t>
      </w:r>
      <w:r w:rsidRPr="00D85E09">
        <w:rPr>
          <w:lang w:val="en-AU"/>
        </w:rPr>
        <w:fldChar w:fldCharType="end"/>
      </w:r>
      <w:bookmarkEnd w:id="618"/>
      <w:r w:rsidRPr="00D85E09">
        <w:rPr>
          <w:lang w:val="en-AU"/>
        </w:rPr>
        <w:tab/>
        <w:t>Capacity to provide selected hyperacute services within hospitals (N=108) by hospital volume</w:t>
      </w:r>
      <w:bookmarkEnd w:id="619"/>
    </w:p>
    <w:tbl>
      <w:tblPr>
        <w:tblStyle w:val="TableGrid"/>
        <w:tblW w:w="5000" w:type="pct"/>
        <w:tblLook w:val="04A0" w:firstRow="1" w:lastRow="0" w:firstColumn="1" w:lastColumn="0" w:noHBand="0" w:noVBand="1"/>
        <w:tblDescription w:val="Table 105 Capacity to provide selected hyperacute services within hospitals (N=108) by hospital volume"/>
      </w:tblPr>
      <w:tblGrid>
        <w:gridCol w:w="3308"/>
        <w:gridCol w:w="2304"/>
        <w:gridCol w:w="1779"/>
        <w:gridCol w:w="1778"/>
        <w:gridCol w:w="1778"/>
        <w:gridCol w:w="1778"/>
        <w:gridCol w:w="1778"/>
      </w:tblGrid>
      <w:tr w:rsidR="006C3C67" w:rsidRPr="00D85E09" w14:paraId="62D77A68" w14:textId="77777777" w:rsidTr="00BE6331">
        <w:trPr>
          <w:tblHeader/>
        </w:trPr>
        <w:tc>
          <w:tcPr>
            <w:tcW w:w="1140" w:type="pct"/>
            <w:tcBorders>
              <w:top w:val="single" w:sz="4" w:space="0" w:color="000000"/>
              <w:left w:val="single" w:sz="4" w:space="0" w:color="000000"/>
              <w:bottom w:val="single" w:sz="4" w:space="0" w:color="000000"/>
              <w:right w:val="single" w:sz="4" w:space="0" w:color="000000"/>
            </w:tcBorders>
          </w:tcPr>
          <w:p w14:paraId="62A4701D" w14:textId="77777777" w:rsidR="006C3C67" w:rsidRPr="00D85E09" w:rsidRDefault="006C3C67" w:rsidP="0043316B">
            <w:pPr>
              <w:pStyle w:val="Tabletext"/>
              <w:keepNext w:val="0"/>
              <w:widowControl w:val="0"/>
            </w:pPr>
          </w:p>
        </w:tc>
        <w:tc>
          <w:tcPr>
            <w:tcW w:w="794" w:type="pct"/>
            <w:tcBorders>
              <w:top w:val="single" w:sz="4" w:space="0" w:color="000000"/>
              <w:left w:val="single" w:sz="4" w:space="0" w:color="000000"/>
              <w:bottom w:val="single" w:sz="4" w:space="0" w:color="000000"/>
              <w:right w:val="single" w:sz="4" w:space="0" w:color="000000"/>
            </w:tcBorders>
            <w:hideMark/>
          </w:tcPr>
          <w:p w14:paraId="596DF0C2" w14:textId="77777777" w:rsidR="006C3C67" w:rsidRPr="00D85E09" w:rsidRDefault="006C3C67" w:rsidP="0043316B">
            <w:pPr>
              <w:pStyle w:val="Tabletext"/>
              <w:keepNext w:val="0"/>
              <w:widowControl w:val="0"/>
              <w:jc w:val="center"/>
              <w:rPr>
                <w:b/>
              </w:rPr>
            </w:pPr>
            <w:r w:rsidRPr="00D85E09">
              <w:rPr>
                <w:b/>
              </w:rPr>
              <w:t>All hospitals (+50 stroke patients per year)</w:t>
            </w:r>
          </w:p>
          <w:p w14:paraId="69BA35B7" w14:textId="77777777" w:rsidR="006C3C67" w:rsidRPr="00D85E09" w:rsidRDefault="006C3C67" w:rsidP="0043316B">
            <w:pPr>
              <w:pStyle w:val="Tabletext"/>
              <w:keepNext w:val="0"/>
              <w:widowControl w:val="0"/>
              <w:jc w:val="center"/>
              <w:rPr>
                <w:b/>
              </w:rPr>
            </w:pPr>
            <w:r w:rsidRPr="00D85E09">
              <w:rPr>
                <w:b/>
              </w:rPr>
              <w:t>(N=108)</w:t>
            </w:r>
          </w:p>
        </w:tc>
        <w:tc>
          <w:tcPr>
            <w:tcW w:w="613" w:type="pct"/>
            <w:tcBorders>
              <w:top w:val="single" w:sz="4" w:space="0" w:color="000000"/>
              <w:left w:val="single" w:sz="4" w:space="0" w:color="000000"/>
              <w:bottom w:val="single" w:sz="4" w:space="0" w:color="000000"/>
              <w:right w:val="single" w:sz="4" w:space="0" w:color="000000"/>
            </w:tcBorders>
            <w:hideMark/>
          </w:tcPr>
          <w:p w14:paraId="27AB9542" w14:textId="77777777" w:rsidR="006C3C67" w:rsidRPr="00D85E09" w:rsidRDefault="006C3C67" w:rsidP="0043316B">
            <w:pPr>
              <w:pStyle w:val="Tabletext"/>
              <w:keepNext w:val="0"/>
              <w:widowControl w:val="0"/>
              <w:jc w:val="center"/>
            </w:pPr>
            <w:r w:rsidRPr="00D85E09">
              <w:t>Hospitals admitting 50-74 strokes (N=16)</w:t>
            </w:r>
          </w:p>
        </w:tc>
        <w:tc>
          <w:tcPr>
            <w:tcW w:w="613" w:type="pct"/>
            <w:tcBorders>
              <w:top w:val="single" w:sz="4" w:space="0" w:color="000000"/>
              <w:left w:val="single" w:sz="4" w:space="0" w:color="000000"/>
              <w:bottom w:val="single" w:sz="4" w:space="0" w:color="000000"/>
              <w:right w:val="single" w:sz="4" w:space="0" w:color="000000"/>
            </w:tcBorders>
            <w:hideMark/>
          </w:tcPr>
          <w:p w14:paraId="7C89CE67" w14:textId="77777777" w:rsidR="006C3C67" w:rsidRPr="00D85E09" w:rsidRDefault="006C3C67" w:rsidP="0043316B">
            <w:pPr>
              <w:pStyle w:val="Tabletext"/>
              <w:keepNext w:val="0"/>
              <w:widowControl w:val="0"/>
              <w:jc w:val="center"/>
            </w:pPr>
            <w:r w:rsidRPr="00D85E09">
              <w:t>Hospitals admitting 75-199 strokes (N=38)</w:t>
            </w:r>
          </w:p>
        </w:tc>
        <w:tc>
          <w:tcPr>
            <w:tcW w:w="613" w:type="pct"/>
            <w:tcBorders>
              <w:top w:val="single" w:sz="4" w:space="0" w:color="000000"/>
              <w:left w:val="single" w:sz="4" w:space="0" w:color="000000"/>
              <w:bottom w:val="single" w:sz="4" w:space="0" w:color="000000"/>
              <w:right w:val="single" w:sz="4" w:space="0" w:color="000000"/>
            </w:tcBorders>
            <w:hideMark/>
          </w:tcPr>
          <w:p w14:paraId="4DC045EB" w14:textId="77777777" w:rsidR="006C3C67" w:rsidRPr="00D85E09" w:rsidRDefault="006C3C67" w:rsidP="0043316B">
            <w:pPr>
              <w:pStyle w:val="Tabletext"/>
              <w:keepNext w:val="0"/>
              <w:widowControl w:val="0"/>
              <w:jc w:val="center"/>
            </w:pPr>
            <w:r w:rsidRPr="00D85E09">
              <w:t>Hospitals admitting 200-349 strokes (N=29)</w:t>
            </w:r>
          </w:p>
        </w:tc>
        <w:tc>
          <w:tcPr>
            <w:tcW w:w="613" w:type="pct"/>
            <w:tcBorders>
              <w:top w:val="single" w:sz="4" w:space="0" w:color="000000"/>
              <w:left w:val="single" w:sz="4" w:space="0" w:color="000000"/>
              <w:bottom w:val="single" w:sz="4" w:space="0" w:color="000000"/>
              <w:right w:val="single" w:sz="4" w:space="0" w:color="000000"/>
            </w:tcBorders>
            <w:hideMark/>
          </w:tcPr>
          <w:p w14:paraId="644735FD" w14:textId="77777777" w:rsidR="006C3C67" w:rsidRPr="00D85E09" w:rsidRDefault="006C3C67" w:rsidP="0043316B">
            <w:pPr>
              <w:pStyle w:val="Tabletext"/>
              <w:keepNext w:val="0"/>
              <w:widowControl w:val="0"/>
              <w:jc w:val="center"/>
            </w:pPr>
            <w:r w:rsidRPr="00D85E09">
              <w:t>Hospitals admitting 350-499 strokes (N=8)</w:t>
            </w:r>
          </w:p>
        </w:tc>
        <w:tc>
          <w:tcPr>
            <w:tcW w:w="613" w:type="pct"/>
            <w:tcBorders>
              <w:top w:val="single" w:sz="4" w:space="0" w:color="000000"/>
              <w:left w:val="single" w:sz="4" w:space="0" w:color="000000"/>
              <w:bottom w:val="single" w:sz="4" w:space="0" w:color="000000"/>
              <w:right w:val="single" w:sz="4" w:space="0" w:color="000000"/>
            </w:tcBorders>
            <w:hideMark/>
          </w:tcPr>
          <w:p w14:paraId="1AEF2126" w14:textId="77777777" w:rsidR="006C3C67" w:rsidRPr="00D85E09" w:rsidRDefault="006C3C67" w:rsidP="0043316B">
            <w:pPr>
              <w:pStyle w:val="Tabletext"/>
              <w:keepNext w:val="0"/>
              <w:widowControl w:val="0"/>
              <w:jc w:val="center"/>
            </w:pPr>
            <w:r w:rsidRPr="00D85E09">
              <w:t>Hospitals admitting 500+ strokes (N=17)</w:t>
            </w:r>
          </w:p>
        </w:tc>
      </w:tr>
      <w:tr w:rsidR="006C3C67" w:rsidRPr="00D85E09" w14:paraId="10FA0B68" w14:textId="77777777" w:rsidTr="009C64DD">
        <w:tc>
          <w:tcPr>
            <w:tcW w:w="1140" w:type="pct"/>
            <w:tcBorders>
              <w:top w:val="single" w:sz="4" w:space="0" w:color="000000"/>
              <w:left w:val="single" w:sz="4" w:space="0" w:color="000000"/>
              <w:bottom w:val="single" w:sz="4" w:space="0" w:color="000000"/>
              <w:right w:val="single" w:sz="4" w:space="0" w:color="000000"/>
            </w:tcBorders>
            <w:hideMark/>
          </w:tcPr>
          <w:p w14:paraId="7F7FCC2E" w14:textId="77777777" w:rsidR="006C3C67" w:rsidRPr="00D85E09" w:rsidRDefault="006C3C67" w:rsidP="0043316B">
            <w:pPr>
              <w:pStyle w:val="Tabletext"/>
              <w:keepNext w:val="0"/>
              <w:widowControl w:val="0"/>
            </w:pPr>
            <w:r w:rsidRPr="00D85E09">
              <w:t>Element of service – hyperacute phase</w:t>
            </w:r>
          </w:p>
        </w:tc>
        <w:tc>
          <w:tcPr>
            <w:tcW w:w="794" w:type="pct"/>
            <w:tcBorders>
              <w:top w:val="single" w:sz="4" w:space="0" w:color="000000"/>
              <w:left w:val="single" w:sz="4" w:space="0" w:color="000000"/>
              <w:bottom w:val="single" w:sz="4" w:space="0" w:color="000000"/>
              <w:right w:val="single" w:sz="4" w:space="0" w:color="000000"/>
            </w:tcBorders>
            <w:hideMark/>
          </w:tcPr>
          <w:p w14:paraId="64C91032" w14:textId="77777777" w:rsidR="006C3C67" w:rsidRPr="00D85E09" w:rsidRDefault="006C3C67" w:rsidP="0043316B">
            <w:pPr>
              <w:pStyle w:val="Tabletext"/>
              <w:keepNext w:val="0"/>
              <w:widowControl w:val="0"/>
              <w:jc w:val="center"/>
              <w:rPr>
                <w:b/>
              </w:rPr>
            </w:pPr>
            <w:r w:rsidRPr="00D85E09">
              <w:rPr>
                <w:b/>
              </w:rPr>
              <w:t>n (%)</w:t>
            </w:r>
          </w:p>
        </w:tc>
        <w:tc>
          <w:tcPr>
            <w:tcW w:w="613" w:type="pct"/>
            <w:tcBorders>
              <w:top w:val="single" w:sz="4" w:space="0" w:color="000000"/>
              <w:left w:val="single" w:sz="4" w:space="0" w:color="000000"/>
              <w:bottom w:val="single" w:sz="4" w:space="0" w:color="000000"/>
              <w:right w:val="single" w:sz="4" w:space="0" w:color="000000"/>
            </w:tcBorders>
            <w:hideMark/>
          </w:tcPr>
          <w:p w14:paraId="107F4860" w14:textId="77777777" w:rsidR="006C3C67" w:rsidRPr="00D85E09" w:rsidRDefault="006C3C67" w:rsidP="0043316B">
            <w:pPr>
              <w:pStyle w:val="Tabletext"/>
              <w:keepNext w:val="0"/>
              <w:widowControl w:val="0"/>
              <w:jc w:val="center"/>
            </w:pPr>
            <w:r w:rsidRPr="00D85E09">
              <w:t>n (%)</w:t>
            </w:r>
          </w:p>
        </w:tc>
        <w:tc>
          <w:tcPr>
            <w:tcW w:w="613" w:type="pct"/>
            <w:tcBorders>
              <w:top w:val="single" w:sz="4" w:space="0" w:color="000000"/>
              <w:left w:val="single" w:sz="4" w:space="0" w:color="000000"/>
              <w:bottom w:val="single" w:sz="4" w:space="0" w:color="000000"/>
              <w:right w:val="single" w:sz="4" w:space="0" w:color="000000"/>
            </w:tcBorders>
            <w:hideMark/>
          </w:tcPr>
          <w:p w14:paraId="7E08482A" w14:textId="77777777" w:rsidR="006C3C67" w:rsidRPr="00D85E09" w:rsidRDefault="006C3C67" w:rsidP="0043316B">
            <w:pPr>
              <w:pStyle w:val="Tabletext"/>
              <w:keepNext w:val="0"/>
              <w:widowControl w:val="0"/>
              <w:jc w:val="center"/>
            </w:pPr>
            <w:r w:rsidRPr="00D85E09">
              <w:t>n (%)</w:t>
            </w:r>
          </w:p>
        </w:tc>
        <w:tc>
          <w:tcPr>
            <w:tcW w:w="613" w:type="pct"/>
            <w:tcBorders>
              <w:top w:val="single" w:sz="4" w:space="0" w:color="000000"/>
              <w:left w:val="single" w:sz="4" w:space="0" w:color="000000"/>
              <w:bottom w:val="single" w:sz="4" w:space="0" w:color="000000"/>
              <w:right w:val="single" w:sz="4" w:space="0" w:color="000000"/>
            </w:tcBorders>
            <w:hideMark/>
          </w:tcPr>
          <w:p w14:paraId="1EC5636E" w14:textId="77777777" w:rsidR="006C3C67" w:rsidRPr="00D85E09" w:rsidRDefault="006C3C67" w:rsidP="0043316B">
            <w:pPr>
              <w:pStyle w:val="Tabletext"/>
              <w:keepNext w:val="0"/>
              <w:widowControl w:val="0"/>
              <w:jc w:val="center"/>
            </w:pPr>
            <w:r w:rsidRPr="00D85E09">
              <w:t>n (%)</w:t>
            </w:r>
          </w:p>
        </w:tc>
        <w:tc>
          <w:tcPr>
            <w:tcW w:w="613" w:type="pct"/>
            <w:tcBorders>
              <w:top w:val="single" w:sz="4" w:space="0" w:color="000000"/>
              <w:left w:val="single" w:sz="4" w:space="0" w:color="000000"/>
              <w:bottom w:val="single" w:sz="4" w:space="0" w:color="000000"/>
              <w:right w:val="single" w:sz="4" w:space="0" w:color="000000"/>
            </w:tcBorders>
            <w:hideMark/>
          </w:tcPr>
          <w:p w14:paraId="1584234B" w14:textId="77777777" w:rsidR="006C3C67" w:rsidRPr="00D85E09" w:rsidRDefault="006C3C67" w:rsidP="0043316B">
            <w:pPr>
              <w:pStyle w:val="Tabletext"/>
              <w:keepNext w:val="0"/>
              <w:widowControl w:val="0"/>
              <w:jc w:val="center"/>
            </w:pPr>
            <w:r w:rsidRPr="00D85E09">
              <w:t>n (%)</w:t>
            </w:r>
          </w:p>
        </w:tc>
        <w:tc>
          <w:tcPr>
            <w:tcW w:w="613" w:type="pct"/>
            <w:tcBorders>
              <w:top w:val="single" w:sz="4" w:space="0" w:color="000000"/>
              <w:left w:val="single" w:sz="4" w:space="0" w:color="000000"/>
              <w:bottom w:val="single" w:sz="4" w:space="0" w:color="000000"/>
              <w:right w:val="single" w:sz="4" w:space="0" w:color="000000"/>
            </w:tcBorders>
            <w:hideMark/>
          </w:tcPr>
          <w:p w14:paraId="094AADCB" w14:textId="77777777" w:rsidR="006C3C67" w:rsidRPr="00D85E09" w:rsidRDefault="006C3C67" w:rsidP="0043316B">
            <w:pPr>
              <w:pStyle w:val="Tabletext"/>
              <w:keepNext w:val="0"/>
              <w:widowControl w:val="0"/>
              <w:jc w:val="center"/>
            </w:pPr>
            <w:r w:rsidRPr="00D85E09">
              <w:t>n (%)</w:t>
            </w:r>
          </w:p>
        </w:tc>
      </w:tr>
      <w:tr w:rsidR="006C3C67" w:rsidRPr="00D85E09" w14:paraId="1466C485" w14:textId="77777777" w:rsidTr="009C64DD">
        <w:tc>
          <w:tcPr>
            <w:tcW w:w="1140" w:type="pct"/>
            <w:tcBorders>
              <w:top w:val="single" w:sz="4" w:space="0" w:color="000000"/>
              <w:left w:val="single" w:sz="4" w:space="0" w:color="000000"/>
              <w:bottom w:val="single" w:sz="4" w:space="0" w:color="000000"/>
              <w:right w:val="single" w:sz="4" w:space="0" w:color="000000"/>
            </w:tcBorders>
            <w:hideMark/>
          </w:tcPr>
          <w:p w14:paraId="63945345" w14:textId="77777777" w:rsidR="006C3C67" w:rsidRPr="00D85E09" w:rsidRDefault="006C3C67" w:rsidP="0043316B">
            <w:pPr>
              <w:pStyle w:val="Tabletext"/>
              <w:keepNext w:val="0"/>
              <w:widowControl w:val="0"/>
              <w:ind w:left="167"/>
            </w:pPr>
            <w:r w:rsidRPr="00D85E09">
              <w:t>Onsite mechanical thrombectomy service</w:t>
            </w:r>
          </w:p>
        </w:tc>
        <w:tc>
          <w:tcPr>
            <w:tcW w:w="794" w:type="pct"/>
            <w:tcBorders>
              <w:top w:val="single" w:sz="4" w:space="0" w:color="000000"/>
              <w:left w:val="single" w:sz="4" w:space="0" w:color="000000"/>
              <w:bottom w:val="single" w:sz="4" w:space="0" w:color="000000"/>
              <w:right w:val="single" w:sz="4" w:space="0" w:color="000000"/>
            </w:tcBorders>
            <w:hideMark/>
          </w:tcPr>
          <w:p w14:paraId="4C4B6AA3" w14:textId="77777777" w:rsidR="006C3C67" w:rsidRPr="00D85E09" w:rsidRDefault="006C3C67" w:rsidP="0043316B">
            <w:pPr>
              <w:pStyle w:val="Tabletext"/>
              <w:keepNext w:val="0"/>
              <w:widowControl w:val="0"/>
              <w:jc w:val="center"/>
              <w:rPr>
                <w:b/>
              </w:rPr>
            </w:pPr>
            <w:r w:rsidRPr="00D85E09">
              <w:rPr>
                <w:b/>
              </w:rPr>
              <w:t>19 (18)</w:t>
            </w:r>
          </w:p>
        </w:tc>
        <w:tc>
          <w:tcPr>
            <w:tcW w:w="613" w:type="pct"/>
            <w:tcBorders>
              <w:top w:val="single" w:sz="4" w:space="0" w:color="000000"/>
              <w:left w:val="single" w:sz="4" w:space="0" w:color="000000"/>
              <w:bottom w:val="single" w:sz="4" w:space="0" w:color="000000"/>
              <w:right w:val="single" w:sz="4" w:space="0" w:color="000000"/>
            </w:tcBorders>
            <w:hideMark/>
          </w:tcPr>
          <w:p w14:paraId="0446D0A0" w14:textId="77777777" w:rsidR="006C3C67" w:rsidRPr="00D85E09" w:rsidRDefault="006C3C67" w:rsidP="0043316B">
            <w:pPr>
              <w:pStyle w:val="Tabletext"/>
              <w:keepNext w:val="0"/>
              <w:widowControl w:val="0"/>
              <w:jc w:val="center"/>
            </w:pPr>
            <w:r w:rsidRPr="00D85E09">
              <w:t>NR</w:t>
            </w:r>
          </w:p>
        </w:tc>
        <w:tc>
          <w:tcPr>
            <w:tcW w:w="613" w:type="pct"/>
            <w:tcBorders>
              <w:top w:val="single" w:sz="4" w:space="0" w:color="000000"/>
              <w:left w:val="single" w:sz="4" w:space="0" w:color="000000"/>
              <w:bottom w:val="single" w:sz="4" w:space="0" w:color="000000"/>
              <w:right w:val="single" w:sz="4" w:space="0" w:color="000000"/>
            </w:tcBorders>
            <w:hideMark/>
          </w:tcPr>
          <w:p w14:paraId="2BBE42B3" w14:textId="77777777" w:rsidR="006C3C67" w:rsidRPr="00D85E09" w:rsidRDefault="006C3C67" w:rsidP="0043316B">
            <w:pPr>
              <w:pStyle w:val="Tabletext"/>
              <w:keepNext w:val="0"/>
              <w:widowControl w:val="0"/>
              <w:jc w:val="center"/>
            </w:pPr>
            <w:r w:rsidRPr="00D85E09">
              <w:t>NR</w:t>
            </w:r>
          </w:p>
        </w:tc>
        <w:tc>
          <w:tcPr>
            <w:tcW w:w="613" w:type="pct"/>
            <w:tcBorders>
              <w:top w:val="single" w:sz="4" w:space="0" w:color="000000"/>
              <w:left w:val="single" w:sz="4" w:space="0" w:color="000000"/>
              <w:bottom w:val="single" w:sz="4" w:space="0" w:color="000000"/>
              <w:right w:val="single" w:sz="4" w:space="0" w:color="000000"/>
            </w:tcBorders>
            <w:hideMark/>
          </w:tcPr>
          <w:p w14:paraId="3D1185D3" w14:textId="77777777" w:rsidR="006C3C67" w:rsidRPr="00D85E09" w:rsidRDefault="006C3C67" w:rsidP="0043316B">
            <w:pPr>
              <w:pStyle w:val="Tabletext"/>
              <w:keepNext w:val="0"/>
              <w:widowControl w:val="0"/>
              <w:jc w:val="center"/>
            </w:pPr>
            <w:r w:rsidRPr="00D85E09">
              <w:t>NR</w:t>
            </w:r>
          </w:p>
        </w:tc>
        <w:tc>
          <w:tcPr>
            <w:tcW w:w="613" w:type="pct"/>
            <w:tcBorders>
              <w:top w:val="single" w:sz="4" w:space="0" w:color="000000"/>
              <w:left w:val="single" w:sz="4" w:space="0" w:color="000000"/>
              <w:bottom w:val="single" w:sz="4" w:space="0" w:color="000000"/>
              <w:right w:val="single" w:sz="4" w:space="0" w:color="000000"/>
            </w:tcBorders>
            <w:hideMark/>
          </w:tcPr>
          <w:p w14:paraId="6447BD5A" w14:textId="77777777" w:rsidR="006C3C67" w:rsidRPr="00D85E09" w:rsidRDefault="006C3C67" w:rsidP="0043316B">
            <w:pPr>
              <w:pStyle w:val="Tabletext"/>
              <w:keepNext w:val="0"/>
              <w:widowControl w:val="0"/>
              <w:jc w:val="center"/>
            </w:pPr>
            <w:r w:rsidRPr="00D85E09">
              <w:t>NR</w:t>
            </w:r>
          </w:p>
        </w:tc>
        <w:tc>
          <w:tcPr>
            <w:tcW w:w="613" w:type="pct"/>
            <w:tcBorders>
              <w:top w:val="single" w:sz="4" w:space="0" w:color="000000"/>
              <w:left w:val="single" w:sz="4" w:space="0" w:color="000000"/>
              <w:bottom w:val="single" w:sz="4" w:space="0" w:color="000000"/>
              <w:right w:val="single" w:sz="4" w:space="0" w:color="000000"/>
            </w:tcBorders>
            <w:hideMark/>
          </w:tcPr>
          <w:p w14:paraId="2F380D66" w14:textId="77777777" w:rsidR="006C3C67" w:rsidRPr="00D85E09" w:rsidRDefault="006C3C67" w:rsidP="0043316B">
            <w:pPr>
              <w:pStyle w:val="Tabletext"/>
              <w:keepNext w:val="0"/>
              <w:widowControl w:val="0"/>
              <w:jc w:val="center"/>
            </w:pPr>
            <w:r w:rsidRPr="00D85E09">
              <w:t>NR</w:t>
            </w:r>
          </w:p>
        </w:tc>
      </w:tr>
      <w:tr w:rsidR="006C3C67" w:rsidRPr="00D85E09" w14:paraId="65360A73" w14:textId="77777777" w:rsidTr="009C64DD">
        <w:tc>
          <w:tcPr>
            <w:tcW w:w="1140" w:type="pct"/>
            <w:tcBorders>
              <w:top w:val="single" w:sz="4" w:space="0" w:color="000000"/>
              <w:left w:val="single" w:sz="4" w:space="0" w:color="000000"/>
              <w:bottom w:val="single" w:sz="4" w:space="0" w:color="000000"/>
              <w:right w:val="single" w:sz="4" w:space="0" w:color="000000"/>
            </w:tcBorders>
            <w:hideMark/>
          </w:tcPr>
          <w:p w14:paraId="458DDA37" w14:textId="12092DD1" w:rsidR="006C3C67" w:rsidRPr="00D85E09" w:rsidRDefault="006C3C67" w:rsidP="0043316B">
            <w:pPr>
              <w:pStyle w:val="Tabletext"/>
              <w:keepNext w:val="0"/>
              <w:widowControl w:val="0"/>
              <w:ind w:left="167"/>
            </w:pPr>
            <w:r w:rsidRPr="00D85E09">
              <w:t>Onsite endovascular (clot retrieval) stroke service – 24/7</w:t>
            </w:r>
          </w:p>
        </w:tc>
        <w:tc>
          <w:tcPr>
            <w:tcW w:w="794" w:type="pct"/>
            <w:tcBorders>
              <w:top w:val="single" w:sz="4" w:space="0" w:color="000000"/>
              <w:left w:val="single" w:sz="4" w:space="0" w:color="000000"/>
              <w:bottom w:val="single" w:sz="4" w:space="0" w:color="000000"/>
              <w:right w:val="single" w:sz="4" w:space="0" w:color="000000"/>
            </w:tcBorders>
            <w:hideMark/>
          </w:tcPr>
          <w:p w14:paraId="6DF936C9" w14:textId="77777777" w:rsidR="006C3C67" w:rsidRPr="00D85E09" w:rsidRDefault="006C3C67" w:rsidP="0043316B">
            <w:pPr>
              <w:pStyle w:val="Tabletext"/>
              <w:keepNext w:val="0"/>
              <w:widowControl w:val="0"/>
              <w:jc w:val="center"/>
              <w:rPr>
                <w:b/>
              </w:rPr>
            </w:pPr>
            <w:r w:rsidRPr="00D85E09">
              <w:rPr>
                <w:b/>
              </w:rPr>
              <w:t>11 (10)</w:t>
            </w:r>
          </w:p>
        </w:tc>
        <w:tc>
          <w:tcPr>
            <w:tcW w:w="613" w:type="pct"/>
            <w:tcBorders>
              <w:top w:val="single" w:sz="4" w:space="0" w:color="000000"/>
              <w:left w:val="single" w:sz="4" w:space="0" w:color="000000"/>
              <w:bottom w:val="single" w:sz="4" w:space="0" w:color="000000"/>
              <w:right w:val="single" w:sz="4" w:space="0" w:color="000000"/>
            </w:tcBorders>
            <w:hideMark/>
          </w:tcPr>
          <w:p w14:paraId="0CB7AFD0" w14:textId="77777777" w:rsidR="006C3C67" w:rsidRPr="00D85E09" w:rsidRDefault="006C3C67" w:rsidP="0043316B">
            <w:pPr>
              <w:pStyle w:val="Tabletext"/>
              <w:keepNext w:val="0"/>
              <w:widowControl w:val="0"/>
              <w:jc w:val="center"/>
            </w:pPr>
            <w:r w:rsidRPr="00D85E09">
              <w:t>0 (0)</w:t>
            </w:r>
          </w:p>
        </w:tc>
        <w:tc>
          <w:tcPr>
            <w:tcW w:w="613" w:type="pct"/>
            <w:tcBorders>
              <w:top w:val="single" w:sz="4" w:space="0" w:color="000000"/>
              <w:left w:val="single" w:sz="4" w:space="0" w:color="000000"/>
              <w:bottom w:val="single" w:sz="4" w:space="0" w:color="000000"/>
              <w:right w:val="single" w:sz="4" w:space="0" w:color="000000"/>
            </w:tcBorders>
            <w:hideMark/>
          </w:tcPr>
          <w:p w14:paraId="7DE07C86" w14:textId="77777777" w:rsidR="006C3C67" w:rsidRPr="00D85E09" w:rsidRDefault="006C3C67" w:rsidP="0043316B">
            <w:pPr>
              <w:pStyle w:val="Tabletext"/>
              <w:keepNext w:val="0"/>
              <w:widowControl w:val="0"/>
              <w:jc w:val="center"/>
            </w:pPr>
            <w:r w:rsidRPr="00D85E09">
              <w:t>0 (0)</w:t>
            </w:r>
          </w:p>
        </w:tc>
        <w:tc>
          <w:tcPr>
            <w:tcW w:w="613" w:type="pct"/>
            <w:tcBorders>
              <w:top w:val="single" w:sz="4" w:space="0" w:color="000000"/>
              <w:left w:val="single" w:sz="4" w:space="0" w:color="000000"/>
              <w:bottom w:val="single" w:sz="4" w:space="0" w:color="000000"/>
              <w:right w:val="single" w:sz="4" w:space="0" w:color="000000"/>
            </w:tcBorders>
            <w:hideMark/>
          </w:tcPr>
          <w:p w14:paraId="28162933" w14:textId="77777777" w:rsidR="006C3C67" w:rsidRPr="00D85E09" w:rsidRDefault="006C3C67" w:rsidP="0043316B">
            <w:pPr>
              <w:pStyle w:val="Tabletext"/>
              <w:keepNext w:val="0"/>
              <w:widowControl w:val="0"/>
              <w:jc w:val="center"/>
            </w:pPr>
            <w:r w:rsidRPr="00D85E09">
              <w:t>2 (7)</w:t>
            </w:r>
          </w:p>
        </w:tc>
        <w:tc>
          <w:tcPr>
            <w:tcW w:w="613" w:type="pct"/>
            <w:tcBorders>
              <w:top w:val="single" w:sz="4" w:space="0" w:color="000000"/>
              <w:left w:val="single" w:sz="4" w:space="0" w:color="000000"/>
              <w:bottom w:val="single" w:sz="4" w:space="0" w:color="000000"/>
              <w:right w:val="single" w:sz="4" w:space="0" w:color="000000"/>
            </w:tcBorders>
            <w:hideMark/>
          </w:tcPr>
          <w:p w14:paraId="75376191" w14:textId="77777777" w:rsidR="006C3C67" w:rsidRPr="00D85E09" w:rsidRDefault="006C3C67" w:rsidP="0043316B">
            <w:pPr>
              <w:pStyle w:val="Tabletext"/>
              <w:keepNext w:val="0"/>
              <w:widowControl w:val="0"/>
              <w:jc w:val="center"/>
            </w:pPr>
            <w:r w:rsidRPr="00D85E09">
              <w:t>3 (38)</w:t>
            </w:r>
          </w:p>
        </w:tc>
        <w:tc>
          <w:tcPr>
            <w:tcW w:w="613" w:type="pct"/>
            <w:tcBorders>
              <w:top w:val="single" w:sz="4" w:space="0" w:color="000000"/>
              <w:left w:val="single" w:sz="4" w:space="0" w:color="000000"/>
              <w:bottom w:val="single" w:sz="4" w:space="0" w:color="000000"/>
              <w:right w:val="single" w:sz="4" w:space="0" w:color="000000"/>
            </w:tcBorders>
            <w:hideMark/>
          </w:tcPr>
          <w:p w14:paraId="68A6E1EC" w14:textId="77777777" w:rsidR="006C3C67" w:rsidRPr="00D85E09" w:rsidRDefault="006C3C67" w:rsidP="0043316B">
            <w:pPr>
              <w:pStyle w:val="Tabletext"/>
              <w:keepNext w:val="0"/>
              <w:widowControl w:val="0"/>
              <w:jc w:val="center"/>
            </w:pPr>
            <w:r w:rsidRPr="00D85E09">
              <w:t>10 (59)</w:t>
            </w:r>
          </w:p>
        </w:tc>
      </w:tr>
      <w:tr w:rsidR="006C3C67" w:rsidRPr="00D85E09" w14:paraId="3966B9D7" w14:textId="77777777" w:rsidTr="009C64DD">
        <w:tc>
          <w:tcPr>
            <w:tcW w:w="1140" w:type="pct"/>
            <w:tcBorders>
              <w:top w:val="single" w:sz="4" w:space="0" w:color="000000"/>
              <w:left w:val="single" w:sz="4" w:space="0" w:color="000000"/>
              <w:bottom w:val="single" w:sz="4" w:space="0" w:color="000000"/>
              <w:right w:val="single" w:sz="4" w:space="0" w:color="000000"/>
            </w:tcBorders>
            <w:hideMark/>
          </w:tcPr>
          <w:p w14:paraId="653BD74F" w14:textId="77777777" w:rsidR="006C3C67" w:rsidRPr="00D85E09" w:rsidRDefault="006C3C67" w:rsidP="0043316B">
            <w:pPr>
              <w:pStyle w:val="Tabletext"/>
              <w:keepNext w:val="0"/>
              <w:widowControl w:val="0"/>
              <w:ind w:left="167"/>
            </w:pPr>
            <w:r w:rsidRPr="00D85E09">
              <w:t xml:space="preserve">Onsite neurosurgical services (e.g. for hemicraniectomy due to large middle cerebral artery infarcts) </w:t>
            </w:r>
          </w:p>
        </w:tc>
        <w:tc>
          <w:tcPr>
            <w:tcW w:w="794" w:type="pct"/>
            <w:tcBorders>
              <w:top w:val="single" w:sz="4" w:space="0" w:color="000000"/>
              <w:left w:val="single" w:sz="4" w:space="0" w:color="000000"/>
              <w:bottom w:val="single" w:sz="4" w:space="0" w:color="000000"/>
              <w:right w:val="single" w:sz="4" w:space="0" w:color="000000"/>
            </w:tcBorders>
            <w:hideMark/>
          </w:tcPr>
          <w:p w14:paraId="43BFE35E" w14:textId="77777777" w:rsidR="006C3C67" w:rsidRPr="00D85E09" w:rsidRDefault="006C3C67" w:rsidP="0043316B">
            <w:pPr>
              <w:pStyle w:val="Tabletext"/>
              <w:keepNext w:val="0"/>
              <w:widowControl w:val="0"/>
              <w:jc w:val="center"/>
              <w:rPr>
                <w:b/>
              </w:rPr>
            </w:pPr>
            <w:r w:rsidRPr="00D85E09">
              <w:rPr>
                <w:b/>
              </w:rPr>
              <w:t>28 (26)</w:t>
            </w:r>
          </w:p>
        </w:tc>
        <w:tc>
          <w:tcPr>
            <w:tcW w:w="613" w:type="pct"/>
            <w:tcBorders>
              <w:top w:val="single" w:sz="4" w:space="0" w:color="000000"/>
              <w:left w:val="single" w:sz="4" w:space="0" w:color="000000"/>
              <w:bottom w:val="single" w:sz="4" w:space="0" w:color="000000"/>
              <w:right w:val="single" w:sz="4" w:space="0" w:color="000000"/>
            </w:tcBorders>
            <w:hideMark/>
          </w:tcPr>
          <w:p w14:paraId="338255AE" w14:textId="77777777" w:rsidR="006C3C67" w:rsidRPr="00D85E09" w:rsidRDefault="006C3C67" w:rsidP="0043316B">
            <w:pPr>
              <w:pStyle w:val="Tabletext"/>
              <w:keepNext w:val="0"/>
              <w:widowControl w:val="0"/>
              <w:jc w:val="center"/>
            </w:pPr>
            <w:r w:rsidRPr="00D85E09">
              <w:t>0 (0)</w:t>
            </w:r>
          </w:p>
        </w:tc>
        <w:tc>
          <w:tcPr>
            <w:tcW w:w="613" w:type="pct"/>
            <w:tcBorders>
              <w:top w:val="single" w:sz="4" w:space="0" w:color="000000"/>
              <w:left w:val="single" w:sz="4" w:space="0" w:color="000000"/>
              <w:bottom w:val="single" w:sz="4" w:space="0" w:color="000000"/>
              <w:right w:val="single" w:sz="4" w:space="0" w:color="000000"/>
            </w:tcBorders>
            <w:hideMark/>
          </w:tcPr>
          <w:p w14:paraId="2A1DC775" w14:textId="77777777" w:rsidR="006C3C67" w:rsidRPr="00D85E09" w:rsidRDefault="006C3C67" w:rsidP="0043316B">
            <w:pPr>
              <w:pStyle w:val="Tabletext"/>
              <w:keepNext w:val="0"/>
              <w:widowControl w:val="0"/>
              <w:jc w:val="center"/>
            </w:pPr>
            <w:r w:rsidRPr="00D85E09">
              <w:t>0 (0)</w:t>
            </w:r>
          </w:p>
        </w:tc>
        <w:tc>
          <w:tcPr>
            <w:tcW w:w="613" w:type="pct"/>
            <w:tcBorders>
              <w:top w:val="single" w:sz="4" w:space="0" w:color="000000"/>
              <w:left w:val="single" w:sz="4" w:space="0" w:color="000000"/>
              <w:bottom w:val="single" w:sz="4" w:space="0" w:color="000000"/>
              <w:right w:val="single" w:sz="4" w:space="0" w:color="000000"/>
            </w:tcBorders>
            <w:hideMark/>
          </w:tcPr>
          <w:p w14:paraId="5379A5C6" w14:textId="77777777" w:rsidR="006C3C67" w:rsidRPr="00D85E09" w:rsidRDefault="006C3C67" w:rsidP="0043316B">
            <w:pPr>
              <w:pStyle w:val="Tabletext"/>
              <w:keepNext w:val="0"/>
              <w:widowControl w:val="0"/>
              <w:jc w:val="center"/>
            </w:pPr>
            <w:r w:rsidRPr="00D85E09">
              <w:t>12 (41)</w:t>
            </w:r>
          </w:p>
        </w:tc>
        <w:tc>
          <w:tcPr>
            <w:tcW w:w="613" w:type="pct"/>
            <w:tcBorders>
              <w:top w:val="single" w:sz="4" w:space="0" w:color="000000"/>
              <w:left w:val="single" w:sz="4" w:space="0" w:color="000000"/>
              <w:bottom w:val="single" w:sz="4" w:space="0" w:color="000000"/>
              <w:right w:val="single" w:sz="4" w:space="0" w:color="000000"/>
            </w:tcBorders>
            <w:hideMark/>
          </w:tcPr>
          <w:p w14:paraId="7CD987B3" w14:textId="77777777" w:rsidR="006C3C67" w:rsidRPr="00D85E09" w:rsidRDefault="006C3C67" w:rsidP="0043316B">
            <w:pPr>
              <w:pStyle w:val="Tabletext"/>
              <w:keepNext w:val="0"/>
              <w:widowControl w:val="0"/>
              <w:jc w:val="center"/>
            </w:pPr>
            <w:r w:rsidRPr="00D85E09">
              <w:t>4 (50)</w:t>
            </w:r>
          </w:p>
        </w:tc>
        <w:tc>
          <w:tcPr>
            <w:tcW w:w="613" w:type="pct"/>
            <w:tcBorders>
              <w:top w:val="single" w:sz="4" w:space="0" w:color="000000"/>
              <w:left w:val="single" w:sz="4" w:space="0" w:color="000000"/>
              <w:bottom w:val="single" w:sz="4" w:space="0" w:color="000000"/>
              <w:right w:val="single" w:sz="4" w:space="0" w:color="000000"/>
            </w:tcBorders>
            <w:hideMark/>
          </w:tcPr>
          <w:p w14:paraId="4037D803" w14:textId="77777777" w:rsidR="006C3C67" w:rsidRPr="00D85E09" w:rsidRDefault="006C3C67" w:rsidP="0043316B">
            <w:pPr>
              <w:pStyle w:val="Tabletext"/>
              <w:keepNext w:val="0"/>
              <w:widowControl w:val="0"/>
              <w:jc w:val="center"/>
            </w:pPr>
            <w:r w:rsidRPr="00D85E09">
              <w:t>12 (71)</w:t>
            </w:r>
          </w:p>
        </w:tc>
      </w:tr>
      <w:tr w:rsidR="006C3C67" w:rsidRPr="00D85E09" w14:paraId="70DE9406" w14:textId="77777777" w:rsidTr="009C64DD">
        <w:tc>
          <w:tcPr>
            <w:tcW w:w="1140" w:type="pct"/>
            <w:tcBorders>
              <w:top w:val="single" w:sz="4" w:space="0" w:color="000000"/>
              <w:left w:val="single" w:sz="4" w:space="0" w:color="000000"/>
              <w:bottom w:val="single" w:sz="4" w:space="0" w:color="000000"/>
              <w:right w:val="single" w:sz="4" w:space="0" w:color="000000"/>
            </w:tcBorders>
            <w:hideMark/>
          </w:tcPr>
          <w:p w14:paraId="34F44346" w14:textId="77CCE6D2" w:rsidR="006C3C67" w:rsidRPr="00D85E09" w:rsidRDefault="006C3C67" w:rsidP="0043316B">
            <w:pPr>
              <w:pStyle w:val="Tabletext"/>
              <w:keepNext w:val="0"/>
              <w:widowControl w:val="0"/>
              <w:ind w:left="167"/>
            </w:pPr>
            <w:r w:rsidRPr="00D85E09">
              <w:t>Delivery of IV</w:t>
            </w:r>
            <w:r w:rsidR="00D32933" w:rsidRPr="00D85E09">
              <w:t>-</w:t>
            </w:r>
            <w:r w:rsidRPr="00D85E09">
              <w:t xml:space="preserve">tPA </w:t>
            </w:r>
          </w:p>
        </w:tc>
        <w:tc>
          <w:tcPr>
            <w:tcW w:w="794" w:type="pct"/>
            <w:tcBorders>
              <w:top w:val="single" w:sz="4" w:space="0" w:color="000000"/>
              <w:left w:val="single" w:sz="4" w:space="0" w:color="000000"/>
              <w:bottom w:val="single" w:sz="4" w:space="0" w:color="000000"/>
              <w:right w:val="single" w:sz="4" w:space="0" w:color="000000"/>
            </w:tcBorders>
            <w:hideMark/>
          </w:tcPr>
          <w:p w14:paraId="19C5A9ED" w14:textId="77777777" w:rsidR="006C3C67" w:rsidRPr="00D85E09" w:rsidRDefault="006C3C67" w:rsidP="0043316B">
            <w:pPr>
              <w:pStyle w:val="Tabletext"/>
              <w:keepNext w:val="0"/>
              <w:widowControl w:val="0"/>
              <w:jc w:val="center"/>
              <w:rPr>
                <w:b/>
              </w:rPr>
            </w:pPr>
            <w:r w:rsidRPr="00D85E09">
              <w:rPr>
                <w:b/>
              </w:rPr>
              <w:t>82 (76)</w:t>
            </w:r>
          </w:p>
        </w:tc>
        <w:tc>
          <w:tcPr>
            <w:tcW w:w="613" w:type="pct"/>
            <w:tcBorders>
              <w:top w:val="single" w:sz="4" w:space="0" w:color="000000"/>
              <w:left w:val="single" w:sz="4" w:space="0" w:color="000000"/>
              <w:bottom w:val="single" w:sz="4" w:space="0" w:color="000000"/>
              <w:right w:val="single" w:sz="4" w:space="0" w:color="000000"/>
            </w:tcBorders>
            <w:hideMark/>
          </w:tcPr>
          <w:p w14:paraId="4F14A63D" w14:textId="77777777" w:rsidR="006C3C67" w:rsidRPr="00D85E09" w:rsidRDefault="006C3C67" w:rsidP="0043316B">
            <w:pPr>
              <w:pStyle w:val="Tabletext"/>
              <w:keepNext w:val="0"/>
              <w:widowControl w:val="0"/>
              <w:jc w:val="center"/>
            </w:pPr>
            <w:r w:rsidRPr="00D85E09">
              <w:t>8 (50)</w:t>
            </w:r>
          </w:p>
        </w:tc>
        <w:tc>
          <w:tcPr>
            <w:tcW w:w="613" w:type="pct"/>
            <w:tcBorders>
              <w:top w:val="single" w:sz="4" w:space="0" w:color="000000"/>
              <w:left w:val="single" w:sz="4" w:space="0" w:color="000000"/>
              <w:bottom w:val="single" w:sz="4" w:space="0" w:color="000000"/>
              <w:right w:val="single" w:sz="4" w:space="0" w:color="000000"/>
            </w:tcBorders>
            <w:hideMark/>
          </w:tcPr>
          <w:p w14:paraId="663A5464" w14:textId="77777777" w:rsidR="006C3C67" w:rsidRPr="00D85E09" w:rsidRDefault="006C3C67" w:rsidP="0043316B">
            <w:pPr>
              <w:pStyle w:val="Tabletext"/>
              <w:keepNext w:val="0"/>
              <w:widowControl w:val="0"/>
              <w:jc w:val="center"/>
            </w:pPr>
            <w:r w:rsidRPr="00D85E09">
              <w:t>25 (66)</w:t>
            </w:r>
          </w:p>
        </w:tc>
        <w:tc>
          <w:tcPr>
            <w:tcW w:w="613" w:type="pct"/>
            <w:tcBorders>
              <w:top w:val="single" w:sz="4" w:space="0" w:color="000000"/>
              <w:left w:val="single" w:sz="4" w:space="0" w:color="000000"/>
              <w:bottom w:val="single" w:sz="4" w:space="0" w:color="000000"/>
              <w:right w:val="single" w:sz="4" w:space="0" w:color="000000"/>
            </w:tcBorders>
            <w:hideMark/>
          </w:tcPr>
          <w:p w14:paraId="66C45F2F" w14:textId="77777777" w:rsidR="006C3C67" w:rsidRPr="00D85E09" w:rsidRDefault="006C3C67" w:rsidP="0043316B">
            <w:pPr>
              <w:pStyle w:val="Tabletext"/>
              <w:keepNext w:val="0"/>
              <w:widowControl w:val="0"/>
              <w:jc w:val="center"/>
            </w:pPr>
            <w:r w:rsidRPr="00D85E09">
              <w:t>24 (83)</w:t>
            </w:r>
          </w:p>
        </w:tc>
        <w:tc>
          <w:tcPr>
            <w:tcW w:w="613" w:type="pct"/>
            <w:tcBorders>
              <w:top w:val="single" w:sz="4" w:space="0" w:color="000000"/>
              <w:left w:val="single" w:sz="4" w:space="0" w:color="000000"/>
              <w:bottom w:val="single" w:sz="4" w:space="0" w:color="000000"/>
              <w:right w:val="single" w:sz="4" w:space="0" w:color="000000"/>
            </w:tcBorders>
            <w:hideMark/>
          </w:tcPr>
          <w:p w14:paraId="16848CA2" w14:textId="77777777" w:rsidR="006C3C67" w:rsidRPr="00D85E09" w:rsidRDefault="006C3C67" w:rsidP="0043316B">
            <w:pPr>
              <w:pStyle w:val="Tabletext"/>
              <w:keepNext w:val="0"/>
              <w:widowControl w:val="0"/>
              <w:jc w:val="center"/>
            </w:pPr>
            <w:r w:rsidRPr="00D85E09">
              <w:t>8 (100)</w:t>
            </w:r>
          </w:p>
        </w:tc>
        <w:tc>
          <w:tcPr>
            <w:tcW w:w="613" w:type="pct"/>
            <w:tcBorders>
              <w:top w:val="single" w:sz="4" w:space="0" w:color="000000"/>
              <w:left w:val="single" w:sz="4" w:space="0" w:color="000000"/>
              <w:bottom w:val="single" w:sz="4" w:space="0" w:color="000000"/>
              <w:right w:val="single" w:sz="4" w:space="0" w:color="000000"/>
            </w:tcBorders>
            <w:hideMark/>
          </w:tcPr>
          <w:p w14:paraId="7613CE4F" w14:textId="77777777" w:rsidR="006C3C67" w:rsidRPr="00D85E09" w:rsidRDefault="006C3C67" w:rsidP="0043316B">
            <w:pPr>
              <w:pStyle w:val="Tabletext"/>
              <w:keepNext w:val="0"/>
              <w:widowControl w:val="0"/>
              <w:jc w:val="center"/>
            </w:pPr>
            <w:r w:rsidRPr="00D85E09">
              <w:t>17 (100)</w:t>
            </w:r>
          </w:p>
        </w:tc>
      </w:tr>
      <w:tr w:rsidR="006C3C67" w:rsidRPr="00D85E09" w14:paraId="00848BFF" w14:textId="77777777" w:rsidTr="009C64DD">
        <w:tc>
          <w:tcPr>
            <w:tcW w:w="1140" w:type="pct"/>
            <w:tcBorders>
              <w:top w:val="single" w:sz="4" w:space="0" w:color="000000"/>
              <w:left w:val="single" w:sz="4" w:space="0" w:color="000000"/>
              <w:bottom w:val="single" w:sz="4" w:space="0" w:color="000000"/>
              <w:right w:val="single" w:sz="4" w:space="0" w:color="000000"/>
            </w:tcBorders>
            <w:hideMark/>
          </w:tcPr>
          <w:p w14:paraId="25E1969A" w14:textId="77777777" w:rsidR="006C3C67" w:rsidRPr="00D85E09" w:rsidRDefault="006C3C67" w:rsidP="0043316B">
            <w:pPr>
              <w:pStyle w:val="Tabletext"/>
              <w:keepNext w:val="0"/>
              <w:widowControl w:val="0"/>
            </w:pPr>
            <w:r w:rsidRPr="00D85E09">
              <w:t xml:space="preserve">Median number of patients receiving thrombolysis in the last year from 82 hospitals offering thrombolysis n, (IQR) </w:t>
            </w:r>
          </w:p>
        </w:tc>
        <w:tc>
          <w:tcPr>
            <w:tcW w:w="794" w:type="pct"/>
            <w:tcBorders>
              <w:top w:val="single" w:sz="4" w:space="0" w:color="000000"/>
              <w:left w:val="single" w:sz="4" w:space="0" w:color="000000"/>
              <w:bottom w:val="single" w:sz="4" w:space="0" w:color="000000"/>
              <w:right w:val="single" w:sz="4" w:space="0" w:color="000000"/>
            </w:tcBorders>
            <w:hideMark/>
          </w:tcPr>
          <w:p w14:paraId="5A5B657D" w14:textId="77777777" w:rsidR="006C3C67" w:rsidRPr="00D85E09" w:rsidRDefault="006C3C67" w:rsidP="0043316B">
            <w:pPr>
              <w:pStyle w:val="Tabletext"/>
              <w:keepNext w:val="0"/>
              <w:widowControl w:val="0"/>
              <w:jc w:val="center"/>
              <w:rPr>
                <w:b/>
              </w:rPr>
            </w:pPr>
            <w:r w:rsidRPr="00D85E09">
              <w:rPr>
                <w:b/>
              </w:rPr>
              <w:t xml:space="preserve">14 patients (8–32) </w:t>
            </w:r>
          </w:p>
        </w:tc>
        <w:tc>
          <w:tcPr>
            <w:tcW w:w="613" w:type="pct"/>
            <w:tcBorders>
              <w:top w:val="single" w:sz="4" w:space="0" w:color="000000"/>
              <w:left w:val="single" w:sz="4" w:space="0" w:color="000000"/>
              <w:bottom w:val="single" w:sz="4" w:space="0" w:color="000000"/>
              <w:right w:val="single" w:sz="4" w:space="0" w:color="000000"/>
            </w:tcBorders>
            <w:hideMark/>
          </w:tcPr>
          <w:p w14:paraId="7F515A8D" w14:textId="77777777" w:rsidR="006C3C67" w:rsidRPr="00D85E09" w:rsidRDefault="006C3C67" w:rsidP="0043316B">
            <w:pPr>
              <w:pStyle w:val="Tabletext"/>
              <w:keepNext w:val="0"/>
              <w:widowControl w:val="0"/>
              <w:jc w:val="center"/>
            </w:pPr>
            <w:r w:rsidRPr="00D85E09">
              <w:t xml:space="preserve">3 patients (1–6) </w:t>
            </w:r>
          </w:p>
        </w:tc>
        <w:tc>
          <w:tcPr>
            <w:tcW w:w="613" w:type="pct"/>
            <w:tcBorders>
              <w:top w:val="single" w:sz="4" w:space="0" w:color="000000"/>
              <w:left w:val="single" w:sz="4" w:space="0" w:color="000000"/>
              <w:bottom w:val="single" w:sz="4" w:space="0" w:color="000000"/>
              <w:right w:val="single" w:sz="4" w:space="0" w:color="000000"/>
            </w:tcBorders>
            <w:hideMark/>
          </w:tcPr>
          <w:p w14:paraId="6F0BD3DF" w14:textId="77777777" w:rsidR="006C3C67" w:rsidRPr="00D85E09" w:rsidRDefault="006C3C67" w:rsidP="0043316B">
            <w:pPr>
              <w:pStyle w:val="Tabletext"/>
              <w:keepNext w:val="0"/>
              <w:widowControl w:val="0"/>
              <w:jc w:val="center"/>
            </w:pPr>
            <w:r w:rsidRPr="00D85E09">
              <w:t xml:space="preserve">8 patients (4–12) </w:t>
            </w:r>
          </w:p>
        </w:tc>
        <w:tc>
          <w:tcPr>
            <w:tcW w:w="613" w:type="pct"/>
            <w:tcBorders>
              <w:top w:val="single" w:sz="4" w:space="0" w:color="000000"/>
              <w:left w:val="single" w:sz="4" w:space="0" w:color="000000"/>
              <w:bottom w:val="single" w:sz="4" w:space="0" w:color="000000"/>
              <w:right w:val="single" w:sz="4" w:space="0" w:color="000000"/>
            </w:tcBorders>
            <w:hideMark/>
          </w:tcPr>
          <w:p w14:paraId="33CC0D92" w14:textId="77777777" w:rsidR="006C3C67" w:rsidRPr="00D85E09" w:rsidRDefault="006C3C67" w:rsidP="0043316B">
            <w:pPr>
              <w:pStyle w:val="Tabletext"/>
              <w:keepNext w:val="0"/>
              <w:widowControl w:val="0"/>
              <w:jc w:val="center"/>
            </w:pPr>
            <w:r w:rsidRPr="00D85E09">
              <w:t xml:space="preserve">14 patients (10–20) </w:t>
            </w:r>
          </w:p>
        </w:tc>
        <w:tc>
          <w:tcPr>
            <w:tcW w:w="613" w:type="pct"/>
            <w:tcBorders>
              <w:top w:val="single" w:sz="4" w:space="0" w:color="000000"/>
              <w:left w:val="single" w:sz="4" w:space="0" w:color="000000"/>
              <w:bottom w:val="single" w:sz="4" w:space="0" w:color="000000"/>
              <w:right w:val="single" w:sz="4" w:space="0" w:color="000000"/>
            </w:tcBorders>
            <w:hideMark/>
          </w:tcPr>
          <w:p w14:paraId="363161BF" w14:textId="77777777" w:rsidR="006C3C67" w:rsidRPr="00D85E09" w:rsidRDefault="006C3C67" w:rsidP="0043316B">
            <w:pPr>
              <w:pStyle w:val="Tabletext"/>
              <w:keepNext w:val="0"/>
              <w:widowControl w:val="0"/>
              <w:jc w:val="center"/>
            </w:pPr>
            <w:r w:rsidRPr="00D85E09">
              <w:t xml:space="preserve">43 patients (31–50) </w:t>
            </w:r>
          </w:p>
        </w:tc>
        <w:tc>
          <w:tcPr>
            <w:tcW w:w="613" w:type="pct"/>
            <w:tcBorders>
              <w:top w:val="single" w:sz="4" w:space="0" w:color="000000"/>
              <w:left w:val="single" w:sz="4" w:space="0" w:color="000000"/>
              <w:bottom w:val="single" w:sz="4" w:space="0" w:color="000000"/>
              <w:right w:val="single" w:sz="4" w:space="0" w:color="000000"/>
            </w:tcBorders>
            <w:hideMark/>
          </w:tcPr>
          <w:p w14:paraId="1F7FAFB6" w14:textId="77777777" w:rsidR="006C3C67" w:rsidRPr="00D85E09" w:rsidRDefault="006C3C67" w:rsidP="0043316B">
            <w:pPr>
              <w:pStyle w:val="Tabletext"/>
              <w:keepNext w:val="0"/>
              <w:widowControl w:val="0"/>
              <w:jc w:val="center"/>
            </w:pPr>
            <w:r w:rsidRPr="00D85E09">
              <w:t xml:space="preserve">52 patients (33–73) </w:t>
            </w:r>
          </w:p>
        </w:tc>
      </w:tr>
    </w:tbl>
    <w:p w14:paraId="77FB75EC" w14:textId="77777777" w:rsidR="006C3C67" w:rsidRPr="00D85E09" w:rsidRDefault="006C3C67" w:rsidP="0043316B">
      <w:pPr>
        <w:pStyle w:val="Tablefootnote"/>
        <w:widowControl w:val="0"/>
        <w:rPr>
          <w:lang w:val="en-AU"/>
        </w:rPr>
      </w:pPr>
      <w:r w:rsidRPr="00D85E09">
        <w:rPr>
          <w:lang w:val="en-AU"/>
        </w:rPr>
        <w:t>Source: National Stroke Foundation 2015</w:t>
      </w:r>
    </w:p>
    <w:p w14:paraId="04E7D919" w14:textId="77777777" w:rsidR="006C3C67" w:rsidRPr="00D85E09" w:rsidRDefault="006C3C67" w:rsidP="0043316B">
      <w:pPr>
        <w:widowControl w:val="0"/>
      </w:pPr>
    </w:p>
    <w:p w14:paraId="4D80448F" w14:textId="77777777" w:rsidR="006C3C67" w:rsidRPr="00D85E09" w:rsidRDefault="006C3C67" w:rsidP="0043316B">
      <w:pPr>
        <w:widowControl w:val="0"/>
        <w:spacing w:after="0"/>
        <w:sectPr w:rsidR="006C3C67" w:rsidRPr="00D85E09">
          <w:pgSz w:w="16838" w:h="11906" w:orient="landscape"/>
          <w:pgMar w:top="1417" w:right="1417" w:bottom="1417" w:left="1134" w:header="708" w:footer="708" w:gutter="0"/>
          <w:cols w:space="720"/>
        </w:sectPr>
      </w:pPr>
    </w:p>
    <w:p w14:paraId="4CD30FCB" w14:textId="3CF4AADC" w:rsidR="006C3C67" w:rsidRPr="00D85E09" w:rsidRDefault="006C3C67" w:rsidP="0043316B">
      <w:pPr>
        <w:pStyle w:val="Heading5"/>
        <w:widowControl w:val="0"/>
        <w:rPr>
          <w:lang w:val="en-AU"/>
        </w:rPr>
      </w:pPr>
      <w:r w:rsidRPr="00D85E09">
        <w:rPr>
          <w:lang w:val="en-AU"/>
        </w:rPr>
        <w:lastRenderedPageBreak/>
        <w:t>Private centres currently equipped to provide mechanical thrombectomy and expected future uptake</w:t>
      </w:r>
    </w:p>
    <w:p w14:paraId="5811C386" w14:textId="77777777" w:rsidR="006C3C67" w:rsidRPr="00D85E09" w:rsidRDefault="006C3C67" w:rsidP="0043316B">
      <w:pPr>
        <w:widowControl w:val="0"/>
      </w:pPr>
      <w:r w:rsidRPr="00D85E09">
        <w:t>The Applicant is aware of six private centres currently equipped and able to provide MT services in Australia.</w:t>
      </w:r>
    </w:p>
    <w:p w14:paraId="3C86D148" w14:textId="11794C46" w:rsidR="006C3C67" w:rsidRPr="00D85E09" w:rsidRDefault="006C3C67" w:rsidP="0043316B">
      <w:pPr>
        <w:widowControl w:val="0"/>
      </w:pPr>
      <w:r w:rsidRPr="00D85E09">
        <w:t>Each centre is understood to be performing on average 10 procedures each year. A successful listing of MT service on the MBS would likely increase the caseload capacity but the uptake is expected to be very gradual given the infrastructure / technical / staffing requirements associated with the procedure.</w:t>
      </w:r>
      <w:bookmarkStart w:id="620" w:name="_Toc358731929"/>
      <w:bookmarkStart w:id="621" w:name="_Toc273301514"/>
      <w:bookmarkStart w:id="622" w:name="_Toc258501804"/>
    </w:p>
    <w:p w14:paraId="1B179CB0" w14:textId="79770B95" w:rsidR="006C3C67" w:rsidRPr="00D85E09" w:rsidRDefault="006C3C67" w:rsidP="0043316B">
      <w:pPr>
        <w:widowControl w:val="0"/>
        <w:rPr>
          <w:i/>
        </w:rPr>
      </w:pPr>
      <w:r w:rsidRPr="00D85E09">
        <w:rPr>
          <w:i/>
        </w:rPr>
        <w:t>The following analysis will assume that 10 private centres will be offering the service by Year 5. Each centre is assumed to provide an average of 15 procedures each year. An alternative “high uptake” scenario is also presented, where there are 15 centres, each performing 20 procedures each year by Year 5.</w:t>
      </w:r>
    </w:p>
    <w:p w14:paraId="2371A826" w14:textId="77777777" w:rsidR="006C3C67" w:rsidRPr="00D85E09" w:rsidRDefault="006C3C67" w:rsidP="0043316B">
      <w:pPr>
        <w:widowControl w:val="0"/>
        <w:rPr>
          <w:i/>
        </w:rPr>
      </w:pPr>
    </w:p>
    <w:p w14:paraId="73E2C422" w14:textId="77777777" w:rsidR="006C3C67" w:rsidRPr="00D85E09" w:rsidRDefault="006C3C67" w:rsidP="0043316B">
      <w:pPr>
        <w:pStyle w:val="Heading2"/>
        <w:widowControl w:val="0"/>
        <w:numPr>
          <w:ilvl w:val="1"/>
          <w:numId w:val="32"/>
        </w:numPr>
        <w:ind w:left="851" w:hanging="851"/>
        <w:rPr>
          <w:lang w:val="en-AU"/>
        </w:rPr>
      </w:pPr>
      <w:bookmarkStart w:id="623" w:name="_Ref368652487"/>
      <w:bookmarkStart w:id="624" w:name="_Toc453065329"/>
      <w:r w:rsidRPr="00D85E09">
        <w:rPr>
          <w:lang w:val="en-AU"/>
        </w:rPr>
        <w:t xml:space="preserve">Estimation of use and costs of </w:t>
      </w:r>
      <w:bookmarkEnd w:id="620"/>
      <w:bookmarkEnd w:id="621"/>
      <w:bookmarkEnd w:id="622"/>
      <w:bookmarkEnd w:id="623"/>
      <w:r w:rsidRPr="00D85E09">
        <w:rPr>
          <w:lang w:val="en-AU"/>
        </w:rPr>
        <w:t>the proposed medical service</w:t>
      </w:r>
      <w:bookmarkEnd w:id="624"/>
    </w:p>
    <w:p w14:paraId="5D8B2F08" w14:textId="0EC371E8" w:rsidR="006C3C67" w:rsidRPr="00D85E09" w:rsidRDefault="006C3C67" w:rsidP="0043316B">
      <w:pPr>
        <w:pStyle w:val="Heading3"/>
        <w:keepNext w:val="0"/>
        <w:widowControl w:val="0"/>
        <w:numPr>
          <w:ilvl w:val="2"/>
          <w:numId w:val="32"/>
        </w:numPr>
        <w:rPr>
          <w:lang w:val="en-AU"/>
        </w:rPr>
      </w:pPr>
      <w:bookmarkStart w:id="625" w:name="_Toc400475648"/>
      <w:bookmarkStart w:id="626" w:name="_Toc453065330"/>
      <w:r w:rsidRPr="00D85E09">
        <w:rPr>
          <w:lang w:val="en-AU"/>
        </w:rPr>
        <w:t>Caseload capacity to perform MT procedures in Australia</w:t>
      </w:r>
      <w:bookmarkEnd w:id="625"/>
      <w:bookmarkEnd w:id="626"/>
    </w:p>
    <w:p w14:paraId="3F98284A" w14:textId="07701A7F" w:rsidR="006C3C67" w:rsidRPr="00D85E09" w:rsidRDefault="006C3C67" w:rsidP="0043316B">
      <w:pPr>
        <w:widowControl w:val="0"/>
      </w:pPr>
      <w:r w:rsidRPr="00D85E09">
        <w:t xml:space="preserve">Section </w:t>
      </w:r>
      <w:r w:rsidRPr="00D85E09">
        <w:fldChar w:fldCharType="begin"/>
      </w:r>
      <w:r w:rsidRPr="00D85E09">
        <w:instrText xml:space="preserve"> REF _Ref450557128 \r \h </w:instrText>
      </w:r>
      <w:r w:rsidRPr="00D85E09">
        <w:fldChar w:fldCharType="separate"/>
      </w:r>
      <w:r w:rsidR="00A456ED">
        <w:t>E.1.3</w:t>
      </w:r>
      <w:r w:rsidRPr="00D85E09">
        <w:fldChar w:fldCharType="end"/>
      </w:r>
      <w:r w:rsidRPr="00D85E09">
        <w:t xml:space="preserve"> discussed that there are currently six private centres performing MT in Australia, with each centre treating roughly 10 patients each year. This means that 60 procedures are currently provided at these private centres in total.</w:t>
      </w:r>
    </w:p>
    <w:p w14:paraId="4B4E6551" w14:textId="620B9FBF" w:rsidR="006C3C67" w:rsidRPr="00D85E09" w:rsidRDefault="006C3C67" w:rsidP="0043316B">
      <w:pPr>
        <w:widowControl w:val="0"/>
      </w:pPr>
      <w:r w:rsidRPr="00D85E09">
        <w:fldChar w:fldCharType="begin"/>
      </w:r>
      <w:r w:rsidRPr="00D85E09">
        <w:instrText xml:space="preserve"> REF _Ref399503288 \h  \* MERGEFORMAT </w:instrText>
      </w:r>
      <w:r w:rsidRPr="00D85E09">
        <w:fldChar w:fldCharType="separate"/>
      </w:r>
      <w:r w:rsidR="00A456ED" w:rsidRPr="00D85E09">
        <w:t xml:space="preserve">Table </w:t>
      </w:r>
      <w:r w:rsidR="00A456ED">
        <w:t>106</w:t>
      </w:r>
      <w:r w:rsidRPr="00D85E09">
        <w:fldChar w:fldCharType="end"/>
      </w:r>
      <w:r w:rsidRPr="00D85E09">
        <w:t xml:space="preserve"> presents the current and anticipated caseload capacity for MT in Australia. As a base case analysis, the Applicant expects that up to 10 private centres would be equipped to deliver MT services over time, and with the MBS funding each centre would be providing 15 procedures each year.</w:t>
      </w:r>
    </w:p>
    <w:p w14:paraId="1991A460" w14:textId="796405C8" w:rsidR="006C3C67" w:rsidRPr="00D85E09" w:rsidRDefault="006C3C67" w:rsidP="0043316B">
      <w:pPr>
        <w:pStyle w:val="Caption"/>
        <w:keepNext w:val="0"/>
        <w:widowControl w:val="0"/>
        <w:rPr>
          <w:lang w:val="en-AU"/>
        </w:rPr>
      </w:pPr>
      <w:bookmarkStart w:id="627" w:name="_Ref399503288"/>
      <w:bookmarkStart w:id="628" w:name="_Toc399945204"/>
      <w:bookmarkStart w:id="629" w:name="_Toc400475813"/>
      <w:bookmarkStart w:id="630" w:name="_Toc453065442"/>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106</w:t>
      </w:r>
      <w:r w:rsidRPr="00D85E09">
        <w:rPr>
          <w:lang w:val="en-AU"/>
        </w:rPr>
        <w:fldChar w:fldCharType="end"/>
      </w:r>
      <w:bookmarkEnd w:id="627"/>
      <w:r w:rsidRPr="00D85E09">
        <w:rPr>
          <w:lang w:val="en-AU"/>
        </w:rPr>
        <w:tab/>
        <w:t>Number of MT procedures performed at private centres in Australia</w:t>
      </w:r>
      <w:bookmarkEnd w:id="628"/>
      <w:bookmarkEnd w:id="629"/>
      <w:bookmarkEnd w:id="630"/>
    </w:p>
    <w:tbl>
      <w:tblPr>
        <w:tblStyle w:val="TableGrid"/>
        <w:tblW w:w="5000" w:type="pct"/>
        <w:tblLook w:val="04A0" w:firstRow="1" w:lastRow="0" w:firstColumn="1" w:lastColumn="0" w:noHBand="0" w:noVBand="1"/>
        <w:tblDescription w:val="Table 106 Number of MT procedures performed at private centres in Australia"/>
      </w:tblPr>
      <w:tblGrid>
        <w:gridCol w:w="3547"/>
        <w:gridCol w:w="1819"/>
        <w:gridCol w:w="1819"/>
        <w:gridCol w:w="1819"/>
      </w:tblGrid>
      <w:tr w:rsidR="006C3C67" w:rsidRPr="00D85E09" w14:paraId="66B1BA4E" w14:textId="77777777" w:rsidTr="00BE6331">
        <w:trPr>
          <w:tblHeader/>
        </w:trPr>
        <w:tc>
          <w:tcPr>
            <w:tcW w:w="1970" w:type="pct"/>
            <w:tcBorders>
              <w:top w:val="single" w:sz="4" w:space="0" w:color="auto"/>
              <w:left w:val="single" w:sz="4" w:space="0" w:color="auto"/>
              <w:bottom w:val="single" w:sz="4" w:space="0" w:color="auto"/>
              <w:right w:val="single" w:sz="4" w:space="0" w:color="auto"/>
            </w:tcBorders>
            <w:hideMark/>
          </w:tcPr>
          <w:p w14:paraId="035BC973" w14:textId="77777777" w:rsidR="006C3C67" w:rsidRPr="00D85E09" w:rsidRDefault="006C3C67" w:rsidP="0043316B">
            <w:pPr>
              <w:pStyle w:val="Tabletext"/>
              <w:keepNext w:val="0"/>
              <w:widowControl w:val="0"/>
              <w:rPr>
                <w:b/>
              </w:rPr>
            </w:pPr>
            <w:r w:rsidRPr="00D85E09">
              <w:rPr>
                <w:b/>
              </w:rPr>
              <w:t>Caseload scenarios</w:t>
            </w:r>
          </w:p>
        </w:tc>
        <w:tc>
          <w:tcPr>
            <w:tcW w:w="1010" w:type="pct"/>
            <w:tcBorders>
              <w:top w:val="single" w:sz="4" w:space="0" w:color="auto"/>
              <w:left w:val="single" w:sz="4" w:space="0" w:color="auto"/>
              <w:bottom w:val="single" w:sz="4" w:space="0" w:color="auto"/>
              <w:right w:val="single" w:sz="4" w:space="0" w:color="auto"/>
            </w:tcBorders>
            <w:hideMark/>
          </w:tcPr>
          <w:p w14:paraId="734BFAB2" w14:textId="77777777" w:rsidR="006C3C67" w:rsidRPr="00D85E09" w:rsidRDefault="006C3C67" w:rsidP="0043316B">
            <w:pPr>
              <w:pStyle w:val="Tabletext"/>
              <w:keepNext w:val="0"/>
              <w:widowControl w:val="0"/>
              <w:jc w:val="center"/>
              <w:rPr>
                <w:b/>
              </w:rPr>
            </w:pPr>
            <w:r w:rsidRPr="00D85E09">
              <w:rPr>
                <w:b/>
              </w:rPr>
              <w:t>Current</w:t>
            </w:r>
          </w:p>
        </w:tc>
        <w:tc>
          <w:tcPr>
            <w:tcW w:w="1010" w:type="pct"/>
            <w:tcBorders>
              <w:top w:val="single" w:sz="4" w:space="0" w:color="auto"/>
              <w:left w:val="single" w:sz="4" w:space="0" w:color="auto"/>
              <w:bottom w:val="single" w:sz="4" w:space="0" w:color="auto"/>
              <w:right w:val="single" w:sz="4" w:space="0" w:color="auto"/>
            </w:tcBorders>
            <w:hideMark/>
          </w:tcPr>
          <w:p w14:paraId="44DD682A" w14:textId="77777777" w:rsidR="006C3C67" w:rsidRPr="00D85E09" w:rsidRDefault="006C3C67" w:rsidP="0043316B">
            <w:pPr>
              <w:pStyle w:val="Tabletext"/>
              <w:keepNext w:val="0"/>
              <w:widowControl w:val="0"/>
              <w:jc w:val="center"/>
              <w:rPr>
                <w:b/>
              </w:rPr>
            </w:pPr>
            <w:r w:rsidRPr="00D85E09">
              <w:rPr>
                <w:b/>
              </w:rPr>
              <w:t>Base case scenario, by Year 5</w:t>
            </w:r>
          </w:p>
        </w:tc>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F1E381" w14:textId="77777777" w:rsidR="006C3C67" w:rsidRPr="00D85E09" w:rsidRDefault="006C3C67" w:rsidP="0043316B">
            <w:pPr>
              <w:pStyle w:val="Tabletext"/>
              <w:keepNext w:val="0"/>
              <w:widowControl w:val="0"/>
              <w:jc w:val="center"/>
              <w:rPr>
                <w:b/>
              </w:rPr>
            </w:pPr>
            <w:r w:rsidRPr="00D85E09">
              <w:rPr>
                <w:b/>
              </w:rPr>
              <w:t>High uptake scenario, by Year 5</w:t>
            </w:r>
          </w:p>
        </w:tc>
      </w:tr>
      <w:tr w:rsidR="006C3C67" w:rsidRPr="00D85E09" w14:paraId="0CF61AA8" w14:textId="77777777" w:rsidTr="009C64DD">
        <w:tc>
          <w:tcPr>
            <w:tcW w:w="1970" w:type="pct"/>
            <w:tcBorders>
              <w:top w:val="single" w:sz="4" w:space="0" w:color="auto"/>
              <w:left w:val="single" w:sz="4" w:space="0" w:color="auto"/>
              <w:bottom w:val="single" w:sz="4" w:space="0" w:color="auto"/>
              <w:right w:val="single" w:sz="4" w:space="0" w:color="auto"/>
            </w:tcBorders>
            <w:hideMark/>
          </w:tcPr>
          <w:p w14:paraId="4B4538A6" w14:textId="77777777" w:rsidR="006C3C67" w:rsidRPr="00D85E09" w:rsidRDefault="006C3C67" w:rsidP="0043316B">
            <w:pPr>
              <w:pStyle w:val="Tabletext"/>
              <w:keepNext w:val="0"/>
              <w:widowControl w:val="0"/>
            </w:pPr>
            <w:r w:rsidRPr="00D85E09">
              <w:t>Facilities equipped with MT capacity</w:t>
            </w:r>
          </w:p>
        </w:tc>
        <w:tc>
          <w:tcPr>
            <w:tcW w:w="1010" w:type="pct"/>
            <w:tcBorders>
              <w:top w:val="single" w:sz="4" w:space="0" w:color="auto"/>
              <w:left w:val="single" w:sz="4" w:space="0" w:color="auto"/>
              <w:bottom w:val="single" w:sz="4" w:space="0" w:color="auto"/>
              <w:right w:val="single" w:sz="4" w:space="0" w:color="auto"/>
            </w:tcBorders>
          </w:tcPr>
          <w:p w14:paraId="399B0AE0" w14:textId="77777777" w:rsidR="006C3C67" w:rsidRPr="00D85E09" w:rsidRDefault="006C3C67" w:rsidP="0043316B">
            <w:pPr>
              <w:pStyle w:val="Tabletext"/>
              <w:keepNext w:val="0"/>
              <w:widowControl w:val="0"/>
              <w:jc w:val="center"/>
            </w:pPr>
            <w:r w:rsidRPr="00D85E09">
              <w:t>6</w:t>
            </w:r>
          </w:p>
        </w:tc>
        <w:tc>
          <w:tcPr>
            <w:tcW w:w="1010" w:type="pct"/>
            <w:tcBorders>
              <w:top w:val="single" w:sz="4" w:space="0" w:color="auto"/>
              <w:left w:val="single" w:sz="4" w:space="0" w:color="auto"/>
              <w:bottom w:val="single" w:sz="4" w:space="0" w:color="auto"/>
              <w:right w:val="single" w:sz="4" w:space="0" w:color="auto"/>
            </w:tcBorders>
          </w:tcPr>
          <w:p w14:paraId="0BFD13A9" w14:textId="77777777" w:rsidR="006C3C67" w:rsidRPr="00D85E09" w:rsidRDefault="006C3C67" w:rsidP="0043316B">
            <w:pPr>
              <w:pStyle w:val="Tabletext"/>
              <w:keepNext w:val="0"/>
              <w:widowControl w:val="0"/>
              <w:jc w:val="center"/>
            </w:pPr>
            <w:r w:rsidRPr="00D85E09">
              <w:t>10</w:t>
            </w:r>
          </w:p>
        </w:tc>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E7FD89" w14:textId="77777777" w:rsidR="006C3C67" w:rsidRPr="00D85E09" w:rsidRDefault="006C3C67" w:rsidP="0043316B">
            <w:pPr>
              <w:pStyle w:val="Tabletext"/>
              <w:keepNext w:val="0"/>
              <w:widowControl w:val="0"/>
              <w:jc w:val="center"/>
            </w:pPr>
            <w:r w:rsidRPr="00D85E09">
              <w:t>15</w:t>
            </w:r>
          </w:p>
        </w:tc>
      </w:tr>
      <w:tr w:rsidR="006C3C67" w:rsidRPr="00D85E09" w14:paraId="0E8A534F" w14:textId="77777777" w:rsidTr="009C64DD">
        <w:tc>
          <w:tcPr>
            <w:tcW w:w="1970" w:type="pct"/>
            <w:tcBorders>
              <w:top w:val="single" w:sz="4" w:space="0" w:color="auto"/>
              <w:left w:val="single" w:sz="4" w:space="0" w:color="auto"/>
              <w:bottom w:val="single" w:sz="4" w:space="0" w:color="auto"/>
              <w:right w:val="single" w:sz="4" w:space="0" w:color="auto"/>
            </w:tcBorders>
            <w:hideMark/>
          </w:tcPr>
          <w:p w14:paraId="5869671C" w14:textId="77777777" w:rsidR="006C3C67" w:rsidRPr="00D85E09" w:rsidRDefault="006C3C67" w:rsidP="0043316B">
            <w:pPr>
              <w:pStyle w:val="Tabletext"/>
              <w:keepNext w:val="0"/>
              <w:widowControl w:val="0"/>
            </w:pPr>
            <w:r w:rsidRPr="00D85E09">
              <w:t>Number of procedures per facility</w:t>
            </w:r>
          </w:p>
        </w:tc>
        <w:tc>
          <w:tcPr>
            <w:tcW w:w="1010" w:type="pct"/>
            <w:tcBorders>
              <w:top w:val="single" w:sz="4" w:space="0" w:color="auto"/>
              <w:left w:val="single" w:sz="4" w:space="0" w:color="auto"/>
              <w:bottom w:val="single" w:sz="4" w:space="0" w:color="auto"/>
              <w:right w:val="single" w:sz="4" w:space="0" w:color="auto"/>
            </w:tcBorders>
          </w:tcPr>
          <w:p w14:paraId="5EA59355" w14:textId="77777777" w:rsidR="006C3C67" w:rsidRPr="00D85E09" w:rsidRDefault="006C3C67" w:rsidP="0043316B">
            <w:pPr>
              <w:pStyle w:val="Tabletext"/>
              <w:keepNext w:val="0"/>
              <w:widowControl w:val="0"/>
              <w:jc w:val="center"/>
            </w:pPr>
            <w:r w:rsidRPr="00D85E09">
              <w:t>10</w:t>
            </w:r>
          </w:p>
        </w:tc>
        <w:tc>
          <w:tcPr>
            <w:tcW w:w="1010" w:type="pct"/>
            <w:tcBorders>
              <w:top w:val="single" w:sz="4" w:space="0" w:color="auto"/>
              <w:left w:val="single" w:sz="4" w:space="0" w:color="auto"/>
              <w:bottom w:val="single" w:sz="4" w:space="0" w:color="auto"/>
              <w:right w:val="single" w:sz="4" w:space="0" w:color="auto"/>
            </w:tcBorders>
          </w:tcPr>
          <w:p w14:paraId="11120EE1" w14:textId="77777777" w:rsidR="006C3C67" w:rsidRPr="00D85E09" w:rsidRDefault="006C3C67" w:rsidP="0043316B">
            <w:pPr>
              <w:pStyle w:val="Tabletext"/>
              <w:keepNext w:val="0"/>
              <w:widowControl w:val="0"/>
              <w:jc w:val="center"/>
            </w:pPr>
            <w:r w:rsidRPr="00D85E09">
              <w:t>15</w:t>
            </w:r>
          </w:p>
        </w:tc>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D18FE6" w14:textId="77777777" w:rsidR="006C3C67" w:rsidRPr="00D85E09" w:rsidRDefault="006C3C67" w:rsidP="0043316B">
            <w:pPr>
              <w:pStyle w:val="Tabletext"/>
              <w:keepNext w:val="0"/>
              <w:widowControl w:val="0"/>
              <w:jc w:val="center"/>
            </w:pPr>
            <w:r w:rsidRPr="00D85E09">
              <w:t>20</w:t>
            </w:r>
          </w:p>
        </w:tc>
      </w:tr>
      <w:tr w:rsidR="006C3C67" w:rsidRPr="00D85E09" w14:paraId="3089F769" w14:textId="77777777" w:rsidTr="009C64DD">
        <w:tc>
          <w:tcPr>
            <w:tcW w:w="1970" w:type="pct"/>
            <w:tcBorders>
              <w:top w:val="single" w:sz="4" w:space="0" w:color="auto"/>
              <w:left w:val="single" w:sz="4" w:space="0" w:color="auto"/>
              <w:bottom w:val="single" w:sz="4" w:space="0" w:color="auto"/>
              <w:right w:val="single" w:sz="4" w:space="0" w:color="auto"/>
            </w:tcBorders>
            <w:hideMark/>
          </w:tcPr>
          <w:p w14:paraId="6BAAAEC6" w14:textId="77777777" w:rsidR="006C3C67" w:rsidRPr="00D85E09" w:rsidRDefault="006C3C67" w:rsidP="0043316B">
            <w:pPr>
              <w:pStyle w:val="Tabletext"/>
              <w:keepNext w:val="0"/>
              <w:widowControl w:val="0"/>
            </w:pPr>
            <w:r w:rsidRPr="00D85E09">
              <w:t xml:space="preserve">Total procedures per year </w:t>
            </w:r>
          </w:p>
        </w:tc>
        <w:tc>
          <w:tcPr>
            <w:tcW w:w="1010" w:type="pct"/>
            <w:tcBorders>
              <w:top w:val="single" w:sz="4" w:space="0" w:color="auto"/>
              <w:left w:val="single" w:sz="4" w:space="0" w:color="auto"/>
              <w:bottom w:val="single" w:sz="4" w:space="0" w:color="auto"/>
              <w:right w:val="single" w:sz="4" w:space="0" w:color="auto"/>
            </w:tcBorders>
          </w:tcPr>
          <w:p w14:paraId="0DFFE129" w14:textId="77777777" w:rsidR="006C3C67" w:rsidRPr="00D85E09" w:rsidRDefault="006C3C67" w:rsidP="0043316B">
            <w:pPr>
              <w:pStyle w:val="Tabletext"/>
              <w:keepNext w:val="0"/>
              <w:widowControl w:val="0"/>
              <w:jc w:val="center"/>
            </w:pPr>
            <w:r w:rsidRPr="00D85E09">
              <w:t>60</w:t>
            </w:r>
          </w:p>
        </w:tc>
        <w:tc>
          <w:tcPr>
            <w:tcW w:w="1010" w:type="pct"/>
            <w:tcBorders>
              <w:top w:val="single" w:sz="4" w:space="0" w:color="auto"/>
              <w:left w:val="single" w:sz="4" w:space="0" w:color="auto"/>
              <w:bottom w:val="single" w:sz="4" w:space="0" w:color="auto"/>
              <w:right w:val="single" w:sz="4" w:space="0" w:color="auto"/>
            </w:tcBorders>
          </w:tcPr>
          <w:p w14:paraId="2C6DA5DB" w14:textId="77777777" w:rsidR="006C3C67" w:rsidRPr="00D85E09" w:rsidRDefault="006C3C67" w:rsidP="0043316B">
            <w:pPr>
              <w:pStyle w:val="Tabletext"/>
              <w:keepNext w:val="0"/>
              <w:widowControl w:val="0"/>
              <w:jc w:val="center"/>
            </w:pPr>
            <w:r w:rsidRPr="00D85E09">
              <w:t>150</w:t>
            </w:r>
          </w:p>
        </w:tc>
        <w:tc>
          <w:tcPr>
            <w:tcW w:w="101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092BC" w14:textId="77777777" w:rsidR="006C3C67" w:rsidRPr="00D85E09" w:rsidRDefault="006C3C67" w:rsidP="0043316B">
            <w:pPr>
              <w:pStyle w:val="Tabletext"/>
              <w:keepNext w:val="0"/>
              <w:widowControl w:val="0"/>
              <w:jc w:val="center"/>
            </w:pPr>
            <w:r w:rsidRPr="00D85E09">
              <w:t>300</w:t>
            </w:r>
          </w:p>
        </w:tc>
      </w:tr>
    </w:tbl>
    <w:p w14:paraId="37E54B11" w14:textId="03A10A93" w:rsidR="006C3C67" w:rsidRPr="00D85E09" w:rsidRDefault="006C3C67" w:rsidP="0043316B">
      <w:pPr>
        <w:pStyle w:val="TableNotes1"/>
        <w:keepNext w:val="0"/>
        <w:keepLines w:val="0"/>
        <w:widowControl w:val="0"/>
      </w:pPr>
      <w:r w:rsidRPr="00D85E09">
        <w:t>Note: See full calculation detail</w:t>
      </w:r>
      <w:r w:rsidR="00474DEB" w:rsidRPr="00D85E09">
        <w:t>s in the attached spreadsheet (“MT MSAC June 2016 Section E.xlsx”</w:t>
      </w:r>
      <w:r w:rsidRPr="00D85E09">
        <w:t>)</w:t>
      </w:r>
    </w:p>
    <w:p w14:paraId="727D8F6F" w14:textId="77777777" w:rsidR="006C3C67" w:rsidRPr="00D85E09" w:rsidRDefault="006C3C67" w:rsidP="0043316B">
      <w:pPr>
        <w:widowControl w:val="0"/>
      </w:pPr>
    </w:p>
    <w:p w14:paraId="55F4815F" w14:textId="1EE5841B" w:rsidR="006C3C67" w:rsidRPr="00D85E09" w:rsidRDefault="006C3C67" w:rsidP="0043316B">
      <w:pPr>
        <w:widowControl w:val="0"/>
      </w:pPr>
      <w:r w:rsidRPr="00D85E09">
        <w:t xml:space="preserve">An alternative ‘uptake’ scenarios are also considered, as shown in </w:t>
      </w:r>
      <w:r w:rsidRPr="00D85E09">
        <w:fldChar w:fldCharType="begin"/>
      </w:r>
      <w:r w:rsidRPr="00D85E09">
        <w:instrText xml:space="preserve"> REF _Ref399503288 \h  \* MERGEFORMAT </w:instrText>
      </w:r>
      <w:r w:rsidRPr="00D85E09">
        <w:fldChar w:fldCharType="separate"/>
      </w:r>
      <w:r w:rsidR="00A456ED" w:rsidRPr="00D85E09">
        <w:t xml:space="preserve">Table </w:t>
      </w:r>
      <w:r w:rsidR="00A456ED">
        <w:t>106</w:t>
      </w:r>
      <w:r w:rsidRPr="00D85E09">
        <w:fldChar w:fldCharType="end"/>
      </w:r>
      <w:r w:rsidRPr="00D85E09">
        <w:t xml:space="preserve">. This scenario should be considered as conservative from the perspective of the MSAC (i.e., </w:t>
      </w:r>
      <w:r w:rsidRPr="00D85E09">
        <w:lastRenderedPageBreak/>
        <w:t xml:space="preserve">overestimation) The </w:t>
      </w:r>
      <w:r w:rsidR="0070191F" w:rsidRPr="00D85E09">
        <w:t>A</w:t>
      </w:r>
      <w:r w:rsidRPr="00D85E09">
        <w:t>pplicant notes that if MT is added on the MBS, the uptake will be gradual because all centres are required to have adequate infrastructure to perform MT. The high uptake scenarios would be informative for the purpose of this submission, but will most likely be overestimation of MT uptake in practice.</w:t>
      </w:r>
    </w:p>
    <w:p w14:paraId="2013F0A8" w14:textId="280444EE" w:rsidR="006C3C67" w:rsidRPr="00D85E09" w:rsidRDefault="006C3C67" w:rsidP="0043316B">
      <w:pPr>
        <w:widowControl w:val="0"/>
      </w:pPr>
      <w:r w:rsidRPr="00D85E09">
        <w:t xml:space="preserve">By assuming a linear growth in the MT caseload capacity from the current level, the total number of MT procedures performed at private centres in Year 1 – Year 5 of listing under the three alternative caseload scenarios can be determined, as shown in </w:t>
      </w:r>
      <w:r w:rsidRPr="00D85E09">
        <w:fldChar w:fldCharType="begin"/>
      </w:r>
      <w:r w:rsidRPr="00D85E09">
        <w:instrText xml:space="preserve"> REF _Ref399507921 \h  \* MERGEFORMAT </w:instrText>
      </w:r>
      <w:r w:rsidRPr="00D85E09">
        <w:fldChar w:fldCharType="separate"/>
      </w:r>
      <w:r w:rsidR="00A456ED" w:rsidRPr="00D85E09">
        <w:t xml:space="preserve">Table </w:t>
      </w:r>
      <w:r w:rsidR="00A456ED">
        <w:t>107</w:t>
      </w:r>
      <w:r w:rsidRPr="00D85E09">
        <w:fldChar w:fldCharType="end"/>
      </w:r>
      <w:r w:rsidRPr="00D85E09">
        <w:t xml:space="preserve"> below.</w:t>
      </w:r>
    </w:p>
    <w:p w14:paraId="38041A06" w14:textId="6B659BE0" w:rsidR="006C3C67" w:rsidRPr="00D85E09" w:rsidRDefault="006C3C67" w:rsidP="0043316B">
      <w:pPr>
        <w:pStyle w:val="Caption"/>
        <w:keepNext w:val="0"/>
        <w:widowControl w:val="0"/>
        <w:rPr>
          <w:lang w:val="en-AU"/>
        </w:rPr>
      </w:pPr>
      <w:bookmarkStart w:id="631" w:name="_Ref399507921"/>
      <w:bookmarkStart w:id="632" w:name="_Toc399945205"/>
      <w:bookmarkStart w:id="633" w:name="_Toc400475814"/>
      <w:bookmarkStart w:id="634" w:name="_Toc453065443"/>
      <w:r w:rsidRPr="00D85E09">
        <w:rPr>
          <w:lang w:val="en-AU"/>
        </w:rPr>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107</w:t>
      </w:r>
      <w:r w:rsidRPr="00D85E09">
        <w:rPr>
          <w:lang w:val="en-AU"/>
        </w:rPr>
        <w:fldChar w:fldCharType="end"/>
      </w:r>
      <w:bookmarkEnd w:id="631"/>
      <w:r w:rsidRPr="00D85E09">
        <w:rPr>
          <w:lang w:val="en-AU"/>
        </w:rPr>
        <w:tab/>
        <w:t>Number of MT procedures performed at private centres in Australia, Year 1 to Year 5 based on the linear growth assumption from the current caseload</w:t>
      </w:r>
      <w:bookmarkEnd w:id="632"/>
      <w:bookmarkEnd w:id="633"/>
      <w:bookmarkEnd w:id="634"/>
    </w:p>
    <w:tbl>
      <w:tblPr>
        <w:tblStyle w:val="TableGrid"/>
        <w:tblW w:w="5000" w:type="pct"/>
        <w:tblLook w:val="04A0" w:firstRow="1" w:lastRow="0" w:firstColumn="1" w:lastColumn="0" w:noHBand="0" w:noVBand="1"/>
        <w:tblDescription w:val="Number of MT procedures performed at private centres in Australia, Year 1 to Year 5 based on the linear growth assumption from the current caseload"/>
      </w:tblPr>
      <w:tblGrid>
        <w:gridCol w:w="2289"/>
        <w:gridCol w:w="1120"/>
        <w:gridCol w:w="1120"/>
        <w:gridCol w:w="1120"/>
        <w:gridCol w:w="1120"/>
        <w:gridCol w:w="1120"/>
        <w:gridCol w:w="1115"/>
      </w:tblGrid>
      <w:tr w:rsidR="006C3C67" w:rsidRPr="00D85E09" w14:paraId="5249B344" w14:textId="77777777" w:rsidTr="00BE6331">
        <w:trPr>
          <w:tblHeader/>
        </w:trPr>
        <w:tc>
          <w:tcPr>
            <w:tcW w:w="1271" w:type="pct"/>
            <w:tcBorders>
              <w:top w:val="single" w:sz="4" w:space="0" w:color="auto"/>
              <w:left w:val="single" w:sz="4" w:space="0" w:color="auto"/>
              <w:bottom w:val="single" w:sz="4" w:space="0" w:color="auto"/>
              <w:right w:val="single" w:sz="4" w:space="0" w:color="auto"/>
            </w:tcBorders>
            <w:shd w:val="clear" w:color="auto" w:fill="auto"/>
            <w:hideMark/>
          </w:tcPr>
          <w:p w14:paraId="10672C7A" w14:textId="77777777" w:rsidR="006C3C67" w:rsidRPr="00D85E09" w:rsidRDefault="006C3C67" w:rsidP="0043316B">
            <w:pPr>
              <w:pStyle w:val="Tabletext"/>
              <w:keepNext w:val="0"/>
              <w:widowControl w:val="0"/>
              <w:rPr>
                <w:b/>
              </w:rPr>
            </w:pPr>
            <w:r w:rsidRPr="00D85E09">
              <w:rPr>
                <w:b/>
              </w:rPr>
              <w:t>Caseload scenarios</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6122050F" w14:textId="77777777" w:rsidR="006C3C67" w:rsidRPr="00D85E09" w:rsidRDefault="006C3C67" w:rsidP="0043316B">
            <w:pPr>
              <w:pStyle w:val="Tabletext"/>
              <w:keepNext w:val="0"/>
              <w:widowControl w:val="0"/>
              <w:jc w:val="center"/>
              <w:rPr>
                <w:b/>
              </w:rPr>
            </w:pPr>
            <w:r w:rsidRPr="00D85E09">
              <w:rPr>
                <w:b/>
              </w:rPr>
              <w:t>Current</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7128E7E3" w14:textId="77777777" w:rsidR="006C3C67" w:rsidRPr="00D85E09" w:rsidRDefault="006C3C67" w:rsidP="0043316B">
            <w:pPr>
              <w:pStyle w:val="Tabletext"/>
              <w:keepNext w:val="0"/>
              <w:widowControl w:val="0"/>
              <w:jc w:val="center"/>
              <w:rPr>
                <w:b/>
              </w:rPr>
            </w:pPr>
            <w:r w:rsidRPr="00D85E09">
              <w:rPr>
                <w:b/>
              </w:rPr>
              <w:t>Year 1</w:t>
            </w:r>
          </w:p>
          <w:p w14:paraId="4954EEB1" w14:textId="77777777" w:rsidR="006C3C67" w:rsidRPr="00D85E09" w:rsidRDefault="006C3C67" w:rsidP="0043316B">
            <w:pPr>
              <w:pStyle w:val="Tabletext"/>
              <w:keepNext w:val="0"/>
              <w:widowControl w:val="0"/>
              <w:jc w:val="center"/>
              <w:rPr>
                <w:b/>
              </w:rPr>
            </w:pPr>
            <w:r w:rsidRPr="00D85E09">
              <w:rPr>
                <w:b/>
              </w:rPr>
              <w:t>(2017)</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5A55E69F" w14:textId="77777777" w:rsidR="006C3C67" w:rsidRPr="00D85E09" w:rsidRDefault="006C3C67" w:rsidP="0043316B">
            <w:pPr>
              <w:pStyle w:val="Tabletext"/>
              <w:keepNext w:val="0"/>
              <w:widowControl w:val="0"/>
              <w:jc w:val="center"/>
              <w:rPr>
                <w:b/>
              </w:rPr>
            </w:pPr>
            <w:r w:rsidRPr="00D85E09">
              <w:rPr>
                <w:b/>
              </w:rPr>
              <w:t>Year 2</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2C7D584D" w14:textId="77777777" w:rsidR="006C3C67" w:rsidRPr="00D85E09" w:rsidRDefault="006C3C67" w:rsidP="0043316B">
            <w:pPr>
              <w:pStyle w:val="Tabletext"/>
              <w:keepNext w:val="0"/>
              <w:widowControl w:val="0"/>
              <w:jc w:val="center"/>
              <w:rPr>
                <w:b/>
              </w:rPr>
            </w:pPr>
            <w:r w:rsidRPr="00D85E09">
              <w:rPr>
                <w:b/>
              </w:rPr>
              <w:t>Year 3</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5FB14315" w14:textId="77777777" w:rsidR="006C3C67" w:rsidRPr="00D85E09" w:rsidRDefault="006C3C67" w:rsidP="0043316B">
            <w:pPr>
              <w:pStyle w:val="Tabletext"/>
              <w:keepNext w:val="0"/>
              <w:widowControl w:val="0"/>
              <w:jc w:val="center"/>
              <w:rPr>
                <w:b/>
              </w:rPr>
            </w:pPr>
            <w:r w:rsidRPr="00D85E09">
              <w:rPr>
                <w:b/>
              </w:rPr>
              <w:t>Year 4</w:t>
            </w:r>
          </w:p>
        </w:tc>
        <w:tc>
          <w:tcPr>
            <w:tcW w:w="619" w:type="pct"/>
            <w:tcBorders>
              <w:top w:val="single" w:sz="4" w:space="0" w:color="auto"/>
              <w:left w:val="single" w:sz="4" w:space="0" w:color="auto"/>
              <w:bottom w:val="single" w:sz="4" w:space="0" w:color="auto"/>
              <w:right w:val="single" w:sz="4" w:space="0" w:color="auto"/>
            </w:tcBorders>
            <w:shd w:val="clear" w:color="auto" w:fill="auto"/>
            <w:hideMark/>
          </w:tcPr>
          <w:p w14:paraId="2E6776EA" w14:textId="21848814" w:rsidR="006C3C67" w:rsidRPr="00D85E09" w:rsidRDefault="006C3C67" w:rsidP="0043316B">
            <w:pPr>
              <w:pStyle w:val="Tabletext"/>
              <w:keepNext w:val="0"/>
              <w:widowControl w:val="0"/>
              <w:jc w:val="center"/>
              <w:rPr>
                <w:b/>
              </w:rPr>
            </w:pPr>
            <w:r w:rsidRPr="00D85E09">
              <w:rPr>
                <w:b/>
              </w:rPr>
              <w:t xml:space="preserve">Year 5 (see </w:t>
            </w:r>
            <w:r w:rsidRPr="00D85E09">
              <w:rPr>
                <w:b/>
              </w:rPr>
              <w:fldChar w:fldCharType="begin"/>
            </w:r>
            <w:r w:rsidRPr="00D85E09">
              <w:rPr>
                <w:b/>
              </w:rPr>
              <w:instrText xml:space="preserve"> REF _Ref399503288 \h  \* MERGEFORMAT </w:instrText>
            </w:r>
            <w:r w:rsidRPr="00D85E09">
              <w:rPr>
                <w:b/>
              </w:rPr>
            </w:r>
            <w:r w:rsidRPr="00D85E09">
              <w:rPr>
                <w:b/>
              </w:rPr>
              <w:fldChar w:fldCharType="separate"/>
            </w:r>
            <w:r w:rsidR="00A456ED" w:rsidRPr="00A456ED">
              <w:rPr>
                <w:b/>
              </w:rPr>
              <w:t>Table 106</w:t>
            </w:r>
            <w:r w:rsidRPr="00D85E09">
              <w:rPr>
                <w:b/>
              </w:rPr>
              <w:fldChar w:fldCharType="end"/>
            </w:r>
            <w:r w:rsidRPr="00D85E09">
              <w:rPr>
                <w:b/>
              </w:rPr>
              <w:t xml:space="preserve"> above)</w:t>
            </w:r>
          </w:p>
        </w:tc>
      </w:tr>
      <w:tr w:rsidR="006C3C67" w:rsidRPr="00D85E09" w14:paraId="72BB53BD" w14:textId="77777777" w:rsidTr="009C64DD">
        <w:tc>
          <w:tcPr>
            <w:tcW w:w="5000" w:type="pct"/>
            <w:gridSpan w:val="7"/>
            <w:tcBorders>
              <w:top w:val="single" w:sz="4" w:space="0" w:color="auto"/>
              <w:left w:val="single" w:sz="4" w:space="0" w:color="auto"/>
              <w:bottom w:val="single" w:sz="4" w:space="0" w:color="auto"/>
              <w:right w:val="single" w:sz="4" w:space="0" w:color="auto"/>
            </w:tcBorders>
            <w:hideMark/>
          </w:tcPr>
          <w:p w14:paraId="706F23BF" w14:textId="77777777" w:rsidR="006C3C67" w:rsidRPr="00D85E09" w:rsidRDefault="006C3C67" w:rsidP="0043316B">
            <w:pPr>
              <w:pStyle w:val="Tabletext"/>
              <w:keepNext w:val="0"/>
              <w:widowControl w:val="0"/>
            </w:pPr>
            <w:r w:rsidRPr="00D85E09">
              <w:t>Current (or no MBS listing)</w:t>
            </w:r>
          </w:p>
        </w:tc>
      </w:tr>
      <w:tr w:rsidR="006C3C67" w:rsidRPr="00D85E09" w14:paraId="32C4F226" w14:textId="77777777" w:rsidTr="009C64DD">
        <w:tc>
          <w:tcPr>
            <w:tcW w:w="1271" w:type="pct"/>
            <w:tcBorders>
              <w:top w:val="single" w:sz="4" w:space="0" w:color="auto"/>
              <w:left w:val="single" w:sz="4" w:space="0" w:color="auto"/>
              <w:bottom w:val="single" w:sz="4" w:space="0" w:color="auto"/>
              <w:right w:val="single" w:sz="4" w:space="0" w:color="auto"/>
            </w:tcBorders>
            <w:hideMark/>
          </w:tcPr>
          <w:p w14:paraId="17887585" w14:textId="77777777" w:rsidR="006C3C67" w:rsidRPr="00D85E09" w:rsidRDefault="006C3C67" w:rsidP="0043316B">
            <w:pPr>
              <w:pStyle w:val="Tabletext"/>
              <w:keepNext w:val="0"/>
              <w:widowControl w:val="0"/>
            </w:pPr>
            <w:r w:rsidRPr="00D85E09">
              <w:t xml:space="preserve">Total procedures per year </w:t>
            </w:r>
          </w:p>
        </w:tc>
        <w:tc>
          <w:tcPr>
            <w:tcW w:w="622" w:type="pct"/>
            <w:tcBorders>
              <w:top w:val="single" w:sz="4" w:space="0" w:color="auto"/>
              <w:left w:val="single" w:sz="4" w:space="0" w:color="auto"/>
              <w:bottom w:val="single" w:sz="4" w:space="0" w:color="auto"/>
              <w:right w:val="single" w:sz="4" w:space="0" w:color="auto"/>
            </w:tcBorders>
          </w:tcPr>
          <w:p w14:paraId="69112C88" w14:textId="77777777" w:rsidR="006C3C67" w:rsidRPr="00D85E09" w:rsidRDefault="006C3C67" w:rsidP="0043316B">
            <w:pPr>
              <w:pStyle w:val="Tabletext"/>
              <w:keepNext w:val="0"/>
              <w:widowControl w:val="0"/>
            </w:pPr>
            <w:r w:rsidRPr="00D85E09">
              <w:t>60</w:t>
            </w:r>
          </w:p>
        </w:tc>
        <w:tc>
          <w:tcPr>
            <w:tcW w:w="622" w:type="pct"/>
            <w:tcBorders>
              <w:top w:val="single" w:sz="4" w:space="0" w:color="auto"/>
              <w:left w:val="single" w:sz="4" w:space="0" w:color="auto"/>
              <w:bottom w:val="single" w:sz="4" w:space="0" w:color="auto"/>
              <w:right w:val="single" w:sz="4" w:space="0" w:color="auto"/>
            </w:tcBorders>
          </w:tcPr>
          <w:p w14:paraId="52E6469B" w14:textId="77777777" w:rsidR="006C3C67" w:rsidRPr="00D85E09" w:rsidRDefault="006C3C67" w:rsidP="0043316B">
            <w:pPr>
              <w:pStyle w:val="Tabletext"/>
              <w:keepNext w:val="0"/>
              <w:widowControl w:val="0"/>
            </w:pPr>
            <w:r w:rsidRPr="00D85E09">
              <w:t>60</w:t>
            </w:r>
          </w:p>
        </w:tc>
        <w:tc>
          <w:tcPr>
            <w:tcW w:w="622" w:type="pct"/>
            <w:tcBorders>
              <w:top w:val="single" w:sz="4" w:space="0" w:color="auto"/>
              <w:left w:val="single" w:sz="4" w:space="0" w:color="auto"/>
              <w:bottom w:val="single" w:sz="4" w:space="0" w:color="auto"/>
              <w:right w:val="single" w:sz="4" w:space="0" w:color="auto"/>
            </w:tcBorders>
          </w:tcPr>
          <w:p w14:paraId="672F830B" w14:textId="77777777" w:rsidR="006C3C67" w:rsidRPr="00D85E09" w:rsidRDefault="006C3C67" w:rsidP="0043316B">
            <w:pPr>
              <w:pStyle w:val="Tabletext"/>
              <w:keepNext w:val="0"/>
              <w:widowControl w:val="0"/>
            </w:pPr>
            <w:r w:rsidRPr="00D85E09">
              <w:t>60</w:t>
            </w:r>
          </w:p>
        </w:tc>
        <w:tc>
          <w:tcPr>
            <w:tcW w:w="622" w:type="pct"/>
            <w:tcBorders>
              <w:top w:val="single" w:sz="4" w:space="0" w:color="auto"/>
              <w:left w:val="single" w:sz="4" w:space="0" w:color="auto"/>
              <w:bottom w:val="single" w:sz="4" w:space="0" w:color="auto"/>
              <w:right w:val="single" w:sz="4" w:space="0" w:color="auto"/>
            </w:tcBorders>
          </w:tcPr>
          <w:p w14:paraId="24C33BED" w14:textId="77777777" w:rsidR="006C3C67" w:rsidRPr="00D85E09" w:rsidRDefault="006C3C67" w:rsidP="0043316B">
            <w:pPr>
              <w:pStyle w:val="Tabletext"/>
              <w:keepNext w:val="0"/>
              <w:widowControl w:val="0"/>
            </w:pPr>
            <w:r w:rsidRPr="00D85E09">
              <w:t>60</w:t>
            </w:r>
          </w:p>
        </w:tc>
        <w:tc>
          <w:tcPr>
            <w:tcW w:w="622" w:type="pct"/>
            <w:tcBorders>
              <w:top w:val="single" w:sz="4" w:space="0" w:color="auto"/>
              <w:left w:val="single" w:sz="4" w:space="0" w:color="auto"/>
              <w:bottom w:val="single" w:sz="4" w:space="0" w:color="auto"/>
              <w:right w:val="single" w:sz="4" w:space="0" w:color="auto"/>
            </w:tcBorders>
          </w:tcPr>
          <w:p w14:paraId="70DEC165" w14:textId="77777777" w:rsidR="006C3C67" w:rsidRPr="00D85E09" w:rsidRDefault="006C3C67" w:rsidP="0043316B">
            <w:pPr>
              <w:pStyle w:val="Tabletext"/>
              <w:keepNext w:val="0"/>
              <w:widowControl w:val="0"/>
            </w:pPr>
            <w:r w:rsidRPr="00D85E09">
              <w:t>60</w:t>
            </w:r>
          </w:p>
        </w:tc>
        <w:tc>
          <w:tcPr>
            <w:tcW w:w="619" w:type="pct"/>
            <w:tcBorders>
              <w:top w:val="single" w:sz="4" w:space="0" w:color="auto"/>
              <w:left w:val="single" w:sz="4" w:space="0" w:color="auto"/>
              <w:bottom w:val="single" w:sz="4" w:space="0" w:color="auto"/>
              <w:right w:val="single" w:sz="4" w:space="0" w:color="auto"/>
            </w:tcBorders>
          </w:tcPr>
          <w:p w14:paraId="2CAE38C7" w14:textId="77777777" w:rsidR="006C3C67" w:rsidRPr="00D85E09" w:rsidRDefault="006C3C67" w:rsidP="0043316B">
            <w:pPr>
              <w:pStyle w:val="Tabletext"/>
              <w:keepNext w:val="0"/>
              <w:widowControl w:val="0"/>
            </w:pPr>
            <w:r w:rsidRPr="00D85E09">
              <w:t>60</w:t>
            </w:r>
          </w:p>
        </w:tc>
      </w:tr>
      <w:tr w:rsidR="006C3C67" w:rsidRPr="00D85E09" w14:paraId="03EC9FD0" w14:textId="77777777" w:rsidTr="009C64DD">
        <w:tc>
          <w:tcPr>
            <w:tcW w:w="5000" w:type="pct"/>
            <w:gridSpan w:val="7"/>
            <w:tcBorders>
              <w:top w:val="single" w:sz="4" w:space="0" w:color="auto"/>
              <w:left w:val="single" w:sz="4" w:space="0" w:color="auto"/>
              <w:bottom w:val="single" w:sz="4" w:space="0" w:color="auto"/>
              <w:right w:val="single" w:sz="4" w:space="0" w:color="auto"/>
            </w:tcBorders>
            <w:hideMark/>
          </w:tcPr>
          <w:p w14:paraId="488A7D10" w14:textId="77777777" w:rsidR="006C3C67" w:rsidRPr="00D85E09" w:rsidRDefault="006C3C67" w:rsidP="0043316B">
            <w:pPr>
              <w:pStyle w:val="Tabletext"/>
              <w:keepNext w:val="0"/>
              <w:widowControl w:val="0"/>
            </w:pPr>
            <w:r w:rsidRPr="00D85E09">
              <w:t xml:space="preserve">Base case scenario </w:t>
            </w:r>
          </w:p>
        </w:tc>
      </w:tr>
      <w:tr w:rsidR="006C3C67" w:rsidRPr="00D85E09" w14:paraId="346DB12E" w14:textId="77777777" w:rsidTr="009C64DD">
        <w:tc>
          <w:tcPr>
            <w:tcW w:w="1271" w:type="pct"/>
            <w:tcBorders>
              <w:top w:val="single" w:sz="4" w:space="0" w:color="auto"/>
              <w:left w:val="single" w:sz="4" w:space="0" w:color="auto"/>
              <w:bottom w:val="single" w:sz="4" w:space="0" w:color="auto"/>
              <w:right w:val="single" w:sz="4" w:space="0" w:color="auto"/>
            </w:tcBorders>
            <w:hideMark/>
          </w:tcPr>
          <w:p w14:paraId="27BBAF9A" w14:textId="77777777" w:rsidR="006C3C67" w:rsidRPr="00D85E09" w:rsidRDefault="006C3C67" w:rsidP="0043316B">
            <w:pPr>
              <w:pStyle w:val="Tabletext"/>
              <w:keepNext w:val="0"/>
              <w:widowControl w:val="0"/>
            </w:pPr>
            <w:r w:rsidRPr="00D85E09">
              <w:t xml:space="preserve">Total procedures per year </w:t>
            </w:r>
          </w:p>
        </w:tc>
        <w:tc>
          <w:tcPr>
            <w:tcW w:w="622" w:type="pct"/>
            <w:tcBorders>
              <w:top w:val="single" w:sz="4" w:space="0" w:color="auto"/>
              <w:left w:val="single" w:sz="4" w:space="0" w:color="auto"/>
              <w:bottom w:val="single" w:sz="4" w:space="0" w:color="auto"/>
              <w:right w:val="single" w:sz="4" w:space="0" w:color="auto"/>
            </w:tcBorders>
          </w:tcPr>
          <w:p w14:paraId="664C73E5" w14:textId="77777777" w:rsidR="006C3C67" w:rsidRPr="00D85E09" w:rsidRDefault="006C3C67" w:rsidP="0043316B">
            <w:pPr>
              <w:pStyle w:val="Tabletext"/>
              <w:keepNext w:val="0"/>
              <w:widowControl w:val="0"/>
            </w:pPr>
            <w:r w:rsidRPr="00D85E09">
              <w:t>60</w:t>
            </w:r>
          </w:p>
        </w:tc>
        <w:tc>
          <w:tcPr>
            <w:tcW w:w="622" w:type="pct"/>
            <w:tcBorders>
              <w:top w:val="single" w:sz="4" w:space="0" w:color="auto"/>
              <w:left w:val="single" w:sz="4" w:space="0" w:color="auto"/>
              <w:bottom w:val="single" w:sz="4" w:space="0" w:color="auto"/>
              <w:right w:val="single" w:sz="4" w:space="0" w:color="auto"/>
            </w:tcBorders>
          </w:tcPr>
          <w:p w14:paraId="1E0706F0" w14:textId="77777777" w:rsidR="006C3C67" w:rsidRPr="00D85E09" w:rsidRDefault="006C3C67" w:rsidP="0043316B">
            <w:pPr>
              <w:pStyle w:val="Tabletext"/>
              <w:keepNext w:val="0"/>
              <w:widowControl w:val="0"/>
            </w:pPr>
            <w:r w:rsidRPr="00D85E09">
              <w:t>78</w:t>
            </w:r>
          </w:p>
        </w:tc>
        <w:tc>
          <w:tcPr>
            <w:tcW w:w="622" w:type="pct"/>
            <w:tcBorders>
              <w:top w:val="single" w:sz="4" w:space="0" w:color="auto"/>
              <w:left w:val="single" w:sz="4" w:space="0" w:color="auto"/>
              <w:bottom w:val="single" w:sz="4" w:space="0" w:color="auto"/>
              <w:right w:val="single" w:sz="4" w:space="0" w:color="auto"/>
            </w:tcBorders>
          </w:tcPr>
          <w:p w14:paraId="0EA1EA80" w14:textId="77777777" w:rsidR="006C3C67" w:rsidRPr="00D85E09" w:rsidRDefault="006C3C67" w:rsidP="0043316B">
            <w:pPr>
              <w:pStyle w:val="Tabletext"/>
              <w:keepNext w:val="0"/>
              <w:widowControl w:val="0"/>
            </w:pPr>
            <w:r w:rsidRPr="00D85E09">
              <w:t>96</w:t>
            </w:r>
          </w:p>
        </w:tc>
        <w:tc>
          <w:tcPr>
            <w:tcW w:w="622" w:type="pct"/>
            <w:tcBorders>
              <w:top w:val="single" w:sz="4" w:space="0" w:color="auto"/>
              <w:left w:val="single" w:sz="4" w:space="0" w:color="auto"/>
              <w:bottom w:val="single" w:sz="4" w:space="0" w:color="auto"/>
              <w:right w:val="single" w:sz="4" w:space="0" w:color="auto"/>
            </w:tcBorders>
          </w:tcPr>
          <w:p w14:paraId="74ADE4A6" w14:textId="77777777" w:rsidR="006C3C67" w:rsidRPr="00D85E09" w:rsidRDefault="006C3C67" w:rsidP="0043316B">
            <w:pPr>
              <w:pStyle w:val="Tabletext"/>
              <w:keepNext w:val="0"/>
              <w:widowControl w:val="0"/>
            </w:pPr>
            <w:r w:rsidRPr="00D85E09">
              <w:t>114</w:t>
            </w:r>
          </w:p>
        </w:tc>
        <w:tc>
          <w:tcPr>
            <w:tcW w:w="622" w:type="pct"/>
            <w:tcBorders>
              <w:top w:val="single" w:sz="4" w:space="0" w:color="auto"/>
              <w:left w:val="single" w:sz="4" w:space="0" w:color="auto"/>
              <w:bottom w:val="single" w:sz="4" w:space="0" w:color="auto"/>
              <w:right w:val="single" w:sz="4" w:space="0" w:color="auto"/>
            </w:tcBorders>
          </w:tcPr>
          <w:p w14:paraId="4E299E54" w14:textId="77777777" w:rsidR="006C3C67" w:rsidRPr="00D85E09" w:rsidRDefault="006C3C67" w:rsidP="0043316B">
            <w:pPr>
              <w:pStyle w:val="Tabletext"/>
              <w:keepNext w:val="0"/>
              <w:widowControl w:val="0"/>
            </w:pPr>
            <w:r w:rsidRPr="00D85E09">
              <w:t>132</w:t>
            </w:r>
          </w:p>
        </w:tc>
        <w:tc>
          <w:tcPr>
            <w:tcW w:w="619" w:type="pct"/>
            <w:tcBorders>
              <w:top w:val="single" w:sz="4" w:space="0" w:color="auto"/>
              <w:left w:val="single" w:sz="4" w:space="0" w:color="auto"/>
              <w:bottom w:val="single" w:sz="4" w:space="0" w:color="auto"/>
              <w:right w:val="single" w:sz="4" w:space="0" w:color="auto"/>
            </w:tcBorders>
          </w:tcPr>
          <w:p w14:paraId="2DABD741" w14:textId="77777777" w:rsidR="006C3C67" w:rsidRPr="00D85E09" w:rsidRDefault="006C3C67" w:rsidP="0043316B">
            <w:pPr>
              <w:pStyle w:val="Tabletext"/>
              <w:keepNext w:val="0"/>
              <w:widowControl w:val="0"/>
            </w:pPr>
            <w:r w:rsidRPr="00D85E09">
              <w:t>150</w:t>
            </w:r>
          </w:p>
        </w:tc>
      </w:tr>
      <w:tr w:rsidR="006C3C67" w:rsidRPr="00D85E09" w14:paraId="129445D0" w14:textId="77777777" w:rsidTr="009C64DD">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330002" w14:textId="77777777" w:rsidR="006C3C67" w:rsidRPr="00D85E09" w:rsidRDefault="006C3C67" w:rsidP="0043316B">
            <w:pPr>
              <w:pStyle w:val="Tabletext"/>
              <w:keepNext w:val="0"/>
              <w:widowControl w:val="0"/>
            </w:pPr>
            <w:r w:rsidRPr="00D85E09">
              <w:t>High uptake scenario</w:t>
            </w:r>
          </w:p>
        </w:tc>
      </w:tr>
      <w:tr w:rsidR="006C3C67" w:rsidRPr="00D85E09" w14:paraId="447CAF63" w14:textId="77777777" w:rsidTr="009C64DD">
        <w:tc>
          <w:tcPr>
            <w:tcW w:w="12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47046B" w14:textId="77777777" w:rsidR="006C3C67" w:rsidRPr="00D85E09" w:rsidRDefault="006C3C67" w:rsidP="0043316B">
            <w:pPr>
              <w:pStyle w:val="Tabletext"/>
              <w:keepNext w:val="0"/>
              <w:widowControl w:val="0"/>
            </w:pPr>
            <w:r w:rsidRPr="00D85E09">
              <w:t xml:space="preserve">Total procedures per year </w:t>
            </w: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815E22" w14:textId="77777777" w:rsidR="006C3C67" w:rsidRPr="00D85E09" w:rsidRDefault="006C3C67" w:rsidP="0043316B">
            <w:pPr>
              <w:pStyle w:val="Tabletext"/>
              <w:keepNext w:val="0"/>
              <w:widowControl w:val="0"/>
            </w:pPr>
            <w:r w:rsidRPr="00D85E09">
              <w:t>60</w:t>
            </w: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04E8FC" w14:textId="77777777" w:rsidR="006C3C67" w:rsidRPr="00D85E09" w:rsidRDefault="006C3C67" w:rsidP="0043316B">
            <w:pPr>
              <w:pStyle w:val="Tabletext"/>
              <w:keepNext w:val="0"/>
              <w:widowControl w:val="0"/>
            </w:pPr>
            <w:r w:rsidRPr="00D85E09">
              <w:t>108</w:t>
            </w: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6AF2F2" w14:textId="77777777" w:rsidR="006C3C67" w:rsidRPr="00D85E09" w:rsidRDefault="006C3C67" w:rsidP="0043316B">
            <w:pPr>
              <w:pStyle w:val="Tabletext"/>
              <w:keepNext w:val="0"/>
              <w:widowControl w:val="0"/>
            </w:pPr>
            <w:r w:rsidRPr="00D85E09">
              <w:t>156</w:t>
            </w: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7213A" w14:textId="77777777" w:rsidR="006C3C67" w:rsidRPr="00D85E09" w:rsidRDefault="006C3C67" w:rsidP="0043316B">
            <w:pPr>
              <w:pStyle w:val="Tabletext"/>
              <w:keepNext w:val="0"/>
              <w:widowControl w:val="0"/>
            </w:pPr>
            <w:r w:rsidRPr="00D85E09">
              <w:t>204</w:t>
            </w:r>
          </w:p>
        </w:tc>
        <w:tc>
          <w:tcPr>
            <w:tcW w:w="6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29CD0" w14:textId="77777777" w:rsidR="006C3C67" w:rsidRPr="00D85E09" w:rsidRDefault="006C3C67" w:rsidP="0043316B">
            <w:pPr>
              <w:pStyle w:val="Tabletext"/>
              <w:keepNext w:val="0"/>
              <w:widowControl w:val="0"/>
            </w:pPr>
            <w:r w:rsidRPr="00D85E09">
              <w:t>252</w:t>
            </w:r>
          </w:p>
        </w:tc>
        <w:tc>
          <w:tcPr>
            <w:tcW w:w="6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06C33C" w14:textId="77777777" w:rsidR="006C3C67" w:rsidRPr="00D85E09" w:rsidRDefault="006C3C67" w:rsidP="0043316B">
            <w:pPr>
              <w:pStyle w:val="Tabletext"/>
              <w:keepNext w:val="0"/>
              <w:widowControl w:val="0"/>
            </w:pPr>
            <w:r w:rsidRPr="00D85E09">
              <w:t>300</w:t>
            </w:r>
          </w:p>
        </w:tc>
      </w:tr>
    </w:tbl>
    <w:p w14:paraId="7E613397" w14:textId="2908E563" w:rsidR="006C3C67" w:rsidRPr="00D85E09" w:rsidRDefault="006C3C67" w:rsidP="0043316B">
      <w:pPr>
        <w:pStyle w:val="TableNotes1"/>
        <w:keepNext w:val="0"/>
        <w:keepLines w:val="0"/>
        <w:widowControl w:val="0"/>
      </w:pPr>
      <w:r w:rsidRPr="00D85E09">
        <w:t>Note: See full calculation detail</w:t>
      </w:r>
      <w:r w:rsidR="00474DEB" w:rsidRPr="00D85E09">
        <w:t>s in the attached spreadsheet (“MT MSAC June 2016 Section E.xlsx”</w:t>
      </w:r>
      <w:r w:rsidRPr="00D85E09">
        <w:t>)</w:t>
      </w:r>
    </w:p>
    <w:p w14:paraId="720524C2" w14:textId="77777777" w:rsidR="006C3C67" w:rsidRPr="00D85E09" w:rsidRDefault="006C3C67" w:rsidP="0043316B">
      <w:pPr>
        <w:pStyle w:val="TableNotes1"/>
        <w:keepNext w:val="0"/>
        <w:keepLines w:val="0"/>
        <w:widowControl w:val="0"/>
      </w:pPr>
    </w:p>
    <w:p w14:paraId="4A601EE3" w14:textId="77777777" w:rsidR="006C3C67" w:rsidRPr="00D85E09" w:rsidRDefault="006C3C67" w:rsidP="0043316B">
      <w:pPr>
        <w:widowControl w:val="0"/>
      </w:pPr>
    </w:p>
    <w:p w14:paraId="648DC068" w14:textId="77777777" w:rsidR="006C3C67" w:rsidRPr="00D85E09" w:rsidRDefault="006C3C67" w:rsidP="0043316B">
      <w:pPr>
        <w:pStyle w:val="Heading3"/>
        <w:keepNext w:val="0"/>
        <w:widowControl w:val="0"/>
        <w:numPr>
          <w:ilvl w:val="2"/>
          <w:numId w:val="32"/>
        </w:numPr>
        <w:rPr>
          <w:lang w:val="en-AU"/>
        </w:rPr>
      </w:pPr>
      <w:bookmarkStart w:id="635" w:name="_Toc400475649"/>
      <w:bookmarkStart w:id="636" w:name="_Toc453065331"/>
      <w:r w:rsidRPr="00D85E09">
        <w:rPr>
          <w:lang w:val="en-AU"/>
        </w:rPr>
        <w:t>Estimated costs of MT to the MB</w:t>
      </w:r>
      <w:bookmarkEnd w:id="635"/>
      <w:r w:rsidRPr="00D85E09">
        <w:rPr>
          <w:lang w:val="en-AU"/>
        </w:rPr>
        <w:t>S</w:t>
      </w:r>
      <w:bookmarkEnd w:id="636"/>
    </w:p>
    <w:p w14:paraId="2D1B3CBC" w14:textId="3F459E81" w:rsidR="006C3C67" w:rsidRPr="00D85E09" w:rsidRDefault="006C3C67" w:rsidP="0043316B">
      <w:pPr>
        <w:widowControl w:val="0"/>
      </w:pPr>
      <w:r w:rsidRPr="00D85E09">
        <w:t>Section C.4 has discussed and justified that the proposed MBS fee for MT is $3,500 at full benefit or $2,625 at 75% benefit amount.</w:t>
      </w:r>
    </w:p>
    <w:p w14:paraId="08F5C1CE" w14:textId="4111C4C8" w:rsidR="00C13682" w:rsidRDefault="006C3C67" w:rsidP="0043316B">
      <w:pPr>
        <w:widowControl w:val="0"/>
      </w:pPr>
      <w:r w:rsidRPr="00D85E09">
        <w:t xml:space="preserve">It is estimated that the MBS costs of the proposed item would be $204,750 in Year 1, increasing to approximately $393,750 in Year 5 under the base case caseload scenario (at 75% benefit amount). Cost estimates under the alternative caseload scenario under consideration are summarised in </w:t>
      </w:r>
      <w:r w:rsidRPr="00D85E09">
        <w:fldChar w:fldCharType="begin"/>
      </w:r>
      <w:r w:rsidRPr="00D85E09">
        <w:instrText xml:space="preserve"> REF _Ref399508605 \h  \* MERGEFORMAT </w:instrText>
      </w:r>
      <w:r w:rsidRPr="00D85E09">
        <w:fldChar w:fldCharType="separate"/>
      </w:r>
      <w:r w:rsidR="00A456ED" w:rsidRPr="00D85E09">
        <w:t xml:space="preserve">Table </w:t>
      </w:r>
      <w:r w:rsidR="00A456ED">
        <w:t>108</w:t>
      </w:r>
      <w:r w:rsidRPr="00D85E09">
        <w:fldChar w:fldCharType="end"/>
      </w:r>
      <w:r w:rsidRPr="00D85E09">
        <w:t>.</w:t>
      </w:r>
      <w:r w:rsidR="00C13682">
        <w:br w:type="page"/>
      </w:r>
    </w:p>
    <w:p w14:paraId="5718B694" w14:textId="23FEB26B" w:rsidR="006C3C67" w:rsidRPr="00D85E09" w:rsidRDefault="006C3C67" w:rsidP="0043316B">
      <w:pPr>
        <w:pStyle w:val="Caption"/>
        <w:keepNext w:val="0"/>
        <w:widowControl w:val="0"/>
        <w:rPr>
          <w:lang w:val="en-AU"/>
        </w:rPr>
      </w:pPr>
      <w:bookmarkStart w:id="637" w:name="_Ref399508605"/>
      <w:bookmarkStart w:id="638" w:name="_Toc399945206"/>
      <w:bookmarkStart w:id="639" w:name="_Toc400475815"/>
      <w:bookmarkStart w:id="640" w:name="_Toc453065444"/>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108</w:t>
      </w:r>
      <w:r w:rsidRPr="00D85E09">
        <w:rPr>
          <w:lang w:val="en-AU"/>
        </w:rPr>
        <w:fldChar w:fldCharType="end"/>
      </w:r>
      <w:bookmarkEnd w:id="637"/>
      <w:r w:rsidRPr="00D85E09">
        <w:rPr>
          <w:lang w:val="en-AU"/>
        </w:rPr>
        <w:tab/>
        <w:t>Estimated MBS costs of mT, Year 1 to Year 5 of listing</w:t>
      </w:r>
      <w:bookmarkEnd w:id="638"/>
      <w:bookmarkEnd w:id="639"/>
      <w:bookmarkEnd w:id="640"/>
    </w:p>
    <w:tbl>
      <w:tblPr>
        <w:tblStyle w:val="TableGrid"/>
        <w:tblW w:w="5000" w:type="pct"/>
        <w:tblLook w:val="04A0" w:firstRow="1" w:lastRow="0" w:firstColumn="1" w:lastColumn="0" w:noHBand="0" w:noVBand="1"/>
        <w:tblDescription w:val="Estimated MBS costs of mT, Year 1 to Year 5 of listing"/>
      </w:tblPr>
      <w:tblGrid>
        <w:gridCol w:w="2234"/>
        <w:gridCol w:w="1293"/>
        <w:gridCol w:w="1295"/>
        <w:gridCol w:w="1293"/>
        <w:gridCol w:w="1295"/>
        <w:gridCol w:w="1594"/>
      </w:tblGrid>
      <w:tr w:rsidR="006C3C67" w:rsidRPr="00D85E09" w14:paraId="0600C483" w14:textId="77777777" w:rsidTr="00BE6331">
        <w:trPr>
          <w:tblHeader/>
        </w:trPr>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6A213530" w14:textId="77777777" w:rsidR="006C3C67" w:rsidRPr="00D85E09" w:rsidRDefault="006C3C67" w:rsidP="0043316B">
            <w:pPr>
              <w:pStyle w:val="Tabletext"/>
              <w:keepNext w:val="0"/>
              <w:widowControl w:val="0"/>
              <w:rPr>
                <w:b/>
              </w:rPr>
            </w:pPr>
            <w:r w:rsidRPr="00D85E09">
              <w:rPr>
                <w:b/>
              </w:rPr>
              <w:t>Caseload scenarios</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17026215" w14:textId="77777777" w:rsidR="006C3C67" w:rsidRPr="00D85E09" w:rsidRDefault="006C3C67" w:rsidP="0043316B">
            <w:pPr>
              <w:pStyle w:val="Tabletext"/>
              <w:keepNext w:val="0"/>
              <w:widowControl w:val="0"/>
              <w:jc w:val="center"/>
              <w:rPr>
                <w:b/>
              </w:rPr>
            </w:pPr>
            <w:r w:rsidRPr="00D85E09">
              <w:rPr>
                <w:b/>
              </w:rPr>
              <w:t>Year 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14:paraId="51798BD5" w14:textId="77777777" w:rsidR="006C3C67" w:rsidRPr="00D85E09" w:rsidRDefault="006C3C67" w:rsidP="0043316B">
            <w:pPr>
              <w:pStyle w:val="Tabletext"/>
              <w:keepNext w:val="0"/>
              <w:widowControl w:val="0"/>
              <w:jc w:val="center"/>
              <w:rPr>
                <w:b/>
              </w:rPr>
            </w:pPr>
            <w:r w:rsidRPr="00D85E09">
              <w:rPr>
                <w:b/>
              </w:rPr>
              <w:t>Year 2</w:t>
            </w:r>
          </w:p>
        </w:tc>
        <w:tc>
          <w:tcPr>
            <w:tcW w:w="718" w:type="pct"/>
            <w:tcBorders>
              <w:top w:val="single" w:sz="4" w:space="0" w:color="auto"/>
              <w:left w:val="single" w:sz="4" w:space="0" w:color="auto"/>
              <w:bottom w:val="single" w:sz="4" w:space="0" w:color="auto"/>
              <w:right w:val="single" w:sz="4" w:space="0" w:color="auto"/>
            </w:tcBorders>
            <w:shd w:val="clear" w:color="auto" w:fill="auto"/>
            <w:hideMark/>
          </w:tcPr>
          <w:p w14:paraId="3EF639CE" w14:textId="77777777" w:rsidR="006C3C67" w:rsidRPr="00D85E09" w:rsidRDefault="006C3C67" w:rsidP="0043316B">
            <w:pPr>
              <w:pStyle w:val="Tabletext"/>
              <w:keepNext w:val="0"/>
              <w:widowControl w:val="0"/>
              <w:jc w:val="center"/>
              <w:rPr>
                <w:b/>
              </w:rPr>
            </w:pPr>
            <w:r w:rsidRPr="00D85E09">
              <w:rPr>
                <w:b/>
              </w:rPr>
              <w:t>Year 3</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14:paraId="07145BFF" w14:textId="77777777" w:rsidR="006C3C67" w:rsidRPr="00D85E09" w:rsidRDefault="006C3C67" w:rsidP="0043316B">
            <w:pPr>
              <w:pStyle w:val="Tabletext"/>
              <w:keepNext w:val="0"/>
              <w:widowControl w:val="0"/>
              <w:jc w:val="center"/>
              <w:rPr>
                <w:b/>
              </w:rPr>
            </w:pPr>
            <w:r w:rsidRPr="00D85E09">
              <w:rPr>
                <w:b/>
              </w:rPr>
              <w:t>Year 4</w:t>
            </w:r>
          </w:p>
        </w:tc>
        <w:tc>
          <w:tcPr>
            <w:tcW w:w="885" w:type="pct"/>
            <w:tcBorders>
              <w:top w:val="single" w:sz="4" w:space="0" w:color="auto"/>
              <w:left w:val="single" w:sz="4" w:space="0" w:color="auto"/>
              <w:bottom w:val="single" w:sz="4" w:space="0" w:color="auto"/>
              <w:right w:val="single" w:sz="4" w:space="0" w:color="auto"/>
            </w:tcBorders>
            <w:shd w:val="clear" w:color="auto" w:fill="auto"/>
            <w:hideMark/>
          </w:tcPr>
          <w:p w14:paraId="3319F60B" w14:textId="77777777" w:rsidR="006C3C67" w:rsidRPr="00D85E09" w:rsidRDefault="006C3C67" w:rsidP="0043316B">
            <w:pPr>
              <w:pStyle w:val="Tabletext"/>
              <w:keepNext w:val="0"/>
              <w:widowControl w:val="0"/>
              <w:jc w:val="center"/>
              <w:rPr>
                <w:b/>
              </w:rPr>
            </w:pPr>
            <w:r w:rsidRPr="00D85E09">
              <w:rPr>
                <w:b/>
              </w:rPr>
              <w:t>Year 5</w:t>
            </w:r>
          </w:p>
        </w:tc>
      </w:tr>
      <w:tr w:rsidR="006C3C67" w:rsidRPr="00D85E09" w14:paraId="47FBE8DA" w14:textId="77777777" w:rsidTr="009C64DD">
        <w:tc>
          <w:tcPr>
            <w:tcW w:w="5000" w:type="pct"/>
            <w:gridSpan w:val="6"/>
            <w:tcBorders>
              <w:top w:val="single" w:sz="4" w:space="0" w:color="auto"/>
              <w:left w:val="single" w:sz="4" w:space="0" w:color="auto"/>
              <w:bottom w:val="single" w:sz="4" w:space="0" w:color="auto"/>
              <w:right w:val="single" w:sz="4" w:space="0" w:color="auto"/>
            </w:tcBorders>
            <w:hideMark/>
          </w:tcPr>
          <w:p w14:paraId="667F9820" w14:textId="77777777" w:rsidR="006C3C67" w:rsidRPr="00D85E09" w:rsidRDefault="006C3C67" w:rsidP="0043316B">
            <w:pPr>
              <w:pStyle w:val="Tabletext"/>
              <w:keepNext w:val="0"/>
              <w:widowControl w:val="0"/>
            </w:pPr>
            <w:r w:rsidRPr="00D85E09">
              <w:t xml:space="preserve">Base case scenario </w:t>
            </w:r>
          </w:p>
        </w:tc>
      </w:tr>
      <w:tr w:rsidR="006C3C67" w:rsidRPr="00D85E09" w14:paraId="56BFBD7A" w14:textId="77777777" w:rsidTr="009C64DD">
        <w:tc>
          <w:tcPr>
            <w:tcW w:w="1241" w:type="pct"/>
            <w:tcBorders>
              <w:top w:val="single" w:sz="4" w:space="0" w:color="auto"/>
              <w:left w:val="single" w:sz="4" w:space="0" w:color="auto"/>
              <w:bottom w:val="single" w:sz="4" w:space="0" w:color="auto"/>
              <w:right w:val="single" w:sz="4" w:space="0" w:color="auto"/>
            </w:tcBorders>
            <w:hideMark/>
          </w:tcPr>
          <w:p w14:paraId="2620DC3F" w14:textId="77777777" w:rsidR="006C3C67" w:rsidRPr="00D85E09" w:rsidRDefault="006C3C67" w:rsidP="0043316B">
            <w:pPr>
              <w:pStyle w:val="Tabletext"/>
              <w:keepNext w:val="0"/>
              <w:widowControl w:val="0"/>
            </w:pPr>
            <w:r w:rsidRPr="00D85E09">
              <w:t xml:space="preserve">Total procedures per year </w:t>
            </w:r>
          </w:p>
        </w:tc>
        <w:tc>
          <w:tcPr>
            <w:tcW w:w="718" w:type="pct"/>
            <w:tcBorders>
              <w:top w:val="single" w:sz="4" w:space="0" w:color="auto"/>
              <w:left w:val="single" w:sz="4" w:space="0" w:color="auto"/>
              <w:bottom w:val="single" w:sz="4" w:space="0" w:color="auto"/>
              <w:right w:val="single" w:sz="4" w:space="0" w:color="auto"/>
            </w:tcBorders>
          </w:tcPr>
          <w:p w14:paraId="55AE29B0" w14:textId="77777777" w:rsidR="006C3C67" w:rsidRPr="00D85E09" w:rsidRDefault="006C3C67" w:rsidP="0043316B">
            <w:pPr>
              <w:pStyle w:val="Tabletext"/>
              <w:keepNext w:val="0"/>
              <w:widowControl w:val="0"/>
            </w:pPr>
            <w:r w:rsidRPr="00D85E09">
              <w:t>78</w:t>
            </w:r>
          </w:p>
        </w:tc>
        <w:tc>
          <w:tcPr>
            <w:tcW w:w="719" w:type="pct"/>
            <w:tcBorders>
              <w:top w:val="single" w:sz="4" w:space="0" w:color="auto"/>
              <w:left w:val="single" w:sz="4" w:space="0" w:color="auto"/>
              <w:bottom w:val="single" w:sz="4" w:space="0" w:color="auto"/>
              <w:right w:val="single" w:sz="4" w:space="0" w:color="auto"/>
            </w:tcBorders>
          </w:tcPr>
          <w:p w14:paraId="158225BF" w14:textId="77777777" w:rsidR="006C3C67" w:rsidRPr="00D85E09" w:rsidRDefault="006C3C67" w:rsidP="0043316B">
            <w:pPr>
              <w:pStyle w:val="Tabletext"/>
              <w:keepNext w:val="0"/>
              <w:widowControl w:val="0"/>
            </w:pPr>
            <w:r w:rsidRPr="00D85E09">
              <w:t>96</w:t>
            </w:r>
          </w:p>
        </w:tc>
        <w:tc>
          <w:tcPr>
            <w:tcW w:w="718" w:type="pct"/>
            <w:tcBorders>
              <w:top w:val="single" w:sz="4" w:space="0" w:color="auto"/>
              <w:left w:val="single" w:sz="4" w:space="0" w:color="auto"/>
              <w:bottom w:val="single" w:sz="4" w:space="0" w:color="auto"/>
              <w:right w:val="single" w:sz="4" w:space="0" w:color="auto"/>
            </w:tcBorders>
          </w:tcPr>
          <w:p w14:paraId="3CEEDDF0" w14:textId="77777777" w:rsidR="006C3C67" w:rsidRPr="00D85E09" w:rsidRDefault="006C3C67" w:rsidP="0043316B">
            <w:pPr>
              <w:pStyle w:val="Tabletext"/>
              <w:keepNext w:val="0"/>
              <w:widowControl w:val="0"/>
            </w:pPr>
            <w:r w:rsidRPr="00D85E09">
              <w:t>114</w:t>
            </w:r>
          </w:p>
        </w:tc>
        <w:tc>
          <w:tcPr>
            <w:tcW w:w="719" w:type="pct"/>
            <w:tcBorders>
              <w:top w:val="single" w:sz="4" w:space="0" w:color="auto"/>
              <w:left w:val="single" w:sz="4" w:space="0" w:color="auto"/>
              <w:bottom w:val="single" w:sz="4" w:space="0" w:color="auto"/>
              <w:right w:val="single" w:sz="4" w:space="0" w:color="auto"/>
            </w:tcBorders>
          </w:tcPr>
          <w:p w14:paraId="32C519F4" w14:textId="77777777" w:rsidR="006C3C67" w:rsidRPr="00D85E09" w:rsidRDefault="006C3C67" w:rsidP="0043316B">
            <w:pPr>
              <w:pStyle w:val="Tabletext"/>
              <w:keepNext w:val="0"/>
              <w:widowControl w:val="0"/>
            </w:pPr>
            <w:r w:rsidRPr="00D85E09">
              <w:t>132</w:t>
            </w:r>
          </w:p>
        </w:tc>
        <w:tc>
          <w:tcPr>
            <w:tcW w:w="885" w:type="pct"/>
            <w:tcBorders>
              <w:top w:val="single" w:sz="4" w:space="0" w:color="auto"/>
              <w:left w:val="single" w:sz="4" w:space="0" w:color="auto"/>
              <w:bottom w:val="single" w:sz="4" w:space="0" w:color="auto"/>
              <w:right w:val="single" w:sz="4" w:space="0" w:color="auto"/>
            </w:tcBorders>
          </w:tcPr>
          <w:p w14:paraId="4E817058" w14:textId="77777777" w:rsidR="006C3C67" w:rsidRPr="00D85E09" w:rsidRDefault="006C3C67" w:rsidP="0043316B">
            <w:pPr>
              <w:pStyle w:val="Tabletext"/>
              <w:keepNext w:val="0"/>
              <w:widowControl w:val="0"/>
            </w:pPr>
            <w:r w:rsidRPr="00D85E09">
              <w:t>150</w:t>
            </w:r>
          </w:p>
        </w:tc>
      </w:tr>
      <w:tr w:rsidR="006C3C67" w:rsidRPr="00D85E09" w14:paraId="0E81659F" w14:textId="77777777" w:rsidTr="009C64DD">
        <w:tc>
          <w:tcPr>
            <w:tcW w:w="1241" w:type="pct"/>
            <w:tcBorders>
              <w:top w:val="single" w:sz="4" w:space="0" w:color="auto"/>
              <w:left w:val="single" w:sz="4" w:space="0" w:color="auto"/>
              <w:bottom w:val="single" w:sz="4" w:space="0" w:color="auto"/>
              <w:right w:val="single" w:sz="4" w:space="0" w:color="auto"/>
            </w:tcBorders>
            <w:hideMark/>
          </w:tcPr>
          <w:p w14:paraId="14D4E589" w14:textId="77777777" w:rsidR="006C3C67" w:rsidRPr="00D85E09" w:rsidRDefault="006C3C67" w:rsidP="0043316B">
            <w:pPr>
              <w:pStyle w:val="Tabletext"/>
              <w:keepNext w:val="0"/>
              <w:widowControl w:val="0"/>
            </w:pPr>
            <w:r w:rsidRPr="00D85E09">
              <w:t>Total MBS costs</w:t>
            </w:r>
          </w:p>
        </w:tc>
        <w:tc>
          <w:tcPr>
            <w:tcW w:w="718" w:type="pct"/>
            <w:tcBorders>
              <w:top w:val="single" w:sz="4" w:space="0" w:color="auto"/>
              <w:left w:val="single" w:sz="4" w:space="0" w:color="auto"/>
              <w:bottom w:val="single" w:sz="4" w:space="0" w:color="auto"/>
              <w:right w:val="single" w:sz="4" w:space="0" w:color="auto"/>
            </w:tcBorders>
          </w:tcPr>
          <w:p w14:paraId="4676880B" w14:textId="77777777" w:rsidR="006C3C67" w:rsidRPr="00D85E09" w:rsidRDefault="006C3C67" w:rsidP="0043316B">
            <w:pPr>
              <w:pStyle w:val="Tabletext"/>
              <w:keepNext w:val="0"/>
              <w:widowControl w:val="0"/>
            </w:pPr>
          </w:p>
        </w:tc>
        <w:tc>
          <w:tcPr>
            <w:tcW w:w="719" w:type="pct"/>
            <w:tcBorders>
              <w:top w:val="single" w:sz="4" w:space="0" w:color="auto"/>
              <w:left w:val="single" w:sz="4" w:space="0" w:color="auto"/>
              <w:bottom w:val="single" w:sz="4" w:space="0" w:color="auto"/>
              <w:right w:val="single" w:sz="4" w:space="0" w:color="auto"/>
            </w:tcBorders>
          </w:tcPr>
          <w:p w14:paraId="4C4DEE94" w14:textId="77777777" w:rsidR="006C3C67" w:rsidRPr="00D85E09" w:rsidRDefault="006C3C67" w:rsidP="0043316B">
            <w:pPr>
              <w:pStyle w:val="Tabletext"/>
              <w:keepNext w:val="0"/>
              <w:widowControl w:val="0"/>
            </w:pPr>
          </w:p>
        </w:tc>
        <w:tc>
          <w:tcPr>
            <w:tcW w:w="718" w:type="pct"/>
            <w:tcBorders>
              <w:top w:val="single" w:sz="4" w:space="0" w:color="auto"/>
              <w:left w:val="single" w:sz="4" w:space="0" w:color="auto"/>
              <w:bottom w:val="single" w:sz="4" w:space="0" w:color="auto"/>
              <w:right w:val="single" w:sz="4" w:space="0" w:color="auto"/>
            </w:tcBorders>
          </w:tcPr>
          <w:p w14:paraId="64C682C6" w14:textId="77777777" w:rsidR="006C3C67" w:rsidRPr="00D85E09" w:rsidRDefault="006C3C67" w:rsidP="0043316B">
            <w:pPr>
              <w:pStyle w:val="Tabletext"/>
              <w:keepNext w:val="0"/>
              <w:widowControl w:val="0"/>
            </w:pPr>
          </w:p>
        </w:tc>
        <w:tc>
          <w:tcPr>
            <w:tcW w:w="719" w:type="pct"/>
            <w:tcBorders>
              <w:top w:val="single" w:sz="4" w:space="0" w:color="auto"/>
              <w:left w:val="single" w:sz="4" w:space="0" w:color="auto"/>
              <w:bottom w:val="single" w:sz="4" w:space="0" w:color="auto"/>
              <w:right w:val="single" w:sz="4" w:space="0" w:color="auto"/>
            </w:tcBorders>
          </w:tcPr>
          <w:p w14:paraId="2E93CC0F" w14:textId="77777777" w:rsidR="006C3C67" w:rsidRPr="00D85E09" w:rsidRDefault="006C3C67" w:rsidP="0043316B">
            <w:pPr>
              <w:pStyle w:val="Tabletext"/>
              <w:keepNext w:val="0"/>
              <w:widowControl w:val="0"/>
            </w:pPr>
          </w:p>
        </w:tc>
        <w:tc>
          <w:tcPr>
            <w:tcW w:w="885" w:type="pct"/>
            <w:tcBorders>
              <w:top w:val="single" w:sz="4" w:space="0" w:color="auto"/>
              <w:left w:val="single" w:sz="4" w:space="0" w:color="auto"/>
              <w:bottom w:val="single" w:sz="4" w:space="0" w:color="auto"/>
              <w:right w:val="single" w:sz="4" w:space="0" w:color="auto"/>
            </w:tcBorders>
          </w:tcPr>
          <w:p w14:paraId="77082507" w14:textId="77777777" w:rsidR="006C3C67" w:rsidRPr="00D85E09" w:rsidRDefault="006C3C67" w:rsidP="0043316B">
            <w:pPr>
              <w:pStyle w:val="Tabletext"/>
              <w:keepNext w:val="0"/>
              <w:widowControl w:val="0"/>
            </w:pPr>
          </w:p>
        </w:tc>
      </w:tr>
      <w:tr w:rsidR="006C3C67" w:rsidRPr="00D85E09" w14:paraId="083AADFE" w14:textId="77777777" w:rsidTr="009C64DD">
        <w:tc>
          <w:tcPr>
            <w:tcW w:w="1241" w:type="pct"/>
            <w:tcBorders>
              <w:top w:val="single" w:sz="4" w:space="0" w:color="auto"/>
              <w:left w:val="single" w:sz="4" w:space="0" w:color="auto"/>
              <w:bottom w:val="single" w:sz="4" w:space="0" w:color="auto"/>
              <w:right w:val="single" w:sz="4" w:space="0" w:color="auto"/>
            </w:tcBorders>
            <w:hideMark/>
          </w:tcPr>
          <w:p w14:paraId="152443C8" w14:textId="77777777" w:rsidR="006C3C67" w:rsidRPr="00D85E09" w:rsidRDefault="006C3C67" w:rsidP="0043316B">
            <w:pPr>
              <w:pStyle w:val="Tabletext"/>
              <w:keepNext w:val="0"/>
              <w:widowControl w:val="0"/>
            </w:pPr>
            <w:r w:rsidRPr="00D85E09">
              <w:t xml:space="preserve"> - at full benefit</w:t>
            </w:r>
          </w:p>
        </w:tc>
        <w:tc>
          <w:tcPr>
            <w:tcW w:w="718" w:type="pct"/>
            <w:tcBorders>
              <w:top w:val="single" w:sz="4" w:space="0" w:color="auto"/>
              <w:left w:val="single" w:sz="4" w:space="0" w:color="auto"/>
              <w:bottom w:val="single" w:sz="4" w:space="0" w:color="auto"/>
              <w:right w:val="single" w:sz="4" w:space="0" w:color="auto"/>
            </w:tcBorders>
          </w:tcPr>
          <w:p w14:paraId="2B48F9EB" w14:textId="77777777" w:rsidR="006C3C67" w:rsidRPr="00D85E09" w:rsidRDefault="006C3C67" w:rsidP="0043316B">
            <w:pPr>
              <w:pStyle w:val="Tabletext"/>
              <w:keepNext w:val="0"/>
              <w:widowControl w:val="0"/>
            </w:pPr>
            <w:r w:rsidRPr="00D85E09">
              <w:t>$273,000</w:t>
            </w:r>
          </w:p>
        </w:tc>
        <w:tc>
          <w:tcPr>
            <w:tcW w:w="719" w:type="pct"/>
            <w:tcBorders>
              <w:top w:val="single" w:sz="4" w:space="0" w:color="auto"/>
              <w:left w:val="single" w:sz="4" w:space="0" w:color="auto"/>
              <w:bottom w:val="single" w:sz="4" w:space="0" w:color="auto"/>
              <w:right w:val="single" w:sz="4" w:space="0" w:color="auto"/>
            </w:tcBorders>
          </w:tcPr>
          <w:p w14:paraId="29A870EF" w14:textId="77777777" w:rsidR="006C3C67" w:rsidRPr="00D85E09" w:rsidRDefault="006C3C67" w:rsidP="0043316B">
            <w:pPr>
              <w:pStyle w:val="Tabletext"/>
              <w:keepNext w:val="0"/>
              <w:widowControl w:val="0"/>
            </w:pPr>
            <w:r w:rsidRPr="00D85E09">
              <w:t>$336,000</w:t>
            </w:r>
          </w:p>
        </w:tc>
        <w:tc>
          <w:tcPr>
            <w:tcW w:w="718" w:type="pct"/>
            <w:tcBorders>
              <w:top w:val="single" w:sz="4" w:space="0" w:color="auto"/>
              <w:left w:val="single" w:sz="4" w:space="0" w:color="auto"/>
              <w:bottom w:val="single" w:sz="4" w:space="0" w:color="auto"/>
              <w:right w:val="single" w:sz="4" w:space="0" w:color="auto"/>
            </w:tcBorders>
          </w:tcPr>
          <w:p w14:paraId="3E013C05" w14:textId="77777777" w:rsidR="006C3C67" w:rsidRPr="00D85E09" w:rsidRDefault="006C3C67" w:rsidP="0043316B">
            <w:pPr>
              <w:pStyle w:val="Tabletext"/>
              <w:keepNext w:val="0"/>
              <w:widowControl w:val="0"/>
            </w:pPr>
            <w:r w:rsidRPr="00D85E09">
              <w:t>$399,000</w:t>
            </w:r>
          </w:p>
        </w:tc>
        <w:tc>
          <w:tcPr>
            <w:tcW w:w="719" w:type="pct"/>
            <w:tcBorders>
              <w:top w:val="single" w:sz="4" w:space="0" w:color="auto"/>
              <w:left w:val="single" w:sz="4" w:space="0" w:color="auto"/>
              <w:bottom w:val="single" w:sz="4" w:space="0" w:color="auto"/>
              <w:right w:val="single" w:sz="4" w:space="0" w:color="auto"/>
            </w:tcBorders>
          </w:tcPr>
          <w:p w14:paraId="50685253" w14:textId="77777777" w:rsidR="006C3C67" w:rsidRPr="00D85E09" w:rsidRDefault="006C3C67" w:rsidP="0043316B">
            <w:pPr>
              <w:pStyle w:val="Tabletext"/>
              <w:keepNext w:val="0"/>
              <w:widowControl w:val="0"/>
            </w:pPr>
            <w:r w:rsidRPr="00D85E09">
              <w:t>$462,000</w:t>
            </w:r>
          </w:p>
        </w:tc>
        <w:tc>
          <w:tcPr>
            <w:tcW w:w="885" w:type="pct"/>
            <w:tcBorders>
              <w:top w:val="single" w:sz="4" w:space="0" w:color="auto"/>
              <w:left w:val="single" w:sz="4" w:space="0" w:color="auto"/>
              <w:bottom w:val="single" w:sz="4" w:space="0" w:color="auto"/>
              <w:right w:val="single" w:sz="4" w:space="0" w:color="auto"/>
            </w:tcBorders>
          </w:tcPr>
          <w:p w14:paraId="4D2B1112" w14:textId="77777777" w:rsidR="006C3C67" w:rsidRPr="00D85E09" w:rsidRDefault="006C3C67" w:rsidP="0043316B">
            <w:pPr>
              <w:pStyle w:val="Tabletext"/>
              <w:keepNext w:val="0"/>
              <w:widowControl w:val="0"/>
            </w:pPr>
            <w:r w:rsidRPr="00D85E09">
              <w:t>$525,000</w:t>
            </w:r>
          </w:p>
        </w:tc>
      </w:tr>
      <w:tr w:rsidR="006C3C67" w:rsidRPr="00D85E09" w14:paraId="4E2D64CB" w14:textId="77777777" w:rsidTr="009C64DD">
        <w:tc>
          <w:tcPr>
            <w:tcW w:w="1241" w:type="pct"/>
            <w:tcBorders>
              <w:top w:val="single" w:sz="4" w:space="0" w:color="auto"/>
              <w:left w:val="single" w:sz="4" w:space="0" w:color="auto"/>
              <w:bottom w:val="single" w:sz="4" w:space="0" w:color="auto"/>
              <w:right w:val="single" w:sz="4" w:space="0" w:color="auto"/>
            </w:tcBorders>
            <w:hideMark/>
          </w:tcPr>
          <w:p w14:paraId="4E31A391" w14:textId="77777777" w:rsidR="006C3C67" w:rsidRPr="00D85E09" w:rsidRDefault="006C3C67" w:rsidP="0043316B">
            <w:pPr>
              <w:pStyle w:val="Tabletext"/>
              <w:keepNext w:val="0"/>
              <w:widowControl w:val="0"/>
            </w:pPr>
            <w:r w:rsidRPr="00D85E09">
              <w:t>- at 75% benefit</w:t>
            </w:r>
          </w:p>
        </w:tc>
        <w:tc>
          <w:tcPr>
            <w:tcW w:w="718" w:type="pct"/>
            <w:tcBorders>
              <w:top w:val="single" w:sz="4" w:space="0" w:color="auto"/>
              <w:left w:val="single" w:sz="4" w:space="0" w:color="auto"/>
              <w:bottom w:val="single" w:sz="4" w:space="0" w:color="auto"/>
              <w:right w:val="single" w:sz="4" w:space="0" w:color="auto"/>
            </w:tcBorders>
          </w:tcPr>
          <w:p w14:paraId="615CD7A7" w14:textId="77777777" w:rsidR="006C3C67" w:rsidRPr="00D85E09" w:rsidRDefault="006C3C67" w:rsidP="0043316B">
            <w:pPr>
              <w:pStyle w:val="Tabletext"/>
              <w:keepNext w:val="0"/>
              <w:widowControl w:val="0"/>
            </w:pPr>
            <w:r w:rsidRPr="00D85E09">
              <w:t>$204,750</w:t>
            </w:r>
          </w:p>
        </w:tc>
        <w:tc>
          <w:tcPr>
            <w:tcW w:w="719" w:type="pct"/>
            <w:tcBorders>
              <w:top w:val="single" w:sz="4" w:space="0" w:color="auto"/>
              <w:left w:val="single" w:sz="4" w:space="0" w:color="auto"/>
              <w:bottom w:val="single" w:sz="4" w:space="0" w:color="auto"/>
              <w:right w:val="single" w:sz="4" w:space="0" w:color="auto"/>
            </w:tcBorders>
          </w:tcPr>
          <w:p w14:paraId="41CA03AD" w14:textId="77777777" w:rsidR="006C3C67" w:rsidRPr="00D85E09" w:rsidRDefault="006C3C67" w:rsidP="0043316B">
            <w:pPr>
              <w:pStyle w:val="Tabletext"/>
              <w:keepNext w:val="0"/>
              <w:widowControl w:val="0"/>
            </w:pPr>
            <w:r w:rsidRPr="00D85E09">
              <w:t>$252,000</w:t>
            </w:r>
          </w:p>
        </w:tc>
        <w:tc>
          <w:tcPr>
            <w:tcW w:w="718" w:type="pct"/>
            <w:tcBorders>
              <w:top w:val="single" w:sz="4" w:space="0" w:color="auto"/>
              <w:left w:val="single" w:sz="4" w:space="0" w:color="auto"/>
              <w:bottom w:val="single" w:sz="4" w:space="0" w:color="auto"/>
              <w:right w:val="single" w:sz="4" w:space="0" w:color="auto"/>
            </w:tcBorders>
          </w:tcPr>
          <w:p w14:paraId="7DFBCDCC" w14:textId="77777777" w:rsidR="006C3C67" w:rsidRPr="00D85E09" w:rsidRDefault="006C3C67" w:rsidP="0043316B">
            <w:pPr>
              <w:pStyle w:val="Tabletext"/>
              <w:keepNext w:val="0"/>
              <w:widowControl w:val="0"/>
            </w:pPr>
            <w:r w:rsidRPr="00D85E09">
              <w:t>$299,250</w:t>
            </w:r>
          </w:p>
        </w:tc>
        <w:tc>
          <w:tcPr>
            <w:tcW w:w="719" w:type="pct"/>
            <w:tcBorders>
              <w:top w:val="single" w:sz="4" w:space="0" w:color="auto"/>
              <w:left w:val="single" w:sz="4" w:space="0" w:color="auto"/>
              <w:bottom w:val="single" w:sz="4" w:space="0" w:color="auto"/>
              <w:right w:val="single" w:sz="4" w:space="0" w:color="auto"/>
            </w:tcBorders>
          </w:tcPr>
          <w:p w14:paraId="40131607" w14:textId="77777777" w:rsidR="006C3C67" w:rsidRPr="00D85E09" w:rsidRDefault="006C3C67" w:rsidP="0043316B">
            <w:pPr>
              <w:pStyle w:val="Tabletext"/>
              <w:keepNext w:val="0"/>
              <w:widowControl w:val="0"/>
            </w:pPr>
            <w:r w:rsidRPr="00D85E09">
              <w:t>$346,500</w:t>
            </w:r>
          </w:p>
        </w:tc>
        <w:tc>
          <w:tcPr>
            <w:tcW w:w="885" w:type="pct"/>
            <w:tcBorders>
              <w:top w:val="single" w:sz="4" w:space="0" w:color="auto"/>
              <w:left w:val="single" w:sz="4" w:space="0" w:color="auto"/>
              <w:bottom w:val="single" w:sz="4" w:space="0" w:color="auto"/>
              <w:right w:val="single" w:sz="4" w:space="0" w:color="auto"/>
            </w:tcBorders>
          </w:tcPr>
          <w:p w14:paraId="3740DB64" w14:textId="77777777" w:rsidR="006C3C67" w:rsidRPr="00D85E09" w:rsidRDefault="006C3C67" w:rsidP="0043316B">
            <w:pPr>
              <w:pStyle w:val="Tabletext"/>
              <w:keepNext w:val="0"/>
              <w:widowControl w:val="0"/>
            </w:pPr>
            <w:r w:rsidRPr="00D85E09">
              <w:t>$393,750</w:t>
            </w:r>
          </w:p>
        </w:tc>
      </w:tr>
      <w:tr w:rsidR="006C3C67" w:rsidRPr="00D85E09" w14:paraId="65DEA92E" w14:textId="77777777" w:rsidTr="009C64DD">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8094F1" w14:textId="77777777" w:rsidR="006C3C67" w:rsidRPr="00D85E09" w:rsidRDefault="006C3C67" w:rsidP="0043316B">
            <w:pPr>
              <w:pStyle w:val="Tabletext"/>
              <w:keepNext w:val="0"/>
              <w:widowControl w:val="0"/>
            </w:pPr>
            <w:r w:rsidRPr="00D85E09">
              <w:t>High uptake scenario</w:t>
            </w:r>
          </w:p>
        </w:tc>
      </w:tr>
      <w:tr w:rsidR="006C3C67" w:rsidRPr="00D85E09" w14:paraId="6728444B" w14:textId="77777777" w:rsidTr="009C64DD">
        <w:tc>
          <w:tcPr>
            <w:tcW w:w="124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0D3C6E" w14:textId="77777777" w:rsidR="006C3C67" w:rsidRPr="00D85E09" w:rsidRDefault="006C3C67" w:rsidP="0043316B">
            <w:pPr>
              <w:pStyle w:val="Tabletext"/>
              <w:keepNext w:val="0"/>
              <w:widowControl w:val="0"/>
            </w:pPr>
            <w:r w:rsidRPr="00D85E09">
              <w:t xml:space="preserve">Total procedures per year </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D3FEF5" w14:textId="77777777" w:rsidR="006C3C67" w:rsidRPr="00D85E09" w:rsidRDefault="006C3C67" w:rsidP="0043316B">
            <w:pPr>
              <w:pStyle w:val="Tabletext"/>
              <w:keepNext w:val="0"/>
              <w:widowControl w:val="0"/>
            </w:pPr>
            <w:r w:rsidRPr="00D85E09">
              <w:t>108</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E8E348" w14:textId="77777777" w:rsidR="006C3C67" w:rsidRPr="00D85E09" w:rsidRDefault="006C3C67" w:rsidP="0043316B">
            <w:pPr>
              <w:pStyle w:val="Tabletext"/>
              <w:keepNext w:val="0"/>
              <w:widowControl w:val="0"/>
            </w:pPr>
            <w:r w:rsidRPr="00D85E09">
              <w:t>156</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418AD" w14:textId="77777777" w:rsidR="006C3C67" w:rsidRPr="00D85E09" w:rsidRDefault="006C3C67" w:rsidP="0043316B">
            <w:pPr>
              <w:pStyle w:val="Tabletext"/>
              <w:keepNext w:val="0"/>
              <w:widowControl w:val="0"/>
            </w:pPr>
            <w:r w:rsidRPr="00D85E09">
              <w:t>204</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135E51" w14:textId="77777777" w:rsidR="006C3C67" w:rsidRPr="00D85E09" w:rsidRDefault="006C3C67" w:rsidP="0043316B">
            <w:pPr>
              <w:pStyle w:val="Tabletext"/>
              <w:keepNext w:val="0"/>
              <w:widowControl w:val="0"/>
            </w:pPr>
            <w:r w:rsidRPr="00D85E09">
              <w:t>252</w:t>
            </w:r>
          </w:p>
        </w:tc>
        <w:tc>
          <w:tcPr>
            <w:tcW w:w="8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162F7A" w14:textId="77777777" w:rsidR="006C3C67" w:rsidRPr="00D85E09" w:rsidRDefault="006C3C67" w:rsidP="0043316B">
            <w:pPr>
              <w:pStyle w:val="Tabletext"/>
              <w:keepNext w:val="0"/>
              <w:widowControl w:val="0"/>
            </w:pPr>
            <w:r w:rsidRPr="00D85E09">
              <w:t>300</w:t>
            </w:r>
          </w:p>
        </w:tc>
      </w:tr>
      <w:tr w:rsidR="006C3C67" w:rsidRPr="00D85E09" w14:paraId="1F1B43A5" w14:textId="77777777" w:rsidTr="009C64DD">
        <w:tc>
          <w:tcPr>
            <w:tcW w:w="124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D0DD72" w14:textId="77777777" w:rsidR="006C3C67" w:rsidRPr="00D85E09" w:rsidRDefault="006C3C67" w:rsidP="0043316B">
            <w:pPr>
              <w:pStyle w:val="Tabletext"/>
              <w:keepNext w:val="0"/>
              <w:widowControl w:val="0"/>
            </w:pPr>
            <w:r w:rsidRPr="00D85E09">
              <w:t>Total MBS costs</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CC1CFA" w14:textId="77777777" w:rsidR="006C3C67" w:rsidRPr="00D85E09" w:rsidRDefault="006C3C67" w:rsidP="0043316B">
            <w:pPr>
              <w:pStyle w:val="Tabletext"/>
              <w:keepNext w:val="0"/>
              <w:widowControl w:val="0"/>
            </w:pP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80965D" w14:textId="77777777" w:rsidR="006C3C67" w:rsidRPr="00D85E09" w:rsidRDefault="006C3C67" w:rsidP="0043316B">
            <w:pPr>
              <w:pStyle w:val="Tabletext"/>
              <w:keepNext w:val="0"/>
              <w:widowControl w:val="0"/>
            </w:pP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1524DB" w14:textId="77777777" w:rsidR="006C3C67" w:rsidRPr="00D85E09" w:rsidRDefault="006C3C67" w:rsidP="0043316B">
            <w:pPr>
              <w:pStyle w:val="Tabletext"/>
              <w:keepNext w:val="0"/>
              <w:widowControl w:val="0"/>
            </w:pP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33D2CF" w14:textId="77777777" w:rsidR="006C3C67" w:rsidRPr="00D85E09" w:rsidRDefault="006C3C67" w:rsidP="0043316B">
            <w:pPr>
              <w:pStyle w:val="Tabletext"/>
              <w:keepNext w:val="0"/>
              <w:widowControl w:val="0"/>
            </w:pPr>
          </w:p>
        </w:tc>
        <w:tc>
          <w:tcPr>
            <w:tcW w:w="8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2AFC3C" w14:textId="77777777" w:rsidR="006C3C67" w:rsidRPr="00D85E09" w:rsidRDefault="006C3C67" w:rsidP="0043316B">
            <w:pPr>
              <w:pStyle w:val="Tabletext"/>
              <w:keepNext w:val="0"/>
              <w:widowControl w:val="0"/>
            </w:pPr>
          </w:p>
        </w:tc>
      </w:tr>
      <w:tr w:rsidR="006C3C67" w:rsidRPr="00D85E09" w14:paraId="218AE75A" w14:textId="77777777" w:rsidTr="009C64DD">
        <w:tc>
          <w:tcPr>
            <w:tcW w:w="124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FECD1B" w14:textId="77777777" w:rsidR="006C3C67" w:rsidRPr="00D85E09" w:rsidRDefault="006C3C67" w:rsidP="0043316B">
            <w:pPr>
              <w:pStyle w:val="Tabletext"/>
              <w:keepNext w:val="0"/>
              <w:widowControl w:val="0"/>
            </w:pPr>
            <w:r w:rsidRPr="00D85E09">
              <w:t xml:space="preserve"> - at full benefit</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F7F8B" w14:textId="77777777" w:rsidR="006C3C67" w:rsidRPr="00D85E09" w:rsidRDefault="006C3C67" w:rsidP="0043316B">
            <w:pPr>
              <w:pStyle w:val="Tabletext"/>
              <w:keepNext w:val="0"/>
              <w:widowControl w:val="0"/>
            </w:pPr>
            <w:r w:rsidRPr="00D85E09">
              <w:t>$378,000</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9CBF5B" w14:textId="77777777" w:rsidR="006C3C67" w:rsidRPr="00D85E09" w:rsidRDefault="006C3C67" w:rsidP="0043316B">
            <w:pPr>
              <w:pStyle w:val="Tabletext"/>
              <w:keepNext w:val="0"/>
              <w:widowControl w:val="0"/>
            </w:pPr>
            <w:r w:rsidRPr="00D85E09">
              <w:t>$546,000</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65C0F5" w14:textId="77777777" w:rsidR="006C3C67" w:rsidRPr="00D85E09" w:rsidRDefault="006C3C67" w:rsidP="0043316B">
            <w:pPr>
              <w:pStyle w:val="Tabletext"/>
              <w:keepNext w:val="0"/>
              <w:widowControl w:val="0"/>
            </w:pPr>
            <w:r w:rsidRPr="00D85E09">
              <w:t>$714,000</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A821A2" w14:textId="77777777" w:rsidR="006C3C67" w:rsidRPr="00D85E09" w:rsidRDefault="006C3C67" w:rsidP="0043316B">
            <w:pPr>
              <w:pStyle w:val="Tabletext"/>
              <w:keepNext w:val="0"/>
              <w:widowControl w:val="0"/>
            </w:pPr>
            <w:r w:rsidRPr="00D85E09">
              <w:t>$882,000</w:t>
            </w:r>
          </w:p>
        </w:tc>
        <w:tc>
          <w:tcPr>
            <w:tcW w:w="8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F519D" w14:textId="77777777" w:rsidR="006C3C67" w:rsidRPr="00D85E09" w:rsidRDefault="006C3C67" w:rsidP="0043316B">
            <w:pPr>
              <w:pStyle w:val="Tabletext"/>
              <w:keepNext w:val="0"/>
              <w:widowControl w:val="0"/>
            </w:pPr>
            <w:r w:rsidRPr="00D85E09">
              <w:t>$1,050,000</w:t>
            </w:r>
          </w:p>
        </w:tc>
      </w:tr>
      <w:tr w:rsidR="006C3C67" w:rsidRPr="00D85E09" w14:paraId="5EF34486" w14:textId="77777777" w:rsidTr="009C64DD">
        <w:tc>
          <w:tcPr>
            <w:tcW w:w="124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DA3013" w14:textId="77777777" w:rsidR="006C3C67" w:rsidRPr="00D85E09" w:rsidRDefault="006C3C67" w:rsidP="0043316B">
            <w:pPr>
              <w:pStyle w:val="Tabletext"/>
              <w:keepNext w:val="0"/>
              <w:widowControl w:val="0"/>
            </w:pPr>
            <w:r w:rsidRPr="00D85E09">
              <w:t>- at 75% benefit</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733494" w14:textId="77777777" w:rsidR="006C3C67" w:rsidRPr="00D85E09" w:rsidRDefault="006C3C67" w:rsidP="0043316B">
            <w:pPr>
              <w:pStyle w:val="Tabletext"/>
              <w:keepNext w:val="0"/>
              <w:widowControl w:val="0"/>
            </w:pPr>
            <w:r w:rsidRPr="00D85E09">
              <w:t>$283,500</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4C5EA" w14:textId="77777777" w:rsidR="006C3C67" w:rsidRPr="00D85E09" w:rsidRDefault="006C3C67" w:rsidP="0043316B">
            <w:pPr>
              <w:pStyle w:val="Tabletext"/>
              <w:keepNext w:val="0"/>
              <w:widowControl w:val="0"/>
            </w:pPr>
            <w:r w:rsidRPr="00D85E09">
              <w:t>$409,500</w:t>
            </w:r>
          </w:p>
        </w:tc>
        <w:tc>
          <w:tcPr>
            <w:tcW w:w="71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198C08" w14:textId="77777777" w:rsidR="006C3C67" w:rsidRPr="00D85E09" w:rsidRDefault="006C3C67" w:rsidP="0043316B">
            <w:pPr>
              <w:pStyle w:val="Tabletext"/>
              <w:keepNext w:val="0"/>
              <w:widowControl w:val="0"/>
            </w:pPr>
            <w:r w:rsidRPr="00D85E09">
              <w:t>$535,500</w:t>
            </w:r>
          </w:p>
        </w:tc>
        <w:tc>
          <w:tcPr>
            <w:tcW w:w="71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1DE9A5" w14:textId="77777777" w:rsidR="006C3C67" w:rsidRPr="00D85E09" w:rsidRDefault="006C3C67" w:rsidP="0043316B">
            <w:pPr>
              <w:pStyle w:val="Tabletext"/>
              <w:keepNext w:val="0"/>
              <w:widowControl w:val="0"/>
            </w:pPr>
            <w:r w:rsidRPr="00D85E09">
              <w:t>$661,500</w:t>
            </w:r>
          </w:p>
        </w:tc>
        <w:tc>
          <w:tcPr>
            <w:tcW w:w="88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993782" w14:textId="77777777" w:rsidR="006C3C67" w:rsidRPr="00D85E09" w:rsidRDefault="006C3C67" w:rsidP="0043316B">
            <w:pPr>
              <w:pStyle w:val="Tabletext"/>
              <w:keepNext w:val="0"/>
              <w:widowControl w:val="0"/>
            </w:pPr>
            <w:r w:rsidRPr="00D85E09">
              <w:t>$787,500</w:t>
            </w:r>
          </w:p>
        </w:tc>
      </w:tr>
    </w:tbl>
    <w:p w14:paraId="3598C1C4" w14:textId="7907D2BD" w:rsidR="006C3C67" w:rsidRPr="00D85E09" w:rsidRDefault="006C3C67" w:rsidP="0043316B">
      <w:pPr>
        <w:pStyle w:val="Tablefootnote"/>
        <w:widowControl w:val="0"/>
        <w:rPr>
          <w:lang w:val="en-AU"/>
        </w:rPr>
      </w:pPr>
      <w:r w:rsidRPr="00D85E09">
        <w:rPr>
          <w:lang w:val="en-AU"/>
        </w:rPr>
        <w:t>Note: See full calculation detail</w:t>
      </w:r>
      <w:r w:rsidR="00474DEB" w:rsidRPr="00D85E09">
        <w:rPr>
          <w:lang w:val="en-AU"/>
        </w:rPr>
        <w:t>s in the attached spreadsheet (“MT MSAC June 2016 Section E.xlsx”</w:t>
      </w:r>
      <w:r w:rsidRPr="00D85E09">
        <w:rPr>
          <w:lang w:val="en-AU"/>
        </w:rPr>
        <w:t>)</w:t>
      </w:r>
    </w:p>
    <w:p w14:paraId="404E440F" w14:textId="77777777" w:rsidR="006C3C67" w:rsidRPr="00D85E09" w:rsidRDefault="006C3C67" w:rsidP="0043316B">
      <w:pPr>
        <w:widowControl w:val="0"/>
      </w:pPr>
    </w:p>
    <w:p w14:paraId="1595D4B6" w14:textId="77777777" w:rsidR="006C3C67" w:rsidRPr="00D85E09" w:rsidRDefault="006C3C67" w:rsidP="0043316B">
      <w:pPr>
        <w:pStyle w:val="Heading2"/>
        <w:widowControl w:val="0"/>
        <w:numPr>
          <w:ilvl w:val="1"/>
          <w:numId w:val="32"/>
        </w:numPr>
        <w:ind w:left="851" w:hanging="851"/>
        <w:rPr>
          <w:lang w:val="en-AU"/>
        </w:rPr>
      </w:pPr>
      <w:bookmarkStart w:id="641" w:name="_Toc273301517"/>
      <w:bookmarkStart w:id="642" w:name="_Toc258501807"/>
      <w:bookmarkStart w:id="643" w:name="_Toc358731930"/>
      <w:bookmarkStart w:id="644" w:name="_Toc453065332"/>
      <w:r w:rsidRPr="00D85E09">
        <w:rPr>
          <w:lang w:val="en-AU"/>
        </w:rPr>
        <w:t xml:space="preserve">Estimation of changes in use and cost of </w:t>
      </w:r>
      <w:bookmarkEnd w:id="641"/>
      <w:bookmarkEnd w:id="642"/>
      <w:r w:rsidRPr="00D85E09">
        <w:rPr>
          <w:lang w:val="en-AU"/>
        </w:rPr>
        <w:t>other MBS items</w:t>
      </w:r>
      <w:bookmarkEnd w:id="643"/>
      <w:bookmarkEnd w:id="644"/>
    </w:p>
    <w:p w14:paraId="300DF4C1" w14:textId="5D92B841" w:rsidR="006C3C67" w:rsidRPr="00D85E09" w:rsidRDefault="006C3C67" w:rsidP="0043316B">
      <w:pPr>
        <w:widowControl w:val="0"/>
      </w:pPr>
      <w:r w:rsidRPr="00D85E09">
        <w:t xml:space="preserve">As discussed in Section C.5 above, the cost of general anaesthesia is assumed to be incurred in 36% of patients undergoing MT, while regional sedation is provided in the remaining 64%; generating additional costs to the MBS (see </w:t>
      </w:r>
      <w:r w:rsidRPr="00D85E09">
        <w:fldChar w:fldCharType="begin"/>
      </w:r>
      <w:r w:rsidRPr="00D85E09">
        <w:instrText xml:space="preserve"> REF _Ref399509376 \h  \* MERGEFORMAT </w:instrText>
      </w:r>
      <w:r w:rsidRPr="00D85E09">
        <w:fldChar w:fldCharType="separate"/>
      </w:r>
      <w:r w:rsidR="00A456ED" w:rsidRPr="00D85E09">
        <w:t xml:space="preserve">Table </w:t>
      </w:r>
      <w:r w:rsidR="00A456ED">
        <w:t>109</w:t>
      </w:r>
      <w:r w:rsidRPr="00D85E09">
        <w:fldChar w:fldCharType="end"/>
      </w:r>
      <w:r w:rsidRPr="00D85E09">
        <w:t>). Also, it is assumed that patients will require two additional imaging tests post procedure; whole head digital subtraction angiography (DSA) to assess for emboli</w:t>
      </w:r>
      <w:r w:rsidR="00E56287" w:rsidRPr="00D85E09">
        <w:t>s</w:t>
      </w:r>
      <w:r w:rsidRPr="00D85E09">
        <w:t xml:space="preserve">ation to new brain territory or other complications (MBS item 60009) and leg angiography and management of groin arteriotomy (MBS item 60072); these services are also costed accordingly in </w:t>
      </w:r>
      <w:r w:rsidRPr="00D85E09">
        <w:fldChar w:fldCharType="begin"/>
      </w:r>
      <w:r w:rsidRPr="00D85E09">
        <w:instrText xml:space="preserve"> REF _Ref399509376 \h  \* MERGEFORMAT </w:instrText>
      </w:r>
      <w:r w:rsidRPr="00D85E09">
        <w:fldChar w:fldCharType="separate"/>
      </w:r>
      <w:r w:rsidR="00A456ED" w:rsidRPr="00D85E09">
        <w:t xml:space="preserve">Table </w:t>
      </w:r>
      <w:r w:rsidR="00A456ED">
        <w:t>109</w:t>
      </w:r>
      <w:r w:rsidRPr="00D85E09">
        <w:fldChar w:fldCharType="end"/>
      </w:r>
      <w:r w:rsidRPr="00D85E09">
        <w:t xml:space="preserve"> below. </w:t>
      </w:r>
      <w:r w:rsidRPr="00D85E09">
        <w:br w:type="page"/>
      </w:r>
    </w:p>
    <w:p w14:paraId="22735127" w14:textId="30A8AE09" w:rsidR="006C3C67" w:rsidRPr="00D85E09" w:rsidRDefault="006C3C67" w:rsidP="0043316B">
      <w:pPr>
        <w:pStyle w:val="Caption"/>
        <w:keepNext w:val="0"/>
        <w:widowControl w:val="0"/>
        <w:rPr>
          <w:lang w:val="en-AU"/>
        </w:rPr>
      </w:pPr>
      <w:bookmarkStart w:id="645" w:name="_Ref399509376"/>
      <w:bookmarkStart w:id="646" w:name="_Toc399945207"/>
      <w:bookmarkStart w:id="647" w:name="_Toc400475816"/>
      <w:bookmarkStart w:id="648" w:name="_Toc453065445"/>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109</w:t>
      </w:r>
      <w:r w:rsidRPr="00D85E09">
        <w:rPr>
          <w:lang w:val="en-AU"/>
        </w:rPr>
        <w:fldChar w:fldCharType="end"/>
      </w:r>
      <w:bookmarkEnd w:id="645"/>
      <w:r w:rsidRPr="00D85E09">
        <w:rPr>
          <w:lang w:val="en-AU"/>
        </w:rPr>
        <w:tab/>
        <w:t>Estimated MBS costs of specialist consultations, Year 1 to Year 5 of listing</w:t>
      </w:r>
      <w:bookmarkEnd w:id="646"/>
      <w:bookmarkEnd w:id="647"/>
      <w:bookmarkEnd w:id="648"/>
    </w:p>
    <w:tbl>
      <w:tblPr>
        <w:tblStyle w:val="TableGrid"/>
        <w:tblW w:w="5000" w:type="pct"/>
        <w:tblLook w:val="04A0" w:firstRow="1" w:lastRow="0" w:firstColumn="1" w:lastColumn="0" w:noHBand="0" w:noVBand="1"/>
        <w:tblDescription w:val="Estimated MBS costs of specialist consultations, Year 1 to Year 5 of listing"/>
      </w:tblPr>
      <w:tblGrid>
        <w:gridCol w:w="2954"/>
        <w:gridCol w:w="1208"/>
        <w:gridCol w:w="1210"/>
        <w:gridCol w:w="1210"/>
        <w:gridCol w:w="1210"/>
        <w:gridCol w:w="1212"/>
      </w:tblGrid>
      <w:tr w:rsidR="006C3C67" w:rsidRPr="00D85E09" w14:paraId="4BD594E0" w14:textId="77777777" w:rsidTr="00BE6331">
        <w:trPr>
          <w:tblHeader/>
        </w:trPr>
        <w:tc>
          <w:tcPr>
            <w:tcW w:w="1640" w:type="pct"/>
            <w:tcBorders>
              <w:top w:val="single" w:sz="4" w:space="0" w:color="auto"/>
              <w:left w:val="single" w:sz="4" w:space="0" w:color="auto"/>
              <w:bottom w:val="single" w:sz="4" w:space="0" w:color="auto"/>
              <w:right w:val="single" w:sz="4" w:space="0" w:color="auto"/>
            </w:tcBorders>
            <w:shd w:val="clear" w:color="auto" w:fill="auto"/>
            <w:hideMark/>
          </w:tcPr>
          <w:p w14:paraId="3CFD121F" w14:textId="77777777" w:rsidR="006C3C67" w:rsidRPr="00D85E09" w:rsidRDefault="006C3C67" w:rsidP="0043316B">
            <w:pPr>
              <w:pStyle w:val="Tabletext"/>
              <w:keepNext w:val="0"/>
              <w:widowControl w:val="0"/>
              <w:rPr>
                <w:b/>
              </w:rPr>
            </w:pPr>
            <w:r w:rsidRPr="00D85E09">
              <w:rPr>
                <w:b/>
              </w:rPr>
              <w:t>Caseload scenarios</w:t>
            </w:r>
          </w:p>
        </w:tc>
        <w:tc>
          <w:tcPr>
            <w:tcW w:w="671" w:type="pct"/>
            <w:tcBorders>
              <w:top w:val="single" w:sz="4" w:space="0" w:color="auto"/>
              <w:left w:val="single" w:sz="4" w:space="0" w:color="auto"/>
              <w:bottom w:val="single" w:sz="4" w:space="0" w:color="auto"/>
              <w:right w:val="single" w:sz="4" w:space="0" w:color="auto"/>
            </w:tcBorders>
            <w:shd w:val="clear" w:color="auto" w:fill="auto"/>
            <w:hideMark/>
          </w:tcPr>
          <w:p w14:paraId="53ACF7A4" w14:textId="77777777" w:rsidR="006C3C67" w:rsidRPr="00D85E09" w:rsidRDefault="006C3C67" w:rsidP="0043316B">
            <w:pPr>
              <w:pStyle w:val="Tabletext"/>
              <w:keepNext w:val="0"/>
              <w:widowControl w:val="0"/>
              <w:jc w:val="center"/>
              <w:rPr>
                <w:b/>
              </w:rPr>
            </w:pPr>
            <w:r w:rsidRPr="00D85E09">
              <w:rPr>
                <w:b/>
              </w:rPr>
              <w:t>Year 1</w:t>
            </w:r>
          </w:p>
        </w:tc>
        <w:tc>
          <w:tcPr>
            <w:tcW w:w="672" w:type="pct"/>
            <w:tcBorders>
              <w:top w:val="single" w:sz="4" w:space="0" w:color="auto"/>
              <w:left w:val="single" w:sz="4" w:space="0" w:color="auto"/>
              <w:bottom w:val="single" w:sz="4" w:space="0" w:color="auto"/>
              <w:right w:val="single" w:sz="4" w:space="0" w:color="auto"/>
            </w:tcBorders>
            <w:shd w:val="clear" w:color="auto" w:fill="auto"/>
            <w:hideMark/>
          </w:tcPr>
          <w:p w14:paraId="2DA53A40" w14:textId="77777777" w:rsidR="006C3C67" w:rsidRPr="00D85E09" w:rsidRDefault="006C3C67" w:rsidP="0043316B">
            <w:pPr>
              <w:pStyle w:val="Tabletext"/>
              <w:keepNext w:val="0"/>
              <w:widowControl w:val="0"/>
              <w:jc w:val="center"/>
              <w:rPr>
                <w:b/>
              </w:rPr>
            </w:pPr>
            <w:r w:rsidRPr="00D85E09">
              <w:rPr>
                <w:b/>
              </w:rPr>
              <w:t>Year 2</w:t>
            </w:r>
          </w:p>
        </w:tc>
        <w:tc>
          <w:tcPr>
            <w:tcW w:w="672" w:type="pct"/>
            <w:tcBorders>
              <w:top w:val="single" w:sz="4" w:space="0" w:color="auto"/>
              <w:left w:val="single" w:sz="4" w:space="0" w:color="auto"/>
              <w:bottom w:val="single" w:sz="4" w:space="0" w:color="auto"/>
              <w:right w:val="single" w:sz="4" w:space="0" w:color="auto"/>
            </w:tcBorders>
            <w:shd w:val="clear" w:color="auto" w:fill="auto"/>
            <w:hideMark/>
          </w:tcPr>
          <w:p w14:paraId="36B883C4" w14:textId="77777777" w:rsidR="006C3C67" w:rsidRPr="00D85E09" w:rsidRDefault="006C3C67" w:rsidP="0043316B">
            <w:pPr>
              <w:pStyle w:val="Tabletext"/>
              <w:keepNext w:val="0"/>
              <w:widowControl w:val="0"/>
              <w:jc w:val="center"/>
              <w:rPr>
                <w:b/>
              </w:rPr>
            </w:pPr>
            <w:r w:rsidRPr="00D85E09">
              <w:rPr>
                <w:b/>
              </w:rPr>
              <w:t>Year 3</w:t>
            </w:r>
          </w:p>
        </w:tc>
        <w:tc>
          <w:tcPr>
            <w:tcW w:w="672" w:type="pct"/>
            <w:tcBorders>
              <w:top w:val="single" w:sz="4" w:space="0" w:color="auto"/>
              <w:left w:val="single" w:sz="4" w:space="0" w:color="auto"/>
              <w:bottom w:val="single" w:sz="4" w:space="0" w:color="auto"/>
              <w:right w:val="single" w:sz="4" w:space="0" w:color="auto"/>
            </w:tcBorders>
            <w:shd w:val="clear" w:color="auto" w:fill="auto"/>
            <w:hideMark/>
          </w:tcPr>
          <w:p w14:paraId="5FA3B9DD" w14:textId="77777777" w:rsidR="006C3C67" w:rsidRPr="00D85E09" w:rsidRDefault="006C3C67" w:rsidP="0043316B">
            <w:pPr>
              <w:pStyle w:val="Tabletext"/>
              <w:keepNext w:val="0"/>
              <w:widowControl w:val="0"/>
              <w:jc w:val="center"/>
              <w:rPr>
                <w:b/>
              </w:rPr>
            </w:pPr>
            <w:r w:rsidRPr="00D85E09">
              <w:rPr>
                <w:b/>
              </w:rPr>
              <w:t>Year 4</w:t>
            </w:r>
          </w:p>
        </w:tc>
        <w:tc>
          <w:tcPr>
            <w:tcW w:w="673" w:type="pct"/>
            <w:tcBorders>
              <w:top w:val="single" w:sz="4" w:space="0" w:color="auto"/>
              <w:left w:val="single" w:sz="4" w:space="0" w:color="auto"/>
              <w:bottom w:val="single" w:sz="4" w:space="0" w:color="auto"/>
              <w:right w:val="single" w:sz="4" w:space="0" w:color="auto"/>
            </w:tcBorders>
            <w:shd w:val="clear" w:color="auto" w:fill="auto"/>
            <w:hideMark/>
          </w:tcPr>
          <w:p w14:paraId="271E2DF3" w14:textId="77777777" w:rsidR="006C3C67" w:rsidRPr="00D85E09" w:rsidRDefault="006C3C67" w:rsidP="0043316B">
            <w:pPr>
              <w:pStyle w:val="Tabletext"/>
              <w:keepNext w:val="0"/>
              <w:widowControl w:val="0"/>
              <w:jc w:val="center"/>
              <w:rPr>
                <w:b/>
              </w:rPr>
            </w:pPr>
            <w:r w:rsidRPr="00D85E09">
              <w:rPr>
                <w:b/>
              </w:rPr>
              <w:t>Year 5</w:t>
            </w:r>
          </w:p>
        </w:tc>
      </w:tr>
      <w:tr w:rsidR="006C3C67" w:rsidRPr="00D85E09" w14:paraId="02AC8F76" w14:textId="77777777" w:rsidTr="009C64DD">
        <w:tc>
          <w:tcPr>
            <w:tcW w:w="5000" w:type="pct"/>
            <w:gridSpan w:val="6"/>
            <w:tcBorders>
              <w:top w:val="single" w:sz="4" w:space="0" w:color="auto"/>
              <w:left w:val="single" w:sz="4" w:space="0" w:color="auto"/>
              <w:bottom w:val="single" w:sz="4" w:space="0" w:color="auto"/>
              <w:right w:val="single" w:sz="4" w:space="0" w:color="auto"/>
            </w:tcBorders>
            <w:hideMark/>
          </w:tcPr>
          <w:p w14:paraId="5BBD27CB" w14:textId="77777777" w:rsidR="006C3C67" w:rsidRPr="00D85E09" w:rsidRDefault="006C3C67" w:rsidP="0043316B">
            <w:pPr>
              <w:pStyle w:val="Tabletext"/>
              <w:keepNext w:val="0"/>
              <w:widowControl w:val="0"/>
              <w:rPr>
                <w:b/>
              </w:rPr>
            </w:pPr>
            <w:r w:rsidRPr="00D85E09">
              <w:rPr>
                <w:b/>
              </w:rPr>
              <w:t>Base case scenario</w:t>
            </w:r>
          </w:p>
        </w:tc>
      </w:tr>
      <w:tr w:rsidR="006C3C67" w:rsidRPr="00D85E09" w14:paraId="59F0464F"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310846E2" w14:textId="77777777" w:rsidR="006C3C67" w:rsidRPr="00D85E09" w:rsidRDefault="006C3C67" w:rsidP="0043316B">
            <w:pPr>
              <w:pStyle w:val="Tabletext"/>
              <w:keepNext w:val="0"/>
              <w:widowControl w:val="0"/>
            </w:pPr>
            <w:r w:rsidRPr="00D85E09">
              <w:t xml:space="preserve">Total procedures per year </w:t>
            </w:r>
          </w:p>
        </w:tc>
        <w:tc>
          <w:tcPr>
            <w:tcW w:w="671" w:type="pct"/>
            <w:tcBorders>
              <w:top w:val="single" w:sz="4" w:space="0" w:color="auto"/>
              <w:left w:val="single" w:sz="4" w:space="0" w:color="auto"/>
              <w:bottom w:val="single" w:sz="4" w:space="0" w:color="auto"/>
              <w:right w:val="single" w:sz="4" w:space="0" w:color="auto"/>
            </w:tcBorders>
          </w:tcPr>
          <w:p w14:paraId="25941B9B" w14:textId="77777777" w:rsidR="006C3C67" w:rsidRPr="00D85E09" w:rsidRDefault="006C3C67" w:rsidP="0043316B">
            <w:pPr>
              <w:pStyle w:val="Tabletext"/>
              <w:keepNext w:val="0"/>
              <w:widowControl w:val="0"/>
            </w:pPr>
            <w:r w:rsidRPr="00D85E09">
              <w:t>78</w:t>
            </w:r>
          </w:p>
        </w:tc>
        <w:tc>
          <w:tcPr>
            <w:tcW w:w="672" w:type="pct"/>
            <w:tcBorders>
              <w:top w:val="single" w:sz="4" w:space="0" w:color="auto"/>
              <w:left w:val="single" w:sz="4" w:space="0" w:color="auto"/>
              <w:bottom w:val="single" w:sz="4" w:space="0" w:color="auto"/>
              <w:right w:val="single" w:sz="4" w:space="0" w:color="auto"/>
            </w:tcBorders>
          </w:tcPr>
          <w:p w14:paraId="3DF3C913" w14:textId="77777777" w:rsidR="006C3C67" w:rsidRPr="00D85E09" w:rsidRDefault="006C3C67" w:rsidP="0043316B">
            <w:pPr>
              <w:pStyle w:val="Tabletext"/>
              <w:keepNext w:val="0"/>
              <w:widowControl w:val="0"/>
            </w:pPr>
            <w:r w:rsidRPr="00D85E09">
              <w:t>96</w:t>
            </w:r>
          </w:p>
        </w:tc>
        <w:tc>
          <w:tcPr>
            <w:tcW w:w="672" w:type="pct"/>
            <w:tcBorders>
              <w:top w:val="single" w:sz="4" w:space="0" w:color="auto"/>
              <w:left w:val="single" w:sz="4" w:space="0" w:color="auto"/>
              <w:bottom w:val="single" w:sz="4" w:space="0" w:color="auto"/>
              <w:right w:val="single" w:sz="4" w:space="0" w:color="auto"/>
            </w:tcBorders>
          </w:tcPr>
          <w:p w14:paraId="4C75A77B" w14:textId="77777777" w:rsidR="006C3C67" w:rsidRPr="00D85E09" w:rsidRDefault="006C3C67" w:rsidP="0043316B">
            <w:pPr>
              <w:pStyle w:val="Tabletext"/>
              <w:keepNext w:val="0"/>
              <w:widowControl w:val="0"/>
            </w:pPr>
            <w:r w:rsidRPr="00D85E09">
              <w:t>114</w:t>
            </w:r>
          </w:p>
        </w:tc>
        <w:tc>
          <w:tcPr>
            <w:tcW w:w="672" w:type="pct"/>
            <w:tcBorders>
              <w:top w:val="single" w:sz="4" w:space="0" w:color="auto"/>
              <w:left w:val="single" w:sz="4" w:space="0" w:color="auto"/>
              <w:bottom w:val="single" w:sz="4" w:space="0" w:color="auto"/>
              <w:right w:val="single" w:sz="4" w:space="0" w:color="auto"/>
            </w:tcBorders>
          </w:tcPr>
          <w:p w14:paraId="58A701C2" w14:textId="77777777" w:rsidR="006C3C67" w:rsidRPr="00D85E09" w:rsidRDefault="006C3C67" w:rsidP="0043316B">
            <w:pPr>
              <w:pStyle w:val="Tabletext"/>
              <w:keepNext w:val="0"/>
              <w:widowControl w:val="0"/>
            </w:pPr>
            <w:r w:rsidRPr="00D85E09">
              <w:t>132</w:t>
            </w:r>
          </w:p>
        </w:tc>
        <w:tc>
          <w:tcPr>
            <w:tcW w:w="673" w:type="pct"/>
            <w:tcBorders>
              <w:top w:val="single" w:sz="4" w:space="0" w:color="auto"/>
              <w:left w:val="single" w:sz="4" w:space="0" w:color="auto"/>
              <w:bottom w:val="single" w:sz="4" w:space="0" w:color="auto"/>
              <w:right w:val="single" w:sz="4" w:space="0" w:color="auto"/>
            </w:tcBorders>
          </w:tcPr>
          <w:p w14:paraId="19FB54C8" w14:textId="77777777" w:rsidR="006C3C67" w:rsidRPr="00D85E09" w:rsidRDefault="006C3C67" w:rsidP="0043316B">
            <w:pPr>
              <w:pStyle w:val="Tabletext"/>
              <w:keepNext w:val="0"/>
              <w:widowControl w:val="0"/>
            </w:pPr>
            <w:r w:rsidRPr="00D85E09">
              <w:t>150</w:t>
            </w:r>
          </w:p>
        </w:tc>
      </w:tr>
      <w:tr w:rsidR="006C3C67" w:rsidRPr="00D85E09" w14:paraId="2D3F66CE"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71C633BD" w14:textId="77777777" w:rsidR="006C3C67" w:rsidRPr="00D85E09" w:rsidRDefault="006C3C67" w:rsidP="0043316B">
            <w:pPr>
              <w:pStyle w:val="Tabletext"/>
              <w:keepNext w:val="0"/>
              <w:widowControl w:val="0"/>
            </w:pPr>
            <w:r w:rsidRPr="00D85E09">
              <w:rPr>
                <w:i/>
              </w:rPr>
              <w:t>Anaesthesia</w:t>
            </w:r>
          </w:p>
        </w:tc>
        <w:tc>
          <w:tcPr>
            <w:tcW w:w="671" w:type="pct"/>
            <w:tcBorders>
              <w:top w:val="single" w:sz="4" w:space="0" w:color="auto"/>
              <w:left w:val="single" w:sz="4" w:space="0" w:color="auto"/>
              <w:bottom w:val="single" w:sz="4" w:space="0" w:color="auto"/>
              <w:right w:val="single" w:sz="4" w:space="0" w:color="auto"/>
            </w:tcBorders>
          </w:tcPr>
          <w:p w14:paraId="5BBBE134"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51BB785B"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20052D8D"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01B142AF" w14:textId="77777777" w:rsidR="006C3C67" w:rsidRPr="00D85E09" w:rsidRDefault="006C3C67" w:rsidP="0043316B">
            <w:pPr>
              <w:pStyle w:val="Tabletext"/>
              <w:keepNext w:val="0"/>
              <w:widowControl w:val="0"/>
            </w:pPr>
          </w:p>
        </w:tc>
        <w:tc>
          <w:tcPr>
            <w:tcW w:w="673" w:type="pct"/>
            <w:tcBorders>
              <w:top w:val="single" w:sz="4" w:space="0" w:color="auto"/>
              <w:left w:val="single" w:sz="4" w:space="0" w:color="auto"/>
              <w:bottom w:val="single" w:sz="4" w:space="0" w:color="auto"/>
              <w:right w:val="single" w:sz="4" w:space="0" w:color="auto"/>
            </w:tcBorders>
          </w:tcPr>
          <w:p w14:paraId="0857D97E" w14:textId="77777777" w:rsidR="006C3C67" w:rsidRPr="00D85E09" w:rsidRDefault="006C3C67" w:rsidP="0043316B">
            <w:pPr>
              <w:pStyle w:val="Tabletext"/>
              <w:keepNext w:val="0"/>
              <w:widowControl w:val="0"/>
            </w:pPr>
          </w:p>
        </w:tc>
      </w:tr>
      <w:tr w:rsidR="006C3C67" w:rsidRPr="00D85E09" w14:paraId="029D54E2"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7457C7DD" w14:textId="77777777" w:rsidR="006C3C67" w:rsidRPr="00D85E09" w:rsidRDefault="006C3C67" w:rsidP="0043316B">
            <w:pPr>
              <w:pStyle w:val="Tabletext"/>
              <w:keepNext w:val="0"/>
              <w:widowControl w:val="0"/>
              <w:ind w:left="167"/>
            </w:pPr>
            <w:r w:rsidRPr="00D85E09">
              <w:rPr>
                <w:rFonts w:eastAsia="Calibri"/>
              </w:rPr>
              <w:t xml:space="preserve">General anaesthesia </w:t>
            </w:r>
            <w:r w:rsidRPr="00D85E09">
              <w:rPr>
                <w:i/>
              </w:rPr>
              <w:t>(only relevant to 36% of patients)</w:t>
            </w:r>
          </w:p>
        </w:tc>
        <w:tc>
          <w:tcPr>
            <w:tcW w:w="671" w:type="pct"/>
            <w:tcBorders>
              <w:top w:val="single" w:sz="4" w:space="0" w:color="auto"/>
              <w:left w:val="single" w:sz="4" w:space="0" w:color="auto"/>
              <w:bottom w:val="single" w:sz="4" w:space="0" w:color="auto"/>
              <w:right w:val="single" w:sz="4" w:space="0" w:color="auto"/>
            </w:tcBorders>
          </w:tcPr>
          <w:p w14:paraId="669B4E79"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6F1E70D0"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7DDADB3D"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5019A0C8" w14:textId="77777777" w:rsidR="006C3C67" w:rsidRPr="00D85E09" w:rsidRDefault="006C3C67" w:rsidP="0043316B">
            <w:pPr>
              <w:pStyle w:val="Tabletext"/>
              <w:keepNext w:val="0"/>
              <w:widowControl w:val="0"/>
            </w:pPr>
          </w:p>
        </w:tc>
        <w:tc>
          <w:tcPr>
            <w:tcW w:w="673" w:type="pct"/>
            <w:tcBorders>
              <w:top w:val="single" w:sz="4" w:space="0" w:color="auto"/>
              <w:left w:val="single" w:sz="4" w:space="0" w:color="auto"/>
              <w:bottom w:val="single" w:sz="4" w:space="0" w:color="auto"/>
              <w:right w:val="single" w:sz="4" w:space="0" w:color="auto"/>
            </w:tcBorders>
          </w:tcPr>
          <w:p w14:paraId="0239E89C" w14:textId="77777777" w:rsidR="006C3C67" w:rsidRPr="00D85E09" w:rsidRDefault="006C3C67" w:rsidP="0043316B">
            <w:pPr>
              <w:pStyle w:val="Tabletext"/>
              <w:keepNext w:val="0"/>
              <w:widowControl w:val="0"/>
            </w:pPr>
          </w:p>
        </w:tc>
      </w:tr>
      <w:tr w:rsidR="006C3C67" w:rsidRPr="00D85E09" w14:paraId="453B6070"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68CE1C05" w14:textId="77777777" w:rsidR="006C3C67" w:rsidRPr="00D85E09" w:rsidRDefault="006C3C67" w:rsidP="0043316B">
            <w:pPr>
              <w:pStyle w:val="Tabletext"/>
              <w:keepNext w:val="0"/>
              <w:widowControl w:val="0"/>
              <w:ind w:left="284"/>
            </w:pPr>
            <w:r w:rsidRPr="00D85E09">
              <w:t>Initiation of management (MBS item 20210)</w:t>
            </w:r>
          </w:p>
        </w:tc>
        <w:tc>
          <w:tcPr>
            <w:tcW w:w="671" w:type="pct"/>
            <w:tcBorders>
              <w:top w:val="single" w:sz="4" w:space="0" w:color="auto"/>
              <w:left w:val="single" w:sz="4" w:space="0" w:color="auto"/>
              <w:bottom w:val="single" w:sz="4" w:space="0" w:color="auto"/>
              <w:right w:val="single" w:sz="4" w:space="0" w:color="auto"/>
            </w:tcBorders>
          </w:tcPr>
          <w:p w14:paraId="4615EC50" w14:textId="77777777" w:rsidR="006C3C67" w:rsidRPr="00D85E09" w:rsidRDefault="006C3C67" w:rsidP="0043316B">
            <w:pPr>
              <w:pStyle w:val="Tabletext"/>
              <w:keepNext w:val="0"/>
              <w:widowControl w:val="0"/>
            </w:pPr>
            <w:r w:rsidRPr="00D85E09">
              <w:t>$8,340</w:t>
            </w:r>
          </w:p>
        </w:tc>
        <w:tc>
          <w:tcPr>
            <w:tcW w:w="672" w:type="pct"/>
            <w:tcBorders>
              <w:top w:val="single" w:sz="4" w:space="0" w:color="auto"/>
              <w:left w:val="single" w:sz="4" w:space="0" w:color="auto"/>
              <w:bottom w:val="single" w:sz="4" w:space="0" w:color="auto"/>
              <w:right w:val="single" w:sz="4" w:space="0" w:color="auto"/>
            </w:tcBorders>
          </w:tcPr>
          <w:p w14:paraId="52179EF7" w14:textId="77777777" w:rsidR="006C3C67" w:rsidRPr="00D85E09" w:rsidRDefault="006C3C67" w:rsidP="0043316B">
            <w:pPr>
              <w:pStyle w:val="Tabletext"/>
              <w:keepNext w:val="0"/>
              <w:widowControl w:val="0"/>
            </w:pPr>
            <w:r w:rsidRPr="00D85E09">
              <w:t>$10,264</w:t>
            </w:r>
          </w:p>
        </w:tc>
        <w:tc>
          <w:tcPr>
            <w:tcW w:w="672" w:type="pct"/>
            <w:tcBorders>
              <w:top w:val="single" w:sz="4" w:space="0" w:color="auto"/>
              <w:left w:val="single" w:sz="4" w:space="0" w:color="auto"/>
              <w:bottom w:val="single" w:sz="4" w:space="0" w:color="auto"/>
              <w:right w:val="single" w:sz="4" w:space="0" w:color="auto"/>
            </w:tcBorders>
          </w:tcPr>
          <w:p w14:paraId="6F3A44C4" w14:textId="77777777" w:rsidR="006C3C67" w:rsidRPr="00D85E09" w:rsidRDefault="006C3C67" w:rsidP="0043316B">
            <w:pPr>
              <w:pStyle w:val="Tabletext"/>
              <w:keepNext w:val="0"/>
              <w:widowControl w:val="0"/>
            </w:pPr>
            <w:r w:rsidRPr="00D85E09">
              <w:t>$12,189</w:t>
            </w:r>
          </w:p>
        </w:tc>
        <w:tc>
          <w:tcPr>
            <w:tcW w:w="672" w:type="pct"/>
            <w:tcBorders>
              <w:top w:val="single" w:sz="4" w:space="0" w:color="auto"/>
              <w:left w:val="single" w:sz="4" w:space="0" w:color="auto"/>
              <w:bottom w:val="single" w:sz="4" w:space="0" w:color="auto"/>
              <w:right w:val="single" w:sz="4" w:space="0" w:color="auto"/>
            </w:tcBorders>
          </w:tcPr>
          <w:p w14:paraId="296D07A5" w14:textId="77777777" w:rsidR="006C3C67" w:rsidRPr="00D85E09" w:rsidRDefault="006C3C67" w:rsidP="0043316B">
            <w:pPr>
              <w:pStyle w:val="Tabletext"/>
              <w:keepNext w:val="0"/>
              <w:widowControl w:val="0"/>
            </w:pPr>
            <w:r w:rsidRPr="00D85E09">
              <w:t>$14,113</w:t>
            </w:r>
          </w:p>
        </w:tc>
        <w:tc>
          <w:tcPr>
            <w:tcW w:w="673" w:type="pct"/>
            <w:tcBorders>
              <w:top w:val="single" w:sz="4" w:space="0" w:color="auto"/>
              <w:left w:val="single" w:sz="4" w:space="0" w:color="auto"/>
              <w:bottom w:val="single" w:sz="4" w:space="0" w:color="auto"/>
              <w:right w:val="single" w:sz="4" w:space="0" w:color="auto"/>
            </w:tcBorders>
          </w:tcPr>
          <w:p w14:paraId="56CB02E8" w14:textId="77777777" w:rsidR="006C3C67" w:rsidRPr="00D85E09" w:rsidRDefault="006C3C67" w:rsidP="0043316B">
            <w:pPr>
              <w:pStyle w:val="Tabletext"/>
              <w:keepNext w:val="0"/>
              <w:widowControl w:val="0"/>
            </w:pPr>
            <w:r w:rsidRPr="00D85E09">
              <w:t>$16,038</w:t>
            </w:r>
          </w:p>
        </w:tc>
      </w:tr>
      <w:tr w:rsidR="006C3C67" w:rsidRPr="00D85E09" w14:paraId="6A4BF369"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11EF8095" w14:textId="77777777" w:rsidR="006C3C67" w:rsidRPr="00D85E09" w:rsidRDefault="006C3C67" w:rsidP="0043316B">
            <w:pPr>
              <w:pStyle w:val="Tabletext"/>
              <w:keepNext w:val="0"/>
              <w:widowControl w:val="0"/>
              <w:ind w:left="284"/>
            </w:pPr>
            <w:r w:rsidRPr="00D85E09">
              <w:t>Intra-arterial cannulation (MBS item 22025)</w:t>
            </w:r>
          </w:p>
        </w:tc>
        <w:tc>
          <w:tcPr>
            <w:tcW w:w="671" w:type="pct"/>
            <w:tcBorders>
              <w:top w:val="single" w:sz="4" w:space="0" w:color="auto"/>
              <w:left w:val="single" w:sz="4" w:space="0" w:color="auto"/>
              <w:bottom w:val="single" w:sz="4" w:space="0" w:color="auto"/>
              <w:right w:val="single" w:sz="4" w:space="0" w:color="auto"/>
            </w:tcBorders>
          </w:tcPr>
          <w:p w14:paraId="2C248A14" w14:textId="77777777" w:rsidR="006C3C67" w:rsidRPr="00D85E09" w:rsidRDefault="006C3C67" w:rsidP="0043316B">
            <w:pPr>
              <w:pStyle w:val="Tabletext"/>
              <w:keepNext w:val="0"/>
              <w:widowControl w:val="0"/>
            </w:pPr>
            <w:r w:rsidRPr="00D85E09">
              <w:t>$2,224</w:t>
            </w:r>
          </w:p>
        </w:tc>
        <w:tc>
          <w:tcPr>
            <w:tcW w:w="672" w:type="pct"/>
            <w:tcBorders>
              <w:top w:val="single" w:sz="4" w:space="0" w:color="auto"/>
              <w:left w:val="single" w:sz="4" w:space="0" w:color="auto"/>
              <w:bottom w:val="single" w:sz="4" w:space="0" w:color="auto"/>
              <w:right w:val="single" w:sz="4" w:space="0" w:color="auto"/>
            </w:tcBorders>
          </w:tcPr>
          <w:p w14:paraId="10D1F2B7" w14:textId="77777777" w:rsidR="006C3C67" w:rsidRPr="00D85E09" w:rsidRDefault="006C3C67" w:rsidP="0043316B">
            <w:pPr>
              <w:pStyle w:val="Tabletext"/>
              <w:keepNext w:val="0"/>
              <w:widowControl w:val="0"/>
            </w:pPr>
            <w:r w:rsidRPr="00D85E09">
              <w:t>$2,737</w:t>
            </w:r>
          </w:p>
        </w:tc>
        <w:tc>
          <w:tcPr>
            <w:tcW w:w="672" w:type="pct"/>
            <w:tcBorders>
              <w:top w:val="single" w:sz="4" w:space="0" w:color="auto"/>
              <w:left w:val="single" w:sz="4" w:space="0" w:color="auto"/>
              <w:bottom w:val="single" w:sz="4" w:space="0" w:color="auto"/>
              <w:right w:val="single" w:sz="4" w:space="0" w:color="auto"/>
            </w:tcBorders>
          </w:tcPr>
          <w:p w14:paraId="61591AF7" w14:textId="77777777" w:rsidR="006C3C67" w:rsidRPr="00D85E09" w:rsidRDefault="006C3C67" w:rsidP="0043316B">
            <w:pPr>
              <w:pStyle w:val="Tabletext"/>
              <w:keepNext w:val="0"/>
              <w:widowControl w:val="0"/>
            </w:pPr>
            <w:r w:rsidRPr="00D85E09">
              <w:t>$3,250</w:t>
            </w:r>
          </w:p>
        </w:tc>
        <w:tc>
          <w:tcPr>
            <w:tcW w:w="672" w:type="pct"/>
            <w:tcBorders>
              <w:top w:val="single" w:sz="4" w:space="0" w:color="auto"/>
              <w:left w:val="single" w:sz="4" w:space="0" w:color="auto"/>
              <w:bottom w:val="single" w:sz="4" w:space="0" w:color="auto"/>
              <w:right w:val="single" w:sz="4" w:space="0" w:color="auto"/>
            </w:tcBorders>
          </w:tcPr>
          <w:p w14:paraId="326C5052" w14:textId="77777777" w:rsidR="006C3C67" w:rsidRPr="00D85E09" w:rsidRDefault="006C3C67" w:rsidP="0043316B">
            <w:pPr>
              <w:pStyle w:val="Tabletext"/>
              <w:keepNext w:val="0"/>
              <w:widowControl w:val="0"/>
            </w:pPr>
            <w:r w:rsidRPr="00D85E09">
              <w:t>$3,764</w:t>
            </w:r>
          </w:p>
        </w:tc>
        <w:tc>
          <w:tcPr>
            <w:tcW w:w="673" w:type="pct"/>
            <w:tcBorders>
              <w:top w:val="single" w:sz="4" w:space="0" w:color="auto"/>
              <w:left w:val="single" w:sz="4" w:space="0" w:color="auto"/>
              <w:bottom w:val="single" w:sz="4" w:space="0" w:color="auto"/>
              <w:right w:val="single" w:sz="4" w:space="0" w:color="auto"/>
            </w:tcBorders>
          </w:tcPr>
          <w:p w14:paraId="0052246C" w14:textId="77777777" w:rsidR="006C3C67" w:rsidRPr="00D85E09" w:rsidRDefault="006C3C67" w:rsidP="0043316B">
            <w:pPr>
              <w:pStyle w:val="Tabletext"/>
              <w:keepNext w:val="0"/>
              <w:widowControl w:val="0"/>
            </w:pPr>
            <w:r w:rsidRPr="00D85E09">
              <w:t>$4,277</w:t>
            </w:r>
          </w:p>
        </w:tc>
      </w:tr>
      <w:tr w:rsidR="006C3C67" w:rsidRPr="00D85E09" w14:paraId="70EEE11F"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7EC5FB7A" w14:textId="77777777" w:rsidR="006C3C67" w:rsidRPr="00D85E09" w:rsidRDefault="006C3C67" w:rsidP="0043316B">
            <w:pPr>
              <w:pStyle w:val="Tabletext"/>
              <w:keepNext w:val="0"/>
              <w:widowControl w:val="0"/>
              <w:ind w:left="284"/>
            </w:pPr>
            <w:r w:rsidRPr="00D85E09">
              <w:rPr>
                <w:rFonts w:eastAsia="Calibri"/>
              </w:rPr>
              <w:t>Management of anaesthesia (MBS items 23403)</w:t>
            </w:r>
          </w:p>
        </w:tc>
        <w:tc>
          <w:tcPr>
            <w:tcW w:w="671" w:type="pct"/>
            <w:tcBorders>
              <w:top w:val="single" w:sz="4" w:space="0" w:color="auto"/>
              <w:left w:val="single" w:sz="4" w:space="0" w:color="auto"/>
              <w:bottom w:val="single" w:sz="4" w:space="0" w:color="auto"/>
              <w:right w:val="single" w:sz="4" w:space="0" w:color="auto"/>
            </w:tcBorders>
          </w:tcPr>
          <w:p w14:paraId="0C4D7AF9" w14:textId="77777777" w:rsidR="006C3C67" w:rsidRPr="00D85E09" w:rsidRDefault="006C3C67" w:rsidP="0043316B">
            <w:pPr>
              <w:pStyle w:val="Tabletext"/>
              <w:keepNext w:val="0"/>
              <w:widowControl w:val="0"/>
            </w:pPr>
            <w:r w:rsidRPr="00D85E09">
              <w:t>$2,224</w:t>
            </w:r>
          </w:p>
        </w:tc>
        <w:tc>
          <w:tcPr>
            <w:tcW w:w="672" w:type="pct"/>
            <w:tcBorders>
              <w:top w:val="single" w:sz="4" w:space="0" w:color="auto"/>
              <w:left w:val="single" w:sz="4" w:space="0" w:color="auto"/>
              <w:bottom w:val="single" w:sz="4" w:space="0" w:color="auto"/>
              <w:right w:val="single" w:sz="4" w:space="0" w:color="auto"/>
            </w:tcBorders>
          </w:tcPr>
          <w:p w14:paraId="13735B7B" w14:textId="77777777" w:rsidR="006C3C67" w:rsidRPr="00D85E09" w:rsidRDefault="006C3C67" w:rsidP="0043316B">
            <w:pPr>
              <w:pStyle w:val="Tabletext"/>
              <w:keepNext w:val="0"/>
              <w:widowControl w:val="0"/>
            </w:pPr>
            <w:r w:rsidRPr="00D85E09">
              <w:t>$2,737</w:t>
            </w:r>
          </w:p>
        </w:tc>
        <w:tc>
          <w:tcPr>
            <w:tcW w:w="672" w:type="pct"/>
            <w:tcBorders>
              <w:top w:val="single" w:sz="4" w:space="0" w:color="auto"/>
              <w:left w:val="single" w:sz="4" w:space="0" w:color="auto"/>
              <w:bottom w:val="single" w:sz="4" w:space="0" w:color="auto"/>
              <w:right w:val="single" w:sz="4" w:space="0" w:color="auto"/>
            </w:tcBorders>
          </w:tcPr>
          <w:p w14:paraId="4B8939ED" w14:textId="77777777" w:rsidR="006C3C67" w:rsidRPr="00D85E09" w:rsidRDefault="006C3C67" w:rsidP="0043316B">
            <w:pPr>
              <w:pStyle w:val="Tabletext"/>
              <w:keepNext w:val="0"/>
              <w:widowControl w:val="0"/>
            </w:pPr>
            <w:r w:rsidRPr="00D85E09">
              <w:t>$3,250</w:t>
            </w:r>
          </w:p>
        </w:tc>
        <w:tc>
          <w:tcPr>
            <w:tcW w:w="672" w:type="pct"/>
            <w:tcBorders>
              <w:top w:val="single" w:sz="4" w:space="0" w:color="auto"/>
              <w:left w:val="single" w:sz="4" w:space="0" w:color="auto"/>
              <w:bottom w:val="single" w:sz="4" w:space="0" w:color="auto"/>
              <w:right w:val="single" w:sz="4" w:space="0" w:color="auto"/>
            </w:tcBorders>
          </w:tcPr>
          <w:p w14:paraId="6A80146F" w14:textId="77777777" w:rsidR="006C3C67" w:rsidRPr="00D85E09" w:rsidRDefault="006C3C67" w:rsidP="0043316B">
            <w:pPr>
              <w:pStyle w:val="Tabletext"/>
              <w:keepNext w:val="0"/>
              <w:widowControl w:val="0"/>
            </w:pPr>
            <w:r w:rsidRPr="00D85E09">
              <w:t>$3,764</w:t>
            </w:r>
          </w:p>
        </w:tc>
        <w:tc>
          <w:tcPr>
            <w:tcW w:w="673" w:type="pct"/>
            <w:tcBorders>
              <w:top w:val="single" w:sz="4" w:space="0" w:color="auto"/>
              <w:left w:val="single" w:sz="4" w:space="0" w:color="auto"/>
              <w:bottom w:val="single" w:sz="4" w:space="0" w:color="auto"/>
              <w:right w:val="single" w:sz="4" w:space="0" w:color="auto"/>
            </w:tcBorders>
          </w:tcPr>
          <w:p w14:paraId="4E9CD046" w14:textId="77777777" w:rsidR="006C3C67" w:rsidRPr="00D85E09" w:rsidRDefault="006C3C67" w:rsidP="0043316B">
            <w:pPr>
              <w:pStyle w:val="Tabletext"/>
              <w:keepNext w:val="0"/>
              <w:widowControl w:val="0"/>
            </w:pPr>
            <w:r w:rsidRPr="00D85E09">
              <w:t>$4,277</w:t>
            </w:r>
          </w:p>
        </w:tc>
      </w:tr>
      <w:tr w:rsidR="006C3C67" w:rsidRPr="00D85E09" w14:paraId="704117AA"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173F5E59" w14:textId="77777777" w:rsidR="006C3C67" w:rsidRPr="00D85E09" w:rsidRDefault="006C3C67" w:rsidP="0043316B">
            <w:pPr>
              <w:pStyle w:val="Tabletext"/>
              <w:keepNext w:val="0"/>
              <w:widowControl w:val="0"/>
              <w:ind w:left="284"/>
            </w:pPr>
            <w:r w:rsidRPr="00D85E09">
              <w:rPr>
                <w:rFonts w:eastAsia="Calibri"/>
              </w:rPr>
              <w:t>Blood pressure monitoring (MBS item 22012 or 22014)</w:t>
            </w:r>
          </w:p>
        </w:tc>
        <w:tc>
          <w:tcPr>
            <w:tcW w:w="671" w:type="pct"/>
            <w:tcBorders>
              <w:top w:val="single" w:sz="4" w:space="0" w:color="auto"/>
              <w:left w:val="single" w:sz="4" w:space="0" w:color="auto"/>
              <w:bottom w:val="single" w:sz="4" w:space="0" w:color="auto"/>
              <w:right w:val="single" w:sz="4" w:space="0" w:color="auto"/>
            </w:tcBorders>
          </w:tcPr>
          <w:p w14:paraId="75132803" w14:textId="77777777" w:rsidR="006C3C67" w:rsidRPr="00D85E09" w:rsidRDefault="006C3C67" w:rsidP="0043316B">
            <w:pPr>
              <w:pStyle w:val="Tabletext"/>
              <w:keepNext w:val="0"/>
              <w:widowControl w:val="0"/>
            </w:pPr>
            <w:r w:rsidRPr="00D85E09">
              <w:t>$1,668</w:t>
            </w:r>
          </w:p>
        </w:tc>
        <w:tc>
          <w:tcPr>
            <w:tcW w:w="672" w:type="pct"/>
            <w:tcBorders>
              <w:top w:val="single" w:sz="4" w:space="0" w:color="auto"/>
              <w:left w:val="single" w:sz="4" w:space="0" w:color="auto"/>
              <w:bottom w:val="single" w:sz="4" w:space="0" w:color="auto"/>
              <w:right w:val="single" w:sz="4" w:space="0" w:color="auto"/>
            </w:tcBorders>
          </w:tcPr>
          <w:p w14:paraId="7AF2F751" w14:textId="77777777" w:rsidR="006C3C67" w:rsidRPr="00D85E09" w:rsidRDefault="006C3C67" w:rsidP="0043316B">
            <w:pPr>
              <w:pStyle w:val="Tabletext"/>
              <w:keepNext w:val="0"/>
              <w:widowControl w:val="0"/>
            </w:pPr>
            <w:r w:rsidRPr="00D85E09">
              <w:t>$2,053</w:t>
            </w:r>
          </w:p>
        </w:tc>
        <w:tc>
          <w:tcPr>
            <w:tcW w:w="672" w:type="pct"/>
            <w:tcBorders>
              <w:top w:val="single" w:sz="4" w:space="0" w:color="auto"/>
              <w:left w:val="single" w:sz="4" w:space="0" w:color="auto"/>
              <w:bottom w:val="single" w:sz="4" w:space="0" w:color="auto"/>
              <w:right w:val="single" w:sz="4" w:space="0" w:color="auto"/>
            </w:tcBorders>
          </w:tcPr>
          <w:p w14:paraId="5606E4EC" w14:textId="77777777" w:rsidR="006C3C67" w:rsidRPr="00D85E09" w:rsidRDefault="006C3C67" w:rsidP="0043316B">
            <w:pPr>
              <w:pStyle w:val="Tabletext"/>
              <w:keepNext w:val="0"/>
              <w:widowControl w:val="0"/>
            </w:pPr>
            <w:r w:rsidRPr="00D85E09">
              <w:t>$2,438</w:t>
            </w:r>
          </w:p>
        </w:tc>
        <w:tc>
          <w:tcPr>
            <w:tcW w:w="672" w:type="pct"/>
            <w:tcBorders>
              <w:top w:val="single" w:sz="4" w:space="0" w:color="auto"/>
              <w:left w:val="single" w:sz="4" w:space="0" w:color="auto"/>
              <w:bottom w:val="single" w:sz="4" w:space="0" w:color="auto"/>
              <w:right w:val="single" w:sz="4" w:space="0" w:color="auto"/>
            </w:tcBorders>
          </w:tcPr>
          <w:p w14:paraId="61890D5F" w14:textId="77777777" w:rsidR="006C3C67" w:rsidRPr="00D85E09" w:rsidRDefault="006C3C67" w:rsidP="0043316B">
            <w:pPr>
              <w:pStyle w:val="Tabletext"/>
              <w:keepNext w:val="0"/>
              <w:widowControl w:val="0"/>
            </w:pPr>
            <w:r w:rsidRPr="00D85E09">
              <w:t>$2,823</w:t>
            </w:r>
          </w:p>
        </w:tc>
        <w:tc>
          <w:tcPr>
            <w:tcW w:w="673" w:type="pct"/>
            <w:tcBorders>
              <w:top w:val="single" w:sz="4" w:space="0" w:color="auto"/>
              <w:left w:val="single" w:sz="4" w:space="0" w:color="auto"/>
              <w:bottom w:val="single" w:sz="4" w:space="0" w:color="auto"/>
              <w:right w:val="single" w:sz="4" w:space="0" w:color="auto"/>
            </w:tcBorders>
          </w:tcPr>
          <w:p w14:paraId="61D2D4F8" w14:textId="77777777" w:rsidR="006C3C67" w:rsidRPr="00D85E09" w:rsidRDefault="006C3C67" w:rsidP="0043316B">
            <w:pPr>
              <w:pStyle w:val="Tabletext"/>
              <w:keepNext w:val="0"/>
              <w:widowControl w:val="0"/>
            </w:pPr>
            <w:r w:rsidRPr="00D85E09">
              <w:t>$3,208</w:t>
            </w:r>
          </w:p>
        </w:tc>
      </w:tr>
      <w:tr w:rsidR="006C3C67" w:rsidRPr="00D85E09" w14:paraId="72146EDD" w14:textId="77777777" w:rsidTr="009C64DD">
        <w:tc>
          <w:tcPr>
            <w:tcW w:w="1640" w:type="pct"/>
            <w:tcBorders>
              <w:top w:val="single" w:sz="4" w:space="0" w:color="auto"/>
              <w:left w:val="single" w:sz="4" w:space="0" w:color="auto"/>
              <w:bottom w:val="single" w:sz="4" w:space="0" w:color="auto"/>
              <w:right w:val="single" w:sz="4" w:space="0" w:color="auto"/>
            </w:tcBorders>
          </w:tcPr>
          <w:p w14:paraId="0C35D257" w14:textId="77777777" w:rsidR="006C3C67" w:rsidRPr="00D85E09" w:rsidRDefault="006C3C67" w:rsidP="0043316B">
            <w:pPr>
              <w:pStyle w:val="Tabletext"/>
              <w:keepNext w:val="0"/>
              <w:widowControl w:val="0"/>
              <w:ind w:left="284"/>
              <w:rPr>
                <w:rFonts w:eastAsia="Calibri"/>
              </w:rPr>
            </w:pPr>
            <w:r w:rsidRPr="00D85E09">
              <w:rPr>
                <w:rFonts w:eastAsia="Calibri"/>
              </w:rPr>
              <w:t>Assistence (MBS item 25015)</w:t>
            </w:r>
          </w:p>
        </w:tc>
        <w:tc>
          <w:tcPr>
            <w:tcW w:w="671" w:type="pct"/>
            <w:tcBorders>
              <w:top w:val="single" w:sz="4" w:space="0" w:color="auto"/>
              <w:left w:val="single" w:sz="4" w:space="0" w:color="auto"/>
              <w:bottom w:val="single" w:sz="4" w:space="0" w:color="auto"/>
              <w:right w:val="single" w:sz="4" w:space="0" w:color="auto"/>
            </w:tcBorders>
          </w:tcPr>
          <w:p w14:paraId="07D31792" w14:textId="77777777" w:rsidR="006C3C67" w:rsidRPr="00D85E09" w:rsidRDefault="006C3C67" w:rsidP="0043316B">
            <w:pPr>
              <w:pStyle w:val="Tabletext"/>
              <w:keepNext w:val="0"/>
              <w:widowControl w:val="0"/>
            </w:pPr>
            <w:r w:rsidRPr="00D85E09">
              <w:t>$556</w:t>
            </w:r>
          </w:p>
        </w:tc>
        <w:tc>
          <w:tcPr>
            <w:tcW w:w="672" w:type="pct"/>
            <w:tcBorders>
              <w:top w:val="single" w:sz="4" w:space="0" w:color="auto"/>
              <w:left w:val="single" w:sz="4" w:space="0" w:color="auto"/>
              <w:bottom w:val="single" w:sz="4" w:space="0" w:color="auto"/>
              <w:right w:val="single" w:sz="4" w:space="0" w:color="auto"/>
            </w:tcBorders>
          </w:tcPr>
          <w:p w14:paraId="483BE5D9" w14:textId="77777777" w:rsidR="006C3C67" w:rsidRPr="00D85E09" w:rsidRDefault="006C3C67" w:rsidP="0043316B">
            <w:pPr>
              <w:pStyle w:val="Tabletext"/>
              <w:keepNext w:val="0"/>
              <w:widowControl w:val="0"/>
            </w:pPr>
            <w:r w:rsidRPr="00D85E09">
              <w:t>$684</w:t>
            </w:r>
          </w:p>
        </w:tc>
        <w:tc>
          <w:tcPr>
            <w:tcW w:w="672" w:type="pct"/>
            <w:tcBorders>
              <w:top w:val="single" w:sz="4" w:space="0" w:color="auto"/>
              <w:left w:val="single" w:sz="4" w:space="0" w:color="auto"/>
              <w:bottom w:val="single" w:sz="4" w:space="0" w:color="auto"/>
              <w:right w:val="single" w:sz="4" w:space="0" w:color="auto"/>
            </w:tcBorders>
          </w:tcPr>
          <w:p w14:paraId="3CED9D4F" w14:textId="77777777" w:rsidR="006C3C67" w:rsidRPr="00D85E09" w:rsidRDefault="006C3C67" w:rsidP="0043316B">
            <w:pPr>
              <w:pStyle w:val="Tabletext"/>
              <w:keepNext w:val="0"/>
              <w:widowControl w:val="0"/>
            </w:pPr>
            <w:r w:rsidRPr="00D85E09">
              <w:t>$813</w:t>
            </w:r>
          </w:p>
        </w:tc>
        <w:tc>
          <w:tcPr>
            <w:tcW w:w="672" w:type="pct"/>
            <w:tcBorders>
              <w:top w:val="single" w:sz="4" w:space="0" w:color="auto"/>
              <w:left w:val="single" w:sz="4" w:space="0" w:color="auto"/>
              <w:bottom w:val="single" w:sz="4" w:space="0" w:color="auto"/>
              <w:right w:val="single" w:sz="4" w:space="0" w:color="auto"/>
            </w:tcBorders>
          </w:tcPr>
          <w:p w14:paraId="02B8B39F" w14:textId="77777777" w:rsidR="006C3C67" w:rsidRPr="00D85E09" w:rsidRDefault="006C3C67" w:rsidP="0043316B">
            <w:pPr>
              <w:pStyle w:val="Tabletext"/>
              <w:keepNext w:val="0"/>
              <w:widowControl w:val="0"/>
            </w:pPr>
            <w:r w:rsidRPr="00D85E09">
              <w:t>$941</w:t>
            </w:r>
          </w:p>
        </w:tc>
        <w:tc>
          <w:tcPr>
            <w:tcW w:w="673" w:type="pct"/>
            <w:tcBorders>
              <w:top w:val="single" w:sz="4" w:space="0" w:color="auto"/>
              <w:left w:val="single" w:sz="4" w:space="0" w:color="auto"/>
              <w:bottom w:val="single" w:sz="4" w:space="0" w:color="auto"/>
              <w:right w:val="single" w:sz="4" w:space="0" w:color="auto"/>
            </w:tcBorders>
          </w:tcPr>
          <w:p w14:paraId="02CF9F07" w14:textId="77777777" w:rsidR="006C3C67" w:rsidRPr="00D85E09" w:rsidRDefault="006C3C67" w:rsidP="0043316B">
            <w:pPr>
              <w:pStyle w:val="Tabletext"/>
              <w:keepNext w:val="0"/>
              <w:widowControl w:val="0"/>
            </w:pPr>
            <w:r w:rsidRPr="00D85E09">
              <w:t>$1,069</w:t>
            </w:r>
          </w:p>
        </w:tc>
      </w:tr>
      <w:tr w:rsidR="006C3C67" w:rsidRPr="00D85E09" w14:paraId="7F7F402D"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14EE0247" w14:textId="77777777" w:rsidR="006C3C67" w:rsidRPr="00D85E09" w:rsidRDefault="006C3C67" w:rsidP="0043316B">
            <w:pPr>
              <w:pStyle w:val="Tabletext"/>
              <w:keepNext w:val="0"/>
              <w:widowControl w:val="0"/>
              <w:ind w:left="167"/>
            </w:pPr>
            <w:r w:rsidRPr="00D85E09">
              <w:t>Regional anaesthetics for the rest (MBS item 18225)</w:t>
            </w:r>
          </w:p>
        </w:tc>
        <w:tc>
          <w:tcPr>
            <w:tcW w:w="671" w:type="pct"/>
            <w:tcBorders>
              <w:top w:val="single" w:sz="4" w:space="0" w:color="auto"/>
              <w:left w:val="single" w:sz="4" w:space="0" w:color="auto"/>
              <w:bottom w:val="single" w:sz="4" w:space="0" w:color="auto"/>
              <w:right w:val="single" w:sz="4" w:space="0" w:color="auto"/>
            </w:tcBorders>
          </w:tcPr>
          <w:p w14:paraId="09DA22A8" w14:textId="77777777" w:rsidR="006C3C67" w:rsidRPr="00D85E09" w:rsidRDefault="006C3C67" w:rsidP="0043316B">
            <w:pPr>
              <w:pStyle w:val="Tabletext"/>
              <w:keepNext w:val="0"/>
              <w:widowControl w:val="0"/>
            </w:pPr>
            <w:r w:rsidRPr="00D85E09">
              <w:t>$2,498</w:t>
            </w:r>
          </w:p>
        </w:tc>
        <w:tc>
          <w:tcPr>
            <w:tcW w:w="672" w:type="pct"/>
            <w:tcBorders>
              <w:top w:val="single" w:sz="4" w:space="0" w:color="auto"/>
              <w:left w:val="single" w:sz="4" w:space="0" w:color="auto"/>
              <w:bottom w:val="single" w:sz="4" w:space="0" w:color="auto"/>
              <w:right w:val="single" w:sz="4" w:space="0" w:color="auto"/>
            </w:tcBorders>
          </w:tcPr>
          <w:p w14:paraId="107037BD" w14:textId="77777777" w:rsidR="006C3C67" w:rsidRPr="00D85E09" w:rsidRDefault="006C3C67" w:rsidP="0043316B">
            <w:pPr>
              <w:pStyle w:val="Tabletext"/>
              <w:keepNext w:val="0"/>
              <w:widowControl w:val="0"/>
            </w:pPr>
            <w:r w:rsidRPr="00D85E09">
              <w:t>$3,075</w:t>
            </w:r>
          </w:p>
        </w:tc>
        <w:tc>
          <w:tcPr>
            <w:tcW w:w="672" w:type="pct"/>
            <w:tcBorders>
              <w:top w:val="single" w:sz="4" w:space="0" w:color="auto"/>
              <w:left w:val="single" w:sz="4" w:space="0" w:color="auto"/>
              <w:bottom w:val="single" w:sz="4" w:space="0" w:color="auto"/>
              <w:right w:val="single" w:sz="4" w:space="0" w:color="auto"/>
            </w:tcBorders>
          </w:tcPr>
          <w:p w14:paraId="3C1703AF" w14:textId="77777777" w:rsidR="006C3C67" w:rsidRPr="00D85E09" w:rsidRDefault="006C3C67" w:rsidP="0043316B">
            <w:pPr>
              <w:pStyle w:val="Tabletext"/>
              <w:keepNext w:val="0"/>
              <w:widowControl w:val="0"/>
            </w:pPr>
            <w:r w:rsidRPr="00D85E09">
              <w:t>$3,652</w:t>
            </w:r>
          </w:p>
        </w:tc>
        <w:tc>
          <w:tcPr>
            <w:tcW w:w="672" w:type="pct"/>
            <w:tcBorders>
              <w:top w:val="single" w:sz="4" w:space="0" w:color="auto"/>
              <w:left w:val="single" w:sz="4" w:space="0" w:color="auto"/>
              <w:bottom w:val="single" w:sz="4" w:space="0" w:color="auto"/>
              <w:right w:val="single" w:sz="4" w:space="0" w:color="auto"/>
            </w:tcBorders>
          </w:tcPr>
          <w:p w14:paraId="59F528FD" w14:textId="77777777" w:rsidR="006C3C67" w:rsidRPr="00D85E09" w:rsidRDefault="006C3C67" w:rsidP="0043316B">
            <w:pPr>
              <w:pStyle w:val="Tabletext"/>
              <w:keepNext w:val="0"/>
              <w:widowControl w:val="0"/>
            </w:pPr>
            <w:r w:rsidRPr="00D85E09">
              <w:t>$4,228</w:t>
            </w:r>
          </w:p>
        </w:tc>
        <w:tc>
          <w:tcPr>
            <w:tcW w:w="673" w:type="pct"/>
            <w:tcBorders>
              <w:top w:val="single" w:sz="4" w:space="0" w:color="auto"/>
              <w:left w:val="single" w:sz="4" w:space="0" w:color="auto"/>
              <w:bottom w:val="single" w:sz="4" w:space="0" w:color="auto"/>
              <w:right w:val="single" w:sz="4" w:space="0" w:color="auto"/>
            </w:tcBorders>
          </w:tcPr>
          <w:p w14:paraId="2D3258A3" w14:textId="77777777" w:rsidR="006C3C67" w:rsidRPr="00D85E09" w:rsidRDefault="006C3C67" w:rsidP="0043316B">
            <w:pPr>
              <w:pStyle w:val="Tabletext"/>
              <w:keepNext w:val="0"/>
              <w:widowControl w:val="0"/>
            </w:pPr>
            <w:r w:rsidRPr="00D85E09">
              <w:t>$4,805</w:t>
            </w:r>
          </w:p>
        </w:tc>
      </w:tr>
      <w:tr w:rsidR="006C3C67" w:rsidRPr="00D85E09" w14:paraId="072CD00E"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4FCDEBD1" w14:textId="77777777" w:rsidR="006C3C67" w:rsidRPr="00D85E09" w:rsidRDefault="006C3C67" w:rsidP="0043316B">
            <w:pPr>
              <w:pStyle w:val="Tabletext"/>
              <w:keepNext w:val="0"/>
              <w:widowControl w:val="0"/>
            </w:pPr>
            <w:r w:rsidRPr="00D85E09">
              <w:rPr>
                <w:rFonts w:eastAsia="Calibri"/>
                <w:i/>
              </w:rPr>
              <w:t xml:space="preserve">Post-operative imaging </w:t>
            </w:r>
          </w:p>
        </w:tc>
        <w:tc>
          <w:tcPr>
            <w:tcW w:w="671" w:type="pct"/>
            <w:tcBorders>
              <w:top w:val="single" w:sz="4" w:space="0" w:color="auto"/>
              <w:left w:val="single" w:sz="4" w:space="0" w:color="auto"/>
              <w:bottom w:val="single" w:sz="4" w:space="0" w:color="auto"/>
              <w:right w:val="single" w:sz="4" w:space="0" w:color="auto"/>
            </w:tcBorders>
          </w:tcPr>
          <w:p w14:paraId="29DC994D"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0EF1F9CA"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7408738D"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0345D8C5" w14:textId="77777777" w:rsidR="006C3C67" w:rsidRPr="00D85E09" w:rsidRDefault="006C3C67" w:rsidP="0043316B">
            <w:pPr>
              <w:pStyle w:val="Tabletext"/>
              <w:keepNext w:val="0"/>
              <w:widowControl w:val="0"/>
            </w:pPr>
          </w:p>
        </w:tc>
        <w:tc>
          <w:tcPr>
            <w:tcW w:w="673" w:type="pct"/>
            <w:tcBorders>
              <w:top w:val="single" w:sz="4" w:space="0" w:color="auto"/>
              <w:left w:val="single" w:sz="4" w:space="0" w:color="auto"/>
              <w:bottom w:val="single" w:sz="4" w:space="0" w:color="auto"/>
              <w:right w:val="single" w:sz="4" w:space="0" w:color="auto"/>
            </w:tcBorders>
          </w:tcPr>
          <w:p w14:paraId="2999AA73" w14:textId="77777777" w:rsidR="006C3C67" w:rsidRPr="00D85E09" w:rsidRDefault="006C3C67" w:rsidP="0043316B">
            <w:pPr>
              <w:pStyle w:val="Tabletext"/>
              <w:keepNext w:val="0"/>
              <w:widowControl w:val="0"/>
            </w:pPr>
          </w:p>
        </w:tc>
      </w:tr>
      <w:tr w:rsidR="006C3C67" w:rsidRPr="00D85E09" w14:paraId="60DAD5A0"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5D365E22" w14:textId="77777777" w:rsidR="006C3C67" w:rsidRPr="00D85E09" w:rsidRDefault="006C3C67" w:rsidP="0043316B">
            <w:pPr>
              <w:pStyle w:val="Tabletext"/>
              <w:keepNext w:val="0"/>
              <w:widowControl w:val="0"/>
              <w:ind w:left="167"/>
            </w:pPr>
            <w:r w:rsidRPr="00D85E09">
              <w:t>Digital subtraction angiography (MBS item 60009)</w:t>
            </w:r>
          </w:p>
        </w:tc>
        <w:tc>
          <w:tcPr>
            <w:tcW w:w="671" w:type="pct"/>
            <w:tcBorders>
              <w:top w:val="single" w:sz="4" w:space="0" w:color="auto"/>
              <w:left w:val="single" w:sz="4" w:space="0" w:color="auto"/>
              <w:bottom w:val="single" w:sz="4" w:space="0" w:color="auto"/>
              <w:right w:val="single" w:sz="4" w:space="0" w:color="auto"/>
            </w:tcBorders>
          </w:tcPr>
          <w:p w14:paraId="09C62F46" w14:textId="77777777" w:rsidR="006C3C67" w:rsidRPr="00D85E09" w:rsidRDefault="006C3C67" w:rsidP="0043316B">
            <w:pPr>
              <w:pStyle w:val="Tabletext"/>
              <w:keepNext w:val="0"/>
              <w:widowControl w:val="0"/>
            </w:pPr>
            <w:r w:rsidRPr="00D85E09">
              <w:t>$107,351</w:t>
            </w:r>
          </w:p>
        </w:tc>
        <w:tc>
          <w:tcPr>
            <w:tcW w:w="672" w:type="pct"/>
            <w:tcBorders>
              <w:top w:val="single" w:sz="4" w:space="0" w:color="auto"/>
              <w:left w:val="single" w:sz="4" w:space="0" w:color="auto"/>
              <w:bottom w:val="single" w:sz="4" w:space="0" w:color="auto"/>
              <w:right w:val="single" w:sz="4" w:space="0" w:color="auto"/>
            </w:tcBorders>
          </w:tcPr>
          <w:p w14:paraId="131039A5" w14:textId="77777777" w:rsidR="006C3C67" w:rsidRPr="00D85E09" w:rsidRDefault="006C3C67" w:rsidP="0043316B">
            <w:pPr>
              <w:pStyle w:val="Tabletext"/>
              <w:keepNext w:val="0"/>
              <w:widowControl w:val="0"/>
            </w:pPr>
            <w:r w:rsidRPr="00D85E09">
              <w:t>$132,125</w:t>
            </w:r>
          </w:p>
        </w:tc>
        <w:tc>
          <w:tcPr>
            <w:tcW w:w="672" w:type="pct"/>
            <w:tcBorders>
              <w:top w:val="single" w:sz="4" w:space="0" w:color="auto"/>
              <w:left w:val="single" w:sz="4" w:space="0" w:color="auto"/>
              <w:bottom w:val="single" w:sz="4" w:space="0" w:color="auto"/>
              <w:right w:val="single" w:sz="4" w:space="0" w:color="auto"/>
            </w:tcBorders>
          </w:tcPr>
          <w:p w14:paraId="70801EAB" w14:textId="77777777" w:rsidR="006C3C67" w:rsidRPr="00D85E09" w:rsidRDefault="006C3C67" w:rsidP="0043316B">
            <w:pPr>
              <w:pStyle w:val="Tabletext"/>
              <w:keepNext w:val="0"/>
              <w:widowControl w:val="0"/>
            </w:pPr>
            <w:r w:rsidRPr="00D85E09">
              <w:t>$156,898</w:t>
            </w:r>
          </w:p>
        </w:tc>
        <w:tc>
          <w:tcPr>
            <w:tcW w:w="672" w:type="pct"/>
            <w:tcBorders>
              <w:top w:val="single" w:sz="4" w:space="0" w:color="auto"/>
              <w:left w:val="single" w:sz="4" w:space="0" w:color="auto"/>
              <w:bottom w:val="single" w:sz="4" w:space="0" w:color="auto"/>
              <w:right w:val="single" w:sz="4" w:space="0" w:color="auto"/>
            </w:tcBorders>
          </w:tcPr>
          <w:p w14:paraId="7E257B01" w14:textId="77777777" w:rsidR="006C3C67" w:rsidRPr="00D85E09" w:rsidRDefault="006C3C67" w:rsidP="0043316B">
            <w:pPr>
              <w:pStyle w:val="Tabletext"/>
              <w:keepNext w:val="0"/>
              <w:widowControl w:val="0"/>
            </w:pPr>
            <w:r w:rsidRPr="00D85E09">
              <w:t>$181,672</w:t>
            </w:r>
          </w:p>
        </w:tc>
        <w:tc>
          <w:tcPr>
            <w:tcW w:w="673" w:type="pct"/>
            <w:tcBorders>
              <w:top w:val="single" w:sz="4" w:space="0" w:color="auto"/>
              <w:left w:val="single" w:sz="4" w:space="0" w:color="auto"/>
              <w:bottom w:val="single" w:sz="4" w:space="0" w:color="auto"/>
              <w:right w:val="single" w:sz="4" w:space="0" w:color="auto"/>
            </w:tcBorders>
          </w:tcPr>
          <w:p w14:paraId="7EECE359" w14:textId="77777777" w:rsidR="006C3C67" w:rsidRPr="00D85E09" w:rsidRDefault="006C3C67" w:rsidP="0043316B">
            <w:pPr>
              <w:pStyle w:val="Tabletext"/>
              <w:keepNext w:val="0"/>
              <w:widowControl w:val="0"/>
            </w:pPr>
            <w:r w:rsidRPr="00D85E09">
              <w:t>$206,445</w:t>
            </w:r>
          </w:p>
        </w:tc>
      </w:tr>
      <w:tr w:rsidR="006C3C67" w:rsidRPr="00D85E09" w14:paraId="2FCE54B3"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4642448D" w14:textId="77777777" w:rsidR="006C3C67" w:rsidRPr="00D85E09" w:rsidRDefault="006C3C67" w:rsidP="0043316B">
            <w:pPr>
              <w:pStyle w:val="Tabletext"/>
              <w:keepNext w:val="0"/>
              <w:widowControl w:val="0"/>
              <w:ind w:left="167"/>
              <w:rPr>
                <w:vertAlign w:val="superscript"/>
              </w:rPr>
            </w:pPr>
            <w:r w:rsidRPr="00D85E09">
              <w:rPr>
                <w:rFonts w:eastAsia="Calibri"/>
              </w:rPr>
              <w:t>Leg angiography (MBS item 60072)</w:t>
            </w:r>
            <w:r w:rsidRPr="00D85E09">
              <w:rPr>
                <w:rFonts w:eastAsia="Calibri"/>
                <w:vertAlign w:val="superscript"/>
              </w:rPr>
              <w:t>a</w:t>
            </w:r>
          </w:p>
        </w:tc>
        <w:tc>
          <w:tcPr>
            <w:tcW w:w="671" w:type="pct"/>
            <w:tcBorders>
              <w:top w:val="single" w:sz="4" w:space="0" w:color="auto"/>
              <w:left w:val="single" w:sz="4" w:space="0" w:color="auto"/>
              <w:bottom w:val="single" w:sz="4" w:space="0" w:color="auto"/>
              <w:right w:val="single" w:sz="4" w:space="0" w:color="auto"/>
            </w:tcBorders>
          </w:tcPr>
          <w:p w14:paraId="774C9E80" w14:textId="77777777" w:rsidR="006C3C67" w:rsidRPr="00D85E09" w:rsidRDefault="006C3C67" w:rsidP="0043316B">
            <w:pPr>
              <w:pStyle w:val="Tabletext"/>
              <w:keepNext w:val="0"/>
              <w:widowControl w:val="0"/>
            </w:pPr>
            <w:r w:rsidRPr="00D85E09">
              <w:t>$3,362</w:t>
            </w:r>
          </w:p>
        </w:tc>
        <w:tc>
          <w:tcPr>
            <w:tcW w:w="672" w:type="pct"/>
            <w:tcBorders>
              <w:top w:val="single" w:sz="4" w:space="0" w:color="auto"/>
              <w:left w:val="single" w:sz="4" w:space="0" w:color="auto"/>
              <w:bottom w:val="single" w:sz="4" w:space="0" w:color="auto"/>
              <w:right w:val="single" w:sz="4" w:space="0" w:color="auto"/>
            </w:tcBorders>
          </w:tcPr>
          <w:p w14:paraId="51698711" w14:textId="77777777" w:rsidR="006C3C67" w:rsidRPr="00D85E09" w:rsidRDefault="006C3C67" w:rsidP="0043316B">
            <w:pPr>
              <w:pStyle w:val="Tabletext"/>
              <w:keepNext w:val="0"/>
              <w:widowControl w:val="0"/>
            </w:pPr>
            <w:r w:rsidRPr="00D85E09">
              <w:t>$4,138</w:t>
            </w:r>
          </w:p>
        </w:tc>
        <w:tc>
          <w:tcPr>
            <w:tcW w:w="672" w:type="pct"/>
            <w:tcBorders>
              <w:top w:val="single" w:sz="4" w:space="0" w:color="auto"/>
              <w:left w:val="single" w:sz="4" w:space="0" w:color="auto"/>
              <w:bottom w:val="single" w:sz="4" w:space="0" w:color="auto"/>
              <w:right w:val="single" w:sz="4" w:space="0" w:color="auto"/>
            </w:tcBorders>
          </w:tcPr>
          <w:p w14:paraId="586F66AC" w14:textId="77777777" w:rsidR="006C3C67" w:rsidRPr="00D85E09" w:rsidRDefault="006C3C67" w:rsidP="0043316B">
            <w:pPr>
              <w:pStyle w:val="Tabletext"/>
              <w:keepNext w:val="0"/>
              <w:widowControl w:val="0"/>
            </w:pPr>
            <w:r w:rsidRPr="00D85E09">
              <w:t>$4,913</w:t>
            </w:r>
          </w:p>
        </w:tc>
        <w:tc>
          <w:tcPr>
            <w:tcW w:w="672" w:type="pct"/>
            <w:tcBorders>
              <w:top w:val="single" w:sz="4" w:space="0" w:color="auto"/>
              <w:left w:val="single" w:sz="4" w:space="0" w:color="auto"/>
              <w:bottom w:val="single" w:sz="4" w:space="0" w:color="auto"/>
              <w:right w:val="single" w:sz="4" w:space="0" w:color="auto"/>
            </w:tcBorders>
          </w:tcPr>
          <w:p w14:paraId="44C2C9F9" w14:textId="77777777" w:rsidR="006C3C67" w:rsidRPr="00D85E09" w:rsidRDefault="006C3C67" w:rsidP="0043316B">
            <w:pPr>
              <w:pStyle w:val="Tabletext"/>
              <w:keepNext w:val="0"/>
              <w:widowControl w:val="0"/>
            </w:pPr>
            <w:r w:rsidRPr="00D85E09">
              <w:t>$5,689</w:t>
            </w:r>
          </w:p>
        </w:tc>
        <w:tc>
          <w:tcPr>
            <w:tcW w:w="673" w:type="pct"/>
            <w:tcBorders>
              <w:top w:val="single" w:sz="4" w:space="0" w:color="auto"/>
              <w:left w:val="single" w:sz="4" w:space="0" w:color="auto"/>
              <w:bottom w:val="single" w:sz="4" w:space="0" w:color="auto"/>
              <w:right w:val="single" w:sz="4" w:space="0" w:color="auto"/>
            </w:tcBorders>
          </w:tcPr>
          <w:p w14:paraId="7FCB2819" w14:textId="77777777" w:rsidR="006C3C67" w:rsidRPr="00D85E09" w:rsidRDefault="006C3C67" w:rsidP="0043316B">
            <w:pPr>
              <w:pStyle w:val="Tabletext"/>
              <w:keepNext w:val="0"/>
              <w:widowControl w:val="0"/>
            </w:pPr>
            <w:r w:rsidRPr="00D85E09">
              <w:t>$6,465</w:t>
            </w:r>
          </w:p>
        </w:tc>
      </w:tr>
      <w:tr w:rsidR="006C3C67" w:rsidRPr="00D85E09" w14:paraId="357AF6F1"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19941632" w14:textId="77777777" w:rsidR="006C3C67" w:rsidRPr="00D85E09" w:rsidRDefault="006C3C67" w:rsidP="0043316B">
            <w:pPr>
              <w:pStyle w:val="Tabletext"/>
              <w:keepNext w:val="0"/>
              <w:widowControl w:val="0"/>
            </w:pPr>
            <w:r w:rsidRPr="00D85E09">
              <w:t>Total MBS costs</w:t>
            </w:r>
          </w:p>
        </w:tc>
        <w:tc>
          <w:tcPr>
            <w:tcW w:w="671" w:type="pct"/>
            <w:tcBorders>
              <w:top w:val="single" w:sz="4" w:space="0" w:color="auto"/>
              <w:left w:val="single" w:sz="4" w:space="0" w:color="auto"/>
              <w:bottom w:val="single" w:sz="4" w:space="0" w:color="auto"/>
              <w:right w:val="single" w:sz="4" w:space="0" w:color="auto"/>
            </w:tcBorders>
          </w:tcPr>
          <w:p w14:paraId="6124345C"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44F9901A"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351A17C1"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tcPr>
          <w:p w14:paraId="450E0694" w14:textId="77777777" w:rsidR="006C3C67" w:rsidRPr="00D85E09" w:rsidRDefault="006C3C67" w:rsidP="0043316B">
            <w:pPr>
              <w:pStyle w:val="Tabletext"/>
              <w:keepNext w:val="0"/>
              <w:widowControl w:val="0"/>
            </w:pPr>
          </w:p>
        </w:tc>
        <w:tc>
          <w:tcPr>
            <w:tcW w:w="673" w:type="pct"/>
            <w:tcBorders>
              <w:top w:val="single" w:sz="4" w:space="0" w:color="auto"/>
              <w:left w:val="single" w:sz="4" w:space="0" w:color="auto"/>
              <w:bottom w:val="single" w:sz="4" w:space="0" w:color="auto"/>
              <w:right w:val="single" w:sz="4" w:space="0" w:color="auto"/>
            </w:tcBorders>
          </w:tcPr>
          <w:p w14:paraId="461F2FD6" w14:textId="77777777" w:rsidR="006C3C67" w:rsidRPr="00D85E09" w:rsidRDefault="006C3C67" w:rsidP="0043316B">
            <w:pPr>
              <w:pStyle w:val="Tabletext"/>
              <w:keepNext w:val="0"/>
              <w:widowControl w:val="0"/>
            </w:pPr>
          </w:p>
        </w:tc>
      </w:tr>
      <w:tr w:rsidR="006C3C67" w:rsidRPr="00D85E09" w14:paraId="5F1E8E5C"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496038FE" w14:textId="77777777" w:rsidR="006C3C67" w:rsidRPr="00D85E09" w:rsidRDefault="006C3C67" w:rsidP="0043316B">
            <w:pPr>
              <w:pStyle w:val="Tabletext"/>
              <w:keepNext w:val="0"/>
              <w:widowControl w:val="0"/>
            </w:pPr>
            <w:r w:rsidRPr="00D85E09">
              <w:t xml:space="preserve"> - at full benefit</w:t>
            </w:r>
          </w:p>
        </w:tc>
        <w:tc>
          <w:tcPr>
            <w:tcW w:w="671" w:type="pct"/>
            <w:tcBorders>
              <w:top w:val="single" w:sz="4" w:space="0" w:color="auto"/>
              <w:left w:val="single" w:sz="4" w:space="0" w:color="auto"/>
              <w:bottom w:val="single" w:sz="4" w:space="0" w:color="auto"/>
              <w:right w:val="single" w:sz="4" w:space="0" w:color="auto"/>
            </w:tcBorders>
          </w:tcPr>
          <w:p w14:paraId="0B774005" w14:textId="77777777" w:rsidR="006C3C67" w:rsidRPr="00D85E09" w:rsidRDefault="006C3C67" w:rsidP="0043316B">
            <w:pPr>
              <w:pStyle w:val="Tabletext"/>
              <w:keepNext w:val="0"/>
              <w:widowControl w:val="0"/>
            </w:pPr>
            <w:r w:rsidRPr="00D85E09">
              <w:t>$128,223</w:t>
            </w:r>
          </w:p>
        </w:tc>
        <w:tc>
          <w:tcPr>
            <w:tcW w:w="672" w:type="pct"/>
            <w:tcBorders>
              <w:top w:val="single" w:sz="4" w:space="0" w:color="auto"/>
              <w:left w:val="single" w:sz="4" w:space="0" w:color="auto"/>
              <w:bottom w:val="single" w:sz="4" w:space="0" w:color="auto"/>
              <w:right w:val="single" w:sz="4" w:space="0" w:color="auto"/>
            </w:tcBorders>
          </w:tcPr>
          <w:p w14:paraId="78DFA7D3" w14:textId="77777777" w:rsidR="006C3C67" w:rsidRPr="00D85E09" w:rsidRDefault="006C3C67" w:rsidP="0043316B">
            <w:pPr>
              <w:pStyle w:val="Tabletext"/>
              <w:keepNext w:val="0"/>
              <w:widowControl w:val="0"/>
            </w:pPr>
            <w:r w:rsidRPr="00D85E09">
              <w:t>$157,813</w:t>
            </w:r>
          </w:p>
        </w:tc>
        <w:tc>
          <w:tcPr>
            <w:tcW w:w="672" w:type="pct"/>
            <w:tcBorders>
              <w:top w:val="single" w:sz="4" w:space="0" w:color="auto"/>
              <w:left w:val="single" w:sz="4" w:space="0" w:color="auto"/>
              <w:bottom w:val="single" w:sz="4" w:space="0" w:color="auto"/>
              <w:right w:val="single" w:sz="4" w:space="0" w:color="auto"/>
            </w:tcBorders>
          </w:tcPr>
          <w:p w14:paraId="373649B5" w14:textId="77777777" w:rsidR="006C3C67" w:rsidRPr="00D85E09" w:rsidRDefault="006C3C67" w:rsidP="0043316B">
            <w:pPr>
              <w:pStyle w:val="Tabletext"/>
              <w:keepNext w:val="0"/>
              <w:widowControl w:val="0"/>
            </w:pPr>
            <w:r w:rsidRPr="00D85E09">
              <w:t>$187,403</w:t>
            </w:r>
          </w:p>
        </w:tc>
        <w:tc>
          <w:tcPr>
            <w:tcW w:w="672" w:type="pct"/>
            <w:tcBorders>
              <w:top w:val="single" w:sz="4" w:space="0" w:color="auto"/>
              <w:left w:val="single" w:sz="4" w:space="0" w:color="auto"/>
              <w:bottom w:val="single" w:sz="4" w:space="0" w:color="auto"/>
              <w:right w:val="single" w:sz="4" w:space="0" w:color="auto"/>
            </w:tcBorders>
          </w:tcPr>
          <w:p w14:paraId="38B66891" w14:textId="77777777" w:rsidR="006C3C67" w:rsidRPr="00D85E09" w:rsidRDefault="006C3C67" w:rsidP="0043316B">
            <w:pPr>
              <w:pStyle w:val="Tabletext"/>
              <w:keepNext w:val="0"/>
              <w:widowControl w:val="0"/>
            </w:pPr>
            <w:r w:rsidRPr="00D85E09">
              <w:t>$216,993</w:t>
            </w:r>
          </w:p>
        </w:tc>
        <w:tc>
          <w:tcPr>
            <w:tcW w:w="673" w:type="pct"/>
            <w:tcBorders>
              <w:top w:val="single" w:sz="4" w:space="0" w:color="auto"/>
              <w:left w:val="single" w:sz="4" w:space="0" w:color="auto"/>
              <w:bottom w:val="single" w:sz="4" w:space="0" w:color="auto"/>
              <w:right w:val="single" w:sz="4" w:space="0" w:color="auto"/>
            </w:tcBorders>
          </w:tcPr>
          <w:p w14:paraId="48D644EA" w14:textId="77777777" w:rsidR="006C3C67" w:rsidRPr="00D85E09" w:rsidRDefault="006C3C67" w:rsidP="0043316B">
            <w:pPr>
              <w:pStyle w:val="Tabletext"/>
              <w:keepNext w:val="0"/>
              <w:widowControl w:val="0"/>
            </w:pPr>
            <w:r w:rsidRPr="00D85E09">
              <w:t>$246,583</w:t>
            </w:r>
          </w:p>
        </w:tc>
      </w:tr>
      <w:tr w:rsidR="006C3C67" w:rsidRPr="00D85E09" w14:paraId="467F9120" w14:textId="77777777" w:rsidTr="009C64DD">
        <w:tc>
          <w:tcPr>
            <w:tcW w:w="1640" w:type="pct"/>
            <w:tcBorders>
              <w:top w:val="single" w:sz="4" w:space="0" w:color="auto"/>
              <w:left w:val="single" w:sz="4" w:space="0" w:color="auto"/>
              <w:bottom w:val="single" w:sz="4" w:space="0" w:color="auto"/>
              <w:right w:val="single" w:sz="4" w:space="0" w:color="auto"/>
            </w:tcBorders>
            <w:hideMark/>
          </w:tcPr>
          <w:p w14:paraId="324858F5" w14:textId="77777777" w:rsidR="006C3C67" w:rsidRPr="00D85E09" w:rsidRDefault="006C3C67" w:rsidP="0043316B">
            <w:pPr>
              <w:pStyle w:val="Tabletext"/>
              <w:keepNext w:val="0"/>
              <w:widowControl w:val="0"/>
            </w:pPr>
            <w:r w:rsidRPr="00D85E09">
              <w:t>- at 75% benefit</w:t>
            </w:r>
          </w:p>
        </w:tc>
        <w:tc>
          <w:tcPr>
            <w:tcW w:w="671" w:type="pct"/>
            <w:tcBorders>
              <w:top w:val="single" w:sz="4" w:space="0" w:color="auto"/>
              <w:left w:val="single" w:sz="4" w:space="0" w:color="auto"/>
              <w:bottom w:val="single" w:sz="4" w:space="0" w:color="auto"/>
              <w:right w:val="single" w:sz="4" w:space="0" w:color="auto"/>
            </w:tcBorders>
          </w:tcPr>
          <w:p w14:paraId="1C897A4F" w14:textId="77777777" w:rsidR="006C3C67" w:rsidRPr="00D85E09" w:rsidRDefault="006C3C67" w:rsidP="0043316B">
            <w:pPr>
              <w:pStyle w:val="Tabletext"/>
              <w:keepNext w:val="0"/>
              <w:widowControl w:val="0"/>
            </w:pPr>
            <w:r w:rsidRPr="00D85E09">
              <w:t>$96,167</w:t>
            </w:r>
          </w:p>
        </w:tc>
        <w:tc>
          <w:tcPr>
            <w:tcW w:w="672" w:type="pct"/>
            <w:tcBorders>
              <w:top w:val="single" w:sz="4" w:space="0" w:color="auto"/>
              <w:left w:val="single" w:sz="4" w:space="0" w:color="auto"/>
              <w:bottom w:val="single" w:sz="4" w:space="0" w:color="auto"/>
              <w:right w:val="single" w:sz="4" w:space="0" w:color="auto"/>
            </w:tcBorders>
          </w:tcPr>
          <w:p w14:paraId="6125F13A" w14:textId="77777777" w:rsidR="006C3C67" w:rsidRPr="00D85E09" w:rsidRDefault="006C3C67" w:rsidP="0043316B">
            <w:pPr>
              <w:pStyle w:val="Tabletext"/>
              <w:keepNext w:val="0"/>
              <w:widowControl w:val="0"/>
            </w:pPr>
            <w:r w:rsidRPr="00D85E09">
              <w:t>$118,360</w:t>
            </w:r>
          </w:p>
        </w:tc>
        <w:tc>
          <w:tcPr>
            <w:tcW w:w="672" w:type="pct"/>
            <w:tcBorders>
              <w:top w:val="single" w:sz="4" w:space="0" w:color="auto"/>
              <w:left w:val="single" w:sz="4" w:space="0" w:color="auto"/>
              <w:bottom w:val="single" w:sz="4" w:space="0" w:color="auto"/>
              <w:right w:val="single" w:sz="4" w:space="0" w:color="auto"/>
            </w:tcBorders>
          </w:tcPr>
          <w:p w14:paraId="07A437AF" w14:textId="77777777" w:rsidR="006C3C67" w:rsidRPr="00D85E09" w:rsidRDefault="006C3C67" w:rsidP="0043316B">
            <w:pPr>
              <w:pStyle w:val="Tabletext"/>
              <w:keepNext w:val="0"/>
              <w:widowControl w:val="0"/>
            </w:pPr>
            <w:r w:rsidRPr="00D85E09">
              <w:t>$140,552</w:t>
            </w:r>
          </w:p>
        </w:tc>
        <w:tc>
          <w:tcPr>
            <w:tcW w:w="672" w:type="pct"/>
            <w:tcBorders>
              <w:top w:val="single" w:sz="4" w:space="0" w:color="auto"/>
              <w:left w:val="single" w:sz="4" w:space="0" w:color="auto"/>
              <w:bottom w:val="single" w:sz="4" w:space="0" w:color="auto"/>
              <w:right w:val="single" w:sz="4" w:space="0" w:color="auto"/>
            </w:tcBorders>
          </w:tcPr>
          <w:p w14:paraId="41F8E07B" w14:textId="77777777" w:rsidR="006C3C67" w:rsidRPr="00D85E09" w:rsidRDefault="006C3C67" w:rsidP="0043316B">
            <w:pPr>
              <w:pStyle w:val="Tabletext"/>
              <w:keepNext w:val="0"/>
              <w:widowControl w:val="0"/>
            </w:pPr>
            <w:r w:rsidRPr="00D85E09">
              <w:t>$162,745</w:t>
            </w:r>
          </w:p>
        </w:tc>
        <w:tc>
          <w:tcPr>
            <w:tcW w:w="673" w:type="pct"/>
            <w:tcBorders>
              <w:top w:val="single" w:sz="4" w:space="0" w:color="auto"/>
              <w:left w:val="single" w:sz="4" w:space="0" w:color="auto"/>
              <w:bottom w:val="single" w:sz="4" w:space="0" w:color="auto"/>
              <w:right w:val="single" w:sz="4" w:space="0" w:color="auto"/>
            </w:tcBorders>
          </w:tcPr>
          <w:p w14:paraId="03C8B976" w14:textId="77777777" w:rsidR="006C3C67" w:rsidRPr="00D85E09" w:rsidRDefault="006C3C67" w:rsidP="0043316B">
            <w:pPr>
              <w:pStyle w:val="Tabletext"/>
              <w:keepNext w:val="0"/>
              <w:widowControl w:val="0"/>
            </w:pPr>
            <w:r w:rsidRPr="00D85E09">
              <w:t>$184,937</w:t>
            </w:r>
          </w:p>
        </w:tc>
      </w:tr>
      <w:tr w:rsidR="006C3C67" w:rsidRPr="00D85E09" w14:paraId="4492040B" w14:textId="77777777" w:rsidTr="009C64DD">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EF4760" w14:textId="77777777" w:rsidR="006C3C67" w:rsidRPr="00D85E09" w:rsidRDefault="006C3C67" w:rsidP="0043316B">
            <w:pPr>
              <w:pStyle w:val="Tabletext"/>
              <w:keepNext w:val="0"/>
              <w:widowControl w:val="0"/>
              <w:rPr>
                <w:b/>
              </w:rPr>
            </w:pPr>
            <w:r w:rsidRPr="00D85E09">
              <w:rPr>
                <w:b/>
              </w:rPr>
              <w:t>High uptake scenario</w:t>
            </w:r>
          </w:p>
        </w:tc>
      </w:tr>
      <w:tr w:rsidR="006C3C67" w:rsidRPr="00D85E09" w14:paraId="56CC2F2F" w14:textId="77777777" w:rsidTr="009C64DD">
        <w:tc>
          <w:tcPr>
            <w:tcW w:w="16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B1EF7E" w14:textId="77777777" w:rsidR="006C3C67" w:rsidRPr="00D85E09" w:rsidRDefault="006C3C67" w:rsidP="0043316B">
            <w:pPr>
              <w:pStyle w:val="Tabletext"/>
              <w:keepNext w:val="0"/>
              <w:widowControl w:val="0"/>
            </w:pPr>
            <w:r w:rsidRPr="00D85E09">
              <w:t xml:space="preserve">Total procedures per year </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3D71EA" w14:textId="77777777" w:rsidR="006C3C67" w:rsidRPr="00D85E09" w:rsidRDefault="006C3C67" w:rsidP="0043316B">
            <w:pPr>
              <w:pStyle w:val="Tabletext"/>
              <w:keepNext w:val="0"/>
              <w:widowControl w:val="0"/>
            </w:pPr>
            <w:r w:rsidRPr="00D85E09">
              <w:t>108</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8003E" w14:textId="77777777" w:rsidR="006C3C67" w:rsidRPr="00D85E09" w:rsidRDefault="006C3C67" w:rsidP="0043316B">
            <w:pPr>
              <w:pStyle w:val="Tabletext"/>
              <w:keepNext w:val="0"/>
              <w:widowControl w:val="0"/>
            </w:pPr>
            <w:r w:rsidRPr="00D85E09">
              <w:t>156</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3E0306" w14:textId="77777777" w:rsidR="006C3C67" w:rsidRPr="00D85E09" w:rsidRDefault="006C3C67" w:rsidP="0043316B">
            <w:pPr>
              <w:pStyle w:val="Tabletext"/>
              <w:keepNext w:val="0"/>
              <w:widowControl w:val="0"/>
            </w:pPr>
            <w:r w:rsidRPr="00D85E09">
              <w:t>204</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06AF01" w14:textId="77777777" w:rsidR="006C3C67" w:rsidRPr="00D85E09" w:rsidRDefault="006C3C67" w:rsidP="0043316B">
            <w:pPr>
              <w:pStyle w:val="Tabletext"/>
              <w:keepNext w:val="0"/>
              <w:widowControl w:val="0"/>
            </w:pPr>
            <w:r w:rsidRPr="00D85E09">
              <w:t>252</w:t>
            </w:r>
          </w:p>
        </w:tc>
        <w:tc>
          <w:tcPr>
            <w:tcW w:w="6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74B18C" w14:textId="77777777" w:rsidR="006C3C67" w:rsidRPr="00D85E09" w:rsidRDefault="006C3C67" w:rsidP="0043316B">
            <w:pPr>
              <w:pStyle w:val="Tabletext"/>
              <w:keepNext w:val="0"/>
              <w:widowControl w:val="0"/>
            </w:pPr>
            <w:r w:rsidRPr="00D85E09">
              <w:t>300</w:t>
            </w:r>
          </w:p>
        </w:tc>
      </w:tr>
      <w:tr w:rsidR="006C3C67" w:rsidRPr="00D85E09" w14:paraId="5E0B9DBC" w14:textId="77777777" w:rsidTr="009C64DD">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3B0A6B" w14:textId="77777777" w:rsidR="006C3C67" w:rsidRPr="00D85E09" w:rsidRDefault="006C3C67" w:rsidP="0043316B">
            <w:pPr>
              <w:pStyle w:val="Tabletext"/>
              <w:keepNext w:val="0"/>
              <w:widowControl w:val="0"/>
              <w:rPr>
                <w:b/>
                <w:i/>
              </w:rPr>
            </w:pPr>
            <w:r w:rsidRPr="00D85E09">
              <w:rPr>
                <w:b/>
                <w:i/>
              </w:rPr>
              <w:t xml:space="preserve">See the attached spreadsheet for individual costing </w:t>
            </w:r>
          </w:p>
        </w:tc>
      </w:tr>
      <w:tr w:rsidR="006C3C67" w:rsidRPr="00D85E09" w14:paraId="095E96CF" w14:textId="77777777" w:rsidTr="009C64DD">
        <w:tc>
          <w:tcPr>
            <w:tcW w:w="16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AF20AA" w14:textId="77777777" w:rsidR="006C3C67" w:rsidRPr="00D85E09" w:rsidRDefault="006C3C67" w:rsidP="0043316B">
            <w:pPr>
              <w:pStyle w:val="Tabletext"/>
              <w:keepNext w:val="0"/>
              <w:widowControl w:val="0"/>
            </w:pPr>
            <w:r w:rsidRPr="00D85E09">
              <w:t>Total MBS costs</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852520"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EE10C5"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062EBB" w14:textId="77777777" w:rsidR="006C3C67" w:rsidRPr="00D85E09" w:rsidRDefault="006C3C67" w:rsidP="0043316B">
            <w:pPr>
              <w:pStyle w:val="Tabletext"/>
              <w:keepNext w:val="0"/>
              <w:widowControl w:val="0"/>
            </w:pP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3B9B9E" w14:textId="77777777" w:rsidR="006C3C67" w:rsidRPr="00D85E09" w:rsidRDefault="006C3C67" w:rsidP="0043316B">
            <w:pPr>
              <w:pStyle w:val="Tabletext"/>
              <w:keepNext w:val="0"/>
              <w:widowControl w:val="0"/>
            </w:pPr>
          </w:p>
        </w:tc>
        <w:tc>
          <w:tcPr>
            <w:tcW w:w="6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CDD484" w14:textId="77777777" w:rsidR="006C3C67" w:rsidRPr="00D85E09" w:rsidRDefault="006C3C67" w:rsidP="0043316B">
            <w:pPr>
              <w:pStyle w:val="Tabletext"/>
              <w:keepNext w:val="0"/>
              <w:widowControl w:val="0"/>
            </w:pPr>
          </w:p>
        </w:tc>
      </w:tr>
      <w:tr w:rsidR="006C3C67" w:rsidRPr="00D85E09" w14:paraId="181E5371" w14:textId="77777777" w:rsidTr="009C64DD">
        <w:tc>
          <w:tcPr>
            <w:tcW w:w="16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CC4849" w14:textId="77777777" w:rsidR="006C3C67" w:rsidRPr="00D85E09" w:rsidRDefault="006C3C67" w:rsidP="0043316B">
            <w:pPr>
              <w:pStyle w:val="Tabletext"/>
              <w:keepNext w:val="0"/>
              <w:widowControl w:val="0"/>
            </w:pPr>
            <w:r w:rsidRPr="00D85E09">
              <w:t xml:space="preserve"> - at full benefit</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FDDE22" w14:textId="77777777" w:rsidR="006C3C67" w:rsidRPr="00D85E09" w:rsidRDefault="006C3C67" w:rsidP="0043316B">
            <w:pPr>
              <w:pStyle w:val="Tabletext"/>
              <w:keepNext w:val="0"/>
              <w:widowControl w:val="0"/>
            </w:pPr>
            <w:r w:rsidRPr="00D85E09">
              <w:t>$177,540</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F6804" w14:textId="77777777" w:rsidR="006C3C67" w:rsidRPr="00D85E09" w:rsidRDefault="006C3C67" w:rsidP="0043316B">
            <w:pPr>
              <w:pStyle w:val="Tabletext"/>
              <w:keepNext w:val="0"/>
              <w:widowControl w:val="0"/>
            </w:pPr>
            <w:r w:rsidRPr="00D85E09">
              <w:t>$256,447</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8614A1" w14:textId="77777777" w:rsidR="006C3C67" w:rsidRPr="00D85E09" w:rsidRDefault="006C3C67" w:rsidP="0043316B">
            <w:pPr>
              <w:pStyle w:val="Tabletext"/>
              <w:keepNext w:val="0"/>
              <w:widowControl w:val="0"/>
            </w:pPr>
            <w:r w:rsidRPr="00D85E09">
              <w:t>$335,353</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D240A7" w14:textId="77777777" w:rsidR="006C3C67" w:rsidRPr="00D85E09" w:rsidRDefault="006C3C67" w:rsidP="0043316B">
            <w:pPr>
              <w:pStyle w:val="Tabletext"/>
              <w:keepNext w:val="0"/>
              <w:widowControl w:val="0"/>
            </w:pPr>
            <w:r w:rsidRPr="00D85E09">
              <w:t>$414,260</w:t>
            </w:r>
          </w:p>
        </w:tc>
        <w:tc>
          <w:tcPr>
            <w:tcW w:w="6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70A2E" w14:textId="77777777" w:rsidR="006C3C67" w:rsidRPr="00D85E09" w:rsidRDefault="006C3C67" w:rsidP="0043316B">
            <w:pPr>
              <w:pStyle w:val="Tabletext"/>
              <w:keepNext w:val="0"/>
              <w:widowControl w:val="0"/>
            </w:pPr>
            <w:r w:rsidRPr="00D85E09">
              <w:t>$493,166</w:t>
            </w:r>
          </w:p>
        </w:tc>
      </w:tr>
      <w:tr w:rsidR="006C3C67" w:rsidRPr="00D85E09" w14:paraId="40026694" w14:textId="77777777" w:rsidTr="009C64DD">
        <w:tc>
          <w:tcPr>
            <w:tcW w:w="164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73C986" w14:textId="77777777" w:rsidR="006C3C67" w:rsidRPr="00D85E09" w:rsidRDefault="006C3C67" w:rsidP="0043316B">
            <w:pPr>
              <w:pStyle w:val="Tabletext"/>
              <w:keepNext w:val="0"/>
              <w:widowControl w:val="0"/>
            </w:pPr>
            <w:r w:rsidRPr="00D85E09">
              <w:t>- at 75% benefit</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0711B8" w14:textId="77777777" w:rsidR="006C3C67" w:rsidRPr="00D85E09" w:rsidRDefault="006C3C67" w:rsidP="0043316B">
            <w:pPr>
              <w:pStyle w:val="Tabletext"/>
              <w:keepNext w:val="0"/>
              <w:widowControl w:val="0"/>
            </w:pPr>
            <w:r w:rsidRPr="00D85E09">
              <w:t>$133,155</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F72DE" w14:textId="77777777" w:rsidR="006C3C67" w:rsidRPr="00D85E09" w:rsidRDefault="006C3C67" w:rsidP="0043316B">
            <w:pPr>
              <w:pStyle w:val="Tabletext"/>
              <w:keepNext w:val="0"/>
              <w:widowControl w:val="0"/>
            </w:pPr>
            <w:r w:rsidRPr="00D85E09">
              <w:t>$192,335</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26A33D" w14:textId="77777777" w:rsidR="006C3C67" w:rsidRPr="00D85E09" w:rsidRDefault="006C3C67" w:rsidP="0043316B">
            <w:pPr>
              <w:pStyle w:val="Tabletext"/>
              <w:keepNext w:val="0"/>
              <w:widowControl w:val="0"/>
            </w:pPr>
            <w:r w:rsidRPr="00D85E09">
              <w:t>$251,515</w:t>
            </w:r>
          </w:p>
        </w:tc>
        <w:tc>
          <w:tcPr>
            <w:tcW w:w="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5126E9" w14:textId="77777777" w:rsidR="006C3C67" w:rsidRPr="00D85E09" w:rsidRDefault="006C3C67" w:rsidP="0043316B">
            <w:pPr>
              <w:pStyle w:val="Tabletext"/>
              <w:keepNext w:val="0"/>
              <w:widowControl w:val="0"/>
            </w:pPr>
            <w:r w:rsidRPr="00D85E09">
              <w:t>$310,695</w:t>
            </w:r>
          </w:p>
        </w:tc>
        <w:tc>
          <w:tcPr>
            <w:tcW w:w="67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EAAFD" w14:textId="77777777" w:rsidR="006C3C67" w:rsidRPr="00D85E09" w:rsidRDefault="006C3C67" w:rsidP="0043316B">
            <w:pPr>
              <w:pStyle w:val="Tabletext"/>
              <w:keepNext w:val="0"/>
              <w:widowControl w:val="0"/>
            </w:pPr>
            <w:r w:rsidRPr="00D85E09">
              <w:t>$369,875</w:t>
            </w:r>
          </w:p>
        </w:tc>
      </w:tr>
    </w:tbl>
    <w:p w14:paraId="37261E39" w14:textId="6EC847B3" w:rsidR="006C3C67" w:rsidRPr="00D85E09" w:rsidRDefault="006C3C67" w:rsidP="0043316B">
      <w:pPr>
        <w:pStyle w:val="Tablefootnote"/>
        <w:widowControl w:val="0"/>
        <w:rPr>
          <w:lang w:val="en-AU"/>
        </w:rPr>
      </w:pPr>
      <w:r w:rsidRPr="00D85E09">
        <w:rPr>
          <w:lang w:val="en-AU"/>
        </w:rPr>
        <w:t>Note: See full calculation detail</w:t>
      </w:r>
      <w:r w:rsidR="00474DEB" w:rsidRPr="00D85E09">
        <w:rPr>
          <w:lang w:val="en-AU"/>
        </w:rPr>
        <w:t>s in the attached spreadsheet (“MT MSAC June 2016 Section E.xlsx”</w:t>
      </w:r>
      <w:r w:rsidRPr="00D85E09">
        <w:rPr>
          <w:lang w:val="en-AU"/>
        </w:rPr>
        <w:t>).</w:t>
      </w:r>
    </w:p>
    <w:p w14:paraId="4C623E1C" w14:textId="77777777" w:rsidR="006C3C67" w:rsidRPr="00D85E09" w:rsidRDefault="006C3C67" w:rsidP="0043316B">
      <w:pPr>
        <w:pStyle w:val="Tablefootnote"/>
        <w:widowControl w:val="0"/>
        <w:rPr>
          <w:lang w:val="en-AU"/>
        </w:rPr>
      </w:pPr>
      <w:r w:rsidRPr="00D85E09">
        <w:rPr>
          <w:vertAlign w:val="superscript"/>
          <w:lang w:val="en-AU"/>
        </w:rPr>
        <w:t>a</w:t>
      </w:r>
      <w:r w:rsidRPr="00D85E09">
        <w:rPr>
          <w:lang w:val="en-AU"/>
        </w:rPr>
        <w:t xml:space="preserve"> Adjusted for multiple service rule (Rule A)</w:t>
      </w:r>
    </w:p>
    <w:p w14:paraId="6FF583FF" w14:textId="77777777" w:rsidR="006C3C67" w:rsidRPr="00D85E09" w:rsidRDefault="006C3C67" w:rsidP="0043316B">
      <w:pPr>
        <w:widowControl w:val="0"/>
      </w:pPr>
    </w:p>
    <w:p w14:paraId="38D5C6F2" w14:textId="77777777" w:rsidR="006C3C67" w:rsidRPr="00D85E09" w:rsidRDefault="006C3C67" w:rsidP="0043316B">
      <w:pPr>
        <w:pStyle w:val="Heading2"/>
        <w:widowControl w:val="0"/>
        <w:numPr>
          <w:ilvl w:val="1"/>
          <w:numId w:val="32"/>
        </w:numPr>
        <w:ind w:left="851" w:hanging="851"/>
        <w:rPr>
          <w:lang w:val="en-AU"/>
        </w:rPr>
      </w:pPr>
      <w:bookmarkStart w:id="649" w:name="_Toc273301519"/>
      <w:bookmarkStart w:id="650" w:name="_Toc258501809"/>
      <w:bookmarkStart w:id="651" w:name="_Ref368652497"/>
      <w:bookmarkStart w:id="652" w:name="_Toc358731931"/>
      <w:bookmarkStart w:id="653" w:name="_Toc453065333"/>
      <w:r w:rsidRPr="00D85E09">
        <w:rPr>
          <w:lang w:val="en-AU"/>
        </w:rPr>
        <w:t xml:space="preserve">Estimated financial implications for the </w:t>
      </w:r>
      <w:bookmarkEnd w:id="649"/>
      <w:bookmarkEnd w:id="650"/>
      <w:r w:rsidRPr="00D85E09">
        <w:rPr>
          <w:lang w:val="en-AU"/>
        </w:rPr>
        <w:t>MBS</w:t>
      </w:r>
      <w:bookmarkEnd w:id="651"/>
      <w:bookmarkEnd w:id="652"/>
      <w:bookmarkEnd w:id="653"/>
    </w:p>
    <w:p w14:paraId="7C3E0EBF" w14:textId="0108D3D8" w:rsidR="00C13682" w:rsidRDefault="006C3C67" w:rsidP="0043316B">
      <w:pPr>
        <w:widowControl w:val="0"/>
      </w:pPr>
      <w:r w:rsidRPr="00D85E09">
        <w:fldChar w:fldCharType="begin"/>
      </w:r>
      <w:r w:rsidRPr="00D85E09">
        <w:instrText xml:space="preserve"> REF _Ref399509825 \h  \* MERGEFORMAT </w:instrText>
      </w:r>
      <w:r w:rsidRPr="00D85E09">
        <w:fldChar w:fldCharType="separate"/>
      </w:r>
      <w:r w:rsidR="00A456ED" w:rsidRPr="00D85E09">
        <w:t xml:space="preserve">Table </w:t>
      </w:r>
      <w:r w:rsidR="00A456ED">
        <w:t>110</w:t>
      </w:r>
      <w:r w:rsidRPr="00D85E09">
        <w:fldChar w:fldCharType="end"/>
      </w:r>
      <w:r w:rsidRPr="00D85E09">
        <w:t xml:space="preserve"> below hence summarises the total costs to MBS under the alternative caseload scenarios.</w:t>
      </w:r>
      <w:r w:rsidR="00C13682">
        <w:br w:type="page"/>
      </w:r>
    </w:p>
    <w:p w14:paraId="73C8B79C" w14:textId="3210B8AA" w:rsidR="006C3C67" w:rsidRPr="00D85E09" w:rsidRDefault="006C3C67" w:rsidP="0043316B">
      <w:pPr>
        <w:pStyle w:val="Caption"/>
        <w:keepNext w:val="0"/>
        <w:widowControl w:val="0"/>
        <w:rPr>
          <w:lang w:val="en-AU"/>
        </w:rPr>
      </w:pPr>
      <w:bookmarkStart w:id="654" w:name="_Ref399509825"/>
      <w:bookmarkStart w:id="655" w:name="_Toc399945208"/>
      <w:bookmarkStart w:id="656" w:name="_Toc400475817"/>
      <w:bookmarkStart w:id="657" w:name="_Toc453065446"/>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110</w:t>
      </w:r>
      <w:r w:rsidRPr="00D85E09">
        <w:rPr>
          <w:lang w:val="en-AU"/>
        </w:rPr>
        <w:fldChar w:fldCharType="end"/>
      </w:r>
      <w:bookmarkEnd w:id="654"/>
      <w:r w:rsidRPr="00D85E09">
        <w:rPr>
          <w:lang w:val="en-AU"/>
        </w:rPr>
        <w:tab/>
        <w:t>Estimated MBS costs in total, Year 1 to Year 5 of listing</w:t>
      </w:r>
      <w:bookmarkEnd w:id="655"/>
      <w:bookmarkEnd w:id="656"/>
      <w:bookmarkEnd w:id="657"/>
    </w:p>
    <w:tbl>
      <w:tblPr>
        <w:tblStyle w:val="TableGrid"/>
        <w:tblW w:w="5000" w:type="pct"/>
        <w:tblLook w:val="04A0" w:firstRow="1" w:lastRow="0" w:firstColumn="1" w:lastColumn="0" w:noHBand="0" w:noVBand="1"/>
        <w:tblDescription w:val="Estimated MBS costs in total, Year 1 to Year 5 of listing"/>
      </w:tblPr>
      <w:tblGrid>
        <w:gridCol w:w="2286"/>
        <w:gridCol w:w="1343"/>
        <w:gridCol w:w="1345"/>
        <w:gridCol w:w="1343"/>
        <w:gridCol w:w="1345"/>
        <w:gridCol w:w="1342"/>
      </w:tblGrid>
      <w:tr w:rsidR="006C3C67" w:rsidRPr="00D85E09" w14:paraId="7714D380" w14:textId="77777777" w:rsidTr="00BE6331">
        <w:trPr>
          <w:tblHeader/>
        </w:trPr>
        <w:tc>
          <w:tcPr>
            <w:tcW w:w="1269" w:type="pct"/>
            <w:tcBorders>
              <w:top w:val="single" w:sz="4" w:space="0" w:color="auto"/>
              <w:left w:val="single" w:sz="4" w:space="0" w:color="auto"/>
              <w:bottom w:val="single" w:sz="4" w:space="0" w:color="auto"/>
              <w:right w:val="single" w:sz="4" w:space="0" w:color="auto"/>
            </w:tcBorders>
            <w:hideMark/>
          </w:tcPr>
          <w:p w14:paraId="7638D02F" w14:textId="77777777" w:rsidR="006C3C67" w:rsidRPr="00D85E09" w:rsidRDefault="006C3C67" w:rsidP="0043316B">
            <w:pPr>
              <w:pStyle w:val="Tabletext"/>
              <w:keepNext w:val="0"/>
              <w:widowControl w:val="0"/>
              <w:rPr>
                <w:b/>
              </w:rPr>
            </w:pPr>
            <w:r w:rsidRPr="00D85E09">
              <w:rPr>
                <w:b/>
              </w:rPr>
              <w:t>Caseload scenarios</w:t>
            </w:r>
          </w:p>
        </w:tc>
        <w:tc>
          <w:tcPr>
            <w:tcW w:w="746" w:type="pct"/>
            <w:tcBorders>
              <w:top w:val="single" w:sz="4" w:space="0" w:color="auto"/>
              <w:left w:val="single" w:sz="4" w:space="0" w:color="auto"/>
              <w:bottom w:val="single" w:sz="4" w:space="0" w:color="auto"/>
              <w:right w:val="single" w:sz="4" w:space="0" w:color="auto"/>
            </w:tcBorders>
            <w:hideMark/>
          </w:tcPr>
          <w:p w14:paraId="7C97864B" w14:textId="77777777" w:rsidR="006C3C67" w:rsidRPr="00D85E09" w:rsidRDefault="006C3C67" w:rsidP="0043316B">
            <w:pPr>
              <w:pStyle w:val="Tabletext"/>
              <w:keepNext w:val="0"/>
              <w:widowControl w:val="0"/>
              <w:jc w:val="center"/>
              <w:rPr>
                <w:b/>
              </w:rPr>
            </w:pPr>
            <w:r w:rsidRPr="00D85E09">
              <w:rPr>
                <w:b/>
              </w:rPr>
              <w:t>Year 1</w:t>
            </w:r>
          </w:p>
        </w:tc>
        <w:tc>
          <w:tcPr>
            <w:tcW w:w="747" w:type="pct"/>
            <w:tcBorders>
              <w:top w:val="single" w:sz="4" w:space="0" w:color="auto"/>
              <w:left w:val="single" w:sz="4" w:space="0" w:color="auto"/>
              <w:bottom w:val="single" w:sz="4" w:space="0" w:color="auto"/>
              <w:right w:val="single" w:sz="4" w:space="0" w:color="auto"/>
            </w:tcBorders>
            <w:hideMark/>
          </w:tcPr>
          <w:p w14:paraId="5C07E8C0" w14:textId="77777777" w:rsidR="006C3C67" w:rsidRPr="00D85E09" w:rsidRDefault="006C3C67" w:rsidP="0043316B">
            <w:pPr>
              <w:pStyle w:val="Tabletext"/>
              <w:keepNext w:val="0"/>
              <w:widowControl w:val="0"/>
              <w:jc w:val="center"/>
              <w:rPr>
                <w:b/>
              </w:rPr>
            </w:pPr>
            <w:r w:rsidRPr="00D85E09">
              <w:rPr>
                <w:b/>
              </w:rPr>
              <w:t>Year 2</w:t>
            </w:r>
          </w:p>
        </w:tc>
        <w:tc>
          <w:tcPr>
            <w:tcW w:w="746" w:type="pct"/>
            <w:tcBorders>
              <w:top w:val="single" w:sz="4" w:space="0" w:color="auto"/>
              <w:left w:val="single" w:sz="4" w:space="0" w:color="auto"/>
              <w:bottom w:val="single" w:sz="4" w:space="0" w:color="auto"/>
              <w:right w:val="single" w:sz="4" w:space="0" w:color="auto"/>
            </w:tcBorders>
            <w:hideMark/>
          </w:tcPr>
          <w:p w14:paraId="3678F12E" w14:textId="77777777" w:rsidR="006C3C67" w:rsidRPr="00D85E09" w:rsidRDefault="006C3C67" w:rsidP="0043316B">
            <w:pPr>
              <w:pStyle w:val="Tabletext"/>
              <w:keepNext w:val="0"/>
              <w:widowControl w:val="0"/>
              <w:jc w:val="center"/>
              <w:rPr>
                <w:b/>
              </w:rPr>
            </w:pPr>
            <w:r w:rsidRPr="00D85E09">
              <w:rPr>
                <w:b/>
              </w:rPr>
              <w:t>Year 3</w:t>
            </w:r>
          </w:p>
        </w:tc>
        <w:tc>
          <w:tcPr>
            <w:tcW w:w="747" w:type="pct"/>
            <w:tcBorders>
              <w:top w:val="single" w:sz="4" w:space="0" w:color="auto"/>
              <w:left w:val="single" w:sz="4" w:space="0" w:color="auto"/>
              <w:bottom w:val="single" w:sz="4" w:space="0" w:color="auto"/>
              <w:right w:val="single" w:sz="4" w:space="0" w:color="auto"/>
            </w:tcBorders>
            <w:hideMark/>
          </w:tcPr>
          <w:p w14:paraId="58C94CF9" w14:textId="77777777" w:rsidR="006C3C67" w:rsidRPr="00D85E09" w:rsidRDefault="006C3C67" w:rsidP="0043316B">
            <w:pPr>
              <w:pStyle w:val="Tabletext"/>
              <w:keepNext w:val="0"/>
              <w:widowControl w:val="0"/>
              <w:jc w:val="center"/>
              <w:rPr>
                <w:b/>
              </w:rPr>
            </w:pPr>
            <w:r w:rsidRPr="00D85E09">
              <w:rPr>
                <w:b/>
              </w:rPr>
              <w:t>Year 4</w:t>
            </w:r>
          </w:p>
        </w:tc>
        <w:tc>
          <w:tcPr>
            <w:tcW w:w="745" w:type="pct"/>
            <w:tcBorders>
              <w:top w:val="single" w:sz="4" w:space="0" w:color="auto"/>
              <w:left w:val="single" w:sz="4" w:space="0" w:color="auto"/>
              <w:bottom w:val="single" w:sz="4" w:space="0" w:color="auto"/>
              <w:right w:val="single" w:sz="4" w:space="0" w:color="auto"/>
            </w:tcBorders>
            <w:hideMark/>
          </w:tcPr>
          <w:p w14:paraId="3D9ACF70" w14:textId="77777777" w:rsidR="006C3C67" w:rsidRPr="00D85E09" w:rsidRDefault="006C3C67" w:rsidP="0043316B">
            <w:pPr>
              <w:pStyle w:val="Tabletext"/>
              <w:keepNext w:val="0"/>
              <w:widowControl w:val="0"/>
              <w:jc w:val="center"/>
              <w:rPr>
                <w:b/>
              </w:rPr>
            </w:pPr>
            <w:r w:rsidRPr="00D85E09">
              <w:rPr>
                <w:b/>
              </w:rPr>
              <w:t>Year 5</w:t>
            </w:r>
          </w:p>
        </w:tc>
      </w:tr>
      <w:tr w:rsidR="006C3C67" w:rsidRPr="00D85E09" w14:paraId="0820B3E7" w14:textId="77777777" w:rsidTr="009C64DD">
        <w:tc>
          <w:tcPr>
            <w:tcW w:w="5000" w:type="pct"/>
            <w:gridSpan w:val="6"/>
            <w:tcBorders>
              <w:top w:val="single" w:sz="4" w:space="0" w:color="auto"/>
              <w:left w:val="single" w:sz="4" w:space="0" w:color="auto"/>
              <w:bottom w:val="single" w:sz="4" w:space="0" w:color="auto"/>
              <w:right w:val="single" w:sz="4" w:space="0" w:color="auto"/>
            </w:tcBorders>
            <w:hideMark/>
          </w:tcPr>
          <w:p w14:paraId="7502D134" w14:textId="77777777" w:rsidR="006C3C67" w:rsidRPr="00D85E09" w:rsidRDefault="006C3C67" w:rsidP="0043316B">
            <w:pPr>
              <w:pStyle w:val="Tabletext"/>
              <w:keepNext w:val="0"/>
              <w:widowControl w:val="0"/>
            </w:pPr>
            <w:r w:rsidRPr="00D85E09">
              <w:t>Base case scenario</w:t>
            </w:r>
          </w:p>
        </w:tc>
      </w:tr>
      <w:tr w:rsidR="006C3C67" w:rsidRPr="00D85E09" w14:paraId="11159BD7" w14:textId="77777777" w:rsidTr="009C64DD">
        <w:tc>
          <w:tcPr>
            <w:tcW w:w="1269" w:type="pct"/>
            <w:tcBorders>
              <w:top w:val="single" w:sz="4" w:space="0" w:color="auto"/>
              <w:left w:val="single" w:sz="4" w:space="0" w:color="auto"/>
              <w:bottom w:val="single" w:sz="4" w:space="0" w:color="auto"/>
              <w:right w:val="single" w:sz="4" w:space="0" w:color="auto"/>
            </w:tcBorders>
            <w:hideMark/>
          </w:tcPr>
          <w:p w14:paraId="69A249B5" w14:textId="77777777" w:rsidR="006C3C67" w:rsidRPr="00D85E09" w:rsidRDefault="006C3C67" w:rsidP="0043316B">
            <w:pPr>
              <w:pStyle w:val="Tabletext"/>
              <w:keepNext w:val="0"/>
              <w:widowControl w:val="0"/>
            </w:pPr>
            <w:r w:rsidRPr="00D85E09">
              <w:t>Total MBS costs</w:t>
            </w:r>
          </w:p>
        </w:tc>
        <w:tc>
          <w:tcPr>
            <w:tcW w:w="746" w:type="pct"/>
            <w:tcBorders>
              <w:top w:val="single" w:sz="4" w:space="0" w:color="auto"/>
              <w:left w:val="single" w:sz="4" w:space="0" w:color="auto"/>
              <w:bottom w:val="single" w:sz="4" w:space="0" w:color="auto"/>
              <w:right w:val="single" w:sz="4" w:space="0" w:color="auto"/>
            </w:tcBorders>
          </w:tcPr>
          <w:p w14:paraId="11F285B7" w14:textId="77777777" w:rsidR="006C3C67" w:rsidRPr="00D85E09" w:rsidRDefault="006C3C67" w:rsidP="0043316B">
            <w:pPr>
              <w:pStyle w:val="Tabletext"/>
              <w:keepNext w:val="0"/>
              <w:widowControl w:val="0"/>
            </w:pPr>
          </w:p>
        </w:tc>
        <w:tc>
          <w:tcPr>
            <w:tcW w:w="747" w:type="pct"/>
            <w:tcBorders>
              <w:top w:val="single" w:sz="4" w:space="0" w:color="auto"/>
              <w:left w:val="single" w:sz="4" w:space="0" w:color="auto"/>
              <w:bottom w:val="single" w:sz="4" w:space="0" w:color="auto"/>
              <w:right w:val="single" w:sz="4" w:space="0" w:color="auto"/>
            </w:tcBorders>
          </w:tcPr>
          <w:p w14:paraId="2000729B" w14:textId="77777777" w:rsidR="006C3C67" w:rsidRPr="00D85E09" w:rsidRDefault="006C3C67" w:rsidP="0043316B">
            <w:pPr>
              <w:pStyle w:val="Tabletext"/>
              <w:keepNext w:val="0"/>
              <w:widowControl w:val="0"/>
            </w:pPr>
          </w:p>
        </w:tc>
        <w:tc>
          <w:tcPr>
            <w:tcW w:w="746" w:type="pct"/>
            <w:tcBorders>
              <w:top w:val="single" w:sz="4" w:space="0" w:color="auto"/>
              <w:left w:val="single" w:sz="4" w:space="0" w:color="auto"/>
              <w:bottom w:val="single" w:sz="4" w:space="0" w:color="auto"/>
              <w:right w:val="single" w:sz="4" w:space="0" w:color="auto"/>
            </w:tcBorders>
          </w:tcPr>
          <w:p w14:paraId="4C3975D5" w14:textId="77777777" w:rsidR="006C3C67" w:rsidRPr="00D85E09" w:rsidRDefault="006C3C67" w:rsidP="0043316B">
            <w:pPr>
              <w:pStyle w:val="Tabletext"/>
              <w:keepNext w:val="0"/>
              <w:widowControl w:val="0"/>
            </w:pPr>
          </w:p>
        </w:tc>
        <w:tc>
          <w:tcPr>
            <w:tcW w:w="747" w:type="pct"/>
            <w:tcBorders>
              <w:top w:val="single" w:sz="4" w:space="0" w:color="auto"/>
              <w:left w:val="single" w:sz="4" w:space="0" w:color="auto"/>
              <w:bottom w:val="single" w:sz="4" w:space="0" w:color="auto"/>
              <w:right w:val="single" w:sz="4" w:space="0" w:color="auto"/>
            </w:tcBorders>
          </w:tcPr>
          <w:p w14:paraId="536A37D5" w14:textId="77777777" w:rsidR="006C3C67" w:rsidRPr="00D85E09" w:rsidRDefault="006C3C67" w:rsidP="0043316B">
            <w:pPr>
              <w:pStyle w:val="Tabletext"/>
              <w:keepNext w:val="0"/>
              <w:widowControl w:val="0"/>
            </w:pPr>
          </w:p>
        </w:tc>
        <w:tc>
          <w:tcPr>
            <w:tcW w:w="745" w:type="pct"/>
            <w:tcBorders>
              <w:top w:val="single" w:sz="4" w:space="0" w:color="auto"/>
              <w:left w:val="single" w:sz="4" w:space="0" w:color="auto"/>
              <w:bottom w:val="single" w:sz="4" w:space="0" w:color="auto"/>
              <w:right w:val="single" w:sz="4" w:space="0" w:color="auto"/>
            </w:tcBorders>
          </w:tcPr>
          <w:p w14:paraId="2CECBCD9" w14:textId="77777777" w:rsidR="006C3C67" w:rsidRPr="00D85E09" w:rsidRDefault="006C3C67" w:rsidP="0043316B">
            <w:pPr>
              <w:pStyle w:val="Tabletext"/>
              <w:keepNext w:val="0"/>
              <w:widowControl w:val="0"/>
            </w:pPr>
          </w:p>
        </w:tc>
      </w:tr>
      <w:tr w:rsidR="006C3C67" w:rsidRPr="00D85E09" w14:paraId="444282BE" w14:textId="77777777" w:rsidTr="009C64DD">
        <w:tc>
          <w:tcPr>
            <w:tcW w:w="1269" w:type="pct"/>
            <w:tcBorders>
              <w:top w:val="single" w:sz="4" w:space="0" w:color="auto"/>
              <w:left w:val="single" w:sz="4" w:space="0" w:color="auto"/>
              <w:bottom w:val="single" w:sz="4" w:space="0" w:color="auto"/>
              <w:right w:val="single" w:sz="4" w:space="0" w:color="auto"/>
            </w:tcBorders>
            <w:hideMark/>
          </w:tcPr>
          <w:p w14:paraId="050833C4" w14:textId="77777777" w:rsidR="006C3C67" w:rsidRPr="00D85E09" w:rsidRDefault="006C3C67" w:rsidP="0043316B">
            <w:pPr>
              <w:pStyle w:val="Tabletext"/>
              <w:keepNext w:val="0"/>
              <w:widowControl w:val="0"/>
            </w:pPr>
            <w:r w:rsidRPr="00D85E09">
              <w:t xml:space="preserve"> - at full benefit</w:t>
            </w:r>
          </w:p>
        </w:tc>
        <w:tc>
          <w:tcPr>
            <w:tcW w:w="746" w:type="pct"/>
            <w:tcBorders>
              <w:top w:val="single" w:sz="4" w:space="0" w:color="auto"/>
              <w:left w:val="single" w:sz="4" w:space="0" w:color="auto"/>
              <w:bottom w:val="single" w:sz="4" w:space="0" w:color="auto"/>
              <w:right w:val="single" w:sz="4" w:space="0" w:color="auto"/>
            </w:tcBorders>
          </w:tcPr>
          <w:p w14:paraId="26B6A392" w14:textId="77777777" w:rsidR="006C3C67" w:rsidRPr="00D85E09" w:rsidRDefault="006C3C67" w:rsidP="0043316B">
            <w:pPr>
              <w:pStyle w:val="Tabletext"/>
              <w:keepNext w:val="0"/>
              <w:widowControl w:val="0"/>
            </w:pPr>
            <w:r w:rsidRPr="00D85E09">
              <w:t>$401,223</w:t>
            </w:r>
          </w:p>
        </w:tc>
        <w:tc>
          <w:tcPr>
            <w:tcW w:w="747" w:type="pct"/>
            <w:tcBorders>
              <w:top w:val="single" w:sz="4" w:space="0" w:color="auto"/>
              <w:left w:val="single" w:sz="4" w:space="0" w:color="auto"/>
              <w:bottom w:val="single" w:sz="4" w:space="0" w:color="auto"/>
              <w:right w:val="single" w:sz="4" w:space="0" w:color="auto"/>
            </w:tcBorders>
          </w:tcPr>
          <w:p w14:paraId="47ADE8D0" w14:textId="77777777" w:rsidR="006C3C67" w:rsidRPr="00D85E09" w:rsidRDefault="006C3C67" w:rsidP="0043316B">
            <w:pPr>
              <w:pStyle w:val="Tabletext"/>
              <w:keepNext w:val="0"/>
              <w:widowControl w:val="0"/>
            </w:pPr>
            <w:r w:rsidRPr="00D85E09">
              <w:t>$493,813</w:t>
            </w:r>
          </w:p>
        </w:tc>
        <w:tc>
          <w:tcPr>
            <w:tcW w:w="746" w:type="pct"/>
            <w:tcBorders>
              <w:top w:val="single" w:sz="4" w:space="0" w:color="auto"/>
              <w:left w:val="single" w:sz="4" w:space="0" w:color="auto"/>
              <w:bottom w:val="single" w:sz="4" w:space="0" w:color="auto"/>
              <w:right w:val="single" w:sz="4" w:space="0" w:color="auto"/>
            </w:tcBorders>
          </w:tcPr>
          <w:p w14:paraId="75C9460E" w14:textId="77777777" w:rsidR="006C3C67" w:rsidRPr="00D85E09" w:rsidRDefault="006C3C67" w:rsidP="0043316B">
            <w:pPr>
              <w:pStyle w:val="Tabletext"/>
              <w:keepNext w:val="0"/>
              <w:widowControl w:val="0"/>
            </w:pPr>
            <w:r w:rsidRPr="00D85E09">
              <w:t>$586,403</w:t>
            </w:r>
          </w:p>
        </w:tc>
        <w:tc>
          <w:tcPr>
            <w:tcW w:w="747" w:type="pct"/>
            <w:tcBorders>
              <w:top w:val="single" w:sz="4" w:space="0" w:color="auto"/>
              <w:left w:val="single" w:sz="4" w:space="0" w:color="auto"/>
              <w:bottom w:val="single" w:sz="4" w:space="0" w:color="auto"/>
              <w:right w:val="single" w:sz="4" w:space="0" w:color="auto"/>
            </w:tcBorders>
          </w:tcPr>
          <w:p w14:paraId="459186C4" w14:textId="77777777" w:rsidR="006C3C67" w:rsidRPr="00D85E09" w:rsidRDefault="006C3C67" w:rsidP="0043316B">
            <w:pPr>
              <w:pStyle w:val="Tabletext"/>
              <w:keepNext w:val="0"/>
              <w:widowControl w:val="0"/>
            </w:pPr>
            <w:r w:rsidRPr="00D85E09">
              <w:t>$678,993</w:t>
            </w:r>
          </w:p>
        </w:tc>
        <w:tc>
          <w:tcPr>
            <w:tcW w:w="745" w:type="pct"/>
            <w:tcBorders>
              <w:top w:val="single" w:sz="4" w:space="0" w:color="auto"/>
              <w:left w:val="single" w:sz="4" w:space="0" w:color="auto"/>
              <w:bottom w:val="single" w:sz="4" w:space="0" w:color="auto"/>
              <w:right w:val="single" w:sz="4" w:space="0" w:color="auto"/>
            </w:tcBorders>
          </w:tcPr>
          <w:p w14:paraId="7AEBD475" w14:textId="77777777" w:rsidR="006C3C67" w:rsidRPr="00D85E09" w:rsidRDefault="006C3C67" w:rsidP="0043316B">
            <w:pPr>
              <w:pStyle w:val="Tabletext"/>
              <w:keepNext w:val="0"/>
              <w:widowControl w:val="0"/>
            </w:pPr>
            <w:r w:rsidRPr="00D85E09">
              <w:t>$771,583</w:t>
            </w:r>
          </w:p>
        </w:tc>
      </w:tr>
      <w:tr w:rsidR="006C3C67" w:rsidRPr="00D85E09" w14:paraId="4B563CF0" w14:textId="77777777" w:rsidTr="009C64DD">
        <w:tc>
          <w:tcPr>
            <w:tcW w:w="1269" w:type="pct"/>
            <w:tcBorders>
              <w:top w:val="single" w:sz="4" w:space="0" w:color="auto"/>
              <w:left w:val="single" w:sz="4" w:space="0" w:color="auto"/>
              <w:bottom w:val="single" w:sz="4" w:space="0" w:color="auto"/>
              <w:right w:val="single" w:sz="4" w:space="0" w:color="auto"/>
            </w:tcBorders>
            <w:hideMark/>
          </w:tcPr>
          <w:p w14:paraId="469E7EC7" w14:textId="77777777" w:rsidR="006C3C67" w:rsidRPr="00D85E09" w:rsidRDefault="006C3C67" w:rsidP="0043316B">
            <w:pPr>
              <w:pStyle w:val="Tabletext"/>
              <w:keepNext w:val="0"/>
              <w:widowControl w:val="0"/>
            </w:pPr>
            <w:r w:rsidRPr="00D85E09">
              <w:t>- at 75% benefit</w:t>
            </w:r>
          </w:p>
        </w:tc>
        <w:tc>
          <w:tcPr>
            <w:tcW w:w="746" w:type="pct"/>
            <w:tcBorders>
              <w:top w:val="single" w:sz="4" w:space="0" w:color="auto"/>
              <w:left w:val="single" w:sz="4" w:space="0" w:color="auto"/>
              <w:bottom w:val="single" w:sz="4" w:space="0" w:color="auto"/>
              <w:right w:val="single" w:sz="4" w:space="0" w:color="auto"/>
            </w:tcBorders>
          </w:tcPr>
          <w:p w14:paraId="49726445" w14:textId="77777777" w:rsidR="006C3C67" w:rsidRPr="00D85E09" w:rsidRDefault="006C3C67" w:rsidP="0043316B">
            <w:pPr>
              <w:pStyle w:val="Tabletext"/>
              <w:keepNext w:val="0"/>
              <w:widowControl w:val="0"/>
            </w:pPr>
            <w:r w:rsidRPr="00D85E09">
              <w:t>$300,917</w:t>
            </w:r>
          </w:p>
        </w:tc>
        <w:tc>
          <w:tcPr>
            <w:tcW w:w="747" w:type="pct"/>
            <w:tcBorders>
              <w:top w:val="single" w:sz="4" w:space="0" w:color="auto"/>
              <w:left w:val="single" w:sz="4" w:space="0" w:color="auto"/>
              <w:bottom w:val="single" w:sz="4" w:space="0" w:color="auto"/>
              <w:right w:val="single" w:sz="4" w:space="0" w:color="auto"/>
            </w:tcBorders>
          </w:tcPr>
          <w:p w14:paraId="447D8BF3" w14:textId="77777777" w:rsidR="006C3C67" w:rsidRPr="00D85E09" w:rsidRDefault="006C3C67" w:rsidP="0043316B">
            <w:pPr>
              <w:pStyle w:val="Tabletext"/>
              <w:keepNext w:val="0"/>
              <w:widowControl w:val="0"/>
            </w:pPr>
            <w:r w:rsidRPr="00D85E09">
              <w:t>$370,360</w:t>
            </w:r>
          </w:p>
        </w:tc>
        <w:tc>
          <w:tcPr>
            <w:tcW w:w="746" w:type="pct"/>
            <w:tcBorders>
              <w:top w:val="single" w:sz="4" w:space="0" w:color="auto"/>
              <w:left w:val="single" w:sz="4" w:space="0" w:color="auto"/>
              <w:bottom w:val="single" w:sz="4" w:space="0" w:color="auto"/>
              <w:right w:val="single" w:sz="4" w:space="0" w:color="auto"/>
            </w:tcBorders>
          </w:tcPr>
          <w:p w14:paraId="1F6EBDCC" w14:textId="77777777" w:rsidR="006C3C67" w:rsidRPr="00D85E09" w:rsidRDefault="006C3C67" w:rsidP="0043316B">
            <w:pPr>
              <w:pStyle w:val="Tabletext"/>
              <w:keepNext w:val="0"/>
              <w:widowControl w:val="0"/>
            </w:pPr>
            <w:r w:rsidRPr="00D85E09">
              <w:t>$439,802</w:t>
            </w:r>
          </w:p>
        </w:tc>
        <w:tc>
          <w:tcPr>
            <w:tcW w:w="747" w:type="pct"/>
            <w:tcBorders>
              <w:top w:val="single" w:sz="4" w:space="0" w:color="auto"/>
              <w:left w:val="single" w:sz="4" w:space="0" w:color="auto"/>
              <w:bottom w:val="single" w:sz="4" w:space="0" w:color="auto"/>
              <w:right w:val="single" w:sz="4" w:space="0" w:color="auto"/>
            </w:tcBorders>
          </w:tcPr>
          <w:p w14:paraId="767410C0" w14:textId="77777777" w:rsidR="006C3C67" w:rsidRPr="00D85E09" w:rsidRDefault="006C3C67" w:rsidP="0043316B">
            <w:pPr>
              <w:pStyle w:val="Tabletext"/>
              <w:keepNext w:val="0"/>
              <w:widowControl w:val="0"/>
            </w:pPr>
            <w:r w:rsidRPr="00D85E09">
              <w:t>$509,245</w:t>
            </w:r>
          </w:p>
        </w:tc>
        <w:tc>
          <w:tcPr>
            <w:tcW w:w="745" w:type="pct"/>
            <w:tcBorders>
              <w:top w:val="single" w:sz="4" w:space="0" w:color="auto"/>
              <w:left w:val="single" w:sz="4" w:space="0" w:color="auto"/>
              <w:bottom w:val="single" w:sz="4" w:space="0" w:color="auto"/>
              <w:right w:val="single" w:sz="4" w:space="0" w:color="auto"/>
            </w:tcBorders>
          </w:tcPr>
          <w:p w14:paraId="5DB38731" w14:textId="77777777" w:rsidR="006C3C67" w:rsidRPr="00D85E09" w:rsidRDefault="006C3C67" w:rsidP="0043316B">
            <w:pPr>
              <w:pStyle w:val="Tabletext"/>
              <w:keepNext w:val="0"/>
              <w:widowControl w:val="0"/>
            </w:pPr>
            <w:r w:rsidRPr="00D85E09">
              <w:t>$578,687</w:t>
            </w:r>
          </w:p>
        </w:tc>
      </w:tr>
      <w:tr w:rsidR="006C3C67" w:rsidRPr="00D85E09" w14:paraId="52C4E534" w14:textId="77777777" w:rsidTr="009C64DD">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6CB0BC" w14:textId="0EDD77E5" w:rsidR="006C3C67" w:rsidRPr="00D85E09" w:rsidRDefault="006C3C67" w:rsidP="0043316B">
            <w:pPr>
              <w:pStyle w:val="Tabletext"/>
              <w:keepNext w:val="0"/>
              <w:widowControl w:val="0"/>
            </w:pPr>
            <w:r w:rsidRPr="00D85E09">
              <w:t xml:space="preserve">High uptake scenario </w:t>
            </w:r>
          </w:p>
        </w:tc>
      </w:tr>
      <w:tr w:rsidR="006C3C67" w:rsidRPr="00D85E09" w14:paraId="42FCEC8C" w14:textId="77777777" w:rsidTr="009C64DD">
        <w:tc>
          <w:tcPr>
            <w:tcW w:w="12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99CB9D" w14:textId="77777777" w:rsidR="006C3C67" w:rsidRPr="00D85E09" w:rsidRDefault="006C3C67" w:rsidP="0043316B">
            <w:pPr>
              <w:pStyle w:val="Tabletext"/>
              <w:keepNext w:val="0"/>
              <w:widowControl w:val="0"/>
            </w:pPr>
            <w:r w:rsidRPr="00D85E09">
              <w:t>Total MBS costs</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252A11" w14:textId="77777777" w:rsidR="006C3C67" w:rsidRPr="00D85E09" w:rsidRDefault="006C3C67" w:rsidP="0043316B">
            <w:pPr>
              <w:pStyle w:val="Tabletext"/>
              <w:keepNext w:val="0"/>
              <w:widowControl w:val="0"/>
            </w:pP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B9475" w14:textId="77777777" w:rsidR="006C3C67" w:rsidRPr="00D85E09" w:rsidRDefault="006C3C67" w:rsidP="0043316B">
            <w:pPr>
              <w:pStyle w:val="Tabletext"/>
              <w:keepNext w:val="0"/>
              <w:widowControl w:val="0"/>
            </w:pP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B34E1" w14:textId="77777777" w:rsidR="006C3C67" w:rsidRPr="00D85E09" w:rsidRDefault="006C3C67" w:rsidP="0043316B">
            <w:pPr>
              <w:pStyle w:val="Tabletext"/>
              <w:keepNext w:val="0"/>
              <w:widowControl w:val="0"/>
            </w:pP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F876A0" w14:textId="77777777" w:rsidR="006C3C67" w:rsidRPr="00D85E09" w:rsidRDefault="006C3C67" w:rsidP="0043316B">
            <w:pPr>
              <w:pStyle w:val="Tabletext"/>
              <w:keepNext w:val="0"/>
              <w:widowControl w:val="0"/>
            </w:pP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EBBEA0" w14:textId="77777777" w:rsidR="006C3C67" w:rsidRPr="00D85E09" w:rsidRDefault="006C3C67" w:rsidP="0043316B">
            <w:pPr>
              <w:pStyle w:val="Tabletext"/>
              <w:keepNext w:val="0"/>
              <w:widowControl w:val="0"/>
            </w:pPr>
          </w:p>
        </w:tc>
      </w:tr>
      <w:tr w:rsidR="006C3C67" w:rsidRPr="00D85E09" w14:paraId="2841A41E" w14:textId="77777777" w:rsidTr="009C64DD">
        <w:tc>
          <w:tcPr>
            <w:tcW w:w="12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0B8A53" w14:textId="77777777" w:rsidR="006C3C67" w:rsidRPr="00D85E09" w:rsidRDefault="006C3C67" w:rsidP="0043316B">
            <w:pPr>
              <w:pStyle w:val="Tabletext"/>
              <w:keepNext w:val="0"/>
              <w:widowControl w:val="0"/>
            </w:pPr>
            <w:r w:rsidRPr="00D85E09">
              <w:t xml:space="preserve"> - at full benefit</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69FB1" w14:textId="77777777" w:rsidR="006C3C67" w:rsidRPr="00D85E09" w:rsidRDefault="006C3C67" w:rsidP="0043316B">
            <w:pPr>
              <w:pStyle w:val="Tabletext"/>
              <w:keepNext w:val="0"/>
              <w:widowControl w:val="0"/>
            </w:pPr>
            <w:r w:rsidRPr="00D85E09">
              <w:t>$555,540</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E927CA" w14:textId="77777777" w:rsidR="006C3C67" w:rsidRPr="00D85E09" w:rsidRDefault="006C3C67" w:rsidP="0043316B">
            <w:pPr>
              <w:pStyle w:val="Tabletext"/>
              <w:keepNext w:val="0"/>
              <w:widowControl w:val="0"/>
            </w:pPr>
            <w:r w:rsidRPr="00D85E09">
              <w:t>$802,447</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A825BB" w14:textId="77777777" w:rsidR="006C3C67" w:rsidRPr="00D85E09" w:rsidRDefault="006C3C67" w:rsidP="0043316B">
            <w:pPr>
              <w:pStyle w:val="Tabletext"/>
              <w:keepNext w:val="0"/>
              <w:widowControl w:val="0"/>
            </w:pPr>
            <w:r w:rsidRPr="00D85E09">
              <w:t>$1,049,353</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C5D5B" w14:textId="77777777" w:rsidR="006C3C67" w:rsidRPr="00D85E09" w:rsidRDefault="006C3C67" w:rsidP="0043316B">
            <w:pPr>
              <w:pStyle w:val="Tabletext"/>
              <w:keepNext w:val="0"/>
              <w:widowControl w:val="0"/>
            </w:pPr>
            <w:r w:rsidRPr="00D85E09">
              <w:t>$1,296,260</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677DF" w14:textId="77777777" w:rsidR="006C3C67" w:rsidRPr="00D85E09" w:rsidRDefault="006C3C67" w:rsidP="0043316B">
            <w:pPr>
              <w:pStyle w:val="Tabletext"/>
              <w:keepNext w:val="0"/>
              <w:widowControl w:val="0"/>
            </w:pPr>
            <w:r w:rsidRPr="00D85E09">
              <w:t>$1,543,166</w:t>
            </w:r>
          </w:p>
        </w:tc>
      </w:tr>
      <w:tr w:rsidR="006C3C67" w:rsidRPr="00D85E09" w14:paraId="2A099E2B" w14:textId="77777777" w:rsidTr="009C64DD">
        <w:tc>
          <w:tcPr>
            <w:tcW w:w="126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41E158" w14:textId="77777777" w:rsidR="006C3C67" w:rsidRPr="00D85E09" w:rsidRDefault="006C3C67" w:rsidP="0043316B">
            <w:pPr>
              <w:pStyle w:val="Tabletext"/>
              <w:keepNext w:val="0"/>
              <w:widowControl w:val="0"/>
            </w:pPr>
            <w:r w:rsidRPr="00D85E09">
              <w:t>- at 75% benefit</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EF3FD" w14:textId="77777777" w:rsidR="006C3C67" w:rsidRPr="00D85E09" w:rsidRDefault="006C3C67" w:rsidP="0043316B">
            <w:pPr>
              <w:pStyle w:val="Tabletext"/>
              <w:keepNext w:val="0"/>
              <w:widowControl w:val="0"/>
            </w:pPr>
            <w:r w:rsidRPr="00D85E09">
              <w:t>$416,655</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93170A" w14:textId="77777777" w:rsidR="006C3C67" w:rsidRPr="00D85E09" w:rsidRDefault="006C3C67" w:rsidP="0043316B">
            <w:pPr>
              <w:pStyle w:val="Tabletext"/>
              <w:keepNext w:val="0"/>
              <w:widowControl w:val="0"/>
            </w:pPr>
            <w:r w:rsidRPr="00D85E09">
              <w:t>$601,835</w:t>
            </w:r>
          </w:p>
        </w:tc>
        <w:tc>
          <w:tcPr>
            <w:tcW w:w="74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7A44A" w14:textId="77777777" w:rsidR="006C3C67" w:rsidRPr="00D85E09" w:rsidRDefault="006C3C67" w:rsidP="0043316B">
            <w:pPr>
              <w:pStyle w:val="Tabletext"/>
              <w:keepNext w:val="0"/>
              <w:widowControl w:val="0"/>
            </w:pPr>
            <w:r w:rsidRPr="00D85E09">
              <w:t>$787,015</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967390" w14:textId="77777777" w:rsidR="006C3C67" w:rsidRPr="00D85E09" w:rsidRDefault="006C3C67" w:rsidP="0043316B">
            <w:pPr>
              <w:pStyle w:val="Tabletext"/>
              <w:keepNext w:val="0"/>
              <w:widowControl w:val="0"/>
            </w:pPr>
            <w:r w:rsidRPr="00D85E09">
              <w:t>$972,195</w:t>
            </w:r>
          </w:p>
        </w:tc>
        <w:tc>
          <w:tcPr>
            <w:tcW w:w="7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DC3C7E" w14:textId="77777777" w:rsidR="006C3C67" w:rsidRPr="00D85E09" w:rsidRDefault="006C3C67" w:rsidP="0043316B">
            <w:pPr>
              <w:pStyle w:val="Tabletext"/>
              <w:keepNext w:val="0"/>
              <w:widowControl w:val="0"/>
            </w:pPr>
            <w:r w:rsidRPr="00D85E09">
              <w:t>$1,157,375</w:t>
            </w:r>
          </w:p>
        </w:tc>
      </w:tr>
    </w:tbl>
    <w:p w14:paraId="4E059CC8" w14:textId="6B7F28EA" w:rsidR="006C3C67" w:rsidRPr="00D85E09" w:rsidRDefault="006C3C67" w:rsidP="0043316B">
      <w:pPr>
        <w:pStyle w:val="Tablefooter"/>
        <w:widowControl w:val="0"/>
      </w:pPr>
      <w:r w:rsidRPr="00D85E09">
        <w:t>Note: See full calculation detail</w:t>
      </w:r>
      <w:r w:rsidR="00474DEB" w:rsidRPr="00D85E09">
        <w:t>s in the attached spreadsheet (“MT MSAC June 2016 Section E.xlsx”</w:t>
      </w:r>
      <w:r w:rsidRPr="00D85E09">
        <w:t xml:space="preserve">). See </w:t>
      </w:r>
      <w:r w:rsidRPr="00D85E09">
        <w:fldChar w:fldCharType="begin"/>
      </w:r>
      <w:r w:rsidRPr="00D85E09">
        <w:instrText xml:space="preserve"> REF _Ref399509376 \h  \* MERGEFORMAT </w:instrText>
      </w:r>
      <w:r w:rsidRPr="00D85E09">
        <w:fldChar w:fldCharType="separate"/>
      </w:r>
      <w:r w:rsidR="00A456ED" w:rsidRPr="00D85E09">
        <w:t xml:space="preserve">Table </w:t>
      </w:r>
      <w:r w:rsidR="00A456ED">
        <w:t>109</w:t>
      </w:r>
      <w:r w:rsidRPr="00D85E09">
        <w:fldChar w:fldCharType="end"/>
      </w:r>
      <w:r w:rsidRPr="00D85E09">
        <w:t xml:space="preserve"> and </w:t>
      </w:r>
      <w:r w:rsidRPr="00D85E09">
        <w:fldChar w:fldCharType="begin"/>
      </w:r>
      <w:r w:rsidRPr="00D85E09">
        <w:instrText xml:space="preserve"> REF _Ref399508605 \h  \* MERGEFORMAT </w:instrText>
      </w:r>
      <w:r w:rsidRPr="00D85E09">
        <w:fldChar w:fldCharType="separate"/>
      </w:r>
      <w:r w:rsidR="00A456ED" w:rsidRPr="00D85E09">
        <w:t xml:space="preserve">Table </w:t>
      </w:r>
      <w:r w:rsidR="00A456ED">
        <w:t>108</w:t>
      </w:r>
      <w:r w:rsidRPr="00D85E09">
        <w:fldChar w:fldCharType="end"/>
      </w:r>
      <w:r w:rsidRPr="00D85E09">
        <w:t xml:space="preserve"> above.</w:t>
      </w:r>
    </w:p>
    <w:p w14:paraId="485C713C" w14:textId="77777777" w:rsidR="006C3C67" w:rsidRPr="00D85E09" w:rsidRDefault="006C3C67" w:rsidP="0043316B">
      <w:pPr>
        <w:widowControl w:val="0"/>
      </w:pPr>
    </w:p>
    <w:p w14:paraId="1D70D6B4" w14:textId="77777777" w:rsidR="006C3C67" w:rsidRPr="00D85E09" w:rsidRDefault="006C3C67" w:rsidP="0043316B">
      <w:pPr>
        <w:pStyle w:val="Heading2"/>
        <w:widowControl w:val="0"/>
        <w:numPr>
          <w:ilvl w:val="1"/>
          <w:numId w:val="32"/>
        </w:numPr>
        <w:ind w:left="851" w:hanging="851"/>
        <w:rPr>
          <w:lang w:val="en-AU"/>
        </w:rPr>
      </w:pPr>
      <w:bookmarkStart w:id="658" w:name="_Toc358731932"/>
      <w:bookmarkStart w:id="659" w:name="_Toc273301520"/>
      <w:bookmarkStart w:id="660" w:name="_Toc258501810"/>
      <w:bookmarkStart w:id="661" w:name="_Toc453065334"/>
      <w:r w:rsidRPr="00D85E09">
        <w:rPr>
          <w:lang w:val="en-AU"/>
        </w:rPr>
        <w:t>Estimated financial implications for government health budgets</w:t>
      </w:r>
      <w:bookmarkEnd w:id="658"/>
      <w:bookmarkEnd w:id="659"/>
      <w:bookmarkEnd w:id="660"/>
      <w:bookmarkEnd w:id="661"/>
    </w:p>
    <w:p w14:paraId="0CE96AF2" w14:textId="350322DA" w:rsidR="006C3C67" w:rsidRPr="00D85E09" w:rsidRDefault="006C3C67" w:rsidP="0043316B">
      <w:pPr>
        <w:widowControl w:val="0"/>
      </w:pPr>
      <w:r w:rsidRPr="00D85E09">
        <w:t>As demonstrated in the Section D model, the functional benefits offered by MT over usual care are expected to generate cost savings in terms of patient care cost in the long run. The model estimated that for each patient undergone MT a total saving of $8187 can be made over the modelled life</w:t>
      </w:r>
      <w:r w:rsidR="00D32933" w:rsidRPr="00D85E09">
        <w:t>-</w:t>
      </w:r>
      <w:r w:rsidRPr="00D85E09">
        <w:t>time period when compared with usual care alone (discounted; see Section D.5).</w:t>
      </w:r>
    </w:p>
    <w:p w14:paraId="71B87830" w14:textId="61953D6B" w:rsidR="00C13682" w:rsidRDefault="006C3C67" w:rsidP="0043316B">
      <w:pPr>
        <w:widowControl w:val="0"/>
      </w:pPr>
      <w:r w:rsidRPr="00D85E09">
        <w:t>Based on this per</w:t>
      </w:r>
      <w:r w:rsidR="00300BB6" w:rsidRPr="00D85E09">
        <w:t xml:space="preserve"> </w:t>
      </w:r>
      <w:r w:rsidRPr="00D85E09">
        <w:t xml:space="preserve">patient estimate, the likely cost savings to the wider Australian healthcare system can be derived, as summarised in </w:t>
      </w:r>
      <w:r w:rsidRPr="00D85E09">
        <w:fldChar w:fldCharType="begin"/>
      </w:r>
      <w:r w:rsidRPr="00D85E09">
        <w:instrText xml:space="preserve"> REF _Ref452559706 \h </w:instrText>
      </w:r>
      <w:r w:rsidRPr="00D85E09">
        <w:fldChar w:fldCharType="separate"/>
      </w:r>
      <w:r w:rsidR="00A456ED" w:rsidRPr="00D85E09">
        <w:t xml:space="preserve">Table </w:t>
      </w:r>
      <w:r w:rsidR="00A456ED">
        <w:rPr>
          <w:noProof/>
        </w:rPr>
        <w:t>111</w:t>
      </w:r>
      <w:r w:rsidRPr="00D85E09">
        <w:fldChar w:fldCharType="end"/>
      </w:r>
      <w:r w:rsidRPr="00D85E09">
        <w:t>; highlighting that the proposed listing would provide overall cost savings when the long-term cost savings to the wider Australian healthcare system is taken into account.</w:t>
      </w:r>
      <w:r w:rsidR="00CD41B8" w:rsidRPr="00D85E09">
        <w:t xml:space="preserve"> This analysis only considers direct healthcare costs </w:t>
      </w:r>
      <w:r w:rsidR="007235C5" w:rsidRPr="00D85E09">
        <w:t>–</w:t>
      </w:r>
      <w:r w:rsidR="00CD41B8" w:rsidRPr="00D85E09">
        <w:t xml:space="preserve"> </w:t>
      </w:r>
      <w:r w:rsidR="007235C5" w:rsidRPr="00D85E09">
        <w:t>the financial impact of stroke extends far beyong the impact on healthcare budgets – hence, significant</w:t>
      </w:r>
      <w:r w:rsidR="008A664E" w:rsidRPr="00D85E09">
        <w:t xml:space="preserve"> indirect</w:t>
      </w:r>
      <w:r w:rsidR="007235C5" w:rsidRPr="00D85E09">
        <w:t xml:space="preserve"> cost savings from avoided impact on productivity costs and </w:t>
      </w:r>
      <w:r w:rsidR="00F81D43" w:rsidRPr="00D85E09">
        <w:t xml:space="preserve">reduced </w:t>
      </w:r>
      <w:r w:rsidR="007235C5" w:rsidRPr="00D85E09">
        <w:t>carer</w:t>
      </w:r>
      <w:r w:rsidR="00F81D43" w:rsidRPr="00D85E09">
        <w:t xml:space="preserve"> burden</w:t>
      </w:r>
      <w:r w:rsidR="007235C5" w:rsidRPr="00D85E09">
        <w:t xml:space="preserve"> are </w:t>
      </w:r>
      <w:r w:rsidR="008A664E" w:rsidRPr="00D85E09">
        <w:t xml:space="preserve">also </w:t>
      </w:r>
      <w:r w:rsidR="007235C5" w:rsidRPr="00D85E09">
        <w:t>anticipated as result of improved access to mechanical thrombectomy.</w:t>
      </w:r>
      <w:r w:rsidR="00C13682">
        <w:br w:type="page"/>
      </w:r>
    </w:p>
    <w:p w14:paraId="4CE7C512" w14:textId="32300F74" w:rsidR="006C3C67" w:rsidRPr="00D85E09" w:rsidRDefault="006C3C67" w:rsidP="0043316B">
      <w:pPr>
        <w:pStyle w:val="Caption"/>
        <w:keepNext w:val="0"/>
        <w:widowControl w:val="0"/>
        <w:rPr>
          <w:lang w:val="en-AU"/>
        </w:rPr>
      </w:pPr>
      <w:bookmarkStart w:id="662" w:name="_Ref452559706"/>
      <w:bookmarkStart w:id="663" w:name="_Toc453065447"/>
      <w:r w:rsidRPr="00D85E09">
        <w:rPr>
          <w:lang w:val="en-AU"/>
        </w:rPr>
        <w:lastRenderedPageBreak/>
        <w:t xml:space="preserve">Table </w:t>
      </w:r>
      <w:r w:rsidRPr="00D85E09">
        <w:rPr>
          <w:lang w:val="en-AU"/>
        </w:rPr>
        <w:fldChar w:fldCharType="begin"/>
      </w:r>
      <w:r w:rsidRPr="00D85E09">
        <w:rPr>
          <w:lang w:val="en-AU"/>
        </w:rPr>
        <w:instrText xml:space="preserve"> SEQ Table \* ARABIC </w:instrText>
      </w:r>
      <w:r w:rsidRPr="00D85E09">
        <w:rPr>
          <w:lang w:val="en-AU"/>
        </w:rPr>
        <w:fldChar w:fldCharType="separate"/>
      </w:r>
      <w:r w:rsidR="00A456ED">
        <w:rPr>
          <w:noProof/>
          <w:lang w:val="en-AU"/>
        </w:rPr>
        <w:t>111</w:t>
      </w:r>
      <w:r w:rsidRPr="00D85E09">
        <w:rPr>
          <w:lang w:val="en-AU"/>
        </w:rPr>
        <w:fldChar w:fldCharType="end"/>
      </w:r>
      <w:bookmarkEnd w:id="662"/>
      <w:r w:rsidRPr="00D85E09">
        <w:rPr>
          <w:lang w:val="en-AU"/>
        </w:rPr>
        <w:tab/>
        <w:t>Estimated cost savings from improved functional outcome, Year 1 to Year 5 of listing; based on the discounted life-time cost from the Section D model</w:t>
      </w:r>
      <w:bookmarkEnd w:id="663"/>
    </w:p>
    <w:tbl>
      <w:tblPr>
        <w:tblStyle w:val="TableGrid"/>
        <w:tblW w:w="5000" w:type="pct"/>
        <w:tblLook w:val="04A0" w:firstRow="1" w:lastRow="0" w:firstColumn="1" w:lastColumn="0" w:noHBand="0" w:noVBand="1"/>
        <w:tblDescription w:val="Estimated cost savings from improved functional outcome, Year 1 to Year 5 of listing; based on the discounted life-time cost from the Section D model"/>
      </w:tblPr>
      <w:tblGrid>
        <w:gridCol w:w="2578"/>
        <w:gridCol w:w="1284"/>
        <w:gridCol w:w="1284"/>
        <w:gridCol w:w="1286"/>
        <w:gridCol w:w="1284"/>
        <w:gridCol w:w="1288"/>
      </w:tblGrid>
      <w:tr w:rsidR="006C3C67" w:rsidRPr="00D85E09" w14:paraId="66DC4E98" w14:textId="77777777" w:rsidTr="00BE6331">
        <w:trPr>
          <w:tblHeader/>
        </w:trPr>
        <w:tc>
          <w:tcPr>
            <w:tcW w:w="143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801249" w14:textId="77777777" w:rsidR="006C3C67" w:rsidRPr="00D85E09" w:rsidRDefault="006C3C67" w:rsidP="0043316B">
            <w:pPr>
              <w:pStyle w:val="Tabletext"/>
              <w:keepNext w:val="0"/>
              <w:widowControl w:val="0"/>
              <w:rPr>
                <w:b/>
              </w:rPr>
            </w:pPr>
            <w:r w:rsidRPr="00D85E09">
              <w:rPr>
                <w:b/>
              </w:rPr>
              <w:t>Caseloa</w:t>
            </w:r>
            <w:bookmarkStart w:id="664" w:name="_GoBack"/>
            <w:bookmarkEnd w:id="664"/>
            <w:r w:rsidRPr="00D85E09">
              <w:rPr>
                <w:b/>
              </w:rPr>
              <w:t>d scenarios</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4A770D" w14:textId="77777777" w:rsidR="006C3C67" w:rsidRPr="00D85E09" w:rsidRDefault="006C3C67" w:rsidP="0043316B">
            <w:pPr>
              <w:pStyle w:val="Tabletext"/>
              <w:keepNext w:val="0"/>
              <w:widowControl w:val="0"/>
              <w:jc w:val="center"/>
              <w:rPr>
                <w:b/>
              </w:rPr>
            </w:pPr>
            <w:r w:rsidRPr="00D85E09">
              <w:rPr>
                <w:b/>
              </w:rPr>
              <w:t>Year 1</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C6035D" w14:textId="77777777" w:rsidR="006C3C67" w:rsidRPr="00D85E09" w:rsidRDefault="006C3C67" w:rsidP="0043316B">
            <w:pPr>
              <w:pStyle w:val="Tabletext"/>
              <w:keepNext w:val="0"/>
              <w:widowControl w:val="0"/>
              <w:jc w:val="center"/>
              <w:rPr>
                <w:b/>
              </w:rPr>
            </w:pPr>
            <w:r w:rsidRPr="00D85E09">
              <w:rPr>
                <w:b/>
              </w:rPr>
              <w:t>Year 2</w:t>
            </w:r>
          </w:p>
        </w:tc>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7BF83B" w14:textId="77777777" w:rsidR="006C3C67" w:rsidRPr="00D85E09" w:rsidRDefault="006C3C67" w:rsidP="0043316B">
            <w:pPr>
              <w:pStyle w:val="Tabletext"/>
              <w:keepNext w:val="0"/>
              <w:widowControl w:val="0"/>
              <w:jc w:val="center"/>
              <w:rPr>
                <w:b/>
              </w:rPr>
            </w:pPr>
            <w:r w:rsidRPr="00D85E09">
              <w:rPr>
                <w:b/>
              </w:rPr>
              <w:t>Year 3</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EEA310" w14:textId="77777777" w:rsidR="006C3C67" w:rsidRPr="00D85E09" w:rsidRDefault="006C3C67" w:rsidP="0043316B">
            <w:pPr>
              <w:pStyle w:val="Tabletext"/>
              <w:keepNext w:val="0"/>
              <w:widowControl w:val="0"/>
              <w:jc w:val="center"/>
              <w:rPr>
                <w:b/>
              </w:rPr>
            </w:pPr>
            <w:r w:rsidRPr="00D85E09">
              <w:rPr>
                <w:b/>
              </w:rPr>
              <w:t>Year 4</w:t>
            </w:r>
          </w:p>
        </w:tc>
        <w:tc>
          <w:tcPr>
            <w:tcW w:w="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F2560F" w14:textId="77777777" w:rsidR="006C3C67" w:rsidRPr="00D85E09" w:rsidRDefault="006C3C67" w:rsidP="0043316B">
            <w:pPr>
              <w:pStyle w:val="Tabletext"/>
              <w:keepNext w:val="0"/>
              <w:widowControl w:val="0"/>
              <w:jc w:val="center"/>
              <w:rPr>
                <w:b/>
              </w:rPr>
            </w:pPr>
            <w:r w:rsidRPr="00D85E09">
              <w:rPr>
                <w:b/>
              </w:rPr>
              <w:t>Year 5</w:t>
            </w:r>
          </w:p>
        </w:tc>
      </w:tr>
      <w:tr w:rsidR="006C3C67" w:rsidRPr="00D85E09" w14:paraId="5F94BCA8" w14:textId="77777777" w:rsidTr="009C64DD">
        <w:tc>
          <w:tcPr>
            <w:tcW w:w="5000" w:type="pct"/>
            <w:gridSpan w:val="6"/>
            <w:tcBorders>
              <w:top w:val="single" w:sz="4" w:space="0" w:color="auto"/>
              <w:left w:val="single" w:sz="4" w:space="0" w:color="auto"/>
              <w:bottom w:val="single" w:sz="4" w:space="0" w:color="auto"/>
              <w:right w:val="single" w:sz="4" w:space="0" w:color="auto"/>
            </w:tcBorders>
            <w:hideMark/>
          </w:tcPr>
          <w:p w14:paraId="2CC0128F" w14:textId="77777777" w:rsidR="006C3C67" w:rsidRPr="00D85E09" w:rsidRDefault="006C3C67" w:rsidP="0043316B">
            <w:pPr>
              <w:pStyle w:val="Tabletext"/>
              <w:keepNext w:val="0"/>
              <w:widowControl w:val="0"/>
              <w:rPr>
                <w:b/>
              </w:rPr>
            </w:pPr>
            <w:r w:rsidRPr="00D85E09">
              <w:rPr>
                <w:b/>
              </w:rPr>
              <w:t>Base case scenario</w:t>
            </w:r>
          </w:p>
        </w:tc>
      </w:tr>
      <w:tr w:rsidR="006C3C67" w:rsidRPr="00D85E09" w14:paraId="2D9E3CAA" w14:textId="77777777" w:rsidTr="009C64DD">
        <w:tc>
          <w:tcPr>
            <w:tcW w:w="1432" w:type="pct"/>
            <w:tcBorders>
              <w:top w:val="single" w:sz="4" w:space="0" w:color="auto"/>
              <w:left w:val="single" w:sz="4" w:space="0" w:color="auto"/>
              <w:bottom w:val="single" w:sz="4" w:space="0" w:color="auto"/>
              <w:right w:val="single" w:sz="4" w:space="0" w:color="auto"/>
            </w:tcBorders>
            <w:hideMark/>
          </w:tcPr>
          <w:p w14:paraId="68166886" w14:textId="77777777" w:rsidR="006C3C67" w:rsidRPr="00D85E09" w:rsidRDefault="006C3C67" w:rsidP="0043316B">
            <w:pPr>
              <w:pStyle w:val="Tabletext"/>
              <w:keepNext w:val="0"/>
              <w:widowControl w:val="0"/>
            </w:pPr>
            <w:r w:rsidRPr="00D85E09">
              <w:t xml:space="preserve">Total procedures per year </w:t>
            </w:r>
          </w:p>
        </w:tc>
        <w:tc>
          <w:tcPr>
            <w:tcW w:w="713" w:type="pct"/>
            <w:tcBorders>
              <w:top w:val="single" w:sz="4" w:space="0" w:color="auto"/>
              <w:left w:val="single" w:sz="4" w:space="0" w:color="auto"/>
              <w:bottom w:val="single" w:sz="4" w:space="0" w:color="auto"/>
              <w:right w:val="single" w:sz="4" w:space="0" w:color="auto"/>
            </w:tcBorders>
          </w:tcPr>
          <w:p w14:paraId="3EB4C14F" w14:textId="77777777" w:rsidR="006C3C67" w:rsidRPr="00D85E09" w:rsidRDefault="006C3C67" w:rsidP="0043316B">
            <w:pPr>
              <w:pStyle w:val="Tabletext"/>
              <w:keepNext w:val="0"/>
              <w:widowControl w:val="0"/>
            </w:pPr>
            <w:r w:rsidRPr="00D85E09">
              <w:t>78</w:t>
            </w:r>
          </w:p>
        </w:tc>
        <w:tc>
          <w:tcPr>
            <w:tcW w:w="713" w:type="pct"/>
            <w:tcBorders>
              <w:top w:val="single" w:sz="4" w:space="0" w:color="auto"/>
              <w:left w:val="single" w:sz="4" w:space="0" w:color="auto"/>
              <w:bottom w:val="single" w:sz="4" w:space="0" w:color="auto"/>
              <w:right w:val="single" w:sz="4" w:space="0" w:color="auto"/>
            </w:tcBorders>
          </w:tcPr>
          <w:p w14:paraId="3768CB5E" w14:textId="77777777" w:rsidR="006C3C67" w:rsidRPr="00D85E09" w:rsidRDefault="006C3C67" w:rsidP="0043316B">
            <w:pPr>
              <w:pStyle w:val="Tabletext"/>
              <w:keepNext w:val="0"/>
              <w:widowControl w:val="0"/>
            </w:pPr>
            <w:r w:rsidRPr="00D85E09">
              <w:t>96</w:t>
            </w:r>
          </w:p>
        </w:tc>
        <w:tc>
          <w:tcPr>
            <w:tcW w:w="714" w:type="pct"/>
            <w:tcBorders>
              <w:top w:val="single" w:sz="4" w:space="0" w:color="auto"/>
              <w:left w:val="single" w:sz="4" w:space="0" w:color="auto"/>
              <w:bottom w:val="single" w:sz="4" w:space="0" w:color="auto"/>
              <w:right w:val="single" w:sz="4" w:space="0" w:color="auto"/>
            </w:tcBorders>
          </w:tcPr>
          <w:p w14:paraId="4A4E9C8E" w14:textId="77777777" w:rsidR="006C3C67" w:rsidRPr="00D85E09" w:rsidRDefault="006C3C67" w:rsidP="0043316B">
            <w:pPr>
              <w:pStyle w:val="Tabletext"/>
              <w:keepNext w:val="0"/>
              <w:widowControl w:val="0"/>
            </w:pPr>
            <w:r w:rsidRPr="00D85E09">
              <w:t>114</w:t>
            </w:r>
          </w:p>
        </w:tc>
        <w:tc>
          <w:tcPr>
            <w:tcW w:w="713" w:type="pct"/>
            <w:tcBorders>
              <w:top w:val="single" w:sz="4" w:space="0" w:color="auto"/>
              <w:left w:val="single" w:sz="4" w:space="0" w:color="auto"/>
              <w:bottom w:val="single" w:sz="4" w:space="0" w:color="auto"/>
              <w:right w:val="single" w:sz="4" w:space="0" w:color="auto"/>
            </w:tcBorders>
          </w:tcPr>
          <w:p w14:paraId="44D8D165" w14:textId="77777777" w:rsidR="006C3C67" w:rsidRPr="00D85E09" w:rsidRDefault="006C3C67" w:rsidP="0043316B">
            <w:pPr>
              <w:pStyle w:val="Tabletext"/>
              <w:keepNext w:val="0"/>
              <w:widowControl w:val="0"/>
            </w:pPr>
            <w:r w:rsidRPr="00D85E09">
              <w:t>132</w:t>
            </w:r>
          </w:p>
        </w:tc>
        <w:tc>
          <w:tcPr>
            <w:tcW w:w="715" w:type="pct"/>
            <w:tcBorders>
              <w:top w:val="single" w:sz="4" w:space="0" w:color="auto"/>
              <w:left w:val="single" w:sz="4" w:space="0" w:color="auto"/>
              <w:bottom w:val="single" w:sz="4" w:space="0" w:color="auto"/>
              <w:right w:val="single" w:sz="4" w:space="0" w:color="auto"/>
            </w:tcBorders>
          </w:tcPr>
          <w:p w14:paraId="4CE5F96A" w14:textId="77777777" w:rsidR="006C3C67" w:rsidRPr="00D85E09" w:rsidRDefault="006C3C67" w:rsidP="0043316B">
            <w:pPr>
              <w:pStyle w:val="Tabletext"/>
              <w:keepNext w:val="0"/>
              <w:widowControl w:val="0"/>
            </w:pPr>
            <w:r w:rsidRPr="00D85E09">
              <w:t>150</w:t>
            </w:r>
          </w:p>
        </w:tc>
      </w:tr>
      <w:tr w:rsidR="006C3C67" w:rsidRPr="00D85E09" w14:paraId="1CE3B019" w14:textId="77777777" w:rsidTr="009C64DD">
        <w:tc>
          <w:tcPr>
            <w:tcW w:w="1432" w:type="pct"/>
            <w:tcBorders>
              <w:top w:val="single" w:sz="4" w:space="0" w:color="auto"/>
              <w:left w:val="single" w:sz="4" w:space="0" w:color="auto"/>
              <w:bottom w:val="single" w:sz="4" w:space="0" w:color="auto"/>
              <w:right w:val="single" w:sz="4" w:space="0" w:color="auto"/>
            </w:tcBorders>
            <w:hideMark/>
          </w:tcPr>
          <w:p w14:paraId="2A8A017A" w14:textId="77777777" w:rsidR="006C3C67" w:rsidRPr="00D85E09" w:rsidRDefault="006C3C67" w:rsidP="0043316B">
            <w:pPr>
              <w:pStyle w:val="Tabletext"/>
              <w:keepNext w:val="0"/>
              <w:widowControl w:val="0"/>
            </w:pPr>
            <w:r w:rsidRPr="00D85E09">
              <w:t>Total cost savings (discounted life-time cost)</w:t>
            </w:r>
          </w:p>
        </w:tc>
        <w:tc>
          <w:tcPr>
            <w:tcW w:w="713" w:type="pct"/>
            <w:tcBorders>
              <w:top w:val="single" w:sz="4" w:space="0" w:color="auto"/>
              <w:left w:val="single" w:sz="4" w:space="0" w:color="auto"/>
              <w:bottom w:val="single" w:sz="4" w:space="0" w:color="auto"/>
              <w:right w:val="single" w:sz="4" w:space="0" w:color="auto"/>
            </w:tcBorders>
          </w:tcPr>
          <w:p w14:paraId="0B67763F" w14:textId="77777777" w:rsidR="006C3C67" w:rsidRPr="00D85E09" w:rsidRDefault="006C3C67" w:rsidP="0043316B">
            <w:pPr>
              <w:pStyle w:val="Tabletext"/>
              <w:keepNext w:val="0"/>
              <w:widowControl w:val="0"/>
            </w:pPr>
            <w:r w:rsidRPr="00D85E09">
              <w:t>-$638,620</w:t>
            </w:r>
          </w:p>
        </w:tc>
        <w:tc>
          <w:tcPr>
            <w:tcW w:w="713" w:type="pct"/>
            <w:tcBorders>
              <w:top w:val="single" w:sz="4" w:space="0" w:color="auto"/>
              <w:left w:val="single" w:sz="4" w:space="0" w:color="auto"/>
              <w:bottom w:val="single" w:sz="4" w:space="0" w:color="auto"/>
              <w:right w:val="single" w:sz="4" w:space="0" w:color="auto"/>
            </w:tcBorders>
          </w:tcPr>
          <w:p w14:paraId="1B3008F5" w14:textId="77777777" w:rsidR="006C3C67" w:rsidRPr="00D85E09" w:rsidRDefault="006C3C67" w:rsidP="0043316B">
            <w:pPr>
              <w:pStyle w:val="Tabletext"/>
              <w:keepNext w:val="0"/>
              <w:widowControl w:val="0"/>
            </w:pPr>
            <w:r w:rsidRPr="00D85E09">
              <w:t>-$785,994</w:t>
            </w:r>
          </w:p>
        </w:tc>
        <w:tc>
          <w:tcPr>
            <w:tcW w:w="714" w:type="pct"/>
            <w:tcBorders>
              <w:top w:val="single" w:sz="4" w:space="0" w:color="auto"/>
              <w:left w:val="single" w:sz="4" w:space="0" w:color="auto"/>
              <w:bottom w:val="single" w:sz="4" w:space="0" w:color="auto"/>
              <w:right w:val="single" w:sz="4" w:space="0" w:color="auto"/>
            </w:tcBorders>
          </w:tcPr>
          <w:p w14:paraId="1CD47014" w14:textId="77777777" w:rsidR="006C3C67" w:rsidRPr="00D85E09" w:rsidRDefault="006C3C67" w:rsidP="0043316B">
            <w:pPr>
              <w:pStyle w:val="Tabletext"/>
              <w:keepNext w:val="0"/>
              <w:widowControl w:val="0"/>
            </w:pPr>
            <w:r w:rsidRPr="00D85E09">
              <w:t>-$933,368</w:t>
            </w:r>
          </w:p>
        </w:tc>
        <w:tc>
          <w:tcPr>
            <w:tcW w:w="713" w:type="pct"/>
            <w:tcBorders>
              <w:top w:val="single" w:sz="4" w:space="0" w:color="auto"/>
              <w:left w:val="single" w:sz="4" w:space="0" w:color="auto"/>
              <w:bottom w:val="single" w:sz="4" w:space="0" w:color="auto"/>
              <w:right w:val="single" w:sz="4" w:space="0" w:color="auto"/>
            </w:tcBorders>
          </w:tcPr>
          <w:p w14:paraId="1CDC7746" w14:textId="77777777" w:rsidR="006C3C67" w:rsidRPr="00D85E09" w:rsidRDefault="006C3C67" w:rsidP="0043316B">
            <w:pPr>
              <w:pStyle w:val="Tabletext"/>
              <w:keepNext w:val="0"/>
              <w:widowControl w:val="0"/>
            </w:pPr>
            <w:r w:rsidRPr="00D85E09">
              <w:t>-$1,080,742</w:t>
            </w:r>
          </w:p>
        </w:tc>
        <w:tc>
          <w:tcPr>
            <w:tcW w:w="715" w:type="pct"/>
            <w:tcBorders>
              <w:top w:val="single" w:sz="4" w:space="0" w:color="auto"/>
              <w:left w:val="single" w:sz="4" w:space="0" w:color="auto"/>
              <w:bottom w:val="single" w:sz="4" w:space="0" w:color="auto"/>
              <w:right w:val="single" w:sz="4" w:space="0" w:color="auto"/>
            </w:tcBorders>
          </w:tcPr>
          <w:p w14:paraId="50D88142" w14:textId="77777777" w:rsidR="006C3C67" w:rsidRPr="00D85E09" w:rsidRDefault="006C3C67" w:rsidP="0043316B">
            <w:pPr>
              <w:pStyle w:val="Tabletext"/>
              <w:keepNext w:val="0"/>
              <w:widowControl w:val="0"/>
            </w:pPr>
            <w:r w:rsidRPr="00D85E09">
              <w:t>-$1,228,116</w:t>
            </w:r>
          </w:p>
        </w:tc>
      </w:tr>
      <w:tr w:rsidR="006C3C67" w:rsidRPr="00D85E09" w14:paraId="7AE1E0EB" w14:textId="77777777" w:rsidTr="009C64DD">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E770DE" w14:textId="77777777" w:rsidR="006C3C67" w:rsidRPr="00D85E09" w:rsidRDefault="006C3C67" w:rsidP="0043316B">
            <w:pPr>
              <w:pStyle w:val="Tabletext"/>
              <w:keepNext w:val="0"/>
              <w:widowControl w:val="0"/>
              <w:rPr>
                <w:b/>
              </w:rPr>
            </w:pPr>
            <w:r w:rsidRPr="00D85E09">
              <w:rPr>
                <w:b/>
              </w:rPr>
              <w:t>High uptake scenario</w:t>
            </w:r>
          </w:p>
        </w:tc>
      </w:tr>
      <w:tr w:rsidR="006C3C67" w:rsidRPr="00D85E09" w14:paraId="085D3BE5" w14:textId="77777777" w:rsidTr="009C64DD">
        <w:tc>
          <w:tcPr>
            <w:tcW w:w="14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7E8345" w14:textId="77777777" w:rsidR="006C3C67" w:rsidRPr="00D85E09" w:rsidRDefault="006C3C67" w:rsidP="0043316B">
            <w:pPr>
              <w:pStyle w:val="Tabletext"/>
              <w:keepNext w:val="0"/>
              <w:widowControl w:val="0"/>
            </w:pPr>
            <w:r w:rsidRPr="00D85E09">
              <w:t xml:space="preserve">Total procedures per year </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EB71E" w14:textId="77777777" w:rsidR="006C3C67" w:rsidRPr="00D85E09" w:rsidRDefault="006C3C67" w:rsidP="0043316B">
            <w:pPr>
              <w:pStyle w:val="Tabletext"/>
              <w:keepNext w:val="0"/>
              <w:widowControl w:val="0"/>
            </w:pPr>
            <w:r w:rsidRPr="00D85E09">
              <w:t>108</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43FDEC" w14:textId="77777777" w:rsidR="006C3C67" w:rsidRPr="00D85E09" w:rsidRDefault="006C3C67" w:rsidP="0043316B">
            <w:pPr>
              <w:pStyle w:val="Tabletext"/>
              <w:keepNext w:val="0"/>
              <w:widowControl w:val="0"/>
            </w:pPr>
            <w:r w:rsidRPr="00D85E09">
              <w:t>156</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7122AB" w14:textId="77777777" w:rsidR="006C3C67" w:rsidRPr="00D85E09" w:rsidRDefault="006C3C67" w:rsidP="0043316B">
            <w:pPr>
              <w:pStyle w:val="Tabletext"/>
              <w:keepNext w:val="0"/>
              <w:widowControl w:val="0"/>
            </w:pPr>
            <w:r w:rsidRPr="00D85E09">
              <w:t>204</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4BF575" w14:textId="77777777" w:rsidR="006C3C67" w:rsidRPr="00D85E09" w:rsidRDefault="006C3C67" w:rsidP="0043316B">
            <w:pPr>
              <w:pStyle w:val="Tabletext"/>
              <w:keepNext w:val="0"/>
              <w:widowControl w:val="0"/>
            </w:pPr>
            <w:r w:rsidRPr="00D85E09">
              <w:t>252</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143C62" w14:textId="77777777" w:rsidR="006C3C67" w:rsidRPr="00D85E09" w:rsidRDefault="006C3C67" w:rsidP="0043316B">
            <w:pPr>
              <w:pStyle w:val="Tabletext"/>
              <w:keepNext w:val="0"/>
              <w:widowControl w:val="0"/>
            </w:pPr>
            <w:r w:rsidRPr="00D85E09">
              <w:t>300</w:t>
            </w:r>
          </w:p>
        </w:tc>
      </w:tr>
      <w:tr w:rsidR="006C3C67" w:rsidRPr="00D85E09" w14:paraId="2C94B7E6" w14:textId="77777777" w:rsidTr="009C64DD">
        <w:tc>
          <w:tcPr>
            <w:tcW w:w="14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CF6DD2" w14:textId="77777777" w:rsidR="006C3C67" w:rsidRPr="00D85E09" w:rsidRDefault="006C3C67" w:rsidP="0043316B">
            <w:pPr>
              <w:pStyle w:val="Tabletext"/>
              <w:keepNext w:val="0"/>
              <w:widowControl w:val="0"/>
            </w:pPr>
            <w:r w:rsidRPr="00D85E09">
              <w:t>Total cost savings (discounted life-time cost)</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B502E1" w14:textId="77777777" w:rsidR="006C3C67" w:rsidRPr="00D85E09" w:rsidRDefault="006C3C67" w:rsidP="0043316B">
            <w:pPr>
              <w:pStyle w:val="Tabletext"/>
              <w:keepNext w:val="0"/>
              <w:widowControl w:val="0"/>
            </w:pPr>
            <w:r w:rsidRPr="00D85E09">
              <w:t>-$884,244</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3C59AA" w14:textId="77777777" w:rsidR="006C3C67" w:rsidRPr="00D85E09" w:rsidRDefault="006C3C67" w:rsidP="0043316B">
            <w:pPr>
              <w:pStyle w:val="Tabletext"/>
              <w:keepNext w:val="0"/>
              <w:widowControl w:val="0"/>
            </w:pPr>
            <w:r w:rsidRPr="00D85E09">
              <w:t>-$1,277,241</w:t>
            </w:r>
          </w:p>
        </w:tc>
        <w:tc>
          <w:tcPr>
            <w:tcW w:w="7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8A620" w14:textId="77777777" w:rsidR="006C3C67" w:rsidRPr="00D85E09" w:rsidRDefault="006C3C67" w:rsidP="0043316B">
            <w:pPr>
              <w:pStyle w:val="Tabletext"/>
              <w:keepNext w:val="0"/>
              <w:widowControl w:val="0"/>
            </w:pPr>
            <w:r w:rsidRPr="00D85E09">
              <w:t>-$1,670,238</w:t>
            </w:r>
          </w:p>
        </w:tc>
        <w:tc>
          <w:tcPr>
            <w:tcW w:w="71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19EB85" w14:textId="77777777" w:rsidR="006C3C67" w:rsidRPr="00D85E09" w:rsidRDefault="006C3C67" w:rsidP="0043316B">
            <w:pPr>
              <w:pStyle w:val="Tabletext"/>
              <w:keepNext w:val="0"/>
              <w:widowControl w:val="0"/>
            </w:pPr>
            <w:r w:rsidRPr="00D85E09">
              <w:t>-$2,063,235</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6D3B9C" w14:textId="77777777" w:rsidR="006C3C67" w:rsidRPr="00D85E09" w:rsidRDefault="006C3C67" w:rsidP="0043316B">
            <w:pPr>
              <w:pStyle w:val="Tabletext"/>
              <w:keepNext w:val="0"/>
              <w:widowControl w:val="0"/>
            </w:pPr>
            <w:r w:rsidRPr="00D85E09">
              <w:t>-$2,456,232</w:t>
            </w:r>
          </w:p>
        </w:tc>
      </w:tr>
    </w:tbl>
    <w:p w14:paraId="605FBF6E" w14:textId="60AE626C" w:rsidR="006C3C67" w:rsidRPr="00D85E09" w:rsidRDefault="006C3C67" w:rsidP="0043316B">
      <w:pPr>
        <w:pStyle w:val="Tablefootnote"/>
        <w:widowControl w:val="0"/>
        <w:rPr>
          <w:lang w:val="en-AU"/>
        </w:rPr>
      </w:pPr>
      <w:r w:rsidRPr="00D85E09">
        <w:rPr>
          <w:lang w:val="en-AU"/>
        </w:rPr>
        <w:t>Note: See full calculation detail</w:t>
      </w:r>
      <w:r w:rsidR="00474DEB" w:rsidRPr="00D85E09">
        <w:rPr>
          <w:lang w:val="en-AU"/>
        </w:rPr>
        <w:t>s in the attached spreadsheet (“MT MSAC June 2016 Section E.xlsx”</w:t>
      </w:r>
      <w:r w:rsidRPr="00D85E09">
        <w:rPr>
          <w:lang w:val="en-AU"/>
        </w:rPr>
        <w:t>).</w:t>
      </w:r>
    </w:p>
    <w:p w14:paraId="5B840B16" w14:textId="1D71247B" w:rsidR="00A41E60" w:rsidRPr="00D85E09" w:rsidRDefault="00A41E60" w:rsidP="0043316B">
      <w:pPr>
        <w:widowControl w:val="0"/>
      </w:pPr>
    </w:p>
    <w:p w14:paraId="01040D9A" w14:textId="77777777" w:rsidR="00F6745C" w:rsidRPr="00D85E09" w:rsidRDefault="00F6745C" w:rsidP="0043316B">
      <w:pPr>
        <w:widowControl w:val="0"/>
        <w:sectPr w:rsidR="00F6745C" w:rsidRPr="00D85E09" w:rsidSect="009F6C1D">
          <w:headerReference w:type="default" r:id="rId55"/>
          <w:pgSz w:w="11907" w:h="16840" w:code="9"/>
          <w:pgMar w:top="1701" w:right="1418" w:bottom="1418" w:left="1701" w:header="709" w:footer="709" w:gutter="0"/>
          <w:cols w:space="708"/>
          <w:docGrid w:linePitch="360"/>
        </w:sectPr>
      </w:pPr>
    </w:p>
    <w:p w14:paraId="2B97077D" w14:textId="7FA765F2" w:rsidR="000C04B5" w:rsidRPr="00D85E09" w:rsidRDefault="000C04B5" w:rsidP="0043316B">
      <w:pPr>
        <w:pStyle w:val="Heading1"/>
        <w:keepNext w:val="0"/>
        <w:pageBreakBefore w:val="0"/>
        <w:widowControl w:val="0"/>
        <w:ind w:left="993" w:hanging="993"/>
        <w:rPr>
          <w:lang w:val="en-AU"/>
        </w:rPr>
      </w:pPr>
      <w:bookmarkStart w:id="665" w:name="_Toc453065335"/>
      <w:bookmarkEnd w:id="488"/>
      <w:r w:rsidRPr="00D85E09">
        <w:rPr>
          <w:lang w:val="en-AU"/>
        </w:rPr>
        <w:lastRenderedPageBreak/>
        <w:t>Additional relevant information</w:t>
      </w:r>
      <w:bookmarkEnd w:id="665"/>
    </w:p>
    <w:p w14:paraId="5C07178E" w14:textId="77777777" w:rsidR="000C04B5" w:rsidRPr="00D85E09" w:rsidRDefault="000C04B5" w:rsidP="0043316B">
      <w:pPr>
        <w:widowControl w:val="0"/>
      </w:pPr>
      <w:r w:rsidRPr="00D85E09">
        <w:t>Lack of definitive funding arrangements for non-implantable medical technology used to deliver MBS services is a barrier to effective adoption of new services implemented following MSAC evaluation.</w:t>
      </w:r>
    </w:p>
    <w:p w14:paraId="171F97ED" w14:textId="5189405E" w:rsidR="000C04B5" w:rsidRPr="00D85E09" w:rsidRDefault="000C04B5" w:rsidP="0043316B">
      <w:pPr>
        <w:widowControl w:val="0"/>
      </w:pPr>
      <w:r w:rsidRPr="00D85E09">
        <w:t>The Applicant raises this as a relevant factor - worth emphasising for the proposed service and not already requested elsewhere for inclusion in the assessment report</w:t>
      </w:r>
    </w:p>
    <w:p w14:paraId="321423CF" w14:textId="77777777" w:rsidR="000C04B5" w:rsidRPr="00D85E09" w:rsidRDefault="000C04B5" w:rsidP="0043316B">
      <w:pPr>
        <w:widowControl w:val="0"/>
      </w:pPr>
      <w:r w:rsidRPr="00D85E09">
        <w:t>In the Applicant’s submission</w:t>
      </w:r>
      <w:r w:rsidRPr="00D85E09">
        <w:rPr>
          <w:vertAlign w:val="superscript"/>
        </w:rPr>
        <w:footnoteReference w:id="20"/>
      </w:r>
      <w:r w:rsidRPr="00D85E09">
        <w:t xml:space="preserve"> to the MBS Taskforce Review consultation, we noted the following general points:</w:t>
      </w:r>
    </w:p>
    <w:p w14:paraId="49AE8554" w14:textId="2602DBC4" w:rsidR="000C04B5" w:rsidRPr="00D85E09" w:rsidRDefault="000C04B5" w:rsidP="0043316B">
      <w:pPr>
        <w:widowControl w:val="0"/>
        <w:rPr>
          <w:i/>
        </w:rPr>
      </w:pPr>
      <w:r w:rsidRPr="00D85E09">
        <w:rPr>
          <w:i/>
        </w:rPr>
        <w:t>Development of new medical services utilising innovative non-implantable technology to deliver the service require MSAC evaluations to inform decisions relating to public funding of the new service. MSAC may find these new services are cost-effective, with positive MSAC advice leading to the creation of new MBS items. However, this may not lead to optimal adoption of new therapies or diagnostic procedures: current Commonwealth (i.e. Prostheses List) arrangements for assessing devices for private health insurer reimbursement are limited to permanently implanted medical devices.</w:t>
      </w:r>
    </w:p>
    <w:p w14:paraId="473DCC25" w14:textId="705D4A47" w:rsidR="000C04B5" w:rsidRPr="00D85E09" w:rsidRDefault="000C04B5" w:rsidP="0043316B">
      <w:pPr>
        <w:widowControl w:val="0"/>
        <w:rPr>
          <w:i/>
        </w:rPr>
      </w:pPr>
      <w:r w:rsidRPr="00D85E09">
        <w:rPr>
          <w:i/>
        </w:rPr>
        <w:t>Unlike Prostheses List arrangements for implanted technology, there is no clear funding pathway for non-implanted technologies. In the absence of clear funding arrangements access to new services involving non-implanted technology is limited. This potentially creates a perverse incentive to use existing services (which may be less effective), especially where there is certainty of funding of technologies used to deliver the service. This is inconsistent with achieving the best possible patient outcomes for healthcare spending, particularly if a new service, using a non-implanted technology is found to be more clinically and cost-effective than existing services.</w:t>
      </w:r>
    </w:p>
    <w:p w14:paraId="28CD7F1C" w14:textId="5DA21E9C" w:rsidR="000C04B5" w:rsidRPr="00D85E09" w:rsidRDefault="000C04B5" w:rsidP="0043316B">
      <w:pPr>
        <w:widowControl w:val="0"/>
        <w:rPr>
          <w:i/>
        </w:rPr>
      </w:pPr>
      <w:r w:rsidRPr="00D85E09">
        <w:rPr>
          <w:i/>
        </w:rPr>
        <w:t>This ‘disconnect’ between positive MSAC advice and the absence of definitive funding arrangements for non-implantable technology is inconsistent with optimising the full potential of new MBS services to deliver benefits to patients and the healthcare system. In addition this ‘disconnect’ represents an inefficient use of MSAC resources, i.e. it creates a situation where considerable time and resources are spent informing the development of a new MBS item, that cannot be optimally implemented due to the absence of definitive funding of the technology used to deliver the service. It also limits clinicians’ ability to choose the most suitable technologies to best align MBS services with individual patient needs.</w:t>
      </w:r>
    </w:p>
    <w:p w14:paraId="3DE3EC20" w14:textId="632BAD79" w:rsidR="000C04B5" w:rsidRPr="00D85E09" w:rsidRDefault="000C04B5" w:rsidP="0043316B">
      <w:pPr>
        <w:widowControl w:val="0"/>
        <w:rPr>
          <w:i/>
        </w:rPr>
      </w:pPr>
      <w:r w:rsidRPr="00D85E09">
        <w:rPr>
          <w:i/>
        </w:rPr>
        <w:lastRenderedPageBreak/>
        <w:t>Examples of technologies where there is a ‘disconnect’ between development of a new MBS service and absence of definitive funding arrangements include services using cardiac ablation catheters (MBS 38287; 38290; 38293) and coronary pressure measuring systems (MBS 38241) to assess the extent of cardiac isch</w:t>
      </w:r>
      <w:r w:rsidR="00E56287" w:rsidRPr="00D85E09">
        <w:rPr>
          <w:i/>
        </w:rPr>
        <w:t>aemia</w:t>
      </w:r>
      <w:r w:rsidRPr="00D85E09">
        <w:rPr>
          <w:i/>
        </w:rPr>
        <w:t xml:space="preserve"> (measurement of fractional flow reserve – FFR).</w:t>
      </w:r>
    </w:p>
    <w:p w14:paraId="6BE66CDA" w14:textId="77777777" w:rsidR="000C04B5" w:rsidRPr="00D85E09" w:rsidRDefault="000C04B5" w:rsidP="0043316B">
      <w:pPr>
        <w:widowControl w:val="0"/>
      </w:pPr>
      <w:r w:rsidRPr="00D85E09">
        <w:t>With regards to the current Application:</w:t>
      </w:r>
    </w:p>
    <w:p w14:paraId="01EAD040" w14:textId="533CB82B" w:rsidR="000C04B5" w:rsidRPr="00D85E09" w:rsidRDefault="000C04B5" w:rsidP="0043316B">
      <w:pPr>
        <w:widowControl w:val="0"/>
        <w:rPr>
          <w:i/>
        </w:rPr>
      </w:pPr>
      <w:r w:rsidRPr="00D85E09">
        <w:rPr>
          <w:i/>
        </w:rPr>
        <w:t>PASC</w:t>
      </w:r>
      <w:r w:rsidRPr="00D85E09">
        <w:rPr>
          <w:i/>
          <w:vertAlign w:val="superscript"/>
        </w:rPr>
        <w:footnoteReference w:id="21"/>
      </w:r>
      <w:r w:rsidRPr="00D85E09">
        <w:rPr>
          <w:i/>
        </w:rPr>
        <w:t xml:space="preserve"> noted that stent retrieval devices do not meet the criteria for inclusion on the Prostheses List as they are not a permanent surgical implant and were concerned about who would potentially pay for the device, particularly if it is not reimbursable through private health insurers. The </w:t>
      </w:r>
      <w:r w:rsidR="0070191F" w:rsidRPr="00D85E09">
        <w:rPr>
          <w:i/>
        </w:rPr>
        <w:t>A</w:t>
      </w:r>
      <w:r w:rsidRPr="00D85E09">
        <w:rPr>
          <w:i/>
        </w:rPr>
        <w:t>pplicant proposed to address this issue through the MBS review process.</w:t>
      </w:r>
    </w:p>
    <w:p w14:paraId="2843CDD7" w14:textId="77777777" w:rsidR="000C04B5" w:rsidRPr="00D85E09" w:rsidRDefault="000C04B5" w:rsidP="0043316B">
      <w:pPr>
        <w:widowControl w:val="0"/>
        <w:rPr>
          <w:u w:val="single"/>
        </w:rPr>
      </w:pPr>
      <w:r w:rsidRPr="00D85E09">
        <w:rPr>
          <w:u w:val="single"/>
        </w:rPr>
        <w:t>Applicant comment</w:t>
      </w:r>
    </w:p>
    <w:p w14:paraId="4C3C797D" w14:textId="61397C47" w:rsidR="000C04B5" w:rsidRPr="00D85E09" w:rsidRDefault="000C04B5" w:rsidP="0043316B">
      <w:pPr>
        <w:widowControl w:val="0"/>
      </w:pPr>
      <w:r w:rsidRPr="00D85E09">
        <w:t>To further clarify – during the PASC teleconference we discussed the disconnect between positive advice for listing from MSAC and new MBS services using non-implanted technology – arising due to the absence of a definitive funding pathway for non-implanted technology (i.e. do not meet Prostheses List criteria). We commented that this issue had been raised in feedback provided during the MBS Taskforce Review consultation process – noting that adoption of new items/use of existing items may be suboptimal where there is no definitive funding pathway for the technology necessary to deliver the medical service.</w:t>
      </w:r>
    </w:p>
    <w:p w14:paraId="470D8CB9" w14:textId="3FAADCCD" w:rsidR="000C04B5" w:rsidRPr="00D85E09" w:rsidRDefault="000C04B5" w:rsidP="0043316B">
      <w:pPr>
        <w:widowControl w:val="0"/>
      </w:pPr>
      <w:r w:rsidRPr="00D85E09">
        <w:t xml:space="preserve">Furthermore, due to the emergency nature of </w:t>
      </w:r>
      <w:r w:rsidR="0070191F" w:rsidRPr="00D85E09">
        <w:t>MT</w:t>
      </w:r>
      <w:r w:rsidRPr="00D85E09">
        <w:t>, case-by-case, pre-intervention, device funding requests cannot be considered by private health insurers.</w:t>
      </w:r>
    </w:p>
    <w:p w14:paraId="5246C432" w14:textId="7B4A1F02" w:rsidR="00931C70" w:rsidRPr="00D85E09" w:rsidRDefault="000C04B5" w:rsidP="0043316B">
      <w:pPr>
        <w:widowControl w:val="0"/>
      </w:pPr>
      <w:r w:rsidRPr="00D85E09">
        <w:t xml:space="preserve">For the current Application - should positive advice from MSAC lead to the implementation of a mechanical thrombectomy MBS item – we propose that MSAC and the Department of Health (DOH) consult to determine how stent retrieval/mechanical thrombectomy devices could be funded under Part C of the existing PL arrangements (e.g. Health Minister consideration for inclusion on Part C of the PL - as was the step taken for Cardiac Remote Monitoring Systems; Application 1197.1) or through the </w:t>
      </w:r>
      <w:r w:rsidRPr="00D85E09">
        <w:rPr>
          <w:i/>
        </w:rPr>
        <w:t>selective</w:t>
      </w:r>
      <w:r w:rsidRPr="00D85E09">
        <w:t xml:space="preserve"> expansion of the PL criteria to include non-implantable devices associated with </w:t>
      </w:r>
      <w:r w:rsidRPr="00D85E09">
        <w:rPr>
          <w:i/>
        </w:rPr>
        <w:t>new</w:t>
      </w:r>
      <w:r w:rsidRPr="00D85E09">
        <w:t xml:space="preserve"> MBS services.</w:t>
      </w:r>
    </w:p>
    <w:p w14:paraId="377150E7" w14:textId="7A816D30" w:rsidR="00502149" w:rsidRPr="00D85E09" w:rsidRDefault="000C04B5" w:rsidP="0043316B">
      <w:pPr>
        <w:widowControl w:val="0"/>
        <w:sectPr w:rsidR="00502149" w:rsidRPr="00D85E09" w:rsidSect="00A150FA">
          <w:headerReference w:type="default" r:id="rId56"/>
          <w:pgSz w:w="11906" w:h="16838"/>
          <w:pgMar w:top="1417" w:right="1417" w:bottom="1134" w:left="1417" w:header="708" w:footer="708" w:gutter="0"/>
          <w:cols w:space="708"/>
          <w:docGrid w:linePitch="360"/>
        </w:sectPr>
      </w:pPr>
      <w:r w:rsidRPr="00D85E09">
        <w:t xml:space="preserve"> </w:t>
      </w:r>
    </w:p>
    <w:p w14:paraId="72627A85" w14:textId="2D74A814" w:rsidR="00C56F37" w:rsidRPr="00D85E09" w:rsidRDefault="003B28A8" w:rsidP="0043316B">
      <w:pPr>
        <w:pStyle w:val="Heading1"/>
        <w:keepNext w:val="0"/>
        <w:pageBreakBefore w:val="0"/>
        <w:widowControl w:val="0"/>
        <w:numPr>
          <w:ilvl w:val="0"/>
          <w:numId w:val="0"/>
        </w:numPr>
        <w:ind w:left="993" w:hanging="993"/>
        <w:rPr>
          <w:lang w:val="en-AU"/>
        </w:rPr>
      </w:pPr>
      <w:bookmarkStart w:id="666" w:name="_Toc453065336"/>
      <w:r w:rsidRPr="00D85E09">
        <w:rPr>
          <w:lang w:val="en-AU"/>
        </w:rPr>
        <w:lastRenderedPageBreak/>
        <w:t>References</w:t>
      </w:r>
      <w:bookmarkEnd w:id="666"/>
    </w:p>
    <w:p w14:paraId="04D5183F" w14:textId="77777777" w:rsidR="00C56F37" w:rsidRPr="00D85E09" w:rsidRDefault="00C56F37" w:rsidP="00C56F37">
      <w:bookmarkStart w:id="667" w:name="OLE_LINK1"/>
      <w:r w:rsidRPr="00D85E09">
        <w:t>Abou-Chebl A, Lin R, Hussain MS, Jovin TG, Levy EI, Liebeskind DS, et al. Conscious sedation versus general anesthesia during endovascular therapy for acute anterior circulation stroke: preliminary results from a retrospective, multicenter study. Stroke. 2010;41(6):1175–9.</w:t>
      </w:r>
    </w:p>
    <w:p w14:paraId="7E0FEC18" w14:textId="77777777" w:rsidR="00C56F37" w:rsidRPr="00D85E09" w:rsidRDefault="00C56F37" w:rsidP="00C56F37">
      <w:r w:rsidRPr="00D85E09">
        <w:t>Adamczyk P, Attenello F, Wen G, He S, Russin J, Sanossian N, et al. Mechanical thrombectomy in acute stroke: Utilization variances and impact of procedural volume on inpatient mortality. J Stroke Cerebrovasc Dis. 2013;22:1263–1269.</w:t>
      </w:r>
    </w:p>
    <w:p w14:paraId="43E1524C" w14:textId="73A45494" w:rsidR="00C56F37" w:rsidRPr="00D85E09" w:rsidRDefault="00C56F37" w:rsidP="00C56F37">
      <w:r w:rsidRPr="00D85E09">
        <w:t>Adams HP, Bendixen BH, Kappelle LJ, Biller J, Love BB, Gordon DL, Marsh EE (January 1993). "Classification of subtype of acute isch</w:t>
      </w:r>
      <w:r w:rsidR="00E56287" w:rsidRPr="00D85E09">
        <w:t>aemic</w:t>
      </w:r>
      <w:r w:rsidRPr="00D85E09">
        <w:t xml:space="preserve"> stroke. Definitions for use in a multicenter clinical trial. TOAST. Trial of Org 10172 in Acute Stroke Treatment". Stroke 24 (1): 35–41</w:t>
      </w:r>
    </w:p>
    <w:p w14:paraId="361F17EF" w14:textId="77777777" w:rsidR="00C56F37" w:rsidRPr="00D85E09" w:rsidRDefault="00C56F37" w:rsidP="00C56F37">
      <w:r w:rsidRPr="00D85E09">
        <w:t>Adams J, Lee J, Gonzalo F. Deriving utility values from the general population for dronedarone in the treatment of atrial fibrillation. Value Health 14(7), A384 (2011).</w:t>
      </w:r>
    </w:p>
    <w:p w14:paraId="61E5FBFF" w14:textId="77777777" w:rsidR="00C56F37" w:rsidRPr="00D85E09" w:rsidRDefault="00C56F37" w:rsidP="00C56F37">
      <w:r w:rsidRPr="00D85E09">
        <w:t>AIHW 2013. Stroke and its management in Australia: an update. Cardiovascular disease series no. 37.</w:t>
      </w:r>
    </w:p>
    <w:p w14:paraId="4F014D1D" w14:textId="7EFD7AAA" w:rsidR="00C56F37" w:rsidRPr="00D85E09" w:rsidRDefault="00C56F37" w:rsidP="00C56F37">
      <w:r w:rsidRPr="00D85E09">
        <w:t>Almekhlafi MA, Davalos A, Bonafe A, Chapot R, Gralla J, Pereira VM, Goyal M. Impact of Age and Baseline NIHSS Scores on Clinical Outcomes in the Mechanical Thrombectomy Using Solitaire FR in Acute Isch</w:t>
      </w:r>
      <w:r w:rsidR="00E56287" w:rsidRPr="00D85E09">
        <w:t>aemic</w:t>
      </w:r>
      <w:r w:rsidRPr="00D85E09">
        <w:t xml:space="preserve"> Stroke Study. AJNR Am J Neuroradiol. 2014;35:1337–1340</w:t>
      </w:r>
    </w:p>
    <w:p w14:paraId="7FF82574" w14:textId="7C01405F" w:rsidR="00C56F37" w:rsidRPr="00D85E09" w:rsidRDefault="00C56F37" w:rsidP="00C56F37">
      <w:r w:rsidRPr="00D85E09">
        <w:t>Aoki J, Kimura K, Sakamoto Y. Early administration of tissue</w:t>
      </w:r>
      <w:r w:rsidR="00300BB6" w:rsidRPr="00D85E09">
        <w:t xml:space="preserve"> </w:t>
      </w:r>
      <w:r w:rsidRPr="00D85E09">
        <w:t>plasminogen activator improves the long-term clinical outcome at 5years after onset. J Neurol Sci. 2016 Mar 15;362:33-9</w:t>
      </w:r>
    </w:p>
    <w:p w14:paraId="6DC1BDC3" w14:textId="370F0083" w:rsidR="00C56F37" w:rsidRPr="00D85E09" w:rsidRDefault="00C56F37" w:rsidP="00C56F37">
      <w:r w:rsidRPr="00D85E09">
        <w:t>Aronsson M, Persson J, Blomstrand C, Wester P, Levin LÅ. Cost-effectiveness of endovascular thrombectomy in patients with acute isch</w:t>
      </w:r>
      <w:r w:rsidR="00E56287" w:rsidRPr="00D85E09">
        <w:t>aemic</w:t>
      </w:r>
      <w:r w:rsidRPr="00D85E09">
        <w:t xml:space="preserve"> stroke. Neurology. 2016 Mar 15;86(11):1053-9.</w:t>
      </w:r>
    </w:p>
    <w:p w14:paraId="3C99CDF6" w14:textId="06D65846" w:rsidR="00C56F37" w:rsidRPr="00D85E09" w:rsidRDefault="00C56F37" w:rsidP="00C56F37">
      <w:r w:rsidRPr="00D85E09">
        <w:rPr>
          <w:b/>
        </w:rPr>
        <w:t xml:space="preserve">Australian Institute of Health and Welfare (2013). General Record of Incidence of Mortality (GRIM) books. Available from: </w:t>
      </w:r>
      <w:hyperlink r:id="rId57" w:tooltip="General Record of Incidence of Mortality (GRIM) books" w:history="1">
        <w:r w:rsidRPr="00D85E09">
          <w:rPr>
            <w:rStyle w:val="Hyperlink"/>
            <w:rFonts w:cs="Arial"/>
            <w:b/>
            <w:shd w:val="clear" w:color="auto" w:fill="auto"/>
          </w:rPr>
          <w:t>http://www.aihw.gov.au/deaths/grim-books/</w:t>
        </w:r>
      </w:hyperlink>
      <w:r w:rsidRPr="00D85E09">
        <w:t>.</w:t>
      </w:r>
    </w:p>
    <w:p w14:paraId="737F3466" w14:textId="50CF1D05" w:rsidR="00C56F37" w:rsidRPr="00D85E09" w:rsidRDefault="00C56F37" w:rsidP="00C56F37">
      <w:r w:rsidRPr="00D85E09">
        <w:t>Badhiwala et al. Endovascular thrombectomy for acute isch</w:t>
      </w:r>
      <w:r w:rsidR="00E56287" w:rsidRPr="00D85E09">
        <w:t>aemic</w:t>
      </w:r>
      <w:r w:rsidRPr="00D85E09">
        <w:t xml:space="preserve"> stroke: a meta-analysis. JAMA 314 (17): 1832-1843, 2015.</w:t>
      </w:r>
    </w:p>
    <w:p w14:paraId="720A2BAE" w14:textId="11885CD6" w:rsidR="00C56F37" w:rsidRPr="00D85E09" w:rsidRDefault="00C56F37" w:rsidP="00C56F37">
      <w:r w:rsidRPr="00D85E09">
        <w:t>Baeten SA, van Exel NJ, Dirks M, Koopmanschap MA, Dippel DW, Niessen LW. Life</w:t>
      </w:r>
      <w:r w:rsidR="00300BB6" w:rsidRPr="00D85E09">
        <w:t>-time</w:t>
      </w:r>
      <w:r w:rsidRPr="00D85E09">
        <w:t xml:space="preserve"> health effects and medical costs of integrated stroke services – a non-randomized controlled cluster-trial based life table approach. Cost Eff Resour Alloc. 2010 Nov 17;8:21.</w:t>
      </w:r>
    </w:p>
    <w:p w14:paraId="0B3AB185" w14:textId="77777777" w:rsidR="00C56F37" w:rsidRPr="00D85E09" w:rsidRDefault="00C56F37" w:rsidP="00C56F37">
      <w:r w:rsidRPr="00D85E09">
        <w:lastRenderedPageBreak/>
        <w:t>Baker R, Robinson A. Responses to standard gambles: are preferences ’well constructed’? Health Econ. 13(1), 37–48 (2004).</w:t>
      </w:r>
    </w:p>
    <w:p w14:paraId="65B8DFCE" w14:textId="1FF2CE63" w:rsidR="00C56F37" w:rsidRPr="00D85E09" w:rsidRDefault="00C56F37" w:rsidP="00C56F37">
      <w:r w:rsidRPr="00D85E09">
        <w:t>Balami et al. A systematic review and meta-analysis of randomized controlled trials of endovascular thrombectomy compared with best medical treatment for acute isch</w:t>
      </w:r>
      <w:r w:rsidR="00E56287" w:rsidRPr="00D85E09">
        <w:t>aemic</w:t>
      </w:r>
      <w:r w:rsidRPr="00D85E09">
        <w:t xml:space="preserve"> stroke. Int J Stroke 10 (8): 1168-1178, 2015.</w:t>
      </w:r>
    </w:p>
    <w:p w14:paraId="006ECD4A" w14:textId="58E10E0F" w:rsidR="00C56F37" w:rsidRPr="00D85E09" w:rsidRDefault="00C56F37" w:rsidP="00C56F37">
      <w:r w:rsidRPr="00D85E09">
        <w:t>Berkhemer O., van den Berg L., Beumer D., et al. 2015, Impact of general anesthesia on treatment effect in the mr clean trial – a post-hoc analysis. International stroke conference 2015 – Nashville USA, Friday February 14th 2015.</w:t>
      </w:r>
    </w:p>
    <w:p w14:paraId="35C62F21" w14:textId="1B6D37EB" w:rsidR="00C56F37" w:rsidRPr="00D85E09" w:rsidRDefault="00C56F37" w:rsidP="00C56F37">
      <w:r w:rsidRPr="00D85E09">
        <w:t>Berkhemer O.A., Fransen P.S.S., Beumer D., et al. A randomized trial of intra-arterial treatment for acute isch</w:t>
      </w:r>
      <w:r w:rsidR="00E56287" w:rsidRPr="00D85E09">
        <w:t>aemic</w:t>
      </w:r>
      <w:r w:rsidRPr="00D85E09">
        <w:t xml:space="preserve"> stroke. New Engl J Med. 372 (1):11-20, 2015.</w:t>
      </w:r>
    </w:p>
    <w:p w14:paraId="0F0AD504" w14:textId="27B17834" w:rsidR="00C56F37" w:rsidRPr="00D85E09" w:rsidRDefault="00C56F37" w:rsidP="00C56F37">
      <w:pPr>
        <w:rPr>
          <w:b/>
        </w:rPr>
      </w:pPr>
      <w:r w:rsidRPr="00D85E09">
        <w:rPr>
          <w:b/>
        </w:rPr>
        <w:t xml:space="preserve">Birns et al. A meta-analysis of randomised controlled trials of endovascular treatment for acute ischaemic stroke. Stroke 45, 2014. [ABSTRACT] Available here: </w:t>
      </w:r>
      <w:hyperlink r:id="rId58" w:tooltip="Birns et al. A meta-analysis of randomised controlled trials of endovascular treatment for acute ischaemic stroke. Stroke 45, 2014. [ABSTRACT] Available here" w:history="1">
        <w:r w:rsidRPr="00D85E09">
          <w:rPr>
            <w:rStyle w:val="Hyperlink"/>
            <w:rFonts w:cs="Arial"/>
            <w:b/>
            <w:shd w:val="clear" w:color="auto" w:fill="auto"/>
          </w:rPr>
          <w:t>http://stroke.ahajournals.org/content/45/Suppl_1/AWP25</w:t>
        </w:r>
      </w:hyperlink>
    </w:p>
    <w:p w14:paraId="2D9AB918" w14:textId="44232205" w:rsidR="00C56F37" w:rsidRPr="00D85E09" w:rsidRDefault="00C56F37" w:rsidP="00C56F37">
      <w:r w:rsidRPr="00D85E09">
        <w:t xml:space="preserve">Broderick J.P., Palesch Y.Y., Demchuk A.M., et al. Endovascular therapy after intravenous </w:t>
      </w:r>
      <w:r w:rsidR="005B7DCE">
        <w:t>tPA</w:t>
      </w:r>
      <w:r w:rsidRPr="00D85E09">
        <w:t xml:space="preserve"> versus </w:t>
      </w:r>
      <w:r w:rsidR="005B7DCE">
        <w:t>tPA</w:t>
      </w:r>
      <w:r w:rsidRPr="00D85E09">
        <w:t xml:space="preserve"> alone for stroke. New Engl J Med. 368 (10):893-903, 2013.</w:t>
      </w:r>
    </w:p>
    <w:p w14:paraId="23BBA1DE" w14:textId="6D3D81FB" w:rsidR="00C56F37" w:rsidRPr="00D85E09" w:rsidRDefault="00C56F37" w:rsidP="00C56F37">
      <w:r w:rsidRPr="00D85E09">
        <w:t>Brott, T., Adams, H. P., Jr., et al. (1989). "Measurements of acute cerebral infarction: a clinical examination scale." Stroke 20(7): 864-870.</w:t>
      </w:r>
    </w:p>
    <w:p w14:paraId="703D7472" w14:textId="1E5F832A" w:rsidR="00C56F37" w:rsidRPr="00D85E09" w:rsidRDefault="00C56F37" w:rsidP="00C56F37">
      <w:r w:rsidRPr="00D85E09">
        <w:t>Cadilhac DA, Carter R, Thrift AG, Dewey HM. Estimating the long-term costs of isch</w:t>
      </w:r>
      <w:r w:rsidR="00E56287" w:rsidRPr="00D85E09">
        <w:t>aemic</w:t>
      </w:r>
      <w:r w:rsidRPr="00D85E09">
        <w:t xml:space="preserve"> and hemorrhagic stroke for Australia: new evidence derived from the North East Melbourne Stroke Incidence Study (NEMESIS). Stroke. 2009 Mar;40(3):915-21.</w:t>
      </w:r>
    </w:p>
    <w:p w14:paraId="00A93F77" w14:textId="31DADD5F" w:rsidR="00C56F37" w:rsidRPr="00D85E09" w:rsidRDefault="00C56F37" w:rsidP="00C56F37">
      <w:r w:rsidRPr="00D85E09">
        <w:t>Campbell B., Mitchell P., Kleinig T., et al. 2015, Endovascular Therapy for Isch</w:t>
      </w:r>
      <w:r w:rsidR="00E56287" w:rsidRPr="00D85E09">
        <w:t>aemic</w:t>
      </w:r>
      <w:r w:rsidRPr="00D85E09">
        <w:t xml:space="preserve"> Stroke with Perfusion-Imaging Selection. N Engl J Med 2015;372(11):1009-1018.</w:t>
      </w:r>
    </w:p>
    <w:p w14:paraId="77F46A0E" w14:textId="77777777" w:rsidR="00C56F37" w:rsidRPr="00D85E09" w:rsidRDefault="00C56F37" w:rsidP="00C56F37">
      <w:r w:rsidRPr="00D85E09">
        <w:t>Campbell B, Mitchell P, Kleinig T, et al 2015(a). Endovascular thrombectomy reduces length of stay and treatment costs within 3 months of stroke (for the EXTEND-IA investigators). [POSTER]</w:t>
      </w:r>
    </w:p>
    <w:p w14:paraId="76959345" w14:textId="77777777" w:rsidR="00C56F37" w:rsidRPr="00D85E09" w:rsidRDefault="00C56F37" w:rsidP="00C56F37">
      <w:r w:rsidRPr="00D85E09">
        <w:t>Campbell B, Hill M, Rubiera M, et al. Safety and Efficacy of Solitaire Stent Thrombectomy Individual Patient Data Meta-Analysis of Randomized Trials. Stroke. 2016;47:798-806.</w:t>
      </w:r>
    </w:p>
    <w:p w14:paraId="633FB0EE" w14:textId="322C993E" w:rsidR="00C56F37" w:rsidRPr="00D85E09" w:rsidRDefault="00C56F37" w:rsidP="00C56F37">
      <w:r w:rsidRPr="00D85E09">
        <w:t>Chen et al. Endovascular vs medical management of acute isch</w:t>
      </w:r>
      <w:r w:rsidR="00E56287" w:rsidRPr="00D85E09">
        <w:t>aemic</w:t>
      </w:r>
      <w:r w:rsidRPr="00D85E09">
        <w:t xml:space="preserve"> stroke. Neurology 85 (22): 1980-1990, 2015.</w:t>
      </w:r>
    </w:p>
    <w:p w14:paraId="1D7385D6" w14:textId="67DB820E" w:rsidR="00C56F37" w:rsidRPr="00D85E09" w:rsidRDefault="00C56F37" w:rsidP="00C56F37">
      <w:r w:rsidRPr="00D85E09">
        <w:t>Ciccone A., Valvassori L., Nichelatti M., et al. Endovascular treatment for acute isch</w:t>
      </w:r>
      <w:r w:rsidR="00E56287" w:rsidRPr="00D85E09">
        <w:t>aemic</w:t>
      </w:r>
      <w:r w:rsidRPr="00D85E09">
        <w:t xml:space="preserve"> stroke. New Engl.J.Med. 368:904-913, 2013.</w:t>
      </w:r>
    </w:p>
    <w:p w14:paraId="73E22161" w14:textId="77777777" w:rsidR="00C56F37" w:rsidRPr="00D85E09" w:rsidRDefault="00C56F37" w:rsidP="00C56F37">
      <w:r w:rsidRPr="00D85E09">
        <w:lastRenderedPageBreak/>
        <w:t>Cioncoloni D, Piu P, Tassi R, Acampa M, Guideri F, Taddei S, Bielli S, Martini G, Mazzocchio R. Relationship between the modified Rankin Scale and the Barthel Index in the process of functional recovery after stroke. NeuroRehabilitation. 2012;30(4):315-22</w:t>
      </w:r>
    </w:p>
    <w:p w14:paraId="452780BF" w14:textId="504D9380" w:rsidR="00C56F37" w:rsidRPr="00D85E09" w:rsidRDefault="00C56F37" w:rsidP="00C56F37">
      <w:pPr>
        <w:rPr>
          <w:b/>
        </w:rPr>
      </w:pPr>
      <w:r w:rsidRPr="00D85E09">
        <w:rPr>
          <w:b/>
        </w:rPr>
        <w:t xml:space="preserve">Cochrane Collaboration, 2016. Frequently asked questions. Available here: </w:t>
      </w:r>
      <w:hyperlink r:id="rId59" w:anchor="3" w:history="1">
        <w:r w:rsidRPr="00D85E09">
          <w:rPr>
            <w:rStyle w:val="Hyperlink"/>
            <w:rFonts w:cs="Arial"/>
            <w:b/>
            <w:shd w:val="clear" w:color="auto" w:fill="auto"/>
          </w:rPr>
          <w:t>http://methods.cochrane.org/ipdma/frequently-asked-questions#3</w:t>
        </w:r>
      </w:hyperlink>
    </w:p>
    <w:p w14:paraId="1782F8A1" w14:textId="61AF9219" w:rsidR="00C56F37" w:rsidRPr="00D85E09" w:rsidRDefault="00C56F37" w:rsidP="00C56F37">
      <w:r w:rsidRPr="00D85E09">
        <w:t>Conjoint Committee Guidelines for Recognition of Training in Interventional Neuroradiology (INR). INR Guidelines Version 2 Draft 18.</w:t>
      </w:r>
    </w:p>
    <w:p w14:paraId="1688F8C8" w14:textId="5B6F9702" w:rsidR="00C56F37" w:rsidRPr="00D85E09" w:rsidRDefault="00C56F37" w:rsidP="00C56F37">
      <w:pPr>
        <w:rPr>
          <w:b/>
        </w:rPr>
      </w:pPr>
      <w:r w:rsidRPr="00D85E09">
        <w:rPr>
          <w:b/>
        </w:rPr>
        <w:t xml:space="preserve">Conjoint Committee Guidelines for Recognition of Training in Interventional Neuroradiology. Available: </w:t>
      </w:r>
      <w:hyperlink r:id="rId60" w:tooltip="Conjoint Committee Guidelines for Recognition of Training in Interventional Neuroradiology" w:history="1">
        <w:r w:rsidRPr="00D85E09">
          <w:rPr>
            <w:rStyle w:val="Hyperlink"/>
            <w:rFonts w:cs="Arial"/>
            <w:b/>
            <w:shd w:val="clear" w:color="auto" w:fill="auto"/>
          </w:rPr>
          <w:t>www.ccinr.org.au/guidelines</w:t>
        </w:r>
      </w:hyperlink>
      <w:r w:rsidRPr="00D85E09">
        <w:tab/>
      </w:r>
    </w:p>
    <w:p w14:paraId="1FBCBE4A" w14:textId="205BB834" w:rsidR="00C56F37" w:rsidRPr="00D85E09" w:rsidRDefault="00C56F37" w:rsidP="00C56F37">
      <w:pPr>
        <w:rPr>
          <w:b/>
        </w:rPr>
      </w:pPr>
      <w:r w:rsidRPr="00D85E09">
        <w:t>Cougo-Pinto, P. T., Chandra, R. V., Simonsen, C. Z., Hirsch, J. A., &amp; Leslie-Mazwi, T. (2015). Intra-arterial therapy for acute isch</w:t>
      </w:r>
      <w:r w:rsidR="00E56287" w:rsidRPr="00D85E09">
        <w:t>aemic</w:t>
      </w:r>
      <w:r w:rsidRPr="00D85E09">
        <w:t xml:space="preserve"> stroke: a golden age. Current treatment options in neurology, 17(7), 1-16.</w:t>
      </w:r>
    </w:p>
    <w:p w14:paraId="26DCE81D" w14:textId="33A91BFB" w:rsidR="00C56F37" w:rsidRPr="00D85E09" w:rsidRDefault="00C56F37" w:rsidP="00C56F37">
      <w:r w:rsidRPr="00D85E09">
        <w:t>D'Anna L., Gigli GL., Gregoraci G., et al 2015. Identification of stroke etiology may contribute to improve the outcome in dedicated units. J Stroke Cerebrovasc Dis. April 2015;24(4):802-10.</w:t>
      </w:r>
    </w:p>
    <w:p w14:paraId="03C1621A" w14:textId="77777777" w:rsidR="00C56F37" w:rsidRPr="00D85E09" w:rsidRDefault="00C56F37" w:rsidP="00C56F37">
      <w:r w:rsidRPr="00D85E09">
        <w:t>Davalos A., Chamorro A., Cobo E., et al. Randomized trial of revascularization with Solitaire FR device versus best medical practice therapy in the treatment of acute stroke due to anterior circulation large vessel occlusion presenting within 8 hours of symptom onset (REVASCAT). International Stroke Conference 2014. 2014. [ABSTRACT]</w:t>
      </w:r>
    </w:p>
    <w:p w14:paraId="2CDD3073" w14:textId="77777777" w:rsidR="00C56F37" w:rsidRPr="00D85E09" w:rsidRDefault="00C56F37" w:rsidP="00C56F37">
      <w:pPr>
        <w:rPr>
          <w:b/>
        </w:rPr>
      </w:pPr>
      <w:r w:rsidRPr="00D85E09">
        <w:rPr>
          <w:b/>
        </w:rPr>
        <w:t>Davalos A., Chamorro A., Cobo E., et al. Randomized trial of revascularization with Solitaire FR device versus best medical practice therapy in the treatment of acute stroke due to anterior circulation large vessel occlusion presenting within 8 hours of symptom onset (REVASCAT). European Stroke Conference 2014. 2014. [ABSTRACT]</w:t>
      </w:r>
    </w:p>
    <w:p w14:paraId="3C987DAD" w14:textId="1757FC59" w:rsidR="00C56F37" w:rsidRPr="00D85E09" w:rsidRDefault="00C56F37" w:rsidP="00C56F37">
      <w:r w:rsidRPr="00D85E09">
        <w:t>Davalos A., Chamorro A., Molina C., et al. REVASCAT: Randomized trial of revascularization with SolitaireÂ® device versus best medical therapy in the treatment of acute stroke due to anterior circulation large vessel occlusion. Int J Stroke. 2015;10(4):619-626.</w:t>
      </w:r>
    </w:p>
    <w:p w14:paraId="411A1DC7" w14:textId="3E24716B" w:rsidR="00C56F37" w:rsidRPr="00D85E09" w:rsidRDefault="00C56F37" w:rsidP="00C56F37">
      <w:r w:rsidRPr="00D85E09">
        <w:t>Department of Human Health Services, 2016, Endovascular clot retrieval for acute stroke - statewide service protocol.</w:t>
      </w:r>
    </w:p>
    <w:p w14:paraId="21F54385" w14:textId="78AA19B2" w:rsidR="00C56F37" w:rsidRPr="00D85E09" w:rsidRDefault="00C56F37" w:rsidP="00C56F37">
      <w:r w:rsidRPr="00D85E09">
        <w:t>Desmond DW, Moroney JT, Sano M, Stern Y: Mortality in patients with dementia after isch</w:t>
      </w:r>
      <w:r w:rsidR="00E56287" w:rsidRPr="00D85E09">
        <w:t>aemic</w:t>
      </w:r>
      <w:r w:rsidRPr="00D85E09">
        <w:t xml:space="preserve"> stroke. Neurology 2002; 59: 537–543.</w:t>
      </w:r>
    </w:p>
    <w:p w14:paraId="592C1231" w14:textId="1E13C981" w:rsidR="00C56F37" w:rsidRPr="00D85E09" w:rsidRDefault="00C56F37" w:rsidP="00C56F37">
      <w:r w:rsidRPr="00D85E09">
        <w:t>Dewey HM, Thrift AG, Mihalopoulos C, Carter R, Macdonell RA, McNeil JJ, Donnan GA. Cost of stroke in Australia from a societal perspective: results from the North East Melbourne Stroke Incidence Study (NEMESIS). Stroke. 2001 Oct;32(10):2409-16.</w:t>
      </w:r>
    </w:p>
    <w:p w14:paraId="0AC2C994" w14:textId="77777777" w:rsidR="00C56F37" w:rsidRPr="00D85E09" w:rsidRDefault="00C56F37" w:rsidP="00C56F37">
      <w:r w:rsidRPr="00D85E09">
        <w:lastRenderedPageBreak/>
        <w:t>Dewey HM, Thrift AG, Mihalopoulos C, Carter R, Macdonell RA, McNeil JJ, Donnan GA. Informal care for stroke survivors: results from the North East Melbourne Stroke Incidence Study (NEMESIS). Stroke. 2002 Apr;33(4):1028-33.</w:t>
      </w:r>
    </w:p>
    <w:p w14:paraId="6DBBFC31" w14:textId="07101D2D" w:rsidR="00C56F37" w:rsidRPr="00D85E09" w:rsidRDefault="00C56F37" w:rsidP="00C56F37">
      <w:r w:rsidRPr="00D85E09">
        <w:t>Dewey HM, Thrift AG, Mihalopoulos C, Carter R, Macdonell RA, McNeil JJ, Donnan GA. Life</w:t>
      </w:r>
      <w:r w:rsidR="00300BB6" w:rsidRPr="00D85E09">
        <w:t>-time</w:t>
      </w:r>
      <w:r w:rsidRPr="00D85E09">
        <w:t xml:space="preserve"> cost of stroke subtypes in Australia: findings from the North East Melbourne Stroke Incidence Study (NEMESIS). Stroke. 2003 Oct;34(10):2502-7.</w:t>
      </w:r>
    </w:p>
    <w:p w14:paraId="5FC6E44D" w14:textId="17C821A2" w:rsidR="00C56F37" w:rsidRPr="00D85E09" w:rsidRDefault="00C56F37" w:rsidP="00C56F37">
      <w:r w:rsidRPr="00D85E09">
        <w:t>Dewey HM, Thrift AG, Mihalopoulos C, Carter R, Macdonell RA, McNeil JJ, Donnan GA. 'Out</w:t>
      </w:r>
      <w:r w:rsidR="00300BB6" w:rsidRPr="00D85E09">
        <w:t>-</w:t>
      </w:r>
      <w:r w:rsidRPr="00D85E09">
        <w:t>of</w:t>
      </w:r>
      <w:r w:rsidR="00300BB6" w:rsidRPr="00D85E09">
        <w:t>-</w:t>
      </w:r>
      <w:r w:rsidRPr="00D85E09">
        <w:t>pocket' costs to stroke patients during the first year after stroke - results from the North East Melbourne Stroke Incidence Study. J Clin Neurosci. 2004 Feb;11(2):134-7.</w:t>
      </w:r>
    </w:p>
    <w:p w14:paraId="6C314B97" w14:textId="28628F8B" w:rsidR="00C56F37" w:rsidRPr="00D85E09" w:rsidRDefault="00C56F37" w:rsidP="00C56F37">
      <w:pPr>
        <w:rPr>
          <w:b/>
        </w:rPr>
      </w:pPr>
      <w:r w:rsidRPr="00D85E09">
        <w:rPr>
          <w:b/>
        </w:rPr>
        <w:t xml:space="preserve">Dewilde S, Annemans L &amp; Thijs V 2014. Quality of life decrements after stroke. Available here: </w:t>
      </w:r>
      <w:hyperlink r:id="rId61" w:tooltip="Dewilde S, Annemans L &amp; Thijs V 2014. Quality of life decrements after stroke" w:history="1">
        <w:r w:rsidRPr="00D85E09">
          <w:rPr>
            <w:rStyle w:val="Hyperlink"/>
            <w:rFonts w:cs="Arial"/>
            <w:b/>
            <w:shd w:val="clear" w:color="auto" w:fill="auto"/>
          </w:rPr>
          <w:t>https://www.ispor.org/awards/17euro/QL3-Quality-of-Life-Decrements-after-stroke-final.pdf</w:t>
        </w:r>
      </w:hyperlink>
    </w:p>
    <w:p w14:paraId="3A2DD618" w14:textId="522CFB21" w:rsidR="00C56F37" w:rsidRPr="00D85E09" w:rsidRDefault="00C56F37" w:rsidP="00C56F37">
      <w:r w:rsidRPr="00D85E09">
        <w:t>Dhamoon MS, Moon YP, Paik MC, et al. Long-term functional recovery after first isch</w:t>
      </w:r>
      <w:r w:rsidR="00E56287" w:rsidRPr="00D85E09">
        <w:t>aemic</w:t>
      </w:r>
      <w:r w:rsidRPr="00D85E09">
        <w:t xml:space="preserve"> stroke: the Northern Manhattan Study. Stroke 2009;40:2805–2811.</w:t>
      </w:r>
    </w:p>
    <w:p w14:paraId="0B7B227A" w14:textId="77777777" w:rsidR="00C56F37" w:rsidRPr="00D85E09" w:rsidRDefault="00C56F37" w:rsidP="00C56F37">
      <w:r w:rsidRPr="00D85E09">
        <w:t>Donnan GA, Fisher M, Macleod M, Davis SM (May 2008). "Stroke". Lancet 371 (9624): 1612–23.</w:t>
      </w:r>
    </w:p>
    <w:p w14:paraId="0DE647F0" w14:textId="791BCE46" w:rsidR="00C56F37" w:rsidRPr="00D85E09" w:rsidRDefault="00C56F37" w:rsidP="00C56F37">
      <w:r w:rsidRPr="00D85E09">
        <w:t>Dorman P, Dennis M, Sandercock P. Are the modified “simple questions” a valid and reliable measure of health</w:t>
      </w:r>
      <w:r w:rsidR="00300BB6" w:rsidRPr="00D85E09">
        <w:t>-</w:t>
      </w:r>
      <w:r w:rsidRPr="00D85E09">
        <w:t>related quality of life after stroke? United Kingdom Collaborators in the International Stroke Trial. J. Neurol. Neurosurg. Psychiatry 69(4), 487–493 (2000).</w:t>
      </w:r>
    </w:p>
    <w:p w14:paraId="56627CB5" w14:textId="5B0CA171" w:rsidR="00C56F37" w:rsidRPr="00D85E09" w:rsidRDefault="00C56F37" w:rsidP="00C56F37">
      <w:pPr>
        <w:rPr>
          <w:b/>
        </w:rPr>
      </w:pPr>
      <w:r w:rsidRPr="00D85E09">
        <w:rPr>
          <w:b/>
        </w:rPr>
        <w:t xml:space="preserve">Dorman PJ, Waddell F, Slattery J, Dennis M, Sandercock P. Is the EuroQol a valid measure of health-related quality of life after stroke? Stroke. 1997;28:1876–1882. Available here: </w:t>
      </w:r>
      <w:hyperlink r:id="rId62" w:tooltip="Dorman PJ, Waddell F, Slattery J, Dennis M, Sandercock P. Is the EuroQol a valid measure of health-related quality of life after stroke? Stroke. 1997;28:1876–1882" w:history="1">
        <w:r w:rsidRPr="00D85E09">
          <w:rPr>
            <w:rStyle w:val="Hyperlink"/>
            <w:rFonts w:cs="Arial"/>
            <w:b/>
            <w:shd w:val="clear" w:color="auto" w:fill="auto"/>
          </w:rPr>
          <w:t>http://stroke.ahajournals.org/content/28/10/1876.full</w:t>
        </w:r>
      </w:hyperlink>
    </w:p>
    <w:p w14:paraId="1B570047" w14:textId="32A23745" w:rsidR="00C56F37" w:rsidRPr="00D85E09" w:rsidRDefault="00C56F37" w:rsidP="00C56F37">
      <w:r w:rsidRPr="00D85E09">
        <w:t>Elgendy, I. Y., Kumbhani, D. J., Mahmoud, A., Bhatt, D. L., &amp; Bavry, A. A. (2015). Mechanical thrombectomy for acute isch</w:t>
      </w:r>
      <w:r w:rsidR="00E56287" w:rsidRPr="00D85E09">
        <w:t>aemic</w:t>
      </w:r>
      <w:r w:rsidRPr="00D85E09">
        <w:t xml:space="preserve"> stroke: a meta-analysis of randomized trials. Journal of the American College of Cardiology,66(22), 2498-2505.</w:t>
      </w:r>
    </w:p>
    <w:p w14:paraId="73B25312" w14:textId="77777777" w:rsidR="00C56F37" w:rsidRPr="00D85E09" w:rsidRDefault="00C56F37" w:rsidP="00C56F37">
      <w:r w:rsidRPr="00D85E09">
        <w:t>Emberson J, Lees KR, Lyden P, Blackwell L, Albers G, Bluhmki E, et al. Effect of treatment delay, age, and stroke severity on the effects of intravenous thrombolysis with alteplase for acute ischaemic stroke: A meta-analysis of individual patient data from randomised trials. Lancet. 2014;384:1929–1935.</w:t>
      </w:r>
    </w:p>
    <w:p w14:paraId="1B29CAFC" w14:textId="77777777" w:rsidR="00C56F37" w:rsidRPr="00D85E09" w:rsidRDefault="00C56F37" w:rsidP="00C56F37">
      <w:r w:rsidRPr="00D85E09">
        <w:t>Eriksson M, Norrving B, Terént A, et al. 2008. Functional outcome 3 months after stroke predicts long-term survival. Cerebrovasc Dis. 2008;25(5):423-9.</w:t>
      </w:r>
    </w:p>
    <w:p w14:paraId="2D5CD953" w14:textId="464589BA" w:rsidR="00C56F37" w:rsidRPr="00D85E09" w:rsidRDefault="00C56F37" w:rsidP="00C56F37">
      <w:pPr>
        <w:rPr>
          <w:b/>
        </w:rPr>
      </w:pPr>
      <w:r w:rsidRPr="00D85E09">
        <w:rPr>
          <w:b/>
        </w:rPr>
        <w:t>ESO-Karolinska Stroke Update Conference. Consensus statement on mechanical thrombectomy in acute isch</w:t>
      </w:r>
      <w:r w:rsidR="00E56287" w:rsidRPr="00D85E09">
        <w:rPr>
          <w:b/>
        </w:rPr>
        <w:t>aemic</w:t>
      </w:r>
      <w:r w:rsidRPr="00D85E09">
        <w:rPr>
          <w:b/>
        </w:rPr>
        <w:t xml:space="preserve"> stroke – ESO-Karolinska Stroke Update 2014 in </w:t>
      </w:r>
      <w:r w:rsidRPr="00D85E09">
        <w:rPr>
          <w:b/>
        </w:rPr>
        <w:lastRenderedPageBreak/>
        <w:t xml:space="preserve">collaboration with ESMINT and ESNR. 2015. Available from: </w:t>
      </w:r>
      <w:hyperlink r:id="rId63" w:tooltip="ESO-Karolinska Stroke Update Conference. Consensus statement on mechanical thrombectomy in acute ischaemic stroke – ESO-Karolinska Stroke Update 2014 in collaboration with ESMINT and ESNR. 2015" w:history="1">
        <w:r w:rsidRPr="00D85E09">
          <w:rPr>
            <w:rStyle w:val="Hyperlink"/>
            <w:rFonts w:cs="Arial"/>
            <w:b/>
            <w:shd w:val="clear" w:color="auto" w:fill="auto"/>
          </w:rPr>
          <w:t>http://2014.strokeupdate.org/consensus-statement-mechanical-thrombectomy-acute-ischemic-stroke</w:t>
        </w:r>
      </w:hyperlink>
    </w:p>
    <w:p w14:paraId="5E0A0C55" w14:textId="77777777" w:rsidR="00C56F37" w:rsidRPr="00D85E09" w:rsidRDefault="00C56F37" w:rsidP="00C56F37">
      <w:r w:rsidRPr="00D85E09">
        <w:t>EUnetHTA. Pilot rapid assessment of other technologies using the HTA Core Model® for Rapid Relative Effectiveness Assessment: Endovascular therapy using mechanical thrombectomy devices for acute ischaemic stroke. 2015.</w:t>
      </w:r>
    </w:p>
    <w:p w14:paraId="42880826" w14:textId="6426A78C" w:rsidR="00C56F37" w:rsidRPr="00D85E09" w:rsidRDefault="00C56F37" w:rsidP="00C56F37">
      <w:pPr>
        <w:rPr>
          <w:b/>
        </w:rPr>
      </w:pPr>
      <w:r w:rsidRPr="00D85E09">
        <w:rPr>
          <w:b/>
        </w:rPr>
        <w:t>Felberg RA, Burgin WS, Grotta JC. Neuroprotection and the isch</w:t>
      </w:r>
      <w:r w:rsidR="00E56287" w:rsidRPr="00D85E09">
        <w:rPr>
          <w:b/>
        </w:rPr>
        <w:t>aemic</w:t>
      </w:r>
      <w:r w:rsidRPr="00D85E09">
        <w:rPr>
          <w:b/>
        </w:rPr>
        <w:t xml:space="preserve"> cascade. CNS Spectr. 2000;5(3):52–8. Available at: http://www.ncbi.nlm.nih.gov/pubmed/18277329.</w:t>
      </w:r>
    </w:p>
    <w:p w14:paraId="77AD6986" w14:textId="62D8C87A" w:rsidR="00C56F37" w:rsidRPr="00D85E09" w:rsidRDefault="00C56F37" w:rsidP="00C56F37">
      <w:r w:rsidRPr="00D85E09">
        <w:t>Felberg RA, Naidech AM. The 5 Ps of acute isch</w:t>
      </w:r>
      <w:r w:rsidR="00E56287" w:rsidRPr="00D85E09">
        <w:t>aemic</w:t>
      </w:r>
      <w:r w:rsidRPr="00D85E09">
        <w:t xml:space="preserve"> stroke treatment: parenchyma, pipes, perfusion, penumbra, and prevention of complications. South Med J. 2003;96(4):336–42.</w:t>
      </w:r>
    </w:p>
    <w:p w14:paraId="52B64412" w14:textId="77777777" w:rsidR="00C56F37" w:rsidRPr="00D85E09" w:rsidRDefault="00C56F37" w:rsidP="00C56F37">
      <w:r w:rsidRPr="00D85E09">
        <w:t>Gage BF, Cardinalli AB, Owens DK. The effect of stroke and stroke prophylaxis with aspirin or warfarin on quality of life. Arch. Intern. Med. 156(16), 1829–1836 (1996).</w:t>
      </w:r>
    </w:p>
    <w:p w14:paraId="355E5343" w14:textId="77777777" w:rsidR="00C56F37" w:rsidRPr="00D85E09" w:rsidRDefault="00C56F37" w:rsidP="00C56F37">
      <w:pPr>
        <w:rPr>
          <w:b/>
        </w:rPr>
      </w:pPr>
      <w:r w:rsidRPr="00D85E09">
        <w:rPr>
          <w:b/>
        </w:rPr>
        <w:t>Gage, B.F., Scott, J.D., Owens, D.K. Marginal cost-utility of warfarin and aspirin in elderly patients with non-valvular atrial fibrillation. Med Decis Making. 1993;13:386 ([Abstract]).</w:t>
      </w:r>
    </w:p>
    <w:p w14:paraId="7EACFA51" w14:textId="6B5EAEC7" w:rsidR="00C56F37" w:rsidRPr="00D85E09" w:rsidRDefault="00C56F37" w:rsidP="00C56F37">
      <w:r w:rsidRPr="00D85E09">
        <w:t>Ganesalingam J, Pizzo E, Morris S, Sunderland T, Ames D, Lobotesis K. Cost-Utility Analysis of Mechanical Thrombectomy Using Stent Retrievers in Acute Isch</w:t>
      </w:r>
      <w:r w:rsidR="00E56287" w:rsidRPr="00D85E09">
        <w:t>aemic</w:t>
      </w:r>
      <w:r w:rsidRPr="00D85E09">
        <w:t xml:space="preserve"> Stroke. Stroke. 2015 Sep;46(9):2591-8.</w:t>
      </w:r>
    </w:p>
    <w:p w14:paraId="4D0BF27B" w14:textId="77777777" w:rsidR="00C56F37" w:rsidRPr="00D85E09" w:rsidRDefault="00C56F37" w:rsidP="00C56F37">
      <w:r w:rsidRPr="00D85E09">
        <w:t>Gensicke H, Seiffge DJ, Polasek AE, Peters N, Bonati LH, Lyrer PA, Engelter ST. Long-term outcome in stroke patients treated with IV thrombolysis. Neurology. 2013 Mar 5;80(10):919-25</w:t>
      </w:r>
    </w:p>
    <w:p w14:paraId="5E6238AA" w14:textId="77777777" w:rsidR="00C56F37" w:rsidRPr="00D85E09" w:rsidRDefault="00C56F37" w:rsidP="00C56F37">
      <w:r w:rsidRPr="00D85E09">
        <w:t>Gloede TD, Halbach SM, Thrift AG, Dewey HM, Pfaff H, Cadilhac DA. Long-term costs of stroke using 10-year longitudinal data from the North East Melbourne Stroke Incidence Study. Stroke. 2014 Nov;45(11):3389-94.</w:t>
      </w:r>
    </w:p>
    <w:p w14:paraId="7924C5BE" w14:textId="2C4211BE" w:rsidR="00C56F37" w:rsidRPr="00D85E09" w:rsidRDefault="00C56F37" w:rsidP="00C56F37">
      <w:pPr>
        <w:rPr>
          <w:b/>
        </w:rPr>
      </w:pPr>
      <w:r w:rsidRPr="00D85E09">
        <w:rPr>
          <w:b/>
        </w:rPr>
        <w:t xml:space="preserve">Gore JM, Granger CB, Simoons ML et al. Stroke after thrombolysis: Mortality and functional outcomes in the GUSTO- I trial. Circulation 92(10), 2811–2818 (1995). Available here: </w:t>
      </w:r>
      <w:hyperlink r:id="rId64" w:tooltip="Gore JM, Granger CB, Simoons ML et al. Stroke after thrombolysis: Mortality and functional outcomes in the GUSTO- I trial. Circulation 92(10), 2811–2818 (1995)" w:history="1">
        <w:r w:rsidRPr="00D85E09">
          <w:rPr>
            <w:rStyle w:val="Hyperlink"/>
            <w:rFonts w:cs="Arial"/>
            <w:b/>
            <w:shd w:val="clear" w:color="auto" w:fill="auto"/>
          </w:rPr>
          <w:t>http://circ.ahajournals.org/content/92/10/2811.long</w:t>
        </w:r>
      </w:hyperlink>
    </w:p>
    <w:p w14:paraId="12C3111F" w14:textId="7E10F275" w:rsidR="00C56F37" w:rsidRPr="00D85E09" w:rsidRDefault="00C56F37" w:rsidP="00C56F37">
      <w:r w:rsidRPr="00D85E09">
        <w:t>Goyal M., Demchuk A.M., Menon B.K., et al. Randomized assessment of rapid endovascular treatment of isch</w:t>
      </w:r>
      <w:r w:rsidR="00E56287" w:rsidRPr="00D85E09">
        <w:t>aemic</w:t>
      </w:r>
      <w:r w:rsidRPr="00D85E09">
        <w:t xml:space="preserve"> stroke. New Engl J Med. 372 (11):1019-1030, 2015.</w:t>
      </w:r>
    </w:p>
    <w:p w14:paraId="607498EB" w14:textId="3408A503" w:rsidR="00C56F37" w:rsidRPr="00D85E09" w:rsidRDefault="00C56F37" w:rsidP="00C56F37">
      <w:r w:rsidRPr="00D85E09">
        <w:t>Goyal, M., Menon, B. K., van Zwam, W. H., et al. (2016). Endovascular thrombectomy after large</w:t>
      </w:r>
      <w:r w:rsidR="00300BB6" w:rsidRPr="00D85E09">
        <w:t xml:space="preserve"> </w:t>
      </w:r>
      <w:r w:rsidRPr="00D85E09">
        <w:t>vessel ischaemic stroke: a meta-analysis of individual patient data from five randomised trials. The Lancet April 2016;387(10029):1723-1731.</w:t>
      </w:r>
    </w:p>
    <w:p w14:paraId="741B5439" w14:textId="77777777" w:rsidR="00C56F37" w:rsidRPr="00D85E09" w:rsidRDefault="00C56F37" w:rsidP="00C56F37">
      <w:r w:rsidRPr="00D85E09">
        <w:lastRenderedPageBreak/>
        <w:t>Grech et al. Stent-based thrombectomy versus intravenous tissue plasminogen activator in acute ischaemic stroke: A systematic review and meta-analysis. Intervent Neuroradiol 21(6): 684-690, 2015.</w:t>
      </w:r>
    </w:p>
    <w:p w14:paraId="577AFB47" w14:textId="3EC1D098" w:rsidR="00C56F37" w:rsidRPr="00D85E09" w:rsidRDefault="00C56F37" w:rsidP="00C56F37">
      <w:r w:rsidRPr="00D85E09">
        <w:t>Hacke W, Donnan G, Fieschi C, et al. Association of outcome with early stroke treatment: pooled analysis of ATLANTIS, ECASS, and NINDS r</w:t>
      </w:r>
      <w:r w:rsidR="005B7DCE">
        <w:t>tPA</w:t>
      </w:r>
      <w:r w:rsidRPr="00D85E09">
        <w:t xml:space="preserve"> stroke trials. Lancet. 2004 Mar 6;363(9411):768-74.</w:t>
      </w:r>
    </w:p>
    <w:p w14:paraId="2406B447" w14:textId="77777777" w:rsidR="00C56F37" w:rsidRPr="00D85E09" w:rsidRDefault="00C56F37" w:rsidP="00C56F37">
      <w:r w:rsidRPr="00D85E09">
        <w:t>Hallan S, Asberg A, Indredavik B, Wideroe TE. Quality of life after cerebrovascular stroke: a systematic study of patients’ preferences for different functional outcomes. J. Intern. Med. 246(3), 309–316 (1999).</w:t>
      </w:r>
    </w:p>
    <w:p w14:paraId="303EC755" w14:textId="77777777" w:rsidR="00C56F37" w:rsidRPr="00D85E09" w:rsidRDefault="00C56F37" w:rsidP="00C56F37">
      <w:r w:rsidRPr="00D85E09">
        <w:t>Hankey GJ., Jamrozik K., Broadhurst RJ., et al 1998. Long-term risk of first recurrent stroke in the Perth Community Stroke Study. Stroke December 1998;29(12):2491-500.</w:t>
      </w:r>
    </w:p>
    <w:p w14:paraId="7371E2EA" w14:textId="77777777" w:rsidR="00C56F37" w:rsidRPr="00D85E09" w:rsidRDefault="00C56F37" w:rsidP="00C56F37">
      <w:r w:rsidRPr="00D85E09">
        <w:t>Hardie K, Hankey GJ, Jamrozik K, Broadhurst RJ, Anderson C. Ten-year risk of first recurrent stroke and disability after first-ever stroke in the Perth Community Stroke Study. Stroke. 2004 Mar;35(3):731-5.</w:t>
      </w:r>
    </w:p>
    <w:p w14:paraId="731B1F72" w14:textId="299555EA" w:rsidR="00C56F37" w:rsidRPr="00D85E09" w:rsidRDefault="00C56F37" w:rsidP="00C56F37">
      <w:r w:rsidRPr="00D85E09">
        <w:t xml:space="preserve">Hardie K, Hankey GJ, Jamrozik K, Broadhurst RJ, Anderson C. Ten-year survival after first-ever stroke in the </w:t>
      </w:r>
      <w:r w:rsidR="00F67AF7" w:rsidRPr="00D85E09">
        <w:t>P</w:t>
      </w:r>
      <w:r w:rsidRPr="00D85E09">
        <w:t xml:space="preserve">erth </w:t>
      </w:r>
      <w:r w:rsidR="00F67AF7" w:rsidRPr="00D85E09">
        <w:t>C</w:t>
      </w:r>
      <w:r w:rsidRPr="00D85E09">
        <w:t xml:space="preserve">ommunity </w:t>
      </w:r>
      <w:r w:rsidR="00F67AF7" w:rsidRPr="00D85E09">
        <w:t>S</w:t>
      </w:r>
      <w:r w:rsidRPr="00D85E09">
        <w:t xml:space="preserve">troke </w:t>
      </w:r>
      <w:r w:rsidR="00F67AF7" w:rsidRPr="00D85E09">
        <w:t>S</w:t>
      </w:r>
      <w:r w:rsidRPr="00D85E09">
        <w:t>tudy. Stroke. 2003 Aug;34(8):1842-6.</w:t>
      </w:r>
    </w:p>
    <w:p w14:paraId="72923CBE" w14:textId="4D59922F" w:rsidR="00C56F37" w:rsidRPr="00D85E09" w:rsidRDefault="00C56F37" w:rsidP="00C56F37">
      <w:r w:rsidRPr="00D85E09">
        <w:t xml:space="preserve">Hardie, K, Jamrozik, K, Hankey, GJ, Broadhurst, RJ and Anderson, C (2005) Trends in five-year survival and risk of recurrent stroke after first-ever stroke in the Perth </w:t>
      </w:r>
      <w:r w:rsidR="00F67AF7" w:rsidRPr="00D85E09">
        <w:t>C</w:t>
      </w:r>
      <w:r w:rsidRPr="00D85E09">
        <w:t xml:space="preserve">ommunity </w:t>
      </w:r>
      <w:r w:rsidR="00F67AF7" w:rsidRPr="00D85E09">
        <w:t>S</w:t>
      </w:r>
      <w:r w:rsidRPr="00D85E09">
        <w:t xml:space="preserve">troke </w:t>
      </w:r>
      <w:r w:rsidR="00F67AF7" w:rsidRPr="00D85E09">
        <w:t>S</w:t>
      </w:r>
      <w:r w:rsidRPr="00D85E09">
        <w:t>tudy. Cerebrovascular Diseases, 19 3: 179-185.</w:t>
      </w:r>
    </w:p>
    <w:p w14:paraId="6F312740" w14:textId="42A4DF0C" w:rsidR="00C56F37" w:rsidRPr="00D85E09" w:rsidRDefault="00C56F37" w:rsidP="00C56F37">
      <w:pPr>
        <w:rPr>
          <w:b/>
        </w:rPr>
      </w:pPr>
      <w:r w:rsidRPr="00D85E09">
        <w:rPr>
          <w:b/>
        </w:rPr>
        <w:t>Health Quality Ontario. Mechanical thrombectomy in patients with acute isch</w:t>
      </w:r>
      <w:r w:rsidR="00E56287" w:rsidRPr="00D85E09">
        <w:rPr>
          <w:b/>
        </w:rPr>
        <w:t>aemic</w:t>
      </w:r>
      <w:r w:rsidRPr="00D85E09">
        <w:rPr>
          <w:b/>
        </w:rPr>
        <w:t xml:space="preserve"> stroke: a health technology assessment. Ont Health Technol Assess Ser [Internet]. 2016 February;16(4):1-79. Available from: http://www.hqontario.ca/evidence/publications-and-ohtac-recommendations/ontario-health-technology-assessment-series/hta-mechanical-thrombectomy</w:t>
      </w:r>
    </w:p>
    <w:p w14:paraId="4BBBC78C" w14:textId="47D5AA61" w:rsidR="00C56F37" w:rsidRPr="00D85E09" w:rsidRDefault="00C56F37" w:rsidP="00C56F37">
      <w:r w:rsidRPr="00D85E09">
        <w:t>Higashida RT., Furlan AJ., Roberts H.,et al. 2003. Trial design and reporting standards for intra-arterial cerebral thrombolysis for acute isch</w:t>
      </w:r>
      <w:r w:rsidR="00E56287" w:rsidRPr="00D85E09">
        <w:t>aemic</w:t>
      </w:r>
      <w:r w:rsidRPr="00D85E09">
        <w:t xml:space="preserve"> stroke. Stroke August 2003;34(8):e109-37.</w:t>
      </w:r>
    </w:p>
    <w:p w14:paraId="7DE32517" w14:textId="77777777" w:rsidR="00C56F37" w:rsidRPr="00D85E09" w:rsidRDefault="00C56F37" w:rsidP="00C56F37">
      <w:r w:rsidRPr="00D85E09">
        <w:t>Hsieh, Y. W., Wang, C. H., et al. (2007). "Establishing the minimal clinically important difference of the Barthel Index in stroke patients." Neurorehabil Neural Repair 2007;21(3): 233-238.</w:t>
      </w:r>
    </w:p>
    <w:p w14:paraId="0E12DE64" w14:textId="140D30A9" w:rsidR="00C56F37" w:rsidRPr="00D85E09" w:rsidRDefault="00C56F37" w:rsidP="00C56F37">
      <w:r w:rsidRPr="00D85E09">
        <w:t>Huybrechts KF, Caro JJ, Xenakis JJ, et al. 2008. The prognostic value of the modified Rankin Scale score for long-term survival after first-ever stroke. Results from the Athens Stroke Registry. Cerebrovasc Dis. 2008;26(4):381-7.</w:t>
      </w:r>
    </w:p>
    <w:p w14:paraId="04EA5FB3" w14:textId="439CEFD1" w:rsidR="00C56F37" w:rsidRPr="00D85E09" w:rsidRDefault="00C56F37" w:rsidP="00C56F37">
      <w:pPr>
        <w:rPr>
          <w:b/>
        </w:rPr>
      </w:pPr>
      <w:r w:rsidRPr="00D85E09">
        <w:rPr>
          <w:b/>
        </w:rPr>
        <w:lastRenderedPageBreak/>
        <w:t xml:space="preserve">InformMe 2016. Guidelines – clinical guidelines for stroke prevention and management. Available here: </w:t>
      </w:r>
      <w:hyperlink r:id="rId65" w:tooltip="InformMe 2016. Guidelines – clinical guidelines for stroke prevention and management" w:history="1">
        <w:r w:rsidRPr="00D85E09">
          <w:rPr>
            <w:rStyle w:val="Hyperlink"/>
            <w:rFonts w:cs="Arial"/>
            <w:b/>
            <w:shd w:val="clear" w:color="auto" w:fill="auto"/>
          </w:rPr>
          <w:t>https://informme.org.au/~/link.aspx?_id=8CB6F19CABD14B2181CCAD58F40BC2CD&amp;_z=z</w:t>
        </w:r>
      </w:hyperlink>
    </w:p>
    <w:p w14:paraId="2E660070" w14:textId="77777777" w:rsidR="00C56F37" w:rsidRPr="00D85E09" w:rsidRDefault="00C56F37" w:rsidP="00C56F37">
      <w:r w:rsidRPr="00D85E09">
        <w:t>Johnston SC, Gress DR, Browner WS, Sidney S. Short-term prognosis after emergency department diagnosis of TIA. JAMA. 2000;284:2901–6.</w:t>
      </w:r>
    </w:p>
    <w:p w14:paraId="1A2B9B30" w14:textId="77777777" w:rsidR="00C56F37" w:rsidRPr="00D85E09" w:rsidRDefault="00C56F37" w:rsidP="00C56F37">
      <w:r w:rsidRPr="00D85E09">
        <w:t>Jovin T. G., Cobo E., Chamorro A., et al. Randomized trial of revascularization with Solitaire FR device versus best medical therapy in the treatment of acute stroke due to an anterior circulation large vessel occlusion presenting within 8 hours of symptom onset. International Stroke Conference 2013. 2013. [ABSTRACT]</w:t>
      </w:r>
    </w:p>
    <w:p w14:paraId="15ED3364" w14:textId="04CC7E53" w:rsidR="00C56F37" w:rsidRPr="00D85E09" w:rsidRDefault="00C56F37" w:rsidP="00C56F37">
      <w:r w:rsidRPr="00D85E09">
        <w:t>Jovin T.G., Chamorro A., Cobo E., et al. Thrombectomy within 8 hours after symptom onset in isch</w:t>
      </w:r>
      <w:r w:rsidR="00E56287" w:rsidRPr="00D85E09">
        <w:t>aemic</w:t>
      </w:r>
      <w:r w:rsidRPr="00D85E09">
        <w:t xml:space="preserve"> stroke. New Engl J Med. 372 (24):2296-2306, 2015.</w:t>
      </w:r>
    </w:p>
    <w:p w14:paraId="47D94A96" w14:textId="77777777" w:rsidR="00C56F37" w:rsidRPr="00D85E09" w:rsidRDefault="00C56F37" w:rsidP="00C56F37">
      <w:r w:rsidRPr="00D85E09">
        <w:t>Jumaa MA, Zhang F, Ruiz-Ares G, Gelzinis T, Malik AM, Aleu A, et al. Comparison of safety and clinical and radiographic outcomes in endovascular acute stroke therapy for proximal middle cerebral artery occlusion with intubation and general anesthesia versus the nonintubated state. Stroke. 2010;41(6):1180–4.</w:t>
      </w:r>
    </w:p>
    <w:p w14:paraId="760F2C5D" w14:textId="77777777" w:rsidR="00C56F37" w:rsidRPr="00D85E09" w:rsidRDefault="00C56F37" w:rsidP="00C56F37">
      <w:r w:rsidRPr="00D85E09">
        <w:t>Jung S, Mono ML, Fischer U, Galimanis A, Findling O, De Marchis GM, Weck A, Nedeltchev K, Colucci G, Mordasini P, Brekenfeld C, El-Koussy M, Gralla J, Schroth G, Mattle HP, Arnold M. Three-month and long-term outcomes and their predictors in acute basilar artery occlusion treated with intra-arterial thrombolysis. Stroke. 2011 Jul;42(7):1946-51</w:t>
      </w:r>
    </w:p>
    <w:p w14:paraId="3F25DDC0" w14:textId="7606D339" w:rsidR="00C56F37" w:rsidRPr="00D85E09" w:rsidRDefault="00C56F37" w:rsidP="00C56F37">
      <w:r w:rsidRPr="00D85E09">
        <w:t>Khatri P, Abruzzo T, Yeatts SD, Nichols C, Broderick JP, Tomsick TA; IMS I and II Investigators. Good clinical outcome after isch</w:t>
      </w:r>
      <w:r w:rsidR="00E56287" w:rsidRPr="00D85E09">
        <w:t>aemic</w:t>
      </w:r>
      <w:r w:rsidRPr="00D85E09">
        <w:t xml:space="preserve"> stroke with successful revascularization is time-dependent. Neurology. 2009;73:1066–1072.</w:t>
      </w:r>
    </w:p>
    <w:p w14:paraId="2AB8F33B" w14:textId="73F9520E" w:rsidR="00C56F37" w:rsidRPr="00D85E09" w:rsidRDefault="00C56F37" w:rsidP="00C56F37">
      <w:r w:rsidRPr="00D85E09">
        <w:t>Kidwell C.S., Jahan R., Gornbein J., et al. A trial of imaging selection and endovascular treatment for isch</w:t>
      </w:r>
      <w:r w:rsidR="00E56287" w:rsidRPr="00D85E09">
        <w:t>aemic</w:t>
      </w:r>
      <w:r w:rsidRPr="00D85E09">
        <w:t xml:space="preserve"> stroke. New Engl J Med. 368:914-923, 2013.</w:t>
      </w:r>
    </w:p>
    <w:p w14:paraId="1457E82B" w14:textId="334B4FEF" w:rsidR="00C56F37" w:rsidRPr="00D85E09" w:rsidRDefault="00C56F37" w:rsidP="00C56F37">
      <w:r w:rsidRPr="00D85E09">
        <w:t>Kim AS, Nguyen-Huynh M, Johnston SC. A cost-utility analysis of mechanical thrombectomy as an adjunct to intravenous tissue-type plasminogen activator for acute large</w:t>
      </w:r>
      <w:r w:rsidR="00300BB6" w:rsidRPr="00D85E09">
        <w:t xml:space="preserve"> </w:t>
      </w:r>
      <w:r w:rsidRPr="00D85E09">
        <w:t>vessel isch</w:t>
      </w:r>
      <w:r w:rsidR="00E56287" w:rsidRPr="00D85E09">
        <w:t>aemic</w:t>
      </w:r>
      <w:r w:rsidRPr="00D85E09">
        <w:t xml:space="preserve"> stroke. Stroke. 2011 Jul;42(7):2013-8.</w:t>
      </w:r>
    </w:p>
    <w:p w14:paraId="0B7262E9" w14:textId="2035729D" w:rsidR="00C56F37" w:rsidRPr="00D85E09" w:rsidRDefault="00C56F37" w:rsidP="00C56F37">
      <w:r w:rsidRPr="00D85E09">
        <w:t>Kimura K, Minematsu K, Kazui S, et al. 2005 Mortality and cause of death after hospital discharge in 10,981 patients with isch</w:t>
      </w:r>
      <w:r w:rsidR="00E56287" w:rsidRPr="00D85E09">
        <w:t>aemic</w:t>
      </w:r>
      <w:r w:rsidRPr="00D85E09">
        <w:t xml:space="preserve"> stroke and transient isch</w:t>
      </w:r>
      <w:r w:rsidR="00E56287" w:rsidRPr="00D85E09">
        <w:t>aemic</w:t>
      </w:r>
      <w:r w:rsidRPr="00D85E09">
        <w:t xml:space="preserve"> attack. Cerebrovasc Dis. 2005;19(3):171-8.</w:t>
      </w:r>
    </w:p>
    <w:p w14:paraId="3E493B58" w14:textId="21A4FDD8" w:rsidR="00C56F37" w:rsidRPr="00D85E09" w:rsidRDefault="00C56F37" w:rsidP="00C56F37">
      <w:r w:rsidRPr="00D85E09">
        <w:lastRenderedPageBreak/>
        <w:t>Koh et al. Safety and efficacy of mechanical thrombectomy with Solitaire stent retrieval for acute isch</w:t>
      </w:r>
      <w:r w:rsidR="00E56287" w:rsidRPr="00D85E09">
        <w:t>aemic</w:t>
      </w:r>
      <w:r w:rsidRPr="00D85E09">
        <w:t xml:space="preserve"> stroke: a systematic review (Provisional abstract). Neurointervention 7: 1-9, 2012.</w:t>
      </w:r>
    </w:p>
    <w:p w14:paraId="1A766960" w14:textId="77777777" w:rsidR="00C56F37" w:rsidRPr="00D85E09" w:rsidRDefault="00C56F37" w:rsidP="00C56F37">
      <w:r w:rsidRPr="00D85E09">
        <w:t>Lai SM, Duncan PW. Stroke recovery profile and the Modified Rankin assessment. Neuroepidemiology 20(1), 26–30 (2001).</w:t>
      </w:r>
    </w:p>
    <w:p w14:paraId="4BB54983" w14:textId="77777777" w:rsidR="00C56F37" w:rsidRPr="00D85E09" w:rsidRDefault="00C56F37" w:rsidP="00C56F37">
      <w:r w:rsidRPr="00D85E09">
        <w:t>Langhorne P, Stott DJ, Robertson L, MacDonald J, Jones L, McAlpine C, Dick F, Taylor GS, Murray G: Medical complications after stroke: a multicenter study. Stroke 2000; 31: 1223–1229.</w:t>
      </w:r>
    </w:p>
    <w:p w14:paraId="04D204EE" w14:textId="2B0C6F37" w:rsidR="00C56F37" w:rsidRPr="00D85E09" w:rsidRDefault="00C56F37" w:rsidP="00C56F37">
      <w:r w:rsidRPr="00D85E09">
        <w:t>Lavine SD., Cockroft K., Hoh B., et al. 2016. Training guidelines for endovascular isch</w:t>
      </w:r>
      <w:r w:rsidR="00E56287" w:rsidRPr="00D85E09">
        <w:t>aemic</w:t>
      </w:r>
      <w:r w:rsidRPr="00D85E09">
        <w:t xml:space="preserve"> stroke intervention: An international multi-society consensus document. AJNR Am J Neuroradiol April 2016;37(4):E31-4.</w:t>
      </w:r>
    </w:p>
    <w:p w14:paraId="0813C5E1" w14:textId="310958CF" w:rsidR="00C56F37" w:rsidRPr="00D85E09" w:rsidRDefault="00C56F37" w:rsidP="00C56F37">
      <w:r w:rsidRPr="00D85E09">
        <w:t>Lacy CR, Suh DC, Bueno M, Kostis JB. Delay in presentation and evaluation for acute stroke: Stroke Time Registry for Outcomes Knowledge and Epidemiology (S.T.R.O.K.E.). Stroke. 2001 Jan;32(1):63-9.</w:t>
      </w:r>
    </w:p>
    <w:p w14:paraId="799AEAAD" w14:textId="77777777" w:rsidR="00C56F37" w:rsidRPr="00D85E09" w:rsidRDefault="00C56F37" w:rsidP="00C56F37">
      <w:r w:rsidRPr="00D85E09">
        <w:t>Lee AH, Somerford PJ, Yau KK. Risk factors for ischaemic stroke recurrence after hospitalisation. Med J Aust. 2004 Sep 6;181(5):244-6.</w:t>
      </w:r>
    </w:p>
    <w:p w14:paraId="4729F9EA" w14:textId="54E5E96C" w:rsidR="00C56F37" w:rsidRPr="00D85E09" w:rsidRDefault="00C56F37" w:rsidP="00C56F37">
      <w:r w:rsidRPr="00D85E09">
        <w:t>Lees KR, Bluhmki E, von Kummer R, et al 2010. Time to treatment with intravenous alteplase and outcome in stroke: an updated pooled analysis of ECASS, ATLANTIS, NINDS, and EPITHET trials. Lancet. 2010;375:1695–1703.</w:t>
      </w:r>
    </w:p>
    <w:p w14:paraId="306564A5" w14:textId="2672649C" w:rsidR="00C56F37" w:rsidRPr="00D85E09" w:rsidRDefault="00C56F37" w:rsidP="00C56F37">
      <w:pPr>
        <w:rPr>
          <w:b/>
        </w:rPr>
      </w:pPr>
      <w:r w:rsidRPr="00D85E09">
        <w:rPr>
          <w:b/>
        </w:rPr>
        <w:t>Liu et al. Efficacy and Safety of Mechanical Thrombectomy in Treating Acute Isch</w:t>
      </w:r>
      <w:r w:rsidR="00E56287" w:rsidRPr="00D85E09">
        <w:rPr>
          <w:b/>
        </w:rPr>
        <w:t>aemic</w:t>
      </w:r>
      <w:r w:rsidRPr="00D85E09">
        <w:rPr>
          <w:b/>
        </w:rPr>
        <w:t xml:space="preserve"> Stroke: A Meta-Analysis. J Invest Surg, 2015.</w:t>
      </w:r>
    </w:p>
    <w:p w14:paraId="3CD2D13A" w14:textId="77777777" w:rsidR="00C56F37" w:rsidRPr="00D85E09" w:rsidRDefault="00C56F37" w:rsidP="00C56F37">
      <w:r w:rsidRPr="00D85E09">
        <w:t>Lyden P., Lu M., Jackson C., et al. 1999. Underlying structure of the National Institutes of Health Stroke Scale: results of a factor analysis. NINDS tPA Stroke Trial Investigators. Stroke November 1999;30(11):2347-54.</w:t>
      </w:r>
    </w:p>
    <w:p w14:paraId="7EB17C40" w14:textId="77777777" w:rsidR="00C56F37" w:rsidRPr="00D85E09" w:rsidRDefault="00C56F37" w:rsidP="00C56F37">
      <w:r w:rsidRPr="00D85E09">
        <w:t>Lyden P., Lu M., Levine S., et al. 2001. A modified National Institutes of Health Stroke Scale for use in stroke clinical trials: preliminary reliability and validity. Stroke June 2001;32(6):1310-7.</w:t>
      </w:r>
    </w:p>
    <w:p w14:paraId="79F8AFD0" w14:textId="061616CF" w:rsidR="00C56F37" w:rsidRPr="00D85E09" w:rsidRDefault="00C56F37" w:rsidP="00C56F37">
      <w:r w:rsidRPr="00D85E09">
        <w:t>Magalh</w:t>
      </w:r>
      <w:r w:rsidR="00582C35" w:rsidRPr="00D85E09">
        <w:t>a</w:t>
      </w:r>
      <w:r w:rsidRPr="00D85E09">
        <w:t>es R, Abreu P, Correia M, Whiteley W, Silva MC, Sandercock P. Functional status three months after the first isch</w:t>
      </w:r>
      <w:r w:rsidR="00E56287" w:rsidRPr="00D85E09">
        <w:t>aemic</w:t>
      </w:r>
      <w:r w:rsidRPr="00D85E09">
        <w:t xml:space="preserve"> stroke is associated with long-term outcome: data from a community-based cohort. Cerebrovasc Dis. 2014;38(1):46-54</w:t>
      </w:r>
    </w:p>
    <w:p w14:paraId="547DB579" w14:textId="4A1F4C88" w:rsidR="00C56F37" w:rsidRPr="00D85E09" w:rsidRDefault="00C56F37" w:rsidP="00C56F37">
      <w:r w:rsidRPr="00D85E09">
        <w:t>Mangla S, O'Connell K, Kumari D, Shahrzad M. Novel model of direct and indirect cost-benefit analysis of mechanical embolectomy over IV</w:t>
      </w:r>
      <w:r w:rsidR="00300BB6" w:rsidRPr="00D85E09">
        <w:t>-</w:t>
      </w:r>
      <w:r w:rsidRPr="00D85E09">
        <w:t>tPA for large vessel occlusions: a real</w:t>
      </w:r>
      <w:r w:rsidR="00300BB6" w:rsidRPr="00D85E09">
        <w:t xml:space="preserve"> </w:t>
      </w:r>
      <w:r w:rsidRPr="00D85E09">
        <w:t>world dollar analysis based on improvements in mRS. J Neurointerv Surg. 2016 Jan 20.</w:t>
      </w:r>
    </w:p>
    <w:p w14:paraId="75A7C6FC" w14:textId="409842D5" w:rsidR="00C56F37" w:rsidRPr="00D85E09" w:rsidRDefault="00C56F37" w:rsidP="00C56F37">
      <w:r w:rsidRPr="00D85E09">
        <w:lastRenderedPageBreak/>
        <w:t>Marmagkiolis et al. Safety and efficacy of stent retrievers for the management of acute isch</w:t>
      </w:r>
      <w:r w:rsidR="00E56287" w:rsidRPr="00D85E09">
        <w:t>aemic</w:t>
      </w:r>
      <w:r w:rsidRPr="00D85E09">
        <w:t xml:space="preserve"> stroke comprehensive review and meta-analysis. JACC Cardiovasc Interventions 8 (13): 1758-1765, 2015.</w:t>
      </w:r>
    </w:p>
    <w:p w14:paraId="40899E31" w14:textId="77777777" w:rsidR="00C56F37" w:rsidRPr="00D85E09" w:rsidRDefault="00C56F37" w:rsidP="00C56F37">
      <w:r w:rsidRPr="00D85E09">
        <w:t>Mehta BP &amp; Nogueira RG. Should clot composition affect choice of endovascular therapy? Neurology 2012;79 (Suppl 1):S63–S67.</w:t>
      </w:r>
    </w:p>
    <w:p w14:paraId="7A86A653" w14:textId="77777777" w:rsidR="00C56F37" w:rsidRPr="00D85E09" w:rsidRDefault="00C56F37" w:rsidP="00C56F37">
      <w:r w:rsidRPr="00D85E09">
        <w:t>Meretoja A, Weir L, Ugalde M, Yassi N, Yan B, Hand P, Truesdale M, Davis SM, Campbell BC. Helsinki model cut stroke thrombolysis delays to 25 minutes in Melbourne in only 4 months. Neurology. 2013 Sep 17;81(12):1071-6</w:t>
      </w:r>
    </w:p>
    <w:p w14:paraId="1AA7A6E8" w14:textId="77777777" w:rsidR="00C56F37" w:rsidRPr="00D85E09" w:rsidRDefault="00C56F37" w:rsidP="00C56F37">
      <w:r w:rsidRPr="00D85E09">
        <w:t>Mohan KM, Wolfe CD, Rudd AG, Heuschmann PU, Kolominsky-Rabas PL, Grieve AP. Risk and cumulative risk of stroke recurrence: a systematic review and meta-analysis. Stroke. 2011 May;42(5):1489-94.</w:t>
      </w:r>
    </w:p>
    <w:p w14:paraId="2CBAC35C" w14:textId="77777777" w:rsidR="00C56F37" w:rsidRPr="00D85E09" w:rsidRDefault="00C56F37" w:rsidP="00C56F37">
      <w:r w:rsidRPr="00D85E09">
        <w:t>Murphy R, Sackley CM, Miller P, Harwood RH. Effect of experience of severe stroke on subjective valuations of quality of life after stroke. J. Neurol. Neurosurg. Psychiatry 70(5), 679–681 (2001).</w:t>
      </w:r>
    </w:p>
    <w:p w14:paraId="13E5794A" w14:textId="5695ABA8" w:rsidR="00C56F37" w:rsidRPr="00D85E09" w:rsidRDefault="00C56F37" w:rsidP="00C56F37">
      <w:r w:rsidRPr="00D85E09">
        <w:t>National Stroke Foundation, 2010. Clinical Guidelines for Stroke Management. Melbourne, Australia.</w:t>
      </w:r>
    </w:p>
    <w:p w14:paraId="656ACFB1" w14:textId="77777777" w:rsidR="00C56F37" w:rsidRPr="00D85E09" w:rsidRDefault="00C56F37" w:rsidP="00C56F37">
      <w:r w:rsidRPr="00D85E09">
        <w:t>National Stroke Foundation, 2015. National stroke audit – acute services report 2015.</w:t>
      </w:r>
    </w:p>
    <w:p w14:paraId="4DAEA1E6" w14:textId="77777777" w:rsidR="00C56F37" w:rsidRPr="00D85E09" w:rsidRDefault="00C56F37" w:rsidP="00C56F37">
      <w:r w:rsidRPr="00D85E09">
        <w:t>Nguyen-Huynh MN, Johnston SC. Is mechanical clot removal or disruption a cost-effective treatment for acute stroke? AJNR Am J Neuroradiol. 2011 Feb;32(2):244-9.</w:t>
      </w:r>
    </w:p>
    <w:p w14:paraId="3F85E446" w14:textId="77777777" w:rsidR="00C56F37" w:rsidRPr="00D85E09" w:rsidRDefault="00C56F37" w:rsidP="00C56F37">
      <w:r w:rsidRPr="00D85E09">
        <w:t>Nogueira RG, Lutsep HL, Gupta R, Jovin TG, Albers GW, Walker GA, et al. Trevo versus Merci retrievers for thrombectomy revascularisation of large vessel occlusions in acute ischaemic stroke (TREVO 2): a randomised trial. Lancet. 2012;380:1231–1240</w:t>
      </w:r>
    </w:p>
    <w:p w14:paraId="0E93249A" w14:textId="77777777" w:rsidR="00C56F37" w:rsidRPr="00D85E09" w:rsidRDefault="00C56F37" w:rsidP="00C56F37">
      <w:r w:rsidRPr="00D85E09">
        <w:t>Noto S, Uemura T, Izumi R, Moriwaki K. Construct validity of health utilities index (HUI) Japanese version: Cross-sectional study for stroke in Japan. Value Health 14(3), A45 (2011).</w:t>
      </w:r>
    </w:p>
    <w:p w14:paraId="3DEFF340" w14:textId="0FA0C6A6" w:rsidR="00C56F37" w:rsidRPr="00D85E09" w:rsidRDefault="00C56F37" w:rsidP="00C56F37">
      <w:r w:rsidRPr="00D85E09">
        <w:t>NSWNMA. Healthscope and NSWNMA/ANMF - NSW Nurses &amp; Midwives' Enterprise Agreement 2015 - 2019 Wage Calculator Commencing First Pay Period On Or After 1 January.</w:t>
      </w:r>
    </w:p>
    <w:p w14:paraId="3953A6C8" w14:textId="77F4AAC2" w:rsidR="00C56F37" w:rsidRPr="00D85E09" w:rsidRDefault="00C56F37" w:rsidP="00C56F37">
      <w:r w:rsidRPr="00D85E09">
        <w:t>OHTAC 2016. Mechanical thrombectomy in patients with acute isch</w:t>
      </w:r>
      <w:r w:rsidR="00E56287" w:rsidRPr="00D85E09">
        <w:t>aemic</w:t>
      </w:r>
      <w:r w:rsidRPr="00D85E09">
        <w:t xml:space="preserve"> stroke: a health technology assessment. </w:t>
      </w:r>
      <w:r w:rsidRPr="00D85E09">
        <w:rPr>
          <w:bCs/>
        </w:rPr>
        <w:t>February 2016;16(4).</w:t>
      </w:r>
    </w:p>
    <w:p w14:paraId="593219E6" w14:textId="4D75CAAC" w:rsidR="00C56F37" w:rsidRPr="00D85E09" w:rsidRDefault="00C56F37" w:rsidP="00C56F37">
      <w:r w:rsidRPr="00D85E09">
        <w:t>OHTAC 2016. Mechanical Thrombectomy for Patients with Acute Isch</w:t>
      </w:r>
      <w:r w:rsidR="00E56287" w:rsidRPr="00D85E09">
        <w:t>aemic</w:t>
      </w:r>
      <w:r w:rsidRPr="00D85E09">
        <w:t xml:space="preserve"> Stroke: OHTAC recommendation. February 2016.</w:t>
      </w:r>
    </w:p>
    <w:p w14:paraId="72188530" w14:textId="59321A77" w:rsidR="00C56F37" w:rsidRPr="00D85E09" w:rsidRDefault="00C56F37" w:rsidP="00C56F37">
      <w:r w:rsidRPr="00D85E09">
        <w:lastRenderedPageBreak/>
        <w:t>Patil CG, Long EF, Lansberg MG. Cost-effectiveness analysis of mechanical thrombectomy in acute isch</w:t>
      </w:r>
      <w:r w:rsidR="00E56287" w:rsidRPr="00D85E09">
        <w:t>aemic</w:t>
      </w:r>
      <w:r w:rsidRPr="00D85E09">
        <w:t xml:space="preserve"> stroke. J Neurosurg. 2009 Mar;110(3):508-13.</w:t>
      </w:r>
    </w:p>
    <w:p w14:paraId="31BA6D36" w14:textId="624C29CF" w:rsidR="00C56F37" w:rsidRPr="00D85E09" w:rsidRDefault="00C56F37" w:rsidP="00C56F37">
      <w:r w:rsidRPr="00D85E09">
        <w:t>Peel TN, Cheng AC, Liew D, Buising KL, Lisik J, Carroll KA, Choong PF, Dowsey MM. Direct hospital cost determinants following hip and knee arthroplasty. Arthritis Care Res (Hoboken). 2015 May;67(6):782-90.</w:t>
      </w:r>
    </w:p>
    <w:p w14:paraId="57FC8450" w14:textId="2BCE525C" w:rsidR="00C56F37" w:rsidRPr="00D85E09" w:rsidRDefault="00C56F37" w:rsidP="00C56F37">
      <w:r w:rsidRPr="00D85E09">
        <w:t>Pereira VM., Gralla J., Davalos A., et al. 2013. Prospective, multicenter, single-arm study of mechanical thrombectomy using Solitaire Flow Restoration in acute isch</w:t>
      </w:r>
      <w:r w:rsidR="00E56287" w:rsidRPr="00D85E09">
        <w:t>aemic</w:t>
      </w:r>
      <w:r w:rsidRPr="00D85E09">
        <w:t xml:space="preserve"> stroke. Stroke October 2013;44(10):2802-7.</w:t>
      </w:r>
    </w:p>
    <w:p w14:paraId="0D6CC6C9" w14:textId="77777777" w:rsidR="00C56F37" w:rsidRPr="00D85E09" w:rsidRDefault="00C56F37" w:rsidP="00C56F37">
      <w:r w:rsidRPr="00D85E09">
        <w:t>Post PN., Stiggelbout AM. &amp; Wakker PP. 2001. The utility of health states after stroke: A systematic review of the literature. Stroke 2001;32:1425-1429.</w:t>
      </w:r>
    </w:p>
    <w:p w14:paraId="2112B8B4" w14:textId="77777777" w:rsidR="00C56F37" w:rsidRPr="00D85E09" w:rsidRDefault="00C56F37" w:rsidP="00C56F37">
      <w:r w:rsidRPr="00D85E09">
        <w:t>Powers, W. J., Derdeyn, C. P., Biller, J., Coffey, C. S., Hoh, B. L., Jauch, E. C &amp; Meschia, J. F. (2015). AHA/ASA Guideline. Stroke, 46(10):3020-35.</w:t>
      </w:r>
    </w:p>
    <w:p w14:paraId="6644A742" w14:textId="77777777" w:rsidR="00C56F37" w:rsidRPr="00D85E09" w:rsidRDefault="00C56F37" w:rsidP="00C56F37">
      <w:r w:rsidRPr="00D85E09">
        <w:t>Raychev R. and Saver J. 2012, Mechanical thrombectomy devices for treatment of stroke. Neurol Clin Pract. 2012 Sep; 2(3): 231–235.</w:t>
      </w:r>
    </w:p>
    <w:p w14:paraId="72D16EF5" w14:textId="77777777" w:rsidR="00C56F37" w:rsidRPr="00D85E09" w:rsidRDefault="00C56F37" w:rsidP="00C56F37">
      <w:r w:rsidRPr="00D85E09">
        <w:t>Riley R., Lambert P. &amp; Abo-Zaid G. 2010. Meta-analysis of individual participant data: rationale, conduct, and reporting. BMJ February 2010;5(340):c221.</w:t>
      </w:r>
    </w:p>
    <w:p w14:paraId="679AA0FE" w14:textId="77777777" w:rsidR="00C56F37" w:rsidRPr="00D85E09" w:rsidRDefault="00C56F37" w:rsidP="00C56F37">
      <w:r w:rsidRPr="00D85E09">
        <w:t>Rivero-Arias O, Ouellet M, Gray A, Wolstenholme J, Rothwell PM, Luengo-Fernandez R. Mapping the modified Rankin scale (mRS) measurement into the generic EuroQol (EQ-5D) health outcome. Med Decis Making. 2010 May-Jun;30(3):341-54.</w:t>
      </w:r>
    </w:p>
    <w:p w14:paraId="321F1102" w14:textId="77777777" w:rsidR="00C56F37" w:rsidRPr="00D85E09" w:rsidRDefault="00C56F37" w:rsidP="00C56F37">
      <w:r w:rsidRPr="00D85E09">
        <w:t>Robinson A, Thomson R, Parkin D, Sudlow M, Eccles M. How patients with atrial fibrillation value different health outcomes: a standard gamble study. J. Health Serv. Res. Policy 6(2), 92–98 (2001).</w:t>
      </w:r>
    </w:p>
    <w:p w14:paraId="6CDC404E" w14:textId="77777777" w:rsidR="00C56F37" w:rsidRPr="00D85E09" w:rsidRDefault="00C56F37" w:rsidP="00C56F37">
      <w:r w:rsidRPr="00D85E09">
        <w:t>Sardar, P., Chatterjee, S., Giri, J., et al. (2015). Endovascular therapy for acute ischaemic stroke: a systematic review and meta-analysis of randomized trials. European heart journal, 36(35), 2373-2380.</w:t>
      </w:r>
    </w:p>
    <w:p w14:paraId="589BF495" w14:textId="72FA0EDC" w:rsidR="00C56F37" w:rsidRPr="00D85E09" w:rsidRDefault="00C56F37" w:rsidP="00C56F37">
      <w:r w:rsidRPr="00D85E09">
        <w:t>Sardar et al. Effectiveness of endovascular therapy for acute isch</w:t>
      </w:r>
      <w:r w:rsidR="00E56287" w:rsidRPr="00D85E09">
        <w:t>aemic</w:t>
      </w:r>
      <w:r w:rsidRPr="00D85E09">
        <w:t xml:space="preserve"> stroke-evidence from a meta-analysis of randomized trials. J Am CollCardiol. 66, B309-B310, 2015. [ABSTRACT]</w:t>
      </w:r>
    </w:p>
    <w:p w14:paraId="7202E8E5" w14:textId="18181CBB" w:rsidR="00C56F37" w:rsidRPr="00D85E09" w:rsidRDefault="00C56F37" w:rsidP="00C56F37">
      <w:r w:rsidRPr="00D85E09">
        <w:t xml:space="preserve">Saver J.L., Goyal M., Bonafe A., et al. Stent retriever thrombectomy after intravenous </w:t>
      </w:r>
      <w:r w:rsidR="005B7DCE">
        <w:t>tPA</w:t>
      </w:r>
      <w:r w:rsidRPr="00D85E09">
        <w:t xml:space="preserve"> vs. </w:t>
      </w:r>
      <w:r w:rsidR="005B7DCE">
        <w:t>tPA</w:t>
      </w:r>
      <w:r w:rsidRPr="00D85E09">
        <w:t xml:space="preserve"> alone in stroke. New Engl J Med. 372:2285-2295, 2015.</w:t>
      </w:r>
    </w:p>
    <w:p w14:paraId="74AD8130" w14:textId="77777777" w:rsidR="00C56F37" w:rsidRPr="00D85E09" w:rsidRDefault="00C56F37" w:rsidP="00C56F37">
      <w:r w:rsidRPr="00D85E09">
        <w:t>Saver JL, Jahan R, Levy EI, et al. Solitaire flow restoration device versus the Merci Retriever in patients with acute ischaemic stroke (SWIFT): a randomised, parallel-group, non-inferiority trial. Lancet. 2012;380:1241–1249.</w:t>
      </w:r>
    </w:p>
    <w:p w14:paraId="3F421323" w14:textId="3543F7DD" w:rsidR="00C56F37" w:rsidRPr="00D85E09" w:rsidRDefault="00C56F37" w:rsidP="00C56F37">
      <w:pPr>
        <w:rPr>
          <w:b/>
        </w:rPr>
      </w:pPr>
      <w:r w:rsidRPr="00D85E09">
        <w:rPr>
          <w:b/>
        </w:rPr>
        <w:lastRenderedPageBreak/>
        <w:t xml:space="preserve">Shin AY, Porter PJ, Wallace MC, Naglie G. Quality of life of stroke in younger individuals: Utility assessment in patients with arteriovenous malformations. Stroke 28(12), 2395–2399 (1997). Available here: </w:t>
      </w:r>
      <w:hyperlink r:id="rId66" w:tooltip="Shin AY, Porter PJ, Wallace MC, Naglie G. Quality of life of stroke in younger individuals: Utility assessment in patients with arteriovenous malformations. Stroke 28(12), 2395–2399 (1997)" w:history="1">
        <w:r w:rsidRPr="00D85E09">
          <w:rPr>
            <w:rStyle w:val="Hyperlink"/>
            <w:rFonts w:cs="Arial"/>
            <w:b/>
            <w:shd w:val="clear" w:color="auto" w:fill="auto"/>
          </w:rPr>
          <w:t>http://stroke.ahajournals.org/content/28/12/2395.long</w:t>
        </w:r>
      </w:hyperlink>
    </w:p>
    <w:p w14:paraId="64E4F390" w14:textId="20176830" w:rsidR="00C56F37" w:rsidRPr="00D85E09" w:rsidRDefault="00C56F37" w:rsidP="00C56F37">
      <w:r w:rsidRPr="00D85E09">
        <w:t>Slot KB, Berge E, Sandercock P, Lewis SC, Dorman P, Dennis M, et al. Causes of death by level of dependency at 6 months after isch</w:t>
      </w:r>
      <w:r w:rsidR="00E56287" w:rsidRPr="00D85E09">
        <w:t>aemic</w:t>
      </w:r>
      <w:r w:rsidRPr="00D85E09">
        <w:t xml:space="preserve"> stroke in 3 large cohorts. Stroke; a journal of cerebral circulation 2009;40:1585-9.</w:t>
      </w:r>
    </w:p>
    <w:p w14:paraId="3E60D0F3" w14:textId="77777777" w:rsidR="00C56F37" w:rsidRPr="00D85E09" w:rsidRDefault="00C56F37" w:rsidP="00C56F37">
      <w:r w:rsidRPr="00D85E09">
        <w:t>Slot KB, Berge E. Thrombolytic treatment for stroke: patient preferences for treatment, information, and involvement. J. Stroke Cerebrovasc. Dis. 18(1), 17–22 (2009).</w:t>
      </w:r>
    </w:p>
    <w:p w14:paraId="233CDADD" w14:textId="77777777" w:rsidR="00C56F37" w:rsidRPr="00D85E09" w:rsidRDefault="00C56F37" w:rsidP="00C56F37">
      <w:r w:rsidRPr="00D85E09">
        <w:t>Smith DW., Davies EW., Wissinger E., et al. 2013. A systematic literature review of cardiovascular event utilities. Expert Rev. Pharmacoecon. Outcomes Res. 2013;13(6):767-790.</w:t>
      </w:r>
    </w:p>
    <w:p w14:paraId="70A508EE" w14:textId="7613E669" w:rsidR="00C56F37" w:rsidRPr="00D85E09" w:rsidRDefault="00C56F37" w:rsidP="00C56F37">
      <w:r w:rsidRPr="00D85E09">
        <w:t>Smith WS., Lev MH., English JD., et al 2009. Significance of large vessel intra</w:t>
      </w:r>
      <w:r w:rsidR="00300BB6" w:rsidRPr="00D85E09">
        <w:t>-cranial</w:t>
      </w:r>
      <w:r w:rsidRPr="00D85E09">
        <w:t xml:space="preserve"> occlusion causing acute isch</w:t>
      </w:r>
      <w:r w:rsidR="00E56287" w:rsidRPr="00D85E09">
        <w:t>aemic</w:t>
      </w:r>
      <w:r w:rsidRPr="00D85E09">
        <w:t xml:space="preserve"> stroke and TIA. Stroke December 2009; 40(12): 3834–3840.</w:t>
      </w:r>
    </w:p>
    <w:p w14:paraId="06547898" w14:textId="57D1B144" w:rsidR="00C56F37" w:rsidRPr="00D85E09" w:rsidRDefault="00C56F37" w:rsidP="00C56F37">
      <w:r w:rsidRPr="00D85E09">
        <w:t xml:space="preserve">Sturm JW, Osborne RH, Dewey HM, Donnan GA, Macdonell RA, Thrift AG. Brief comprehensive quality of life assessment after stroke: the assessment of quality of life instrument in the </w:t>
      </w:r>
      <w:r w:rsidR="00AB4BBF" w:rsidRPr="00D85E09">
        <w:t>N</w:t>
      </w:r>
      <w:r w:rsidRPr="00D85E09">
        <w:t xml:space="preserve">orth East </w:t>
      </w:r>
      <w:r w:rsidR="00AB4BBF" w:rsidRPr="00D85E09">
        <w:t>M</w:t>
      </w:r>
      <w:r w:rsidRPr="00D85E09">
        <w:t xml:space="preserve">elbourne </w:t>
      </w:r>
      <w:r w:rsidR="00AB4BBF" w:rsidRPr="00D85E09">
        <w:t>S</w:t>
      </w:r>
      <w:r w:rsidRPr="00D85E09">
        <w:t xml:space="preserve">troke </w:t>
      </w:r>
      <w:r w:rsidR="00AB4BBF" w:rsidRPr="00D85E09">
        <w:t>I</w:t>
      </w:r>
      <w:r w:rsidRPr="00D85E09">
        <w:t xml:space="preserve">ncidence </w:t>
      </w:r>
      <w:r w:rsidR="00AB4BBF" w:rsidRPr="00D85E09">
        <w:t>S</w:t>
      </w:r>
      <w:r w:rsidRPr="00D85E09">
        <w:t>tudy (NEMESIS). Stroke. 2002 Dec;33(12):2888-94.</w:t>
      </w:r>
    </w:p>
    <w:p w14:paraId="71A30282" w14:textId="2E706340" w:rsidR="00C56F37" w:rsidRPr="00D85E09" w:rsidRDefault="00C56F37" w:rsidP="00C56F37">
      <w:r w:rsidRPr="00D85E09">
        <w:t>Tan Tanny SP, Busija L, Liew D, Teo S, Davis SM, Yan B. Cost-effectiveness of thrombolysis within 4.5 hours of acute isch</w:t>
      </w:r>
      <w:r w:rsidR="00E56287" w:rsidRPr="00D85E09">
        <w:t>aemic</w:t>
      </w:r>
      <w:r w:rsidRPr="00D85E09">
        <w:t xml:space="preserve"> stroke: experience from Australian stroke center. Stroke. 2013 Aug;44(8):2269-74.</w:t>
      </w:r>
    </w:p>
    <w:p w14:paraId="15A42446" w14:textId="351CFC1F" w:rsidR="00C56F37" w:rsidRPr="00D85E09" w:rsidRDefault="00C56F37" w:rsidP="00C56F37">
      <w:r w:rsidRPr="00D85E09">
        <w:t>Tengs TO, Lin TH. A meta-analysis of quality</w:t>
      </w:r>
      <w:r w:rsidR="00300BB6" w:rsidRPr="00D85E09">
        <w:t xml:space="preserve"> </w:t>
      </w:r>
      <w:r w:rsidRPr="00D85E09">
        <w:t>of</w:t>
      </w:r>
      <w:r w:rsidR="00300BB6" w:rsidRPr="00D85E09">
        <w:t xml:space="preserve"> </w:t>
      </w:r>
      <w:r w:rsidRPr="00D85E09">
        <w:t>life estimates for stroke. Pharmacoeconomics 21(3), 191–200 (2003).</w:t>
      </w:r>
    </w:p>
    <w:p w14:paraId="55104C66" w14:textId="77777777" w:rsidR="00C56F37" w:rsidRPr="00D85E09" w:rsidRDefault="00C56F37" w:rsidP="00C56F37">
      <w:r w:rsidRPr="00D85E09">
        <w:t>Tengs TO, Yu M, Luistro E. Health-related quality of life after stroke a comprehensive review. Stroke 32(4), 964–972 (2001).</w:t>
      </w:r>
    </w:p>
    <w:p w14:paraId="6D4FBD05" w14:textId="77777777" w:rsidR="00C56F37" w:rsidRPr="00D85E09" w:rsidRDefault="00C56F37" w:rsidP="00C56F37">
      <w:r w:rsidRPr="00D85E09">
        <w:t>Truelsen T., Begg S. &amp; Mathers C 2000. The global burden of cerebrovascular disease. Global Burden Dis 21(6):6.</w:t>
      </w:r>
    </w:p>
    <w:p w14:paraId="27134C19" w14:textId="77777777" w:rsidR="00C56F37" w:rsidRPr="00D85E09" w:rsidRDefault="00C56F37" w:rsidP="00C56F37">
      <w:r w:rsidRPr="00D85E09">
        <w:t>Tsivgoulis G., Safouris A., Katsanos A., et al. 2016, Mechanical thrombectomy for emergent large vessel occlusion: a critical appraisal of recent randomized controlled clinical trials. Brain and Behavior February 2016;6(2):e00418.</w:t>
      </w:r>
    </w:p>
    <w:p w14:paraId="2A5B287C" w14:textId="77777777" w:rsidR="00C56F37" w:rsidRPr="00D85E09" w:rsidRDefault="00C56F37" w:rsidP="00C56F37">
      <w:r w:rsidRPr="00D85E09">
        <w:t xml:space="preserve">Urra X., Chamorro A., Cobo E, et al. Randomized trial of revascularization with Solitaire device versus best medical therapy in the treatment of acute stroke due to anterior circulation </w:t>
      </w:r>
      <w:r w:rsidRPr="00D85E09">
        <w:lastRenderedPageBreak/>
        <w:t>large vessel occlusion presenting within 8 hours of symptom onset. International Stroke Conference 2015. 2015. [ABSTRACT]</w:t>
      </w:r>
    </w:p>
    <w:p w14:paraId="062CE8E1" w14:textId="77777777" w:rsidR="00C56F37" w:rsidRPr="00D85E09" w:rsidRDefault="00C56F37" w:rsidP="00C56F37">
      <w:r w:rsidRPr="00D85E09">
        <w:t>van Exel NJ, Scholte op Reimer WJ, Koopmanschap MA. Assessment of post-stroke quality of life in cost-effectiveness studies: the usefulness of the Barthel Index and the EuroQoL-5D. Qual. Life Res. 13(2), 427–433 (2004).</w:t>
      </w:r>
    </w:p>
    <w:p w14:paraId="03EEAC53" w14:textId="77777777" w:rsidR="00C56F37" w:rsidRPr="00D85E09" w:rsidRDefault="00C56F37" w:rsidP="00C56F37">
      <w:r w:rsidRPr="00D85E09">
        <w:t>Villwock MR, Singla A, Padalino DJ, Deshaies EM. Acute ischaemic stroke outcomes following mechanical thrombectomy in the elderly versus their younger counterpart: A retrospective cohort study. BMJ open. 2014;4:e004480</w:t>
      </w:r>
    </w:p>
    <w:p w14:paraId="7655A28C" w14:textId="2F430248" w:rsidR="00C56F37" w:rsidRPr="00D85E09" w:rsidRDefault="00C56F37" w:rsidP="00C56F37">
      <w:r w:rsidRPr="00D85E09">
        <w:t>Vo K., Yoo A., Gupta A., et al. 2015. Multimodal diagnostic imaging for hyperacute stroke. AJNR Am J Neuroradiol Dec 2015;36(12):2206-2213.</w:t>
      </w:r>
    </w:p>
    <w:p w14:paraId="4E49D01E" w14:textId="77777777" w:rsidR="00C56F37" w:rsidRPr="00D85E09" w:rsidRDefault="00C56F37" w:rsidP="00C56F37">
      <w:r w:rsidRPr="00D85E09">
        <w:t>Warren JA, Jordan WD, Jr., Heudebert GR, Whitley D, Wirthlin DJ. Determining patient preference for treatment of extracranial carotid artery stenosis: carotid angioplasty and stenting versus carotid endarterectomy. Ann. Vasc. Surg. 17(1), 15–21 (2003).</w:t>
      </w:r>
    </w:p>
    <w:p w14:paraId="00C1E119" w14:textId="2C4AE81C" w:rsidR="00C56F37" w:rsidRPr="00D85E09" w:rsidRDefault="00C56F37" w:rsidP="00C56F37">
      <w:r w:rsidRPr="00D85E09">
        <w:t>White, P. M., Bhalla, A., Dinsmore, J., et al. 2015. Standards for providing safe acute ischaemic stroke thrombectomy services.</w:t>
      </w:r>
    </w:p>
    <w:p w14:paraId="28E53986" w14:textId="77777777" w:rsidR="00C56F37" w:rsidRPr="00D85E09" w:rsidRDefault="00C56F37" w:rsidP="00C56F37">
      <w:r w:rsidRPr="00D85E09">
        <w:t>Wolfe CD, Taub NA, Woodrow EJ, et al. 1991. Assessment of scales of disability and handicap for stroke patients. Stroke October 1991;22(10):1242-4.</w:t>
      </w:r>
    </w:p>
    <w:p w14:paraId="7CDCA16B" w14:textId="02662516" w:rsidR="00C56F37" w:rsidRPr="00D85E09" w:rsidRDefault="00C56F37" w:rsidP="00C56F37">
      <w:r w:rsidRPr="00D85E09">
        <w:t>Zerna, C., Assis, Z., d'Esterre, C. D., et al (2015). Imaging, Intervention, and Workflow in Acute Isch</w:t>
      </w:r>
      <w:r w:rsidR="00E56287" w:rsidRPr="00D85E09">
        <w:t>aemic</w:t>
      </w:r>
      <w:r w:rsidRPr="00D85E09">
        <w:t xml:space="preserve"> Stroke: The Calgary Approach. American Journal of Neuroradiology.</w:t>
      </w:r>
    </w:p>
    <w:bookmarkEnd w:id="667"/>
    <w:p w14:paraId="6F60DD48" w14:textId="77777777" w:rsidR="00463446" w:rsidRPr="00D85E09" w:rsidRDefault="00463446" w:rsidP="00C56F37"/>
    <w:sectPr w:rsidR="00463446" w:rsidRPr="00D85E09" w:rsidSect="00A150FA">
      <w:headerReference w:type="default" r:id="rId6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AE4A1" w14:textId="77777777" w:rsidR="00B76E8C" w:rsidRDefault="00B76E8C" w:rsidP="00D46708">
      <w:pPr>
        <w:pStyle w:val="Tablebodytext"/>
      </w:pPr>
      <w:r>
        <w:separator/>
      </w:r>
    </w:p>
  </w:endnote>
  <w:endnote w:type="continuationSeparator" w:id="0">
    <w:p w14:paraId="64DB0854" w14:textId="77777777" w:rsidR="00B76E8C" w:rsidRDefault="00B76E8C" w:rsidP="00D46708">
      <w:pPr>
        <w:pStyle w:val="Tablebodytext"/>
      </w:pPr>
      <w:r>
        <w:continuationSeparator/>
      </w:r>
    </w:p>
  </w:endnote>
  <w:endnote w:type="continuationNotice" w:id="1">
    <w:p w14:paraId="1BA4D583" w14:textId="77777777" w:rsidR="00B76E8C" w:rsidRDefault="00B76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OYKZI O+ Helvetica Neue LT">
    <w:altName w:val="Helvetica Neue LT"/>
    <w:panose1 w:val="00000000000000000000"/>
    <w:charset w:val="00"/>
    <w:family w:val="swiss"/>
    <w:notTrueType/>
    <w:pitch w:val="default"/>
    <w:sig w:usb0="00000003" w:usb1="00000000" w:usb2="00000000" w:usb3="00000000" w:csb0="00000001" w:csb1="00000000"/>
  </w:font>
  <w:font w:name="OTNEJMScalaSansLF">
    <w:altName w:val="Arial Unicode MS"/>
    <w:panose1 w:val="00000000000000000000"/>
    <w:charset w:val="86"/>
    <w:family w:val="swiss"/>
    <w:notTrueType/>
    <w:pitch w:val="default"/>
    <w:sig w:usb0="00000001" w:usb1="080F0000" w:usb2="00000010" w:usb3="00000000" w:csb0="00060000" w:csb1="00000000"/>
  </w:font>
  <w:font w:name="Arial+FPEF">
    <w:panose1 w:val="00000000000000000000"/>
    <w:charset w:val="00"/>
    <w:family w:val="auto"/>
    <w:notTrueType/>
    <w:pitch w:val="default"/>
    <w:sig w:usb0="00000003" w:usb1="00000000" w:usb2="00000000" w:usb3="00000000" w:csb0="00000001" w:csb1="00000000"/>
  </w:font>
  <w:font w:name="OTNEJMQuadraat">
    <w:altName w:val="MS Mincho"/>
    <w:panose1 w:val="00000000000000000000"/>
    <w:charset w:val="86"/>
    <w:family w:val="roman"/>
    <w:notTrueType/>
    <w:pitch w:val="default"/>
    <w:sig w:usb0="00000001" w:usb1="080F0000" w:usb2="00000010" w:usb3="00000000" w:csb0="00060000" w:csb1="00000000"/>
  </w:font>
  <w:font w:name="Cambria Math">
    <w:panose1 w:val="02040503050406030204"/>
    <w:charset w:val="00"/>
    <w:family w:val="roman"/>
    <w:pitch w:val="variable"/>
    <w:sig w:usb0="E00002FF" w:usb1="420024FF" w:usb2="00000000" w:usb3="00000000" w:csb0="0000019F" w:csb1="00000000"/>
  </w:font>
  <w:font w:name="AdvOTb7819099">
    <w:panose1 w:val="00000000000000000000"/>
    <w:charset w:val="00"/>
    <w:family w:val="swiss"/>
    <w:notTrueType/>
    <w:pitch w:val="default"/>
    <w:sig w:usb0="00000003" w:usb1="00000000" w:usb2="00000000" w:usb3="00000000" w:csb0="00000001" w:csb1="00000000"/>
  </w:font>
  <w:font w:name="BSSymbol-Medium">
    <w:altName w:val="Arial Unicode MS"/>
    <w:panose1 w:val="00000000000000000000"/>
    <w:charset w:val="86"/>
    <w:family w:val="auto"/>
    <w:notTrueType/>
    <w:pitch w:val="default"/>
    <w:sig w:usb0="00000000" w:usb1="080E0000" w:usb2="00000010" w:usb3="00000000" w:csb0="00040000" w:csb1="00000000"/>
  </w:font>
  <w:font w:name="Calibri-Bold">
    <w:panose1 w:val="00000000000000000000"/>
    <w:charset w:val="00"/>
    <w:family w:val="swiss"/>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2C4C" w14:textId="77777777" w:rsidR="006635C7" w:rsidRDefault="006635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120D3" w14:textId="77777777" w:rsidR="006635C7" w:rsidRDefault="006635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48C26" w14:textId="77777777" w:rsidR="006635C7" w:rsidRDefault="006635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F11A9" w14:textId="314EF6AC" w:rsidR="00B76E8C" w:rsidRPr="00033497" w:rsidRDefault="00B76E8C">
    <w:pPr>
      <w:pStyle w:val="Footer"/>
      <w:rPr>
        <w:sz w:val="18"/>
        <w:szCs w:val="18"/>
      </w:rPr>
    </w:pPr>
    <w:r w:rsidRPr="0043316B">
      <w:rPr>
        <w:smallCaps/>
        <w:sz w:val="18"/>
        <w:szCs w:val="18"/>
      </w:rPr>
      <w:t>Commerical in Confidence</w:t>
    </w:r>
    <w:r w:rsidRPr="0043316B">
      <w:rPr>
        <w:smallCaps/>
        <w:sz w:val="18"/>
        <w:szCs w:val="18"/>
      </w:rPr>
      <w:ptab w:relativeTo="margin" w:alignment="center" w:leader="none"/>
    </w:r>
    <w:r>
      <w:rPr>
        <w:smallCaps/>
        <w:sz w:val="18"/>
        <w:szCs w:val="18"/>
      </w:rPr>
      <w:t>June</w:t>
    </w:r>
    <w:r w:rsidRPr="0043316B">
      <w:rPr>
        <w:smallCaps/>
        <w:sz w:val="18"/>
        <w:szCs w:val="18"/>
      </w:rPr>
      <w:t xml:space="preserve"> 2016</w:t>
    </w:r>
    <w:r w:rsidRPr="0043316B">
      <w:rPr>
        <w:smallCaps/>
        <w:sz w:val="18"/>
        <w:szCs w:val="18"/>
      </w:rPr>
      <w:ptab w:relativeTo="margin" w:alignment="right" w:leader="none"/>
    </w:r>
    <w:r w:rsidRPr="0043316B">
      <w:rPr>
        <w:smallCaps/>
        <w:sz w:val="18"/>
        <w:szCs w:val="18"/>
      </w:rPr>
      <w:fldChar w:fldCharType="begin"/>
    </w:r>
    <w:r w:rsidRPr="0043316B">
      <w:rPr>
        <w:smallCaps/>
        <w:sz w:val="18"/>
        <w:szCs w:val="18"/>
      </w:rPr>
      <w:instrText xml:space="preserve"> PAGE   \* MERGEFORMAT </w:instrText>
    </w:r>
    <w:r w:rsidRPr="0043316B">
      <w:rPr>
        <w:smallCaps/>
        <w:sz w:val="18"/>
        <w:szCs w:val="18"/>
      </w:rPr>
      <w:fldChar w:fldCharType="separate"/>
    </w:r>
    <w:r w:rsidR="005B0D14">
      <w:rPr>
        <w:smallCaps/>
        <w:noProof/>
        <w:sz w:val="18"/>
        <w:szCs w:val="18"/>
      </w:rPr>
      <w:t>xxiv</w:t>
    </w:r>
    <w:r w:rsidRPr="0043316B">
      <w:rPr>
        <w:smallCaps/>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D5ED4" w14:textId="77777777" w:rsidR="00B76E8C" w:rsidRDefault="00B76E8C" w:rsidP="00033497">
    <w:pPr>
      <w:pStyle w:val="Footer"/>
      <w:spacing w:after="0"/>
    </w:pPr>
  </w:p>
  <w:p w14:paraId="67D6338A" w14:textId="20FF5D34" w:rsidR="00B76E8C" w:rsidRPr="00931C70" w:rsidRDefault="00B76E8C">
    <w:pPr>
      <w:pStyle w:val="Footer"/>
      <w:rPr>
        <w:smallCaps/>
        <w:sz w:val="18"/>
        <w:szCs w:val="18"/>
      </w:rPr>
    </w:pPr>
    <w:r w:rsidRPr="00931C70">
      <w:rPr>
        <w:smallCaps/>
        <w:sz w:val="18"/>
        <w:szCs w:val="18"/>
      </w:rPr>
      <w:t>Commerical in Confidence</w:t>
    </w:r>
    <w:r w:rsidRPr="00931C70">
      <w:rPr>
        <w:smallCaps/>
        <w:sz w:val="18"/>
        <w:szCs w:val="18"/>
      </w:rPr>
      <w:ptab w:relativeTo="margin" w:alignment="center" w:leader="none"/>
    </w:r>
    <w:r w:rsidRPr="00931C70">
      <w:rPr>
        <w:smallCaps/>
        <w:sz w:val="18"/>
        <w:szCs w:val="18"/>
      </w:rPr>
      <w:t>June 2016</w:t>
    </w:r>
    <w:r w:rsidRPr="00931C70">
      <w:rPr>
        <w:smallCaps/>
        <w:sz w:val="18"/>
        <w:szCs w:val="18"/>
      </w:rPr>
      <w:ptab w:relativeTo="margin" w:alignment="right" w:leader="none"/>
    </w:r>
    <w:r w:rsidRPr="00931C70">
      <w:rPr>
        <w:smallCaps/>
        <w:sz w:val="18"/>
        <w:szCs w:val="18"/>
      </w:rPr>
      <w:fldChar w:fldCharType="begin"/>
    </w:r>
    <w:r w:rsidRPr="00931C70">
      <w:rPr>
        <w:smallCaps/>
        <w:sz w:val="18"/>
        <w:szCs w:val="18"/>
      </w:rPr>
      <w:instrText xml:space="preserve"> PAGE   \* MERGEFORMAT </w:instrText>
    </w:r>
    <w:r w:rsidRPr="00931C70">
      <w:rPr>
        <w:smallCaps/>
        <w:sz w:val="18"/>
        <w:szCs w:val="18"/>
      </w:rPr>
      <w:fldChar w:fldCharType="separate"/>
    </w:r>
    <w:r w:rsidR="006635C7">
      <w:rPr>
        <w:smallCaps/>
        <w:noProof/>
        <w:sz w:val="18"/>
        <w:szCs w:val="18"/>
      </w:rPr>
      <w:t>222</w:t>
    </w:r>
    <w:r w:rsidRPr="00931C70">
      <w:rPr>
        <w:smallCaps/>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70565" w14:textId="77777777" w:rsidR="00B76E8C" w:rsidRDefault="00B76E8C" w:rsidP="00D46708">
      <w:pPr>
        <w:pStyle w:val="Tablebodytext"/>
      </w:pPr>
      <w:r>
        <w:separator/>
      </w:r>
    </w:p>
  </w:footnote>
  <w:footnote w:type="continuationSeparator" w:id="0">
    <w:p w14:paraId="39D04BB1" w14:textId="77777777" w:rsidR="00B76E8C" w:rsidRDefault="00B76E8C" w:rsidP="00D46708">
      <w:pPr>
        <w:pStyle w:val="Tablebodytext"/>
      </w:pPr>
      <w:r>
        <w:continuationSeparator/>
      </w:r>
    </w:p>
  </w:footnote>
  <w:footnote w:type="continuationNotice" w:id="1">
    <w:p w14:paraId="6F9E6FDD" w14:textId="77777777" w:rsidR="00B76E8C" w:rsidRDefault="00B76E8C">
      <w:pPr>
        <w:spacing w:after="0" w:line="240" w:lineRule="auto"/>
      </w:pPr>
    </w:p>
  </w:footnote>
  <w:footnote w:id="2">
    <w:p w14:paraId="74A8C685" w14:textId="77777777" w:rsidR="00B76E8C" w:rsidRDefault="00B76E8C" w:rsidP="000C04B5">
      <w:pPr>
        <w:pStyle w:val="Footnote"/>
      </w:pPr>
      <w:r>
        <w:rPr>
          <w:rStyle w:val="FootnoteReference"/>
        </w:rPr>
        <w:footnoteRef/>
      </w:r>
      <w:r>
        <w:t xml:space="preserve"> It should be noted that in the context of stroke, the term “endovascular therapy” is used to describe procedures whereby treatment is administered directly to the site of an occluded vessel. In most cases, this refers to mechanical thrombectomy, but it may also include </w:t>
      </w:r>
      <w:r w:rsidRPr="00EA255A">
        <w:t xml:space="preserve">intra-arterial thrombolytic </w:t>
      </w:r>
      <w:r>
        <w:t xml:space="preserve">(IV-tPA) </w:t>
      </w:r>
      <w:r w:rsidRPr="00EA255A">
        <w:t>administration</w:t>
      </w:r>
      <w:r>
        <w:t>.</w:t>
      </w:r>
    </w:p>
  </w:footnote>
  <w:footnote w:id="3">
    <w:p w14:paraId="2A0DAE8C" w14:textId="5CC6647B" w:rsidR="00B76E8C" w:rsidRDefault="00B76E8C" w:rsidP="00A41E60">
      <w:pPr>
        <w:pStyle w:val="Tablefootnote"/>
      </w:pPr>
      <w:r>
        <w:rPr>
          <w:rStyle w:val="FootnoteReference"/>
        </w:rPr>
        <w:footnoteRef/>
      </w:r>
      <w:r>
        <w:t xml:space="preserve"> Based on the Barthel Index. Cioncoloni et al (2012) examined the relationship between the BI and the mRS at multiple time points after stroke (n=92); demonstrating that they corroborate well with each other when administered after 3 months post stroke. While approximation, mapping the reported utility estimates by BI to mRS for the purpose of the current Section D model should be considered as reasonable.</w:t>
      </w:r>
    </w:p>
  </w:footnote>
  <w:footnote w:id="4">
    <w:p w14:paraId="69EDECBA" w14:textId="3F597A29" w:rsidR="00B76E8C" w:rsidRDefault="00B76E8C" w:rsidP="00A41E60">
      <w:pPr>
        <w:pStyle w:val="Tablefootnote"/>
      </w:pPr>
      <w:r>
        <w:rPr>
          <w:rStyle w:val="FootnoteReference"/>
        </w:rPr>
        <w:footnoteRef/>
      </w:r>
      <w:r>
        <w:t xml:space="preserve"> This sensitivity analysis will show that the ICER increases from $12,880 to</w:t>
      </w:r>
      <w:r w:rsidRPr="00BD5269">
        <w:t>$13,183</w:t>
      </w:r>
      <w:r>
        <w:t>; demonstrating no meaningful impact. As an extreme example, when the procedural cost is increased by $5000, the ICER becomes $18,918; reaffirming that the AE management cost is unlikely to have minimal impacts.</w:t>
      </w:r>
    </w:p>
  </w:footnote>
  <w:footnote w:id="5">
    <w:p w14:paraId="679F7A6D" w14:textId="4B09D9A3" w:rsidR="00B76E8C" w:rsidRDefault="00B76E8C" w:rsidP="009F7332">
      <w:pPr>
        <w:pStyle w:val="Tablefooter"/>
        <w:rPr>
          <w:lang w:val="en-US"/>
        </w:rPr>
      </w:pPr>
      <w:r>
        <w:rPr>
          <w:rStyle w:val="FootnoteReference"/>
        </w:rPr>
        <w:footnoteRef/>
      </w:r>
      <w:r>
        <w:t xml:space="preserve"> </w:t>
      </w:r>
      <w:r>
        <w:rPr>
          <w:lang w:val="en-US"/>
        </w:rPr>
        <w:t>The current Section D model fundamentally has the same model structure as the Tan Tanny model.</w:t>
      </w:r>
    </w:p>
    <w:p w14:paraId="6C28A626" w14:textId="77777777" w:rsidR="00B76E8C" w:rsidRDefault="00B76E8C" w:rsidP="00A41E60">
      <w:pPr>
        <w:pStyle w:val="FootnoteText"/>
        <w:rPr>
          <w:lang w:val="en-US"/>
        </w:rPr>
      </w:pPr>
    </w:p>
  </w:footnote>
  <w:footnote w:id="6">
    <w:p w14:paraId="7D5AF272" w14:textId="2BCA880E" w:rsidR="00B76E8C" w:rsidRDefault="00B76E8C" w:rsidP="009F7332">
      <w:pPr>
        <w:pStyle w:val="Tablefootnote"/>
      </w:pPr>
      <w:r>
        <w:rPr>
          <w:rStyle w:val="FootnoteReference"/>
        </w:rPr>
        <w:footnoteRef/>
      </w:r>
      <w:r>
        <w:t xml:space="preserve"> As an extreme example, when the procedural cost is increased by $5000 as a sensitivity analysis, the ICER becomes $18,918.</w:t>
      </w:r>
    </w:p>
    <w:p w14:paraId="7E1A88CF" w14:textId="11DE93B8" w:rsidR="00B76E8C" w:rsidRDefault="00B76E8C">
      <w:pPr>
        <w:pStyle w:val="FootnoteText"/>
      </w:pPr>
    </w:p>
  </w:footnote>
  <w:footnote w:id="7">
    <w:p w14:paraId="6E7AF7FD" w14:textId="77777777" w:rsidR="00B76E8C" w:rsidRDefault="00B76E8C" w:rsidP="009F7332">
      <w:pPr>
        <w:pStyle w:val="Tablefooter"/>
        <w:rPr>
          <w:lang w:val="en-US"/>
        </w:rPr>
      </w:pPr>
      <w:r>
        <w:rPr>
          <w:rStyle w:val="FootnoteReference"/>
        </w:rPr>
        <w:footnoteRef/>
      </w:r>
      <w:r>
        <w:t xml:space="preserve"> Conjoint Committee Guidelines for Recognition of Training in Interventional Neuroradiology. Available: www.ccinr.org.au/guidelines (Accessed 7th April, 2016)</w:t>
      </w:r>
    </w:p>
  </w:footnote>
  <w:footnote w:id="8">
    <w:p w14:paraId="7E888C3C" w14:textId="77777777" w:rsidR="00B76E8C" w:rsidRDefault="00B76E8C" w:rsidP="009F7332">
      <w:pPr>
        <w:pStyle w:val="Tablefooter"/>
        <w:rPr>
          <w:lang w:val="en-US"/>
        </w:rPr>
      </w:pPr>
      <w:r>
        <w:rPr>
          <w:rStyle w:val="FootnoteReference"/>
        </w:rPr>
        <w:footnoteRef/>
      </w:r>
      <w:r>
        <w:t xml:space="preserve"> Training Guidelines for Endovascular Ischemic Stroke Intervention: An International Multi-Society Consensus Document. EJMINT Editorial, 2016: 1607000288 (18th February 2016).</w:t>
      </w:r>
    </w:p>
  </w:footnote>
  <w:footnote w:id="9">
    <w:p w14:paraId="5778C638" w14:textId="77777777" w:rsidR="00B76E8C" w:rsidRDefault="00B76E8C" w:rsidP="00A41E60">
      <w:pPr>
        <w:pStyle w:val="FootnoteText"/>
        <w:rPr>
          <w:lang w:val="en-US"/>
        </w:rPr>
      </w:pPr>
      <w:r>
        <w:rPr>
          <w:rStyle w:val="FootnoteReference"/>
        </w:rPr>
        <w:footnoteRef/>
      </w:r>
      <w:r>
        <w:t xml:space="preserve"> http://www.pbs.gov.au/info/industry/useful-resources/manual</w:t>
      </w:r>
    </w:p>
  </w:footnote>
  <w:footnote w:id="10">
    <w:p w14:paraId="4F5925E3" w14:textId="18611163" w:rsidR="00B76E8C" w:rsidRDefault="00B76E8C" w:rsidP="00A41E60">
      <w:pPr>
        <w:pStyle w:val="Tablefooter"/>
      </w:pPr>
      <w:r w:rsidRPr="004F68A7">
        <w:rPr>
          <w:rStyle w:val="FootnoteReference"/>
        </w:rPr>
        <w:footnoteRef/>
      </w:r>
      <w:r w:rsidRPr="004F68A7">
        <w:t xml:space="preserve"> See Section E for further discussion. The Applicant’s experience in Germany suggests that 56% of patients received mechanical thrombectomy alone without IV tPA.</w:t>
      </w:r>
    </w:p>
  </w:footnote>
  <w:footnote w:id="11">
    <w:p w14:paraId="2A0F639C" w14:textId="4BE9C3D8" w:rsidR="00B76E8C" w:rsidRDefault="00B76E8C" w:rsidP="004F68A7">
      <w:pPr>
        <w:pStyle w:val="TableNotes1"/>
      </w:pPr>
      <w:r>
        <w:rPr>
          <w:rStyle w:val="FootnoteReference"/>
        </w:rPr>
        <w:footnoteRef/>
      </w:r>
      <w:r>
        <w:t xml:space="preserve"> When a shorter-time horizon of 5, 10, or 20 years is used, the ICER increases to $43,542, $22,773, or $14,012, respectively (see Section D.5).</w:t>
      </w:r>
    </w:p>
  </w:footnote>
  <w:footnote w:id="12">
    <w:p w14:paraId="45E3DDF5" w14:textId="5FAB7BB3" w:rsidR="00B76E8C" w:rsidRDefault="00B76E8C" w:rsidP="003C2219">
      <w:pPr>
        <w:pStyle w:val="Tablefootnote"/>
      </w:pPr>
      <w:r w:rsidRPr="00C13682">
        <w:rPr>
          <w:rStyle w:val="FootnoteReference"/>
        </w:rPr>
        <w:footnoteRef/>
      </w:r>
      <w:r w:rsidRPr="00C13682">
        <w:t xml:space="preserve"> Dávalos A, Cobo E, Molina C, et al. Randomized trial of revascularization with Solitaire FR device versus best medical therapy in the treatment of acute stroke due to anterior circulation large vessel occlusion presenting within eight hours of symptom onset: REVASCAT trial, final results at 12 months. Presented at: International Stroke Conference; February 18, 2016; Los Angeles, CA.</w:t>
      </w:r>
    </w:p>
  </w:footnote>
  <w:footnote w:id="13">
    <w:p w14:paraId="2B6D31F6" w14:textId="0FE95138" w:rsidR="00B76E8C" w:rsidRDefault="00B76E8C" w:rsidP="00166C2D">
      <w:pPr>
        <w:pStyle w:val="Tablefooter"/>
      </w:pPr>
      <w:r>
        <w:rPr>
          <w:rStyle w:val="FootnoteReference"/>
        </w:rPr>
        <w:footnoteRef/>
      </w:r>
      <w:r>
        <w:t xml:space="preserve"> The ICER changes from $12,880 in the base case model to $8801 in this alternative model.</w:t>
      </w:r>
    </w:p>
  </w:footnote>
  <w:footnote w:id="14">
    <w:p w14:paraId="3FBFBCDE" w14:textId="653F74FE" w:rsidR="00B76E8C" w:rsidRDefault="00B76E8C" w:rsidP="00A41E60">
      <w:pPr>
        <w:pStyle w:val="Tablefootnote"/>
      </w:pPr>
      <w:r>
        <w:rPr>
          <w:rStyle w:val="FootnoteReference"/>
        </w:rPr>
        <w:footnoteRef/>
      </w:r>
      <w:r>
        <w:t xml:space="preserve"> Sensitivity analysis will demonstrate that when the Day 90 data from SWIFT PRIME are used to inform the Day 7 mRS distribution, the ICER changes from $10,972 to $10,832; indicating that this assumption has a very limited overall impact on the ICER.</w:t>
      </w:r>
    </w:p>
  </w:footnote>
  <w:footnote w:id="15">
    <w:p w14:paraId="39BD5ECD" w14:textId="5A3F589A" w:rsidR="00B76E8C" w:rsidRDefault="00B76E8C" w:rsidP="00A41E60">
      <w:pPr>
        <w:pStyle w:val="Tablefootnote"/>
      </w:pPr>
      <w:r>
        <w:rPr>
          <w:rStyle w:val="FootnoteReference"/>
        </w:rPr>
        <w:footnoteRef/>
      </w:r>
      <w:r>
        <w:t xml:space="preserve"> This analysis will demonstrate that the cost-effectiveness of mechanical thrombectomy is extremely favourable, producing cost savings and additional health outcomes (i.e., dominant).</w:t>
      </w:r>
    </w:p>
  </w:footnote>
  <w:footnote w:id="16">
    <w:p w14:paraId="30EAA342" w14:textId="4033D04A" w:rsidR="00B76E8C" w:rsidRDefault="00B76E8C" w:rsidP="00A41E60">
      <w:pPr>
        <w:pStyle w:val="Tablefooter"/>
      </w:pPr>
      <w:r>
        <w:rPr>
          <w:rStyle w:val="FootnoteReference"/>
        </w:rPr>
        <w:footnoteRef/>
      </w:r>
      <w:r>
        <w:t xml:space="preserve"> When a shorter-time horizon of 5, 10, or 20 years is used, the ICER increases to $43,542, $22,773, or $14,012, respectively (see Section D.5).</w:t>
      </w:r>
    </w:p>
  </w:footnote>
  <w:footnote w:id="17">
    <w:p w14:paraId="3485EB13" w14:textId="16DF1297" w:rsidR="00B76E8C" w:rsidRDefault="00B76E8C" w:rsidP="00A41E60">
      <w:pPr>
        <w:pStyle w:val="Tablefooter"/>
      </w:pPr>
      <w:r>
        <w:rPr>
          <w:rStyle w:val="FootnoteReference"/>
        </w:rPr>
        <w:footnoteRef/>
      </w:r>
      <w:r>
        <w:t xml:space="preserve"> A sensitivity analysis based on Rivero-Arias et al 2010 returns an estimated ICER of $8500 (see Section D.5.3).</w:t>
      </w:r>
    </w:p>
  </w:footnote>
  <w:footnote w:id="18">
    <w:p w14:paraId="1098186A" w14:textId="628D2743" w:rsidR="00B76E8C" w:rsidRDefault="00B76E8C" w:rsidP="00A41E60">
      <w:pPr>
        <w:pStyle w:val="Tablefooter"/>
      </w:pPr>
      <w:r>
        <w:rPr>
          <w:rStyle w:val="FootnoteReference"/>
        </w:rPr>
        <w:footnoteRef/>
      </w:r>
      <w:r>
        <w:t xml:space="preserve"> Other cause deaths can still occur, represented by a mRS 6 transition.</w:t>
      </w:r>
    </w:p>
  </w:footnote>
  <w:footnote w:id="19">
    <w:p w14:paraId="2EBA5F26" w14:textId="35D3624B" w:rsidR="00B76E8C" w:rsidRDefault="00B76E8C" w:rsidP="006C3C67">
      <w:pPr>
        <w:pStyle w:val="Tablefootnote"/>
      </w:pPr>
      <w:r>
        <w:rPr>
          <w:rStyle w:val="FootnoteReference"/>
        </w:rPr>
        <w:footnoteRef/>
      </w:r>
      <w:r>
        <w:t xml:space="preserve"> There are 119 public and eight private centres in total. The Audit achieved a 89% participation rate or 106 public and six private participated.</w:t>
      </w:r>
    </w:p>
  </w:footnote>
  <w:footnote w:id="20">
    <w:p w14:paraId="2D0945B1" w14:textId="77777777" w:rsidR="00B76E8C" w:rsidRDefault="00B76E8C" w:rsidP="000C04B5">
      <w:pPr>
        <w:pStyle w:val="FootnoteText"/>
      </w:pPr>
      <w:r>
        <w:rPr>
          <w:rStyle w:val="FootnoteReference"/>
        </w:rPr>
        <w:footnoteRef/>
      </w:r>
      <w:r>
        <w:t xml:space="preserve"> </w:t>
      </w:r>
      <w:r w:rsidRPr="00300376">
        <w:t>Medtronic Submission to the MBS Review Consultation – November 2015</w:t>
      </w:r>
    </w:p>
  </w:footnote>
  <w:footnote w:id="21">
    <w:p w14:paraId="57C36FDD" w14:textId="77777777" w:rsidR="00B76E8C" w:rsidRDefault="00B76E8C" w:rsidP="000C04B5">
      <w:pPr>
        <w:pStyle w:val="FootnoteText"/>
      </w:pPr>
      <w:r>
        <w:rPr>
          <w:rStyle w:val="FootnoteReference"/>
        </w:rPr>
        <w:footnoteRef/>
      </w:r>
      <w:r>
        <w:t xml:space="preserve"> </w:t>
      </w:r>
      <w:r w:rsidRPr="002A5C1D">
        <w:t>Application 1428: PASC Meeting April 2016, Application Outcome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4355A" w14:textId="77777777" w:rsidR="006635C7" w:rsidRDefault="006635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DDBE0" w14:textId="77777777" w:rsidR="00B76E8C" w:rsidRDefault="00B76E8C" w:rsidP="008C7DB5">
    <w:pPr>
      <w:pStyle w:val="Headers"/>
      <w:tabs>
        <w:tab w:val="right" w:pos="9071"/>
      </w:tabs>
      <w:spacing w:after="0"/>
      <w:jc w:val="left"/>
    </w:pPr>
    <w:r>
      <w:t>MSAC Application 1428</w:t>
    </w:r>
  </w:p>
  <w:p w14:paraId="47F910D8" w14:textId="244C6ECE" w:rsidR="00B76E8C" w:rsidRPr="001656BE" w:rsidRDefault="00B76E8C" w:rsidP="008C7DB5">
    <w:pPr>
      <w:pStyle w:val="Headers"/>
      <w:tabs>
        <w:tab w:val="right" w:pos="9071"/>
      </w:tabs>
      <w:spacing w:before="0"/>
      <w:jc w:val="left"/>
    </w:pPr>
    <w:r>
      <w:t>MEDTRONIC</w:t>
    </w:r>
    <w:r>
      <w:tab/>
      <w:t>Section 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88C9C" w14:textId="77777777" w:rsidR="00B76E8C" w:rsidRDefault="00B76E8C" w:rsidP="008C7DB5">
    <w:pPr>
      <w:pStyle w:val="Headers"/>
      <w:tabs>
        <w:tab w:val="right" w:pos="9071"/>
      </w:tabs>
      <w:spacing w:before="0" w:after="0"/>
      <w:jc w:val="left"/>
    </w:pPr>
    <w:r>
      <w:t>MSAC Application 1428</w:t>
    </w:r>
  </w:p>
  <w:p w14:paraId="23752E61" w14:textId="23439C05" w:rsidR="00B76E8C" w:rsidRPr="001656BE" w:rsidRDefault="00B76E8C" w:rsidP="008C7DB5">
    <w:pPr>
      <w:pStyle w:val="Headers"/>
      <w:tabs>
        <w:tab w:val="right" w:pos="9071"/>
      </w:tabs>
      <w:spacing w:before="0"/>
      <w:jc w:val="left"/>
    </w:pPr>
    <w:r>
      <w:t>MEDTRONIC</w:t>
    </w:r>
    <w:r w:rsidDel="008C6C02">
      <w:t xml:space="preserve"> </w:t>
    </w:r>
    <w:r>
      <w:tab/>
      <w:t>Section B</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A89B" w14:textId="77777777" w:rsidR="00B76E8C" w:rsidRDefault="00B76E8C" w:rsidP="008C6C02">
    <w:pPr>
      <w:pStyle w:val="Headers"/>
      <w:tabs>
        <w:tab w:val="right" w:pos="9071"/>
      </w:tabs>
      <w:spacing w:before="0" w:after="0"/>
      <w:jc w:val="left"/>
    </w:pPr>
    <w:r>
      <w:t>MSAC Application 1428</w:t>
    </w:r>
  </w:p>
  <w:p w14:paraId="5BA4A190" w14:textId="73C534B8" w:rsidR="00B76E8C" w:rsidRPr="00EA2185" w:rsidRDefault="00B76E8C" w:rsidP="008C7DB5">
    <w:pPr>
      <w:pStyle w:val="Headers"/>
      <w:tabs>
        <w:tab w:val="right" w:pos="9071"/>
      </w:tabs>
      <w:spacing w:before="0" w:after="0"/>
      <w:jc w:val="left"/>
    </w:pPr>
    <w:r>
      <w:t>MEDTRONIC</w:t>
    </w:r>
    <w:r w:rsidDel="008C6C02">
      <w:t xml:space="preserve"> </w:t>
    </w:r>
    <w:r>
      <w:tab/>
      <w:t>Section B</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A2E29" w14:textId="77777777" w:rsidR="00B76E8C" w:rsidRDefault="00B76E8C" w:rsidP="008C7DB5">
    <w:pPr>
      <w:pStyle w:val="Headers"/>
      <w:pBdr>
        <w:bottom w:val="none" w:sz="0" w:space="0" w:color="auto"/>
      </w:pBdr>
      <w:tabs>
        <w:tab w:val="right" w:pos="9071"/>
      </w:tabs>
      <w:spacing w:before="0" w:after="0"/>
      <w:jc w:val="left"/>
    </w:pPr>
    <w:r>
      <w:t>MSAC Application 1428</w:t>
    </w:r>
  </w:p>
  <w:p w14:paraId="46976CB0" w14:textId="1DDCB277" w:rsidR="00B76E8C" w:rsidRPr="00EA2185" w:rsidRDefault="00B76E8C" w:rsidP="008C7DB5">
    <w:pPr>
      <w:pStyle w:val="Header"/>
      <w:spacing w:before="0" w:after="0" w:line="360" w:lineRule="auto"/>
    </w:pPr>
    <w:r>
      <w:rPr>
        <w:rFonts w:ascii="Arial" w:hAnsi="Arial"/>
        <w:smallCaps w:val="0"/>
        <w:lang w:val="en-AU"/>
      </w:rPr>
      <w:t>MEDTRONIC</w:t>
    </w:r>
    <w:r>
      <w:rPr>
        <w:rFonts w:ascii="Arial" w:hAnsi="Arial"/>
        <w:smallCaps w:val="0"/>
        <w:lang w:val="en-AU"/>
      </w:rPr>
      <w:ptab w:relativeTo="margin" w:alignment="right" w:leader="none"/>
    </w:r>
    <w:r>
      <w:rPr>
        <w:rFonts w:ascii="Arial" w:hAnsi="Arial"/>
        <w:smallCaps w:val="0"/>
        <w:lang w:val="en-AU"/>
      </w:rPr>
      <w:t>Section B</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5877B" w14:textId="77777777" w:rsidR="00B76E8C" w:rsidRDefault="00B76E8C" w:rsidP="008C6C02">
    <w:pPr>
      <w:pStyle w:val="Headers"/>
      <w:pBdr>
        <w:bottom w:val="none" w:sz="0" w:space="0" w:color="auto"/>
      </w:pBdr>
      <w:tabs>
        <w:tab w:val="right" w:pos="9071"/>
      </w:tabs>
      <w:spacing w:before="0" w:after="0"/>
      <w:jc w:val="left"/>
    </w:pPr>
    <w:r>
      <w:t>MSAC Application 1428</w:t>
    </w:r>
  </w:p>
  <w:p w14:paraId="68B548C5" w14:textId="6F846CEE" w:rsidR="00B76E8C" w:rsidRPr="00EA2185" w:rsidRDefault="00B76E8C" w:rsidP="008C7DB5">
    <w:pPr>
      <w:pStyle w:val="Header"/>
      <w:spacing w:before="0" w:after="0" w:line="360" w:lineRule="auto"/>
    </w:pPr>
    <w:r>
      <w:rPr>
        <w:rFonts w:ascii="Arial" w:hAnsi="Arial"/>
        <w:smallCaps w:val="0"/>
        <w:lang w:val="en-AU"/>
      </w:rPr>
      <w:t>MEDTRONIC</w:t>
    </w:r>
    <w:r w:rsidDel="008C6C02">
      <w:rPr>
        <w:rFonts w:ascii="Arial" w:hAnsi="Arial"/>
        <w:smallCaps w:val="0"/>
        <w:lang w:val="en-AU"/>
      </w:rPr>
      <w:t xml:space="preserve"> </w:t>
    </w:r>
    <w:r w:rsidRPr="00532EF0">
      <w:rPr>
        <w:rFonts w:ascii="Arial" w:hAnsi="Arial"/>
        <w:lang w:val="en-AU"/>
      </w:rPr>
      <w:ptab w:relativeTo="margin" w:alignment="right" w:leader="none"/>
    </w:r>
    <w:r w:rsidRPr="00532EF0">
      <w:rPr>
        <w:rFonts w:ascii="Arial" w:hAnsi="Arial"/>
        <w:lang w:val="en-AU"/>
      </w:rPr>
      <w:t>Section C</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B8A41" w14:textId="77777777" w:rsidR="00B76E8C" w:rsidRDefault="00B76E8C" w:rsidP="008C6C02">
    <w:pPr>
      <w:pStyle w:val="Headers"/>
      <w:pBdr>
        <w:bottom w:val="none" w:sz="0" w:space="0" w:color="auto"/>
      </w:pBdr>
      <w:tabs>
        <w:tab w:val="right" w:pos="9071"/>
      </w:tabs>
      <w:spacing w:before="0" w:after="0"/>
      <w:jc w:val="left"/>
    </w:pPr>
    <w:r>
      <w:t>MSAC Application 1428</w:t>
    </w:r>
  </w:p>
  <w:p w14:paraId="190FC9A7" w14:textId="178C0A22" w:rsidR="00B76E8C" w:rsidRPr="00EA2185" w:rsidRDefault="00B76E8C" w:rsidP="008C7DB5">
    <w:pPr>
      <w:pStyle w:val="Header"/>
      <w:spacing w:before="0" w:after="0" w:line="360" w:lineRule="auto"/>
    </w:pPr>
    <w:r>
      <w:rPr>
        <w:rFonts w:ascii="Arial" w:hAnsi="Arial"/>
        <w:smallCaps w:val="0"/>
        <w:lang w:val="en-AU"/>
      </w:rPr>
      <w:t>MEDTRONIC</w:t>
    </w:r>
    <w:r w:rsidDel="008C6C02">
      <w:rPr>
        <w:rFonts w:ascii="Arial" w:hAnsi="Arial"/>
        <w:smallCaps w:val="0"/>
        <w:lang w:val="en-AU"/>
      </w:rPr>
      <w:t xml:space="preserve"> </w:t>
    </w:r>
    <w:r w:rsidRPr="00532EF0">
      <w:rPr>
        <w:rFonts w:ascii="Arial" w:hAnsi="Arial"/>
        <w:lang w:val="en-AU"/>
      </w:rPr>
      <w:ptab w:relativeTo="margin" w:alignment="right" w:leader="none"/>
    </w:r>
    <w:r w:rsidRPr="00532EF0">
      <w:rPr>
        <w:rFonts w:ascii="Arial" w:hAnsi="Arial"/>
        <w:lang w:val="en-AU"/>
      </w:rPr>
      <w:t>Section 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CC595" w14:textId="77777777" w:rsidR="00B76E8C" w:rsidRDefault="00B76E8C" w:rsidP="008C6C02">
    <w:pPr>
      <w:pStyle w:val="Headers"/>
      <w:pBdr>
        <w:bottom w:val="none" w:sz="0" w:space="0" w:color="auto"/>
      </w:pBdr>
      <w:tabs>
        <w:tab w:val="right" w:pos="9071"/>
      </w:tabs>
      <w:spacing w:before="0" w:after="0"/>
      <w:jc w:val="left"/>
    </w:pPr>
    <w:r>
      <w:t>MSAC Application 1428</w:t>
    </w:r>
  </w:p>
  <w:p w14:paraId="4A74B514" w14:textId="6E542A92" w:rsidR="00B76E8C" w:rsidRPr="00EA2185" w:rsidRDefault="00B76E8C" w:rsidP="008C7DB5">
    <w:pPr>
      <w:pStyle w:val="Header"/>
      <w:spacing w:before="0" w:after="0" w:line="360" w:lineRule="auto"/>
    </w:pPr>
    <w:r>
      <w:rPr>
        <w:rFonts w:ascii="Arial" w:hAnsi="Arial"/>
        <w:smallCaps w:val="0"/>
        <w:lang w:val="en-AU"/>
      </w:rPr>
      <w:t>MEDTRONIC</w:t>
    </w:r>
    <w:r w:rsidDel="008C6C02">
      <w:rPr>
        <w:rFonts w:ascii="Arial" w:hAnsi="Arial"/>
        <w:smallCaps w:val="0"/>
        <w:lang w:val="en-AU"/>
      </w:rPr>
      <w:t xml:space="preserve"> </w:t>
    </w:r>
    <w:r>
      <w:rPr>
        <w:rFonts w:ascii="Arial" w:hAnsi="Arial"/>
        <w:smallCaps w:val="0"/>
        <w:lang w:val="en-AU"/>
      </w:rPr>
      <w:ptab w:relativeTo="margin" w:alignment="right" w:leader="none"/>
    </w:r>
    <w:r w:rsidRPr="00532EF0">
      <w:rPr>
        <w:rFonts w:ascii="Arial" w:hAnsi="Arial"/>
        <w:lang w:val="en-AU"/>
      </w:rPr>
      <w:t>Section 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FD116" w14:textId="2F470F53" w:rsidR="00B76E8C" w:rsidRPr="00502149" w:rsidRDefault="00B76E8C" w:rsidP="00502149">
    <w:pPr>
      <w:pStyle w:val="Header"/>
    </w:pPr>
    <w:r>
      <w:rPr>
        <w:rFonts w:ascii="Arial" w:hAnsi="Arial"/>
        <w:smallCaps w:val="0"/>
        <w:lang w:val="en-AU"/>
      </w:rPr>
      <w:t>MEDTRONIC</w:t>
    </w:r>
    <w:r>
      <w:rPr>
        <w:rFonts w:ascii="Arial" w:hAnsi="Arial"/>
        <w:smallCaps w:val="0"/>
        <w:lang w:val="en-AU"/>
      </w:rPr>
      <w:ptab w:relativeTo="margin" w:alignment="right" w:leader="none"/>
    </w:r>
    <w:r>
      <w:rPr>
        <w:rFonts w:ascii="Arial" w:hAnsi="Arial"/>
        <w:smallCaps w:val="0"/>
        <w:lang w:val="en-AU"/>
      </w:rPr>
      <w:t>Section 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CA3C" w14:textId="77777777" w:rsidR="00B76E8C" w:rsidRDefault="00B76E8C" w:rsidP="008C6C02">
    <w:pPr>
      <w:pStyle w:val="Headers"/>
      <w:pBdr>
        <w:bottom w:val="none" w:sz="0" w:space="0" w:color="auto"/>
      </w:pBdr>
      <w:tabs>
        <w:tab w:val="right" w:pos="9071"/>
      </w:tabs>
      <w:spacing w:before="0" w:after="0"/>
      <w:jc w:val="left"/>
    </w:pPr>
    <w:r>
      <w:t>MSAC Application 1428</w:t>
    </w:r>
  </w:p>
  <w:p w14:paraId="22BCE4A7" w14:textId="48FD12E0" w:rsidR="00B76E8C" w:rsidRPr="00502149" w:rsidRDefault="00B76E8C" w:rsidP="008C7DB5">
    <w:pPr>
      <w:pStyle w:val="Header"/>
      <w:spacing w:before="0" w:after="0"/>
    </w:pPr>
    <w:r>
      <w:rPr>
        <w:rFonts w:ascii="Arial" w:hAnsi="Arial"/>
        <w:smallCaps w:val="0"/>
        <w:lang w:val="en-AU"/>
      </w:rPr>
      <w:t>MEDTRONIC</w:t>
    </w:r>
    <w:r w:rsidDel="008C6C02">
      <w:rPr>
        <w:rFonts w:ascii="Arial" w:hAnsi="Arial"/>
        <w:smallCaps w:val="0"/>
        <w:lang w:val="en-AU"/>
      </w:rPr>
      <w:t xml:space="preserve"> </w:t>
    </w:r>
    <w:r>
      <w:rPr>
        <w:rFonts w:ascii="Arial" w:hAnsi="Arial"/>
        <w:smallCaps w:val="0"/>
        <w:lang w:val="en-AU"/>
      </w:rPr>
      <w:ptab w:relativeTo="margin" w:alignment="right" w:leader="none"/>
    </w:r>
    <w:r w:rsidRPr="00532EF0">
      <w:rPr>
        <w:rFonts w:ascii="Arial" w:hAnsi="Arial"/>
        <w:lang w:val="en-AU"/>
      </w:rPr>
      <w:t xml:space="preserve">Section </w:t>
    </w:r>
    <w:r w:rsidRPr="00532EF0">
      <w:rPr>
        <w:rFonts w:ascii="Arial" w:hAnsi="Arial"/>
        <w:caps/>
        <w:smallCaps w:val="0"/>
        <w:lang w:val="en-AU"/>
      </w:rPr>
      <w:t>F</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6CD5C" w14:textId="77777777" w:rsidR="00B76E8C" w:rsidRDefault="00B76E8C" w:rsidP="008C6C02">
    <w:pPr>
      <w:pStyle w:val="Headers"/>
      <w:pBdr>
        <w:bottom w:val="none" w:sz="0" w:space="0" w:color="auto"/>
      </w:pBdr>
      <w:tabs>
        <w:tab w:val="right" w:pos="9071"/>
      </w:tabs>
      <w:spacing w:before="0" w:after="0"/>
      <w:jc w:val="left"/>
    </w:pPr>
    <w:r>
      <w:t>MSAC Application 1428</w:t>
    </w:r>
  </w:p>
  <w:p w14:paraId="3B9104E2" w14:textId="1FB031A4" w:rsidR="00B76E8C" w:rsidRPr="00502149" w:rsidRDefault="00B76E8C" w:rsidP="008C7DB5">
    <w:pPr>
      <w:pStyle w:val="Header"/>
      <w:spacing w:before="0" w:after="0"/>
    </w:pPr>
    <w:r>
      <w:rPr>
        <w:rFonts w:ascii="Arial" w:hAnsi="Arial"/>
        <w:smallCaps w:val="0"/>
        <w:lang w:val="en-AU"/>
      </w:rPr>
      <w:t>MEDTRONIC</w:t>
    </w:r>
    <w:r w:rsidDel="008C6C02">
      <w:rPr>
        <w:rFonts w:ascii="Arial" w:hAnsi="Arial"/>
        <w:smallCaps w:val="0"/>
        <w:lang w:val="en-AU"/>
      </w:rPr>
      <w:t xml:space="preserve"> </w:t>
    </w:r>
    <w:r>
      <w:rPr>
        <w:rFonts w:ascii="Arial" w:hAnsi="Arial"/>
        <w:smallCaps w:val="0"/>
        <w:lang w:val="en-AU"/>
      </w:rPr>
      <w:ptab w:relativeTo="margin" w:alignment="right" w:leader="none"/>
    </w:r>
    <w:r>
      <w:rPr>
        <w:rFonts w:ascii="Arial" w:hAnsi="Arial"/>
        <w:smallCaps w:val="0"/>
        <w:lang w:val="en-AU"/>
      </w:rPr>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D3CB8" w14:textId="77777777" w:rsidR="006635C7" w:rsidRDefault="006635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FA791" w14:textId="77777777" w:rsidR="006635C7" w:rsidRDefault="006635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91515" w14:textId="77777777" w:rsidR="00B76E8C" w:rsidRDefault="00B76E8C" w:rsidP="008C7DB5">
    <w:pPr>
      <w:pStyle w:val="Headers"/>
      <w:tabs>
        <w:tab w:val="right" w:pos="9071"/>
      </w:tabs>
      <w:spacing w:after="0"/>
      <w:jc w:val="left"/>
    </w:pPr>
    <w:r>
      <w:t>MSAC Application 1428</w:t>
    </w:r>
  </w:p>
  <w:p w14:paraId="3D2E1C45" w14:textId="7493D4D6" w:rsidR="00B76E8C" w:rsidRPr="001656BE" w:rsidRDefault="00B76E8C" w:rsidP="008C7DB5">
    <w:pPr>
      <w:pStyle w:val="Headers"/>
      <w:tabs>
        <w:tab w:val="right" w:pos="9071"/>
      </w:tabs>
      <w:spacing w:before="0"/>
      <w:jc w:val="left"/>
    </w:pPr>
    <w:r>
      <w:t>MEDTRONIC</w:t>
    </w:r>
    <w:r>
      <w:tab/>
      <w:t>Executive summary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7A590" w14:textId="77777777" w:rsidR="00B76E8C" w:rsidRDefault="00B76E8C" w:rsidP="008C7DB5">
    <w:pPr>
      <w:pStyle w:val="Headers"/>
      <w:tabs>
        <w:tab w:val="right" w:pos="9071"/>
      </w:tabs>
      <w:spacing w:after="0"/>
      <w:jc w:val="left"/>
    </w:pPr>
    <w:r>
      <w:t>MSAC Application 1428</w:t>
    </w:r>
  </w:p>
  <w:p w14:paraId="7DB75136" w14:textId="6193E9F1" w:rsidR="00B76E8C" w:rsidRPr="001656BE" w:rsidRDefault="00B76E8C" w:rsidP="008C7DB5">
    <w:pPr>
      <w:pStyle w:val="Headers"/>
      <w:tabs>
        <w:tab w:val="right" w:pos="9071"/>
      </w:tabs>
      <w:spacing w:before="0"/>
      <w:jc w:val="left"/>
    </w:pPr>
    <w:r>
      <w:t>MEDTRONIC</w:t>
    </w:r>
    <w:r>
      <w:tab/>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C6A0" w14:textId="77777777" w:rsidR="00B76E8C" w:rsidRDefault="00B76E8C" w:rsidP="008C7DB5">
    <w:pPr>
      <w:pStyle w:val="Headers"/>
      <w:tabs>
        <w:tab w:val="right" w:pos="9071"/>
      </w:tabs>
      <w:spacing w:after="0"/>
      <w:jc w:val="left"/>
    </w:pPr>
    <w:r>
      <w:t>MSAC Application 1428</w:t>
    </w:r>
  </w:p>
  <w:p w14:paraId="62BABB72" w14:textId="6C7F7396" w:rsidR="00B76E8C" w:rsidRPr="001656BE" w:rsidRDefault="00B76E8C" w:rsidP="008C7DB5">
    <w:pPr>
      <w:pStyle w:val="Headers"/>
      <w:tabs>
        <w:tab w:val="right" w:pos="9071"/>
      </w:tabs>
      <w:spacing w:before="0"/>
      <w:jc w:val="left"/>
    </w:pPr>
    <w:r>
      <w:t>MEDTRONIC</w:t>
    </w:r>
    <w:r>
      <w:tab/>
      <w:t>List of Tables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FCB4" w14:textId="77777777" w:rsidR="00B76E8C" w:rsidRDefault="00B76E8C" w:rsidP="008C7DB5">
    <w:pPr>
      <w:pStyle w:val="Headers"/>
      <w:tabs>
        <w:tab w:val="right" w:pos="9071"/>
      </w:tabs>
      <w:spacing w:after="0"/>
      <w:jc w:val="left"/>
    </w:pPr>
    <w:r>
      <w:t>MSAC Application 1428</w:t>
    </w:r>
  </w:p>
  <w:p w14:paraId="256C3559" w14:textId="5513B01C" w:rsidR="00B76E8C" w:rsidRPr="001656BE" w:rsidRDefault="00B76E8C" w:rsidP="008C7DB5">
    <w:pPr>
      <w:pStyle w:val="Headers"/>
      <w:tabs>
        <w:tab w:val="right" w:pos="9071"/>
      </w:tabs>
      <w:spacing w:before="0"/>
      <w:jc w:val="left"/>
    </w:pPr>
    <w:r>
      <w:t>MEDTRONIC</w:t>
    </w:r>
    <w:r>
      <w:tab/>
      <w:t>List of Figures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FA049" w14:textId="77777777" w:rsidR="00B76E8C" w:rsidRDefault="00B76E8C" w:rsidP="008C7DB5">
    <w:pPr>
      <w:pStyle w:val="Headers"/>
      <w:tabs>
        <w:tab w:val="right" w:pos="9071"/>
      </w:tabs>
      <w:spacing w:after="0"/>
      <w:jc w:val="left"/>
    </w:pPr>
    <w:r>
      <w:t>MSAC Application 1428</w:t>
    </w:r>
  </w:p>
  <w:p w14:paraId="07A5082F" w14:textId="1A8F4014" w:rsidR="00B76E8C" w:rsidRPr="001656BE" w:rsidRDefault="00B76E8C" w:rsidP="008C7DB5">
    <w:pPr>
      <w:pStyle w:val="Headers"/>
      <w:tabs>
        <w:tab w:val="right" w:pos="9071"/>
      </w:tabs>
      <w:spacing w:before="0"/>
      <w:jc w:val="left"/>
    </w:pPr>
    <w:r>
      <w:t>MEDTRONIC</w:t>
    </w:r>
    <w:r>
      <w:tab/>
      <w:t>Attachments and appendices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48007" w14:textId="77777777" w:rsidR="00B76E8C" w:rsidRDefault="00B76E8C" w:rsidP="008C7DB5">
    <w:pPr>
      <w:pStyle w:val="Headers"/>
      <w:tabs>
        <w:tab w:val="right" w:pos="9071"/>
      </w:tabs>
      <w:spacing w:after="0"/>
      <w:jc w:val="left"/>
    </w:pPr>
    <w:r>
      <w:t>MSAC Application 1428</w:t>
    </w:r>
  </w:p>
  <w:p w14:paraId="4F803DB2" w14:textId="049A08B3" w:rsidR="00B76E8C" w:rsidRPr="001656BE" w:rsidRDefault="00B76E8C" w:rsidP="008C7DB5">
    <w:pPr>
      <w:pStyle w:val="Headers"/>
      <w:tabs>
        <w:tab w:val="right" w:pos="9071"/>
      </w:tabs>
      <w:spacing w:before="0"/>
      <w:jc w:val="left"/>
    </w:pPr>
    <w:r>
      <w:t>MEDTRONIC</w:t>
    </w:r>
    <w:r>
      <w:tab/>
      <w:t>Abbreviations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4A64"/>
    <w:multiLevelType w:val="hybridMultilevel"/>
    <w:tmpl w:val="4B847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052F51"/>
    <w:multiLevelType w:val="hybridMultilevel"/>
    <w:tmpl w:val="DF4032E4"/>
    <w:lvl w:ilvl="0" w:tplc="59E667B8">
      <w:start w:val="1"/>
      <w:numFmt w:val="bullet"/>
      <w:pStyle w:val="Bodytextbulletlevel2"/>
      <w:lvlText w:val="o"/>
      <w:lvlJc w:val="left"/>
      <w:pPr>
        <w:tabs>
          <w:tab w:val="num" w:pos="926"/>
        </w:tabs>
        <w:ind w:left="926" w:hanging="360"/>
      </w:pPr>
      <w:rPr>
        <w:rFonts w:ascii="Courier New" w:hAnsi="Courier New" w:hint="default"/>
      </w:rPr>
    </w:lvl>
    <w:lvl w:ilvl="1" w:tplc="04090003">
      <w:start w:val="1"/>
      <w:numFmt w:val="bullet"/>
      <w:lvlText w:val="o"/>
      <w:lvlJc w:val="left"/>
      <w:pPr>
        <w:tabs>
          <w:tab w:val="num" w:pos="1646"/>
        </w:tabs>
        <w:ind w:left="1646" w:hanging="360"/>
      </w:pPr>
      <w:rPr>
        <w:rFonts w:ascii="Courier New" w:hAnsi="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2">
    <w:nsid w:val="06E35B64"/>
    <w:multiLevelType w:val="multilevel"/>
    <w:tmpl w:val="EAFA29B0"/>
    <w:lvl w:ilvl="0">
      <w:start w:val="1"/>
      <w:numFmt w:val="bullet"/>
      <w:pStyle w:val="Bullet"/>
      <w:lvlText w:val=""/>
      <w:lvlJc w:val="left"/>
      <w:pPr>
        <w:tabs>
          <w:tab w:val="num" w:pos="1080"/>
        </w:tabs>
        <w:ind w:left="1080" w:hanging="360"/>
      </w:pPr>
      <w:rPr>
        <w:rFonts w:ascii="Symbol" w:hAnsi="Symbol" w:hint="default"/>
      </w:rPr>
    </w:lvl>
    <w:lvl w:ilvl="1">
      <w:start w:val="1"/>
      <w:numFmt w:val="bullet"/>
      <w:lvlRestart w:val="0"/>
      <w:lvlText w:val="○"/>
      <w:lvlJc w:val="left"/>
      <w:pPr>
        <w:tabs>
          <w:tab w:val="num" w:pos="1440"/>
        </w:tabs>
        <w:ind w:left="1440" w:hanging="360"/>
      </w:pPr>
      <w:rPr>
        <w:rFonts w:ascii="Times New Roman" w:hint="default"/>
      </w:rPr>
    </w:lvl>
    <w:lvl w:ilvl="2">
      <w:start w:val="1"/>
      <w:numFmt w:val="bullet"/>
      <w:lvlRestart w:val="0"/>
      <w:lvlText w:val="●"/>
      <w:lvlJc w:val="left"/>
      <w:pPr>
        <w:tabs>
          <w:tab w:val="num" w:pos="1800"/>
        </w:tabs>
        <w:ind w:left="1800" w:hanging="360"/>
      </w:pPr>
      <w:rPr>
        <w:rFonts w:ascii="Times New Roman" w:hint="default"/>
      </w:rPr>
    </w:lvl>
    <w:lvl w:ilvl="3">
      <w:start w:val="1"/>
      <w:numFmt w:val="bullet"/>
      <w:lvlRestart w:val="0"/>
      <w:lvlText w:val="○"/>
      <w:lvlJc w:val="left"/>
      <w:pPr>
        <w:tabs>
          <w:tab w:val="num" w:pos="2160"/>
        </w:tabs>
        <w:ind w:left="2160" w:hanging="360"/>
      </w:pPr>
      <w:rPr>
        <w:rFonts w:ascii="Times New Roman" w:hint="default"/>
      </w:rPr>
    </w:lvl>
    <w:lvl w:ilvl="4">
      <w:start w:val="1"/>
      <w:numFmt w:val="bullet"/>
      <w:lvlRestart w:val="0"/>
      <w:lvlText w:val="●"/>
      <w:lvlJc w:val="left"/>
      <w:pPr>
        <w:tabs>
          <w:tab w:val="num" w:pos="2520"/>
        </w:tabs>
        <w:ind w:left="2520" w:hanging="360"/>
      </w:pPr>
      <w:rPr>
        <w:rFonts w:ascii="Times New Roman" w:hint="default"/>
      </w:rPr>
    </w:lvl>
    <w:lvl w:ilvl="5">
      <w:start w:val="1"/>
      <w:numFmt w:val="bullet"/>
      <w:lvlRestart w:val="0"/>
      <w:lvlText w:val="○"/>
      <w:lvlJc w:val="left"/>
      <w:pPr>
        <w:tabs>
          <w:tab w:val="num" w:pos="2880"/>
        </w:tabs>
        <w:ind w:left="2880" w:hanging="360"/>
      </w:pPr>
      <w:rPr>
        <w:rFonts w:ascii="Times New Roman" w:hint="default"/>
      </w:rPr>
    </w:lvl>
    <w:lvl w:ilvl="6">
      <w:start w:val="1"/>
      <w:numFmt w:val="bullet"/>
      <w:lvlRestart w:val="0"/>
      <w:lvlText w:val="●"/>
      <w:lvlJc w:val="left"/>
      <w:pPr>
        <w:tabs>
          <w:tab w:val="num" w:pos="3240"/>
        </w:tabs>
        <w:ind w:left="3240" w:hanging="360"/>
      </w:pPr>
      <w:rPr>
        <w:rFonts w:ascii="Times New Roman" w:hint="default"/>
      </w:rPr>
    </w:lvl>
    <w:lvl w:ilvl="7">
      <w:start w:val="1"/>
      <w:numFmt w:val="bullet"/>
      <w:lvlRestart w:val="0"/>
      <w:lvlText w:val="○"/>
      <w:lvlJc w:val="left"/>
      <w:pPr>
        <w:tabs>
          <w:tab w:val="num" w:pos="3600"/>
        </w:tabs>
        <w:ind w:left="3600" w:hanging="360"/>
      </w:pPr>
      <w:rPr>
        <w:rFonts w:ascii="Times New Roman" w:hint="default"/>
      </w:rPr>
    </w:lvl>
    <w:lvl w:ilvl="8">
      <w:start w:val="1"/>
      <w:numFmt w:val="bullet"/>
      <w:lvlRestart w:val="0"/>
      <w:lvlText w:val="●"/>
      <w:lvlJc w:val="left"/>
      <w:pPr>
        <w:tabs>
          <w:tab w:val="num" w:pos="3960"/>
        </w:tabs>
        <w:ind w:left="3960" w:hanging="360"/>
      </w:pPr>
      <w:rPr>
        <w:rFonts w:ascii="Times New Roman" w:hint="default"/>
      </w:rPr>
    </w:lvl>
  </w:abstractNum>
  <w:abstractNum w:abstractNumId="3">
    <w:nsid w:val="070448AB"/>
    <w:multiLevelType w:val="hybridMultilevel"/>
    <w:tmpl w:val="360007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7491BE7"/>
    <w:multiLevelType w:val="hybridMultilevel"/>
    <w:tmpl w:val="37983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A4695B"/>
    <w:multiLevelType w:val="multilevel"/>
    <w:tmpl w:val="80524412"/>
    <w:styleLink w:val="StyleNumberedTimesNewRomanPSMT10pt"/>
    <w:lvl w:ilvl="0">
      <w:start w:val="1"/>
      <w:numFmt w:val="decimal"/>
      <w:lvlText w:val="%1."/>
      <w:lvlJc w:val="left"/>
      <w:pPr>
        <w:tabs>
          <w:tab w:val="num" w:pos="720"/>
        </w:tabs>
        <w:ind w:left="720" w:hanging="360"/>
      </w:pPr>
      <w:rPr>
        <w:rFonts w:ascii="Arial" w:hAnsi="Arial" w:cs="Arial"/>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C007C4B"/>
    <w:multiLevelType w:val="hybridMultilevel"/>
    <w:tmpl w:val="2A8C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E2677C6"/>
    <w:multiLevelType w:val="hybridMultilevel"/>
    <w:tmpl w:val="B64C0E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0F4986"/>
    <w:multiLevelType w:val="hybridMultilevel"/>
    <w:tmpl w:val="D040D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086142"/>
    <w:multiLevelType w:val="hybridMultilevel"/>
    <w:tmpl w:val="E4508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4E6478"/>
    <w:multiLevelType w:val="hybridMultilevel"/>
    <w:tmpl w:val="FE8E197E"/>
    <w:lvl w:ilvl="0" w:tplc="C24A0E1E">
      <w:start w:val="1"/>
      <w:numFmt w:val="bullet"/>
      <w:pStyle w:val="Bulletedbodytext"/>
      <w:lvlText w:val=""/>
      <w:lvlJc w:val="left"/>
      <w:pPr>
        <w:ind w:left="720" w:hanging="360"/>
      </w:pPr>
      <w:rPr>
        <w:rFonts w:ascii="Symbol" w:hAnsi="Symbol" w:hint="default"/>
        <w:spacing w:val="0"/>
        <w:w w:val="100"/>
        <w:position w:val="0"/>
      </w:rPr>
    </w:lvl>
    <w:lvl w:ilvl="1" w:tplc="FD3C9D0A" w:tentative="1">
      <w:start w:val="1"/>
      <w:numFmt w:val="bullet"/>
      <w:lvlText w:val="o"/>
      <w:lvlJc w:val="left"/>
      <w:pPr>
        <w:ind w:left="1440" w:hanging="360"/>
      </w:pPr>
      <w:rPr>
        <w:rFonts w:ascii="Courier New" w:hAnsi="Courier New" w:hint="default"/>
      </w:rPr>
    </w:lvl>
    <w:lvl w:ilvl="2" w:tplc="119E1814" w:tentative="1">
      <w:start w:val="1"/>
      <w:numFmt w:val="bullet"/>
      <w:lvlText w:val=""/>
      <w:lvlJc w:val="left"/>
      <w:pPr>
        <w:ind w:left="2160" w:hanging="360"/>
      </w:pPr>
      <w:rPr>
        <w:rFonts w:ascii="Wingdings" w:hAnsi="Wingdings" w:hint="default"/>
      </w:rPr>
    </w:lvl>
    <w:lvl w:ilvl="3" w:tplc="08D64EDE" w:tentative="1">
      <w:start w:val="1"/>
      <w:numFmt w:val="bullet"/>
      <w:lvlText w:val=""/>
      <w:lvlJc w:val="left"/>
      <w:pPr>
        <w:ind w:left="2880" w:hanging="360"/>
      </w:pPr>
      <w:rPr>
        <w:rFonts w:ascii="Symbol" w:hAnsi="Symbol" w:hint="default"/>
      </w:rPr>
    </w:lvl>
    <w:lvl w:ilvl="4" w:tplc="227C362A" w:tentative="1">
      <w:start w:val="1"/>
      <w:numFmt w:val="bullet"/>
      <w:lvlText w:val="o"/>
      <w:lvlJc w:val="left"/>
      <w:pPr>
        <w:ind w:left="3600" w:hanging="360"/>
      </w:pPr>
      <w:rPr>
        <w:rFonts w:ascii="Courier New" w:hAnsi="Courier New" w:hint="default"/>
      </w:rPr>
    </w:lvl>
    <w:lvl w:ilvl="5" w:tplc="3B84B112" w:tentative="1">
      <w:start w:val="1"/>
      <w:numFmt w:val="bullet"/>
      <w:lvlText w:val=""/>
      <w:lvlJc w:val="left"/>
      <w:pPr>
        <w:ind w:left="4320" w:hanging="360"/>
      </w:pPr>
      <w:rPr>
        <w:rFonts w:ascii="Wingdings" w:hAnsi="Wingdings" w:hint="default"/>
      </w:rPr>
    </w:lvl>
    <w:lvl w:ilvl="6" w:tplc="7684036E" w:tentative="1">
      <w:start w:val="1"/>
      <w:numFmt w:val="bullet"/>
      <w:lvlText w:val=""/>
      <w:lvlJc w:val="left"/>
      <w:pPr>
        <w:ind w:left="5040" w:hanging="360"/>
      </w:pPr>
      <w:rPr>
        <w:rFonts w:ascii="Symbol" w:hAnsi="Symbol" w:hint="default"/>
      </w:rPr>
    </w:lvl>
    <w:lvl w:ilvl="7" w:tplc="CDD0302A" w:tentative="1">
      <w:start w:val="1"/>
      <w:numFmt w:val="bullet"/>
      <w:lvlText w:val="o"/>
      <w:lvlJc w:val="left"/>
      <w:pPr>
        <w:ind w:left="5760" w:hanging="360"/>
      </w:pPr>
      <w:rPr>
        <w:rFonts w:ascii="Courier New" w:hAnsi="Courier New" w:hint="default"/>
      </w:rPr>
    </w:lvl>
    <w:lvl w:ilvl="8" w:tplc="40B4BC36" w:tentative="1">
      <w:start w:val="1"/>
      <w:numFmt w:val="bullet"/>
      <w:lvlText w:val=""/>
      <w:lvlJc w:val="left"/>
      <w:pPr>
        <w:ind w:left="6480" w:hanging="360"/>
      </w:pPr>
      <w:rPr>
        <w:rFonts w:ascii="Wingdings" w:hAnsi="Wingdings" w:hint="default"/>
      </w:rPr>
    </w:lvl>
  </w:abstractNum>
  <w:abstractNum w:abstractNumId="11">
    <w:nsid w:val="18680B55"/>
    <w:multiLevelType w:val="hybridMultilevel"/>
    <w:tmpl w:val="E7B4A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8552FA"/>
    <w:multiLevelType w:val="hybridMultilevel"/>
    <w:tmpl w:val="66320A56"/>
    <w:lvl w:ilvl="0" w:tplc="5DD4125A">
      <w:start w:val="2"/>
      <w:numFmt w:val="bullet"/>
      <w:lvlText w:val="-"/>
      <w:lvlJc w:val="left"/>
      <w:pPr>
        <w:ind w:left="360" w:hanging="360"/>
      </w:pPr>
      <w:rPr>
        <w:rFonts w:ascii="Arial Narrow" w:eastAsiaTheme="minorEastAsia"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CA40690"/>
    <w:multiLevelType w:val="singleLevel"/>
    <w:tmpl w:val="E5988BCE"/>
    <w:lvl w:ilvl="0">
      <w:start w:val="1"/>
      <w:numFmt w:val="bullet"/>
      <w:pStyle w:val="TableBullet"/>
      <w:lvlText w:val=""/>
      <w:lvlJc w:val="left"/>
      <w:pPr>
        <w:tabs>
          <w:tab w:val="num" w:pos="360"/>
        </w:tabs>
        <w:ind w:left="216" w:hanging="216"/>
      </w:pPr>
      <w:rPr>
        <w:rFonts w:ascii="Symbol" w:hAnsi="Symbol" w:hint="default"/>
        <w:sz w:val="16"/>
      </w:rPr>
    </w:lvl>
  </w:abstractNum>
  <w:abstractNum w:abstractNumId="14">
    <w:nsid w:val="2119685D"/>
    <w:multiLevelType w:val="hybridMultilevel"/>
    <w:tmpl w:val="26E695C6"/>
    <w:lvl w:ilvl="0" w:tplc="E37250FC">
      <w:start w:val="1"/>
      <w:numFmt w:val="bullet"/>
      <w:pStyle w:val="Tablebullet0"/>
      <w:lvlText w:val=""/>
      <w:lvlJc w:val="left"/>
      <w:pPr>
        <w:tabs>
          <w:tab w:val="num" w:pos="720"/>
        </w:tabs>
        <w:ind w:left="720" w:hanging="360"/>
      </w:pPr>
      <w:rPr>
        <w:rFonts w:ascii="Wingdings" w:hAnsi="Wingdings" w:hint="default"/>
      </w:rPr>
    </w:lvl>
    <w:lvl w:ilvl="1" w:tplc="318631E2" w:tentative="1">
      <w:start w:val="1"/>
      <w:numFmt w:val="bullet"/>
      <w:lvlText w:val="o"/>
      <w:lvlJc w:val="left"/>
      <w:pPr>
        <w:tabs>
          <w:tab w:val="num" w:pos="1440"/>
        </w:tabs>
        <w:ind w:left="1440" w:hanging="360"/>
      </w:pPr>
      <w:rPr>
        <w:rFonts w:ascii="Courier New" w:hAnsi="Courier New" w:hint="default"/>
      </w:rPr>
    </w:lvl>
    <w:lvl w:ilvl="2" w:tplc="0B0E876A" w:tentative="1">
      <w:start w:val="1"/>
      <w:numFmt w:val="bullet"/>
      <w:lvlText w:val=""/>
      <w:lvlJc w:val="left"/>
      <w:pPr>
        <w:tabs>
          <w:tab w:val="num" w:pos="2160"/>
        </w:tabs>
        <w:ind w:left="2160" w:hanging="360"/>
      </w:pPr>
      <w:rPr>
        <w:rFonts w:ascii="Wingdings" w:hAnsi="Wingdings" w:hint="default"/>
      </w:rPr>
    </w:lvl>
    <w:lvl w:ilvl="3" w:tplc="6A14DCB6" w:tentative="1">
      <w:start w:val="1"/>
      <w:numFmt w:val="bullet"/>
      <w:lvlText w:val=""/>
      <w:lvlJc w:val="left"/>
      <w:pPr>
        <w:tabs>
          <w:tab w:val="num" w:pos="2880"/>
        </w:tabs>
        <w:ind w:left="2880" w:hanging="360"/>
      </w:pPr>
      <w:rPr>
        <w:rFonts w:ascii="Symbol" w:hAnsi="Symbol" w:hint="default"/>
      </w:rPr>
    </w:lvl>
    <w:lvl w:ilvl="4" w:tplc="F1EA3E2E" w:tentative="1">
      <w:start w:val="1"/>
      <w:numFmt w:val="bullet"/>
      <w:lvlText w:val="o"/>
      <w:lvlJc w:val="left"/>
      <w:pPr>
        <w:tabs>
          <w:tab w:val="num" w:pos="3600"/>
        </w:tabs>
        <w:ind w:left="3600" w:hanging="360"/>
      </w:pPr>
      <w:rPr>
        <w:rFonts w:ascii="Courier New" w:hAnsi="Courier New" w:hint="default"/>
      </w:rPr>
    </w:lvl>
    <w:lvl w:ilvl="5" w:tplc="DEEA439E" w:tentative="1">
      <w:start w:val="1"/>
      <w:numFmt w:val="bullet"/>
      <w:lvlText w:val=""/>
      <w:lvlJc w:val="left"/>
      <w:pPr>
        <w:tabs>
          <w:tab w:val="num" w:pos="4320"/>
        </w:tabs>
        <w:ind w:left="4320" w:hanging="360"/>
      </w:pPr>
      <w:rPr>
        <w:rFonts w:ascii="Wingdings" w:hAnsi="Wingdings" w:hint="default"/>
      </w:rPr>
    </w:lvl>
    <w:lvl w:ilvl="6" w:tplc="85AEDB8E" w:tentative="1">
      <w:start w:val="1"/>
      <w:numFmt w:val="bullet"/>
      <w:lvlText w:val=""/>
      <w:lvlJc w:val="left"/>
      <w:pPr>
        <w:tabs>
          <w:tab w:val="num" w:pos="5040"/>
        </w:tabs>
        <w:ind w:left="5040" w:hanging="360"/>
      </w:pPr>
      <w:rPr>
        <w:rFonts w:ascii="Symbol" w:hAnsi="Symbol" w:hint="default"/>
      </w:rPr>
    </w:lvl>
    <w:lvl w:ilvl="7" w:tplc="5122015C" w:tentative="1">
      <w:start w:val="1"/>
      <w:numFmt w:val="bullet"/>
      <w:lvlText w:val="o"/>
      <w:lvlJc w:val="left"/>
      <w:pPr>
        <w:tabs>
          <w:tab w:val="num" w:pos="5760"/>
        </w:tabs>
        <w:ind w:left="5760" w:hanging="360"/>
      </w:pPr>
      <w:rPr>
        <w:rFonts w:ascii="Courier New" w:hAnsi="Courier New" w:hint="default"/>
      </w:rPr>
    </w:lvl>
    <w:lvl w:ilvl="8" w:tplc="7708F55A" w:tentative="1">
      <w:start w:val="1"/>
      <w:numFmt w:val="bullet"/>
      <w:lvlText w:val=""/>
      <w:lvlJc w:val="left"/>
      <w:pPr>
        <w:tabs>
          <w:tab w:val="num" w:pos="6480"/>
        </w:tabs>
        <w:ind w:left="6480" w:hanging="360"/>
      </w:pPr>
      <w:rPr>
        <w:rFonts w:ascii="Wingdings" w:hAnsi="Wingdings" w:hint="default"/>
      </w:rPr>
    </w:lvl>
  </w:abstractNum>
  <w:abstractNum w:abstractNumId="15">
    <w:nsid w:val="246C7DD3"/>
    <w:multiLevelType w:val="hybridMultilevel"/>
    <w:tmpl w:val="6DDE64AA"/>
    <w:lvl w:ilvl="0" w:tplc="0C090011">
      <w:start w:val="1"/>
      <w:numFmt w:val="decimal"/>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6">
    <w:nsid w:val="27F05E91"/>
    <w:multiLevelType w:val="hybridMultilevel"/>
    <w:tmpl w:val="F8C4FE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595F9B"/>
    <w:multiLevelType w:val="hybridMultilevel"/>
    <w:tmpl w:val="2618E1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EBA4B49"/>
    <w:multiLevelType w:val="hybridMultilevel"/>
    <w:tmpl w:val="C3008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F354507"/>
    <w:multiLevelType w:val="hybridMultilevel"/>
    <w:tmpl w:val="D15C7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4220D8"/>
    <w:multiLevelType w:val="hybridMultilevel"/>
    <w:tmpl w:val="5E905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FF1792E"/>
    <w:multiLevelType w:val="hybridMultilevel"/>
    <w:tmpl w:val="5846C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2CF7E6F"/>
    <w:multiLevelType w:val="multilevel"/>
    <w:tmpl w:val="D6B8C984"/>
    <w:styleLink w:val="StyleBulleted"/>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3725202"/>
    <w:multiLevelType w:val="hybridMultilevel"/>
    <w:tmpl w:val="FD88E53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42B0B6B"/>
    <w:multiLevelType w:val="hybridMultilevel"/>
    <w:tmpl w:val="7EE0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0A7F9D"/>
    <w:multiLevelType w:val="multilevel"/>
    <w:tmpl w:val="D16CB8B4"/>
    <w:lvl w:ilvl="0">
      <w:start w:val="1"/>
      <w:numFmt w:val="upperLetter"/>
      <w:pStyle w:val="Heading1"/>
      <w:lvlText w:val="%1."/>
      <w:lvlJc w:val="left"/>
      <w:pPr>
        <w:ind w:left="360" w:hanging="360"/>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nsid w:val="360B768B"/>
    <w:multiLevelType w:val="singleLevel"/>
    <w:tmpl w:val="0A56DC84"/>
    <w:lvl w:ilvl="0">
      <w:start w:val="1"/>
      <w:numFmt w:val="bullet"/>
      <w:pStyle w:val="ListBullet-Last"/>
      <w:lvlText w:val=""/>
      <w:lvlJc w:val="left"/>
      <w:pPr>
        <w:tabs>
          <w:tab w:val="num" w:pos="360"/>
        </w:tabs>
        <w:ind w:left="360" w:hanging="360"/>
      </w:pPr>
      <w:rPr>
        <w:rFonts w:ascii="Symbol" w:hAnsi="Symbol" w:hint="default"/>
      </w:rPr>
    </w:lvl>
  </w:abstractNum>
  <w:abstractNum w:abstractNumId="27">
    <w:nsid w:val="3B003EE6"/>
    <w:multiLevelType w:val="hybridMultilevel"/>
    <w:tmpl w:val="E18E919E"/>
    <w:lvl w:ilvl="0" w:tplc="4B8221B0">
      <w:start w:val="1"/>
      <w:numFmt w:val="bullet"/>
      <w:pStyle w:val="Bodybullet"/>
      <w:lvlText w:val=""/>
      <w:lvlJc w:val="left"/>
      <w:pPr>
        <w:tabs>
          <w:tab w:val="num" w:pos="717"/>
        </w:tabs>
        <w:ind w:left="717"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FD6320"/>
    <w:multiLevelType w:val="hybridMultilevel"/>
    <w:tmpl w:val="FAA059EC"/>
    <w:lvl w:ilvl="0" w:tplc="37181412">
      <w:start w:val="1"/>
      <w:numFmt w:val="bullet"/>
      <w:pStyle w:val="Summarytextbullet"/>
      <w:lvlText w:val=""/>
      <w:lvlJc w:val="left"/>
      <w:pPr>
        <w:tabs>
          <w:tab w:val="num" w:pos="720"/>
        </w:tabs>
        <w:ind w:left="720" w:hanging="360"/>
      </w:pPr>
      <w:rPr>
        <w:rFonts w:ascii="Wingdings" w:hAnsi="Wingdings" w:hint="default"/>
      </w:rPr>
    </w:lvl>
    <w:lvl w:ilvl="1" w:tplc="3E20DCE0" w:tentative="1">
      <w:start w:val="1"/>
      <w:numFmt w:val="bullet"/>
      <w:lvlText w:val="o"/>
      <w:lvlJc w:val="left"/>
      <w:pPr>
        <w:tabs>
          <w:tab w:val="num" w:pos="1440"/>
        </w:tabs>
        <w:ind w:left="1440" w:hanging="360"/>
      </w:pPr>
      <w:rPr>
        <w:rFonts w:ascii="Courier New" w:hAnsi="Courier New" w:hint="default"/>
      </w:rPr>
    </w:lvl>
    <w:lvl w:ilvl="2" w:tplc="16D0733E" w:tentative="1">
      <w:start w:val="1"/>
      <w:numFmt w:val="bullet"/>
      <w:lvlText w:val=""/>
      <w:lvlJc w:val="left"/>
      <w:pPr>
        <w:tabs>
          <w:tab w:val="num" w:pos="2160"/>
        </w:tabs>
        <w:ind w:left="2160" w:hanging="360"/>
      </w:pPr>
      <w:rPr>
        <w:rFonts w:ascii="Wingdings" w:hAnsi="Wingdings" w:hint="default"/>
      </w:rPr>
    </w:lvl>
    <w:lvl w:ilvl="3" w:tplc="A8DC88F8" w:tentative="1">
      <w:start w:val="1"/>
      <w:numFmt w:val="bullet"/>
      <w:lvlText w:val=""/>
      <w:lvlJc w:val="left"/>
      <w:pPr>
        <w:tabs>
          <w:tab w:val="num" w:pos="2880"/>
        </w:tabs>
        <w:ind w:left="2880" w:hanging="360"/>
      </w:pPr>
      <w:rPr>
        <w:rFonts w:ascii="Symbol" w:hAnsi="Symbol" w:hint="default"/>
      </w:rPr>
    </w:lvl>
    <w:lvl w:ilvl="4" w:tplc="F8D81624" w:tentative="1">
      <w:start w:val="1"/>
      <w:numFmt w:val="bullet"/>
      <w:lvlText w:val="o"/>
      <w:lvlJc w:val="left"/>
      <w:pPr>
        <w:tabs>
          <w:tab w:val="num" w:pos="3600"/>
        </w:tabs>
        <w:ind w:left="3600" w:hanging="360"/>
      </w:pPr>
      <w:rPr>
        <w:rFonts w:ascii="Courier New" w:hAnsi="Courier New" w:hint="default"/>
      </w:rPr>
    </w:lvl>
    <w:lvl w:ilvl="5" w:tplc="D9A06816" w:tentative="1">
      <w:start w:val="1"/>
      <w:numFmt w:val="bullet"/>
      <w:lvlText w:val=""/>
      <w:lvlJc w:val="left"/>
      <w:pPr>
        <w:tabs>
          <w:tab w:val="num" w:pos="4320"/>
        </w:tabs>
        <w:ind w:left="4320" w:hanging="360"/>
      </w:pPr>
      <w:rPr>
        <w:rFonts w:ascii="Wingdings" w:hAnsi="Wingdings" w:hint="default"/>
      </w:rPr>
    </w:lvl>
    <w:lvl w:ilvl="6" w:tplc="7C3A5BF4" w:tentative="1">
      <w:start w:val="1"/>
      <w:numFmt w:val="bullet"/>
      <w:lvlText w:val=""/>
      <w:lvlJc w:val="left"/>
      <w:pPr>
        <w:tabs>
          <w:tab w:val="num" w:pos="5040"/>
        </w:tabs>
        <w:ind w:left="5040" w:hanging="360"/>
      </w:pPr>
      <w:rPr>
        <w:rFonts w:ascii="Symbol" w:hAnsi="Symbol" w:hint="default"/>
      </w:rPr>
    </w:lvl>
    <w:lvl w:ilvl="7" w:tplc="25D016BE" w:tentative="1">
      <w:start w:val="1"/>
      <w:numFmt w:val="bullet"/>
      <w:lvlText w:val="o"/>
      <w:lvlJc w:val="left"/>
      <w:pPr>
        <w:tabs>
          <w:tab w:val="num" w:pos="5760"/>
        </w:tabs>
        <w:ind w:left="5760" w:hanging="360"/>
      </w:pPr>
      <w:rPr>
        <w:rFonts w:ascii="Courier New" w:hAnsi="Courier New" w:hint="default"/>
      </w:rPr>
    </w:lvl>
    <w:lvl w:ilvl="8" w:tplc="DB90AF54" w:tentative="1">
      <w:start w:val="1"/>
      <w:numFmt w:val="bullet"/>
      <w:lvlText w:val=""/>
      <w:lvlJc w:val="left"/>
      <w:pPr>
        <w:tabs>
          <w:tab w:val="num" w:pos="6480"/>
        </w:tabs>
        <w:ind w:left="6480" w:hanging="360"/>
      </w:pPr>
      <w:rPr>
        <w:rFonts w:ascii="Wingdings" w:hAnsi="Wingdings" w:hint="default"/>
      </w:rPr>
    </w:lvl>
  </w:abstractNum>
  <w:abstractNum w:abstractNumId="29">
    <w:nsid w:val="3F1F5A37"/>
    <w:multiLevelType w:val="hybridMultilevel"/>
    <w:tmpl w:val="878472AC"/>
    <w:lvl w:ilvl="0" w:tplc="04090001">
      <w:start w:val="1"/>
      <w:numFmt w:val="bullet"/>
      <w:pStyle w:val="Subbullet"/>
      <w:lvlText w:val="o"/>
      <w:lvlJc w:val="left"/>
      <w:pPr>
        <w:tabs>
          <w:tab w:val="num" w:pos="360"/>
        </w:tabs>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F642855"/>
    <w:multiLevelType w:val="hybridMultilevel"/>
    <w:tmpl w:val="E56C0C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1F62E75"/>
    <w:multiLevelType w:val="hybridMultilevel"/>
    <w:tmpl w:val="5844BA18"/>
    <w:lvl w:ilvl="0" w:tplc="738AF45C">
      <w:start w:val="1"/>
      <w:numFmt w:val="bullet"/>
      <w:pStyle w:val="bodytextbullet"/>
      <w:lvlText w:val=""/>
      <w:lvlJc w:val="left"/>
      <w:pPr>
        <w:tabs>
          <w:tab w:val="num" w:pos="720"/>
        </w:tabs>
        <w:ind w:left="720" w:hanging="360"/>
      </w:pPr>
      <w:rPr>
        <w:rFonts w:ascii="Wingdings" w:hAnsi="Wingdings" w:hint="default"/>
      </w:rPr>
    </w:lvl>
    <w:lvl w:ilvl="1" w:tplc="0A56EA0C">
      <w:start w:val="1"/>
      <w:numFmt w:val="bullet"/>
      <w:lvlText w:val="o"/>
      <w:lvlJc w:val="left"/>
      <w:pPr>
        <w:tabs>
          <w:tab w:val="num" w:pos="1440"/>
        </w:tabs>
        <w:ind w:left="1440" w:hanging="360"/>
      </w:pPr>
      <w:rPr>
        <w:rFonts w:ascii="Courier New" w:hAnsi="Courier New" w:hint="default"/>
      </w:rPr>
    </w:lvl>
    <w:lvl w:ilvl="2" w:tplc="619AC1EE" w:tentative="1">
      <w:start w:val="1"/>
      <w:numFmt w:val="bullet"/>
      <w:lvlText w:val=""/>
      <w:lvlJc w:val="left"/>
      <w:pPr>
        <w:tabs>
          <w:tab w:val="num" w:pos="2160"/>
        </w:tabs>
        <w:ind w:left="2160" w:hanging="360"/>
      </w:pPr>
      <w:rPr>
        <w:rFonts w:ascii="Wingdings" w:hAnsi="Wingdings" w:hint="default"/>
      </w:rPr>
    </w:lvl>
    <w:lvl w:ilvl="3" w:tplc="3E8CCFD6" w:tentative="1">
      <w:start w:val="1"/>
      <w:numFmt w:val="bullet"/>
      <w:lvlText w:val=""/>
      <w:lvlJc w:val="left"/>
      <w:pPr>
        <w:tabs>
          <w:tab w:val="num" w:pos="2880"/>
        </w:tabs>
        <w:ind w:left="2880" w:hanging="360"/>
      </w:pPr>
      <w:rPr>
        <w:rFonts w:ascii="Symbol" w:hAnsi="Symbol" w:hint="default"/>
      </w:rPr>
    </w:lvl>
    <w:lvl w:ilvl="4" w:tplc="BBFC4E8E" w:tentative="1">
      <w:start w:val="1"/>
      <w:numFmt w:val="bullet"/>
      <w:lvlText w:val="o"/>
      <w:lvlJc w:val="left"/>
      <w:pPr>
        <w:tabs>
          <w:tab w:val="num" w:pos="3600"/>
        </w:tabs>
        <w:ind w:left="3600" w:hanging="360"/>
      </w:pPr>
      <w:rPr>
        <w:rFonts w:ascii="Courier New" w:hAnsi="Courier New" w:hint="default"/>
      </w:rPr>
    </w:lvl>
    <w:lvl w:ilvl="5" w:tplc="EE420D4A" w:tentative="1">
      <w:start w:val="1"/>
      <w:numFmt w:val="bullet"/>
      <w:lvlText w:val=""/>
      <w:lvlJc w:val="left"/>
      <w:pPr>
        <w:tabs>
          <w:tab w:val="num" w:pos="4320"/>
        </w:tabs>
        <w:ind w:left="4320" w:hanging="360"/>
      </w:pPr>
      <w:rPr>
        <w:rFonts w:ascii="Wingdings" w:hAnsi="Wingdings" w:hint="default"/>
      </w:rPr>
    </w:lvl>
    <w:lvl w:ilvl="6" w:tplc="4434FCD4" w:tentative="1">
      <w:start w:val="1"/>
      <w:numFmt w:val="bullet"/>
      <w:lvlText w:val=""/>
      <w:lvlJc w:val="left"/>
      <w:pPr>
        <w:tabs>
          <w:tab w:val="num" w:pos="5040"/>
        </w:tabs>
        <w:ind w:left="5040" w:hanging="360"/>
      </w:pPr>
      <w:rPr>
        <w:rFonts w:ascii="Symbol" w:hAnsi="Symbol" w:hint="default"/>
      </w:rPr>
    </w:lvl>
    <w:lvl w:ilvl="7" w:tplc="1A6CE2A0" w:tentative="1">
      <w:start w:val="1"/>
      <w:numFmt w:val="bullet"/>
      <w:lvlText w:val="o"/>
      <w:lvlJc w:val="left"/>
      <w:pPr>
        <w:tabs>
          <w:tab w:val="num" w:pos="5760"/>
        </w:tabs>
        <w:ind w:left="5760" w:hanging="360"/>
      </w:pPr>
      <w:rPr>
        <w:rFonts w:ascii="Courier New" w:hAnsi="Courier New" w:hint="default"/>
      </w:rPr>
    </w:lvl>
    <w:lvl w:ilvl="8" w:tplc="A79EFDA2" w:tentative="1">
      <w:start w:val="1"/>
      <w:numFmt w:val="bullet"/>
      <w:lvlText w:val=""/>
      <w:lvlJc w:val="left"/>
      <w:pPr>
        <w:tabs>
          <w:tab w:val="num" w:pos="6480"/>
        </w:tabs>
        <w:ind w:left="6480" w:hanging="360"/>
      </w:pPr>
      <w:rPr>
        <w:rFonts w:ascii="Wingdings" w:hAnsi="Wingdings" w:hint="default"/>
      </w:rPr>
    </w:lvl>
  </w:abstractNum>
  <w:abstractNum w:abstractNumId="32">
    <w:nsid w:val="438201BD"/>
    <w:multiLevelType w:val="hybridMultilevel"/>
    <w:tmpl w:val="D05C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8192D0E"/>
    <w:multiLevelType w:val="hybridMultilevel"/>
    <w:tmpl w:val="7A220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81A463A"/>
    <w:multiLevelType w:val="hybridMultilevel"/>
    <w:tmpl w:val="EC3ECAA2"/>
    <w:lvl w:ilvl="0" w:tplc="2C565EA4">
      <w:start w:val="1"/>
      <w:numFmt w:val="lowerLetter"/>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9103DD3"/>
    <w:multiLevelType w:val="hybridMultilevel"/>
    <w:tmpl w:val="357C4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AC23895"/>
    <w:multiLevelType w:val="singleLevel"/>
    <w:tmpl w:val="E224443A"/>
    <w:lvl w:ilvl="0">
      <w:start w:val="1"/>
      <w:numFmt w:val="bullet"/>
      <w:pStyle w:val="TableDash"/>
      <w:lvlText w:val="–"/>
      <w:lvlJc w:val="left"/>
      <w:pPr>
        <w:tabs>
          <w:tab w:val="num" w:pos="578"/>
        </w:tabs>
        <w:ind w:left="431" w:hanging="216"/>
      </w:pPr>
      <w:rPr>
        <w:rFonts w:ascii="Times New Roman" w:hAnsi="Times New Roman" w:hint="default"/>
        <w:sz w:val="20"/>
      </w:rPr>
    </w:lvl>
  </w:abstractNum>
  <w:abstractNum w:abstractNumId="37">
    <w:nsid w:val="539A1154"/>
    <w:multiLevelType w:val="hybridMultilevel"/>
    <w:tmpl w:val="679A1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43D62E4"/>
    <w:multiLevelType w:val="hybridMultilevel"/>
    <w:tmpl w:val="3B6C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6763DD1"/>
    <w:multiLevelType w:val="hybridMultilevel"/>
    <w:tmpl w:val="652C9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82A1463"/>
    <w:multiLevelType w:val="hybridMultilevel"/>
    <w:tmpl w:val="A4CEE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8614BB9"/>
    <w:multiLevelType w:val="hybridMultilevel"/>
    <w:tmpl w:val="6D8CF22C"/>
    <w:lvl w:ilvl="0" w:tplc="C44E5F64">
      <w:start w:val="1"/>
      <w:numFmt w:val="decimal"/>
      <w:pStyle w:val="summarybox"/>
      <w:lvlText w:val="%1."/>
      <w:lvlJc w:val="right"/>
      <w:pPr>
        <w:tabs>
          <w:tab w:val="num" w:pos="648"/>
        </w:tabs>
        <w:ind w:left="648"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5DE14026"/>
    <w:multiLevelType w:val="hybridMultilevel"/>
    <w:tmpl w:val="FD88E53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20D4AD6"/>
    <w:multiLevelType w:val="hybridMultilevel"/>
    <w:tmpl w:val="4DA8B2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5DD0C76"/>
    <w:multiLevelType w:val="hybridMultilevel"/>
    <w:tmpl w:val="56E06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8350C7F"/>
    <w:multiLevelType w:val="hybridMultilevel"/>
    <w:tmpl w:val="21A4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92334F3"/>
    <w:multiLevelType w:val="hybridMultilevel"/>
    <w:tmpl w:val="07D6FA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6BC3675A"/>
    <w:multiLevelType w:val="multilevel"/>
    <w:tmpl w:val="566610CE"/>
    <w:styleLink w:val="PBACstandardnumberstyle"/>
    <w:lvl w:ilvl="0">
      <w:start w:val="2"/>
      <w:numFmt w:val="upperLetter"/>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lowerLetter"/>
      <w:lvlText w:val="(%5)"/>
      <w:lvlJc w:val="left"/>
      <w:pPr>
        <w:tabs>
          <w:tab w:val="num" w:pos="1134"/>
        </w:tabs>
        <w:ind w:left="1134" w:hanging="1134"/>
      </w:pPr>
      <w:rPr>
        <w:rFonts w:cs="Times New Roman" w:hint="default"/>
      </w:rPr>
    </w:lvl>
    <w:lvl w:ilvl="5">
      <w:start w:val="1"/>
      <w:numFmt w:val="lowerRoman"/>
      <w:lvlText w:val="(%6)"/>
      <w:lvlJc w:val="left"/>
      <w:pPr>
        <w:tabs>
          <w:tab w:val="num" w:pos="1134"/>
        </w:tabs>
        <w:ind w:left="1134" w:hanging="1134"/>
      </w:pPr>
      <w:rPr>
        <w:rFonts w:cs="Times New Roman" w:hint="default"/>
      </w:rPr>
    </w:lvl>
    <w:lvl w:ilvl="6">
      <w:start w:val="1"/>
      <w:numFmt w:val="decimal"/>
      <w:lvlText w:val="%7."/>
      <w:lvlJc w:val="left"/>
      <w:pPr>
        <w:tabs>
          <w:tab w:val="num" w:pos="1134"/>
        </w:tabs>
        <w:ind w:left="1134" w:hanging="1134"/>
      </w:pPr>
      <w:rPr>
        <w:rFonts w:cs="Times New Roman" w:hint="default"/>
      </w:rPr>
    </w:lvl>
    <w:lvl w:ilvl="7">
      <w:start w:val="1"/>
      <w:numFmt w:val="lowerLetter"/>
      <w:lvlText w:val="%8."/>
      <w:lvlJc w:val="left"/>
      <w:pPr>
        <w:tabs>
          <w:tab w:val="num" w:pos="1134"/>
        </w:tabs>
        <w:ind w:left="1134" w:hanging="1134"/>
      </w:pPr>
      <w:rPr>
        <w:rFonts w:cs="Times New Roman" w:hint="default"/>
      </w:rPr>
    </w:lvl>
    <w:lvl w:ilvl="8">
      <w:start w:val="1"/>
      <w:numFmt w:val="lowerRoman"/>
      <w:lvlText w:val="%9."/>
      <w:lvlJc w:val="left"/>
      <w:pPr>
        <w:tabs>
          <w:tab w:val="num" w:pos="1134"/>
        </w:tabs>
        <w:ind w:left="1134" w:hanging="1134"/>
      </w:pPr>
      <w:rPr>
        <w:rFonts w:cs="Times New Roman" w:hint="default"/>
      </w:rPr>
    </w:lvl>
  </w:abstractNum>
  <w:abstractNum w:abstractNumId="48">
    <w:nsid w:val="6D6454E3"/>
    <w:multiLevelType w:val="hybridMultilevel"/>
    <w:tmpl w:val="A7BA338E"/>
    <w:lvl w:ilvl="0" w:tplc="0C090001">
      <w:start w:val="1"/>
      <w:numFmt w:val="bullet"/>
      <w:lvlText w:val=""/>
      <w:lvlJc w:val="left"/>
      <w:pPr>
        <w:ind w:left="720" w:hanging="360"/>
      </w:pPr>
      <w:rPr>
        <w:rFonts w:ascii="Symbol" w:hAnsi="Symbol" w:hint="default"/>
      </w:rPr>
    </w:lvl>
    <w:lvl w:ilvl="1" w:tplc="4EAA60F6">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DDD0E9F"/>
    <w:multiLevelType w:val="multilevel"/>
    <w:tmpl w:val="FFA85D9C"/>
    <w:lvl w:ilvl="0">
      <w:start w:val="1"/>
      <w:numFmt w:val="upperLetter"/>
      <w:pStyle w:val="StyleTableBulletTimesNewRoman11ptLinespacingExactly"/>
      <w:lvlText w:val="%1"/>
      <w:lvlJc w:val="left"/>
      <w:pPr>
        <w:tabs>
          <w:tab w:val="num" w:pos="574"/>
        </w:tabs>
        <w:ind w:left="574" w:hanging="716"/>
      </w:pPr>
      <w:rPr>
        <w:rFonts w:cs="Times New Roman" w:hint="default"/>
      </w:rPr>
    </w:lvl>
    <w:lvl w:ilvl="1">
      <w:start w:val="1"/>
      <w:numFmt w:val="decimal"/>
      <w:lvlText w:val="%1.%2"/>
      <w:lvlJc w:val="left"/>
      <w:pPr>
        <w:tabs>
          <w:tab w:val="num" w:pos="718"/>
        </w:tabs>
        <w:ind w:left="28" w:hanging="170"/>
      </w:pPr>
      <w:rPr>
        <w:rFonts w:cs="Times New Roman" w:hint="default"/>
      </w:rPr>
    </w:lvl>
    <w:lvl w:ilvl="2">
      <w:start w:val="1"/>
      <w:numFmt w:val="decimal"/>
      <w:lvlText w:val="%1.%2.%3"/>
      <w:lvlJc w:val="left"/>
      <w:pPr>
        <w:tabs>
          <w:tab w:val="num" w:pos="1004"/>
        </w:tabs>
        <w:ind w:left="1004" w:hanging="1004"/>
      </w:pPr>
      <w:rPr>
        <w:rFonts w:cs="Times New Roman" w:hint="default"/>
      </w:rPr>
    </w:lvl>
    <w:lvl w:ilvl="3">
      <w:start w:val="1"/>
      <w:numFmt w:val="decimal"/>
      <w:lvlText w:val="%1.%2.%3.%4"/>
      <w:lvlJc w:val="left"/>
      <w:pPr>
        <w:tabs>
          <w:tab w:val="num" w:pos="862"/>
        </w:tabs>
        <w:ind w:left="862" w:hanging="1004"/>
      </w:pPr>
      <w:rPr>
        <w:rFonts w:cs="Times New Roman" w:hint="default"/>
      </w:rPr>
    </w:lvl>
    <w:lvl w:ilvl="4">
      <w:start w:val="1"/>
      <w:numFmt w:val="none"/>
      <w:lvlText w:val=""/>
      <w:lvlJc w:val="left"/>
      <w:pPr>
        <w:tabs>
          <w:tab w:val="num" w:pos="0"/>
        </w:tabs>
      </w:pPr>
      <w:rPr>
        <w:rFonts w:cs="Times New Roman" w:hint="default"/>
      </w:rPr>
    </w:lvl>
    <w:lvl w:ilvl="5">
      <w:start w:val="1"/>
      <w:numFmt w:val="decimal"/>
      <w:lvlText w:val="%1.%2.%3.%4.%5.%6"/>
      <w:lvlJc w:val="left"/>
      <w:pPr>
        <w:tabs>
          <w:tab w:val="num" w:pos="1294"/>
        </w:tabs>
        <w:ind w:left="1294" w:hanging="1152"/>
      </w:pPr>
      <w:rPr>
        <w:rFonts w:cs="Times New Roman" w:hint="default"/>
      </w:rPr>
    </w:lvl>
    <w:lvl w:ilvl="6">
      <w:start w:val="1"/>
      <w:numFmt w:val="decimal"/>
      <w:lvlText w:val="%1.%2.%3.%4.%5.%6.%7"/>
      <w:lvlJc w:val="left"/>
      <w:pPr>
        <w:tabs>
          <w:tab w:val="num" w:pos="1438"/>
        </w:tabs>
        <w:ind w:left="1438" w:hanging="1296"/>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726"/>
        </w:tabs>
        <w:ind w:left="1726" w:hanging="1584"/>
      </w:pPr>
      <w:rPr>
        <w:rFonts w:cs="Times New Roman" w:hint="default"/>
      </w:rPr>
    </w:lvl>
  </w:abstractNum>
  <w:abstractNum w:abstractNumId="50">
    <w:nsid w:val="70780A76"/>
    <w:multiLevelType w:val="hybridMultilevel"/>
    <w:tmpl w:val="4F32C83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nsid w:val="71B87AC1"/>
    <w:multiLevelType w:val="hybridMultilevel"/>
    <w:tmpl w:val="1F2E6E90"/>
    <w:lvl w:ilvl="0" w:tplc="0C090001">
      <w:start w:val="1"/>
      <w:numFmt w:val="bullet"/>
      <w:pStyle w:val="Tablebodybullets"/>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726A09F6"/>
    <w:multiLevelType w:val="hybridMultilevel"/>
    <w:tmpl w:val="A47E12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53C4554"/>
    <w:multiLevelType w:val="hybridMultilevel"/>
    <w:tmpl w:val="BACCD51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7AE57144"/>
    <w:multiLevelType w:val="hybridMultilevel"/>
    <w:tmpl w:val="8CE6C22A"/>
    <w:lvl w:ilvl="0" w:tplc="FFFFFFFF">
      <w:start w:val="1"/>
      <w:numFmt w:val="bullet"/>
      <w:pStyle w:val="Table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7DE3344B"/>
    <w:multiLevelType w:val="hybridMultilevel"/>
    <w:tmpl w:val="FD88E53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7EB10E93"/>
    <w:multiLevelType w:val="hybridMultilevel"/>
    <w:tmpl w:val="B156D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9"/>
  </w:num>
  <w:num w:numId="2">
    <w:abstractNumId w:val="26"/>
  </w:num>
  <w:num w:numId="3">
    <w:abstractNumId w:val="41"/>
  </w:num>
  <w:num w:numId="4">
    <w:abstractNumId w:val="2"/>
  </w:num>
  <w:num w:numId="5">
    <w:abstractNumId w:val="10"/>
  </w:num>
  <w:num w:numId="6">
    <w:abstractNumId w:val="22"/>
  </w:num>
  <w:num w:numId="7">
    <w:abstractNumId w:val="13"/>
  </w:num>
  <w:num w:numId="8">
    <w:abstractNumId w:val="36"/>
  </w:num>
  <w:num w:numId="9">
    <w:abstractNumId w:val="29"/>
  </w:num>
  <w:num w:numId="10">
    <w:abstractNumId w:val="51"/>
  </w:num>
  <w:num w:numId="11">
    <w:abstractNumId w:val="5"/>
  </w:num>
  <w:num w:numId="12">
    <w:abstractNumId w:val="1"/>
  </w:num>
  <w:num w:numId="13">
    <w:abstractNumId w:val="14"/>
  </w:num>
  <w:num w:numId="14">
    <w:abstractNumId w:val="54"/>
  </w:num>
  <w:num w:numId="15">
    <w:abstractNumId w:val="31"/>
  </w:num>
  <w:num w:numId="16">
    <w:abstractNumId w:val="28"/>
  </w:num>
  <w:num w:numId="17">
    <w:abstractNumId w:val="27"/>
  </w:num>
  <w:num w:numId="18">
    <w:abstractNumId w:val="25"/>
  </w:num>
  <w:num w:numId="19">
    <w:abstractNumId w:val="47"/>
  </w:num>
  <w:num w:numId="20">
    <w:abstractNumId w:val="37"/>
  </w:num>
  <w:num w:numId="21">
    <w:abstractNumId w:val="40"/>
  </w:num>
  <w:num w:numId="22">
    <w:abstractNumId w:val="18"/>
  </w:num>
  <w:num w:numId="23">
    <w:abstractNumId w:val="39"/>
  </w:num>
  <w:num w:numId="24">
    <w:abstractNumId w:val="19"/>
  </w:num>
  <w:num w:numId="25">
    <w:abstractNumId w:val="56"/>
  </w:num>
  <w:num w:numId="26">
    <w:abstractNumId w:val="4"/>
  </w:num>
  <w:num w:numId="27">
    <w:abstractNumId w:val="6"/>
  </w:num>
  <w:num w:numId="28">
    <w:abstractNumId w:val="45"/>
  </w:num>
  <w:num w:numId="29">
    <w:abstractNumId w:val="30"/>
  </w:num>
  <w:num w:numId="30">
    <w:abstractNumId w:val="0"/>
  </w:num>
  <w:num w:numId="31">
    <w:abstractNumId w:val="52"/>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48"/>
  </w:num>
  <w:num w:numId="36">
    <w:abstractNumId w:val="52"/>
  </w:num>
  <w:num w:numId="37">
    <w:abstractNumId w:val="33"/>
  </w:num>
  <w:num w:numId="38">
    <w:abstractNumId w:val="8"/>
  </w:num>
  <w:num w:numId="39">
    <w:abstractNumId w:val="34"/>
  </w:num>
  <w:num w:numId="40">
    <w:abstractNumId w:val="44"/>
  </w:num>
  <w:num w:numId="41">
    <w:abstractNumId w:val="17"/>
  </w:num>
  <w:num w:numId="42">
    <w:abstractNumId w:val="7"/>
  </w:num>
  <w:num w:numId="43">
    <w:abstractNumId w:val="15"/>
  </w:num>
  <w:num w:numId="44">
    <w:abstractNumId w:val="43"/>
  </w:num>
  <w:num w:numId="45">
    <w:abstractNumId w:val="23"/>
  </w:num>
  <w:num w:numId="46">
    <w:abstractNumId w:val="3"/>
  </w:num>
  <w:num w:numId="47">
    <w:abstractNumId w:val="38"/>
  </w:num>
  <w:num w:numId="48">
    <w:abstractNumId w:val="21"/>
  </w:num>
  <w:num w:numId="49">
    <w:abstractNumId w:val="35"/>
  </w:num>
  <w:num w:numId="50">
    <w:abstractNumId w:val="55"/>
  </w:num>
  <w:num w:numId="51">
    <w:abstractNumId w:val="50"/>
  </w:num>
  <w:num w:numId="52">
    <w:abstractNumId w:val="46"/>
  </w:num>
  <w:num w:numId="53">
    <w:abstractNumId w:val="42"/>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 w:numId="56">
    <w:abstractNumId w:val="20"/>
  </w:num>
  <w:num w:numId="57">
    <w:abstractNumId w:val="11"/>
  </w:num>
  <w:num w:numId="58">
    <w:abstractNumId w:val="24"/>
  </w:num>
  <w:num w:numId="59">
    <w:abstractNumId w:val="9"/>
  </w:num>
  <w:num w:numId="60">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hideSpellingErrors/>
  <w:hideGrammaticalErrors/>
  <w:stylePaneFormatFilter w:val="1F24" w:allStyles="0" w:customStyles="0" w:latentStyles="1" w:stylesInUse="0" w:headingStyles="1"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8B1"/>
    <w:rsid w:val="0000046D"/>
    <w:rsid w:val="0000074A"/>
    <w:rsid w:val="0000079A"/>
    <w:rsid w:val="00000AEA"/>
    <w:rsid w:val="000010B5"/>
    <w:rsid w:val="0000199E"/>
    <w:rsid w:val="000023B2"/>
    <w:rsid w:val="0000418B"/>
    <w:rsid w:val="00004AF8"/>
    <w:rsid w:val="00005865"/>
    <w:rsid w:val="00005A5D"/>
    <w:rsid w:val="0000615E"/>
    <w:rsid w:val="00006478"/>
    <w:rsid w:val="0000779A"/>
    <w:rsid w:val="00007F6E"/>
    <w:rsid w:val="00010057"/>
    <w:rsid w:val="000110AB"/>
    <w:rsid w:val="00011167"/>
    <w:rsid w:val="00011F3D"/>
    <w:rsid w:val="0001382A"/>
    <w:rsid w:val="00014970"/>
    <w:rsid w:val="000159CC"/>
    <w:rsid w:val="00015F97"/>
    <w:rsid w:val="00017257"/>
    <w:rsid w:val="00020A6A"/>
    <w:rsid w:val="000216F6"/>
    <w:rsid w:val="000220C6"/>
    <w:rsid w:val="00022244"/>
    <w:rsid w:val="00023A0A"/>
    <w:rsid w:val="00023F70"/>
    <w:rsid w:val="00025494"/>
    <w:rsid w:val="00027032"/>
    <w:rsid w:val="00027215"/>
    <w:rsid w:val="000276D9"/>
    <w:rsid w:val="0002772A"/>
    <w:rsid w:val="000279AE"/>
    <w:rsid w:val="00031131"/>
    <w:rsid w:val="00031215"/>
    <w:rsid w:val="000313E9"/>
    <w:rsid w:val="00031B60"/>
    <w:rsid w:val="00031C7F"/>
    <w:rsid w:val="00032485"/>
    <w:rsid w:val="000327E4"/>
    <w:rsid w:val="00033497"/>
    <w:rsid w:val="00033620"/>
    <w:rsid w:val="00034387"/>
    <w:rsid w:val="00034FB4"/>
    <w:rsid w:val="00035933"/>
    <w:rsid w:val="00035976"/>
    <w:rsid w:val="00035C4F"/>
    <w:rsid w:val="000360BB"/>
    <w:rsid w:val="00037301"/>
    <w:rsid w:val="00040171"/>
    <w:rsid w:val="0004167D"/>
    <w:rsid w:val="00041B8E"/>
    <w:rsid w:val="00041D84"/>
    <w:rsid w:val="00042713"/>
    <w:rsid w:val="00044504"/>
    <w:rsid w:val="00044B03"/>
    <w:rsid w:val="00045D46"/>
    <w:rsid w:val="0004701A"/>
    <w:rsid w:val="00047A50"/>
    <w:rsid w:val="000502C6"/>
    <w:rsid w:val="00050A9B"/>
    <w:rsid w:val="00051060"/>
    <w:rsid w:val="00051077"/>
    <w:rsid w:val="00051189"/>
    <w:rsid w:val="00051AAA"/>
    <w:rsid w:val="000525DE"/>
    <w:rsid w:val="00052D51"/>
    <w:rsid w:val="000538B0"/>
    <w:rsid w:val="00054786"/>
    <w:rsid w:val="000551A4"/>
    <w:rsid w:val="000553E2"/>
    <w:rsid w:val="00056183"/>
    <w:rsid w:val="00056B5A"/>
    <w:rsid w:val="00056E85"/>
    <w:rsid w:val="00057097"/>
    <w:rsid w:val="00057137"/>
    <w:rsid w:val="00060814"/>
    <w:rsid w:val="0006191D"/>
    <w:rsid w:val="00062AF4"/>
    <w:rsid w:val="00063456"/>
    <w:rsid w:val="00063D81"/>
    <w:rsid w:val="00063FA9"/>
    <w:rsid w:val="000645D7"/>
    <w:rsid w:val="000652EE"/>
    <w:rsid w:val="0006533B"/>
    <w:rsid w:val="00065C77"/>
    <w:rsid w:val="000660DD"/>
    <w:rsid w:val="000665CF"/>
    <w:rsid w:val="00066C10"/>
    <w:rsid w:val="00067EA8"/>
    <w:rsid w:val="00070724"/>
    <w:rsid w:val="000708AD"/>
    <w:rsid w:val="000709E3"/>
    <w:rsid w:val="00070A70"/>
    <w:rsid w:val="00071399"/>
    <w:rsid w:val="00071A21"/>
    <w:rsid w:val="000720C4"/>
    <w:rsid w:val="000723BC"/>
    <w:rsid w:val="000728B1"/>
    <w:rsid w:val="00072EEF"/>
    <w:rsid w:val="00073030"/>
    <w:rsid w:val="000740E3"/>
    <w:rsid w:val="0007441B"/>
    <w:rsid w:val="00075503"/>
    <w:rsid w:val="00075AB9"/>
    <w:rsid w:val="00075E64"/>
    <w:rsid w:val="0007741D"/>
    <w:rsid w:val="000803F0"/>
    <w:rsid w:val="00080483"/>
    <w:rsid w:val="000809FF"/>
    <w:rsid w:val="00080EEA"/>
    <w:rsid w:val="00081FCE"/>
    <w:rsid w:val="00082A4D"/>
    <w:rsid w:val="000832E7"/>
    <w:rsid w:val="00083AC6"/>
    <w:rsid w:val="00083E09"/>
    <w:rsid w:val="00084944"/>
    <w:rsid w:val="000852DE"/>
    <w:rsid w:val="00085E32"/>
    <w:rsid w:val="0008635B"/>
    <w:rsid w:val="00086A0B"/>
    <w:rsid w:val="00087CE1"/>
    <w:rsid w:val="00087EC4"/>
    <w:rsid w:val="000919E0"/>
    <w:rsid w:val="00091C2B"/>
    <w:rsid w:val="00091DA5"/>
    <w:rsid w:val="00092415"/>
    <w:rsid w:val="000925A1"/>
    <w:rsid w:val="000925BB"/>
    <w:rsid w:val="000927FF"/>
    <w:rsid w:val="00092902"/>
    <w:rsid w:val="00092D72"/>
    <w:rsid w:val="00092E00"/>
    <w:rsid w:val="00093026"/>
    <w:rsid w:val="0009362A"/>
    <w:rsid w:val="000936A5"/>
    <w:rsid w:val="000936F3"/>
    <w:rsid w:val="00094368"/>
    <w:rsid w:val="0009594F"/>
    <w:rsid w:val="00095BB3"/>
    <w:rsid w:val="000961F0"/>
    <w:rsid w:val="000A0A27"/>
    <w:rsid w:val="000A0C26"/>
    <w:rsid w:val="000A0DB5"/>
    <w:rsid w:val="000A0ED7"/>
    <w:rsid w:val="000A1C9C"/>
    <w:rsid w:val="000A259D"/>
    <w:rsid w:val="000A2E0B"/>
    <w:rsid w:val="000A35A7"/>
    <w:rsid w:val="000A37A4"/>
    <w:rsid w:val="000A3AF3"/>
    <w:rsid w:val="000A454A"/>
    <w:rsid w:val="000A4C24"/>
    <w:rsid w:val="000A4D52"/>
    <w:rsid w:val="000A4EF1"/>
    <w:rsid w:val="000A553A"/>
    <w:rsid w:val="000A637D"/>
    <w:rsid w:val="000A6CC6"/>
    <w:rsid w:val="000A6FB7"/>
    <w:rsid w:val="000B007C"/>
    <w:rsid w:val="000B01CE"/>
    <w:rsid w:val="000B0375"/>
    <w:rsid w:val="000B0757"/>
    <w:rsid w:val="000B0851"/>
    <w:rsid w:val="000B1A33"/>
    <w:rsid w:val="000B1C6E"/>
    <w:rsid w:val="000B275B"/>
    <w:rsid w:val="000B2D0A"/>
    <w:rsid w:val="000B3310"/>
    <w:rsid w:val="000B47FD"/>
    <w:rsid w:val="000B4811"/>
    <w:rsid w:val="000B4C5B"/>
    <w:rsid w:val="000B4EE5"/>
    <w:rsid w:val="000B5CA2"/>
    <w:rsid w:val="000B60D8"/>
    <w:rsid w:val="000B60E5"/>
    <w:rsid w:val="000B6508"/>
    <w:rsid w:val="000B6FA7"/>
    <w:rsid w:val="000B7389"/>
    <w:rsid w:val="000B75C0"/>
    <w:rsid w:val="000B7C7D"/>
    <w:rsid w:val="000B7E62"/>
    <w:rsid w:val="000C01CB"/>
    <w:rsid w:val="000C04B5"/>
    <w:rsid w:val="000C0A5E"/>
    <w:rsid w:val="000C0D7E"/>
    <w:rsid w:val="000C1452"/>
    <w:rsid w:val="000C27BA"/>
    <w:rsid w:val="000C3ACF"/>
    <w:rsid w:val="000C459A"/>
    <w:rsid w:val="000C4711"/>
    <w:rsid w:val="000C5C1D"/>
    <w:rsid w:val="000C6411"/>
    <w:rsid w:val="000C696E"/>
    <w:rsid w:val="000C6DEE"/>
    <w:rsid w:val="000C709B"/>
    <w:rsid w:val="000C7452"/>
    <w:rsid w:val="000C7921"/>
    <w:rsid w:val="000C7A70"/>
    <w:rsid w:val="000C7AA3"/>
    <w:rsid w:val="000D15C3"/>
    <w:rsid w:val="000D1C4B"/>
    <w:rsid w:val="000D2F25"/>
    <w:rsid w:val="000D3545"/>
    <w:rsid w:val="000D3883"/>
    <w:rsid w:val="000D3A7A"/>
    <w:rsid w:val="000D3CEC"/>
    <w:rsid w:val="000D48B6"/>
    <w:rsid w:val="000D49AE"/>
    <w:rsid w:val="000D4A8A"/>
    <w:rsid w:val="000D5648"/>
    <w:rsid w:val="000D5D47"/>
    <w:rsid w:val="000D5F69"/>
    <w:rsid w:val="000D65A2"/>
    <w:rsid w:val="000D6A5F"/>
    <w:rsid w:val="000E0A13"/>
    <w:rsid w:val="000E0D83"/>
    <w:rsid w:val="000E251E"/>
    <w:rsid w:val="000E25EC"/>
    <w:rsid w:val="000E4670"/>
    <w:rsid w:val="000E4705"/>
    <w:rsid w:val="000E4DF9"/>
    <w:rsid w:val="000E6D88"/>
    <w:rsid w:val="000E7990"/>
    <w:rsid w:val="000E7EA7"/>
    <w:rsid w:val="000F2632"/>
    <w:rsid w:val="000F31EE"/>
    <w:rsid w:val="000F5256"/>
    <w:rsid w:val="000F5BE6"/>
    <w:rsid w:val="000F5EF7"/>
    <w:rsid w:val="000F5F54"/>
    <w:rsid w:val="000F6DFC"/>
    <w:rsid w:val="000F707C"/>
    <w:rsid w:val="00100983"/>
    <w:rsid w:val="00102F0B"/>
    <w:rsid w:val="001039B2"/>
    <w:rsid w:val="00103A57"/>
    <w:rsid w:val="001046F6"/>
    <w:rsid w:val="0010536C"/>
    <w:rsid w:val="001059FD"/>
    <w:rsid w:val="00106132"/>
    <w:rsid w:val="001074A1"/>
    <w:rsid w:val="001075F1"/>
    <w:rsid w:val="0011056D"/>
    <w:rsid w:val="001106D5"/>
    <w:rsid w:val="00110976"/>
    <w:rsid w:val="00111185"/>
    <w:rsid w:val="00112306"/>
    <w:rsid w:val="00113614"/>
    <w:rsid w:val="00113617"/>
    <w:rsid w:val="00114F28"/>
    <w:rsid w:val="001156A8"/>
    <w:rsid w:val="00115C18"/>
    <w:rsid w:val="00116358"/>
    <w:rsid w:val="0012010B"/>
    <w:rsid w:val="001201BF"/>
    <w:rsid w:val="001213A0"/>
    <w:rsid w:val="0012158E"/>
    <w:rsid w:val="00121B3E"/>
    <w:rsid w:val="00121DBF"/>
    <w:rsid w:val="00122ACA"/>
    <w:rsid w:val="00123A49"/>
    <w:rsid w:val="00123A81"/>
    <w:rsid w:val="00123AB8"/>
    <w:rsid w:val="00125286"/>
    <w:rsid w:val="00125335"/>
    <w:rsid w:val="00125B17"/>
    <w:rsid w:val="0012641B"/>
    <w:rsid w:val="001264DF"/>
    <w:rsid w:val="001265A3"/>
    <w:rsid w:val="001265AA"/>
    <w:rsid w:val="00130151"/>
    <w:rsid w:val="0013188A"/>
    <w:rsid w:val="00131B1A"/>
    <w:rsid w:val="00131D30"/>
    <w:rsid w:val="00132D55"/>
    <w:rsid w:val="00133408"/>
    <w:rsid w:val="0013429B"/>
    <w:rsid w:val="00134B92"/>
    <w:rsid w:val="0013581F"/>
    <w:rsid w:val="00135B1B"/>
    <w:rsid w:val="00135C7A"/>
    <w:rsid w:val="00136333"/>
    <w:rsid w:val="001364D3"/>
    <w:rsid w:val="00137450"/>
    <w:rsid w:val="00137638"/>
    <w:rsid w:val="001405AF"/>
    <w:rsid w:val="00140744"/>
    <w:rsid w:val="00141221"/>
    <w:rsid w:val="001414F1"/>
    <w:rsid w:val="00143812"/>
    <w:rsid w:val="0014390C"/>
    <w:rsid w:val="00144221"/>
    <w:rsid w:val="00144285"/>
    <w:rsid w:val="0014504E"/>
    <w:rsid w:val="00145164"/>
    <w:rsid w:val="0014602F"/>
    <w:rsid w:val="00147DBC"/>
    <w:rsid w:val="00147EDA"/>
    <w:rsid w:val="001505D6"/>
    <w:rsid w:val="00152A63"/>
    <w:rsid w:val="001543E2"/>
    <w:rsid w:val="00154AED"/>
    <w:rsid w:val="0016046C"/>
    <w:rsid w:val="0016088A"/>
    <w:rsid w:val="001608BD"/>
    <w:rsid w:val="001611D0"/>
    <w:rsid w:val="0016176D"/>
    <w:rsid w:val="0016277A"/>
    <w:rsid w:val="0016289D"/>
    <w:rsid w:val="00162B44"/>
    <w:rsid w:val="001635B6"/>
    <w:rsid w:val="00163649"/>
    <w:rsid w:val="00163785"/>
    <w:rsid w:val="00163D10"/>
    <w:rsid w:val="00164B46"/>
    <w:rsid w:val="001656AD"/>
    <w:rsid w:val="001656BE"/>
    <w:rsid w:val="00166631"/>
    <w:rsid w:val="00166C2D"/>
    <w:rsid w:val="001676F2"/>
    <w:rsid w:val="00167B06"/>
    <w:rsid w:val="00170824"/>
    <w:rsid w:val="00170A53"/>
    <w:rsid w:val="00171A42"/>
    <w:rsid w:val="00171BAF"/>
    <w:rsid w:val="00172D24"/>
    <w:rsid w:val="00173606"/>
    <w:rsid w:val="00173EA5"/>
    <w:rsid w:val="001743B3"/>
    <w:rsid w:val="00175756"/>
    <w:rsid w:val="00180AD5"/>
    <w:rsid w:val="00181227"/>
    <w:rsid w:val="001818C4"/>
    <w:rsid w:val="00181E48"/>
    <w:rsid w:val="001828E9"/>
    <w:rsid w:val="00183E29"/>
    <w:rsid w:val="00184922"/>
    <w:rsid w:val="0018572E"/>
    <w:rsid w:val="00185EFE"/>
    <w:rsid w:val="00187F26"/>
    <w:rsid w:val="00190845"/>
    <w:rsid w:val="00191E05"/>
    <w:rsid w:val="001922F3"/>
    <w:rsid w:val="001924F9"/>
    <w:rsid w:val="00193A2F"/>
    <w:rsid w:val="001956E4"/>
    <w:rsid w:val="00195EE1"/>
    <w:rsid w:val="00197B81"/>
    <w:rsid w:val="001A0134"/>
    <w:rsid w:val="001A1983"/>
    <w:rsid w:val="001A1B15"/>
    <w:rsid w:val="001A20B3"/>
    <w:rsid w:val="001A214A"/>
    <w:rsid w:val="001A29E9"/>
    <w:rsid w:val="001A3DD9"/>
    <w:rsid w:val="001A5034"/>
    <w:rsid w:val="001A6142"/>
    <w:rsid w:val="001A6784"/>
    <w:rsid w:val="001A6F6F"/>
    <w:rsid w:val="001B0E7E"/>
    <w:rsid w:val="001B111D"/>
    <w:rsid w:val="001B124B"/>
    <w:rsid w:val="001B17EA"/>
    <w:rsid w:val="001B2BEC"/>
    <w:rsid w:val="001B2EB1"/>
    <w:rsid w:val="001B3E8E"/>
    <w:rsid w:val="001B5039"/>
    <w:rsid w:val="001B53D1"/>
    <w:rsid w:val="001B59AF"/>
    <w:rsid w:val="001B5D0C"/>
    <w:rsid w:val="001B5E66"/>
    <w:rsid w:val="001B5EDE"/>
    <w:rsid w:val="001B6487"/>
    <w:rsid w:val="001B7280"/>
    <w:rsid w:val="001C0A97"/>
    <w:rsid w:val="001C10FF"/>
    <w:rsid w:val="001C19B6"/>
    <w:rsid w:val="001C2BC8"/>
    <w:rsid w:val="001C35C8"/>
    <w:rsid w:val="001C42FF"/>
    <w:rsid w:val="001C4924"/>
    <w:rsid w:val="001C50D2"/>
    <w:rsid w:val="001C5451"/>
    <w:rsid w:val="001C5C1F"/>
    <w:rsid w:val="001C668D"/>
    <w:rsid w:val="001C7A79"/>
    <w:rsid w:val="001D0908"/>
    <w:rsid w:val="001D0CC2"/>
    <w:rsid w:val="001D1906"/>
    <w:rsid w:val="001D2338"/>
    <w:rsid w:val="001D2844"/>
    <w:rsid w:val="001D2D7A"/>
    <w:rsid w:val="001D30BA"/>
    <w:rsid w:val="001D40E1"/>
    <w:rsid w:val="001D42BD"/>
    <w:rsid w:val="001D4F00"/>
    <w:rsid w:val="001D5674"/>
    <w:rsid w:val="001D5E89"/>
    <w:rsid w:val="001D6473"/>
    <w:rsid w:val="001D64C4"/>
    <w:rsid w:val="001D7933"/>
    <w:rsid w:val="001E03E3"/>
    <w:rsid w:val="001E0B9E"/>
    <w:rsid w:val="001E0EC9"/>
    <w:rsid w:val="001E123B"/>
    <w:rsid w:val="001E1414"/>
    <w:rsid w:val="001E2101"/>
    <w:rsid w:val="001E23D8"/>
    <w:rsid w:val="001E2830"/>
    <w:rsid w:val="001E2F95"/>
    <w:rsid w:val="001E351E"/>
    <w:rsid w:val="001E37CF"/>
    <w:rsid w:val="001E3E87"/>
    <w:rsid w:val="001E4863"/>
    <w:rsid w:val="001E4CD3"/>
    <w:rsid w:val="001E58E9"/>
    <w:rsid w:val="001E59A9"/>
    <w:rsid w:val="001E5A77"/>
    <w:rsid w:val="001E63FA"/>
    <w:rsid w:val="001E7883"/>
    <w:rsid w:val="001F0288"/>
    <w:rsid w:val="001F02F7"/>
    <w:rsid w:val="001F0705"/>
    <w:rsid w:val="001F1B75"/>
    <w:rsid w:val="001F21CA"/>
    <w:rsid w:val="001F22A5"/>
    <w:rsid w:val="001F283B"/>
    <w:rsid w:val="001F2DA9"/>
    <w:rsid w:val="001F3A22"/>
    <w:rsid w:val="001F3D00"/>
    <w:rsid w:val="001F5AB7"/>
    <w:rsid w:val="001F5D95"/>
    <w:rsid w:val="001F6022"/>
    <w:rsid w:val="001F6D5D"/>
    <w:rsid w:val="001F6F79"/>
    <w:rsid w:val="002009EC"/>
    <w:rsid w:val="00200AB0"/>
    <w:rsid w:val="00200CC4"/>
    <w:rsid w:val="00201666"/>
    <w:rsid w:val="0020198A"/>
    <w:rsid w:val="002039F6"/>
    <w:rsid w:val="00204036"/>
    <w:rsid w:val="002042AD"/>
    <w:rsid w:val="00204997"/>
    <w:rsid w:val="00204BEC"/>
    <w:rsid w:val="00204C7C"/>
    <w:rsid w:val="00205872"/>
    <w:rsid w:val="00206BA6"/>
    <w:rsid w:val="00207567"/>
    <w:rsid w:val="00210600"/>
    <w:rsid w:val="00211247"/>
    <w:rsid w:val="00211BE7"/>
    <w:rsid w:val="00212F8C"/>
    <w:rsid w:val="002132E8"/>
    <w:rsid w:val="00213E0A"/>
    <w:rsid w:val="00213E2B"/>
    <w:rsid w:val="00214B19"/>
    <w:rsid w:val="0021574D"/>
    <w:rsid w:val="0021639D"/>
    <w:rsid w:val="0021761E"/>
    <w:rsid w:val="00217A39"/>
    <w:rsid w:val="00217B60"/>
    <w:rsid w:val="002205E5"/>
    <w:rsid w:val="00220732"/>
    <w:rsid w:val="00220942"/>
    <w:rsid w:val="00220CF1"/>
    <w:rsid w:val="002218C7"/>
    <w:rsid w:val="00223239"/>
    <w:rsid w:val="00223266"/>
    <w:rsid w:val="00224516"/>
    <w:rsid w:val="00224A74"/>
    <w:rsid w:val="00224E79"/>
    <w:rsid w:val="00226522"/>
    <w:rsid w:val="00226B87"/>
    <w:rsid w:val="002276CD"/>
    <w:rsid w:val="00227A61"/>
    <w:rsid w:val="00227C1C"/>
    <w:rsid w:val="00227FC9"/>
    <w:rsid w:val="00230BDF"/>
    <w:rsid w:val="00231420"/>
    <w:rsid w:val="00231F44"/>
    <w:rsid w:val="00232634"/>
    <w:rsid w:val="002326C8"/>
    <w:rsid w:val="00232B26"/>
    <w:rsid w:val="00233DB7"/>
    <w:rsid w:val="0023456D"/>
    <w:rsid w:val="00234D2D"/>
    <w:rsid w:val="002370F5"/>
    <w:rsid w:val="00237D47"/>
    <w:rsid w:val="002426AF"/>
    <w:rsid w:val="00242908"/>
    <w:rsid w:val="0024299D"/>
    <w:rsid w:val="00242F3F"/>
    <w:rsid w:val="002431C2"/>
    <w:rsid w:val="00244BBF"/>
    <w:rsid w:val="00245F28"/>
    <w:rsid w:val="002463E8"/>
    <w:rsid w:val="00246586"/>
    <w:rsid w:val="00247667"/>
    <w:rsid w:val="0024781F"/>
    <w:rsid w:val="00247D05"/>
    <w:rsid w:val="00247E21"/>
    <w:rsid w:val="002503BE"/>
    <w:rsid w:val="002504DB"/>
    <w:rsid w:val="00250A93"/>
    <w:rsid w:val="00251154"/>
    <w:rsid w:val="00253C2D"/>
    <w:rsid w:val="00253CE4"/>
    <w:rsid w:val="0025446A"/>
    <w:rsid w:val="002546BA"/>
    <w:rsid w:val="00255AE6"/>
    <w:rsid w:val="00257877"/>
    <w:rsid w:val="00257DE8"/>
    <w:rsid w:val="00257FEB"/>
    <w:rsid w:val="0026026D"/>
    <w:rsid w:val="0026088D"/>
    <w:rsid w:val="00260B0F"/>
    <w:rsid w:val="00260B9A"/>
    <w:rsid w:val="00260DFC"/>
    <w:rsid w:val="0026118C"/>
    <w:rsid w:val="00261B71"/>
    <w:rsid w:val="00261F76"/>
    <w:rsid w:val="00261F9F"/>
    <w:rsid w:val="00262120"/>
    <w:rsid w:val="002621EE"/>
    <w:rsid w:val="00262DA7"/>
    <w:rsid w:val="00264264"/>
    <w:rsid w:val="00264C60"/>
    <w:rsid w:val="00264CDF"/>
    <w:rsid w:val="00265854"/>
    <w:rsid w:val="00265994"/>
    <w:rsid w:val="00265F75"/>
    <w:rsid w:val="002661E9"/>
    <w:rsid w:val="00266765"/>
    <w:rsid w:val="00266E2B"/>
    <w:rsid w:val="00266E91"/>
    <w:rsid w:val="00267805"/>
    <w:rsid w:val="002700BE"/>
    <w:rsid w:val="00271013"/>
    <w:rsid w:val="00272598"/>
    <w:rsid w:val="00272A0F"/>
    <w:rsid w:val="0027381B"/>
    <w:rsid w:val="00273BC2"/>
    <w:rsid w:val="00273E64"/>
    <w:rsid w:val="00273F76"/>
    <w:rsid w:val="002748C9"/>
    <w:rsid w:val="002749EB"/>
    <w:rsid w:val="00275146"/>
    <w:rsid w:val="002753C1"/>
    <w:rsid w:val="00275422"/>
    <w:rsid w:val="0027635A"/>
    <w:rsid w:val="00277346"/>
    <w:rsid w:val="0027737E"/>
    <w:rsid w:val="00277483"/>
    <w:rsid w:val="00281176"/>
    <w:rsid w:val="00281D43"/>
    <w:rsid w:val="00281D8F"/>
    <w:rsid w:val="002820CE"/>
    <w:rsid w:val="0028255E"/>
    <w:rsid w:val="00282863"/>
    <w:rsid w:val="0028361E"/>
    <w:rsid w:val="00283CE5"/>
    <w:rsid w:val="00283F96"/>
    <w:rsid w:val="0028409A"/>
    <w:rsid w:val="002840B3"/>
    <w:rsid w:val="00284402"/>
    <w:rsid w:val="0028548E"/>
    <w:rsid w:val="00286766"/>
    <w:rsid w:val="0028714D"/>
    <w:rsid w:val="00287D9A"/>
    <w:rsid w:val="00287F26"/>
    <w:rsid w:val="0029053C"/>
    <w:rsid w:val="00290699"/>
    <w:rsid w:val="00290E9B"/>
    <w:rsid w:val="00291588"/>
    <w:rsid w:val="002918F8"/>
    <w:rsid w:val="00291B16"/>
    <w:rsid w:val="00292EAC"/>
    <w:rsid w:val="00292FF4"/>
    <w:rsid w:val="00293662"/>
    <w:rsid w:val="00297D7B"/>
    <w:rsid w:val="002A1C5A"/>
    <w:rsid w:val="002A2A7C"/>
    <w:rsid w:val="002A3D8F"/>
    <w:rsid w:val="002A40EA"/>
    <w:rsid w:val="002A4405"/>
    <w:rsid w:val="002A5220"/>
    <w:rsid w:val="002A5663"/>
    <w:rsid w:val="002A6226"/>
    <w:rsid w:val="002A696F"/>
    <w:rsid w:val="002A7966"/>
    <w:rsid w:val="002A7A62"/>
    <w:rsid w:val="002B00A2"/>
    <w:rsid w:val="002B0CE9"/>
    <w:rsid w:val="002B0ED3"/>
    <w:rsid w:val="002B19AE"/>
    <w:rsid w:val="002B36E5"/>
    <w:rsid w:val="002B3D90"/>
    <w:rsid w:val="002B4471"/>
    <w:rsid w:val="002B4B31"/>
    <w:rsid w:val="002B4E52"/>
    <w:rsid w:val="002B58F5"/>
    <w:rsid w:val="002B5E10"/>
    <w:rsid w:val="002B710A"/>
    <w:rsid w:val="002B759C"/>
    <w:rsid w:val="002B7E44"/>
    <w:rsid w:val="002C1C9B"/>
    <w:rsid w:val="002C2359"/>
    <w:rsid w:val="002C2595"/>
    <w:rsid w:val="002C3CBE"/>
    <w:rsid w:val="002C3F33"/>
    <w:rsid w:val="002C40D6"/>
    <w:rsid w:val="002C5E72"/>
    <w:rsid w:val="002D02AD"/>
    <w:rsid w:val="002D1323"/>
    <w:rsid w:val="002D1469"/>
    <w:rsid w:val="002D1901"/>
    <w:rsid w:val="002D2E0C"/>
    <w:rsid w:val="002D466B"/>
    <w:rsid w:val="002D4C86"/>
    <w:rsid w:val="002D5D53"/>
    <w:rsid w:val="002D791E"/>
    <w:rsid w:val="002D7DB3"/>
    <w:rsid w:val="002E06B8"/>
    <w:rsid w:val="002E0CA4"/>
    <w:rsid w:val="002E1B60"/>
    <w:rsid w:val="002E1D8E"/>
    <w:rsid w:val="002E35A6"/>
    <w:rsid w:val="002E3A4E"/>
    <w:rsid w:val="002E5791"/>
    <w:rsid w:val="002E5C9D"/>
    <w:rsid w:val="002E5DD4"/>
    <w:rsid w:val="002E5E6F"/>
    <w:rsid w:val="002E6601"/>
    <w:rsid w:val="002E713B"/>
    <w:rsid w:val="002E7156"/>
    <w:rsid w:val="002E78CC"/>
    <w:rsid w:val="002F04C3"/>
    <w:rsid w:val="002F0960"/>
    <w:rsid w:val="002F10C6"/>
    <w:rsid w:val="002F13CE"/>
    <w:rsid w:val="002F186A"/>
    <w:rsid w:val="002F1A2D"/>
    <w:rsid w:val="002F1FEC"/>
    <w:rsid w:val="002F2D61"/>
    <w:rsid w:val="002F339B"/>
    <w:rsid w:val="002F38EC"/>
    <w:rsid w:val="002F4769"/>
    <w:rsid w:val="002F4AAE"/>
    <w:rsid w:val="002F653A"/>
    <w:rsid w:val="002F66DD"/>
    <w:rsid w:val="002F6B69"/>
    <w:rsid w:val="002F6BF4"/>
    <w:rsid w:val="002F7418"/>
    <w:rsid w:val="002F766F"/>
    <w:rsid w:val="002F790C"/>
    <w:rsid w:val="00300B68"/>
    <w:rsid w:val="00300BB6"/>
    <w:rsid w:val="00300F5C"/>
    <w:rsid w:val="003019E4"/>
    <w:rsid w:val="00301CA8"/>
    <w:rsid w:val="00302091"/>
    <w:rsid w:val="0030251F"/>
    <w:rsid w:val="0030376B"/>
    <w:rsid w:val="00303C94"/>
    <w:rsid w:val="00304C18"/>
    <w:rsid w:val="0030509C"/>
    <w:rsid w:val="0030700F"/>
    <w:rsid w:val="00307C29"/>
    <w:rsid w:val="00307D24"/>
    <w:rsid w:val="00307E77"/>
    <w:rsid w:val="0031060B"/>
    <w:rsid w:val="00310EA3"/>
    <w:rsid w:val="0031110F"/>
    <w:rsid w:val="0031151D"/>
    <w:rsid w:val="00311592"/>
    <w:rsid w:val="00311871"/>
    <w:rsid w:val="00311C4B"/>
    <w:rsid w:val="003127F2"/>
    <w:rsid w:val="0031442F"/>
    <w:rsid w:val="003151C5"/>
    <w:rsid w:val="00315893"/>
    <w:rsid w:val="00315B3D"/>
    <w:rsid w:val="0031636D"/>
    <w:rsid w:val="00316E39"/>
    <w:rsid w:val="0031743D"/>
    <w:rsid w:val="00317549"/>
    <w:rsid w:val="00320598"/>
    <w:rsid w:val="00320636"/>
    <w:rsid w:val="00320933"/>
    <w:rsid w:val="00320A54"/>
    <w:rsid w:val="00321348"/>
    <w:rsid w:val="0032355E"/>
    <w:rsid w:val="00323A45"/>
    <w:rsid w:val="00324A6A"/>
    <w:rsid w:val="00324F82"/>
    <w:rsid w:val="00325055"/>
    <w:rsid w:val="00327536"/>
    <w:rsid w:val="00327A70"/>
    <w:rsid w:val="003300D2"/>
    <w:rsid w:val="00331526"/>
    <w:rsid w:val="003316DF"/>
    <w:rsid w:val="00332500"/>
    <w:rsid w:val="0033460F"/>
    <w:rsid w:val="0033643A"/>
    <w:rsid w:val="003376B4"/>
    <w:rsid w:val="00337EE5"/>
    <w:rsid w:val="00340B8A"/>
    <w:rsid w:val="003418C9"/>
    <w:rsid w:val="0034243B"/>
    <w:rsid w:val="003429A5"/>
    <w:rsid w:val="0034349C"/>
    <w:rsid w:val="00343A80"/>
    <w:rsid w:val="00344CB3"/>
    <w:rsid w:val="00345269"/>
    <w:rsid w:val="00345F2F"/>
    <w:rsid w:val="003465CA"/>
    <w:rsid w:val="0034701F"/>
    <w:rsid w:val="00347914"/>
    <w:rsid w:val="00347D18"/>
    <w:rsid w:val="00350C2B"/>
    <w:rsid w:val="00350DCE"/>
    <w:rsid w:val="00350E36"/>
    <w:rsid w:val="0035162F"/>
    <w:rsid w:val="00351984"/>
    <w:rsid w:val="0035213A"/>
    <w:rsid w:val="00353788"/>
    <w:rsid w:val="00353E63"/>
    <w:rsid w:val="003553AB"/>
    <w:rsid w:val="00355B09"/>
    <w:rsid w:val="00357188"/>
    <w:rsid w:val="00360593"/>
    <w:rsid w:val="003610DD"/>
    <w:rsid w:val="0036264E"/>
    <w:rsid w:val="0036270F"/>
    <w:rsid w:val="003631CE"/>
    <w:rsid w:val="00363931"/>
    <w:rsid w:val="00363959"/>
    <w:rsid w:val="0036453E"/>
    <w:rsid w:val="00364AA7"/>
    <w:rsid w:val="00364BC3"/>
    <w:rsid w:val="00364FC8"/>
    <w:rsid w:val="00365795"/>
    <w:rsid w:val="00366986"/>
    <w:rsid w:val="00366CFE"/>
    <w:rsid w:val="0036718C"/>
    <w:rsid w:val="003708BF"/>
    <w:rsid w:val="00370D5A"/>
    <w:rsid w:val="00370FA9"/>
    <w:rsid w:val="00371989"/>
    <w:rsid w:val="00371AA6"/>
    <w:rsid w:val="00371C28"/>
    <w:rsid w:val="00372286"/>
    <w:rsid w:val="003725B1"/>
    <w:rsid w:val="00373BCD"/>
    <w:rsid w:val="00373F71"/>
    <w:rsid w:val="00375128"/>
    <w:rsid w:val="003751F8"/>
    <w:rsid w:val="00375C97"/>
    <w:rsid w:val="00376475"/>
    <w:rsid w:val="00376AA4"/>
    <w:rsid w:val="003778A3"/>
    <w:rsid w:val="00377916"/>
    <w:rsid w:val="00377A5D"/>
    <w:rsid w:val="00377EC4"/>
    <w:rsid w:val="0038031A"/>
    <w:rsid w:val="00380860"/>
    <w:rsid w:val="00380FE7"/>
    <w:rsid w:val="00382614"/>
    <w:rsid w:val="003827F6"/>
    <w:rsid w:val="003828B5"/>
    <w:rsid w:val="00384782"/>
    <w:rsid w:val="00385B64"/>
    <w:rsid w:val="00385CF0"/>
    <w:rsid w:val="00385D98"/>
    <w:rsid w:val="00385FC1"/>
    <w:rsid w:val="00386078"/>
    <w:rsid w:val="003860A9"/>
    <w:rsid w:val="0038622E"/>
    <w:rsid w:val="00390171"/>
    <w:rsid w:val="00390928"/>
    <w:rsid w:val="00390D2B"/>
    <w:rsid w:val="0039171F"/>
    <w:rsid w:val="00392321"/>
    <w:rsid w:val="00392450"/>
    <w:rsid w:val="00392F6D"/>
    <w:rsid w:val="00393B6F"/>
    <w:rsid w:val="00393CE6"/>
    <w:rsid w:val="00394390"/>
    <w:rsid w:val="00394391"/>
    <w:rsid w:val="003943CA"/>
    <w:rsid w:val="00396670"/>
    <w:rsid w:val="0039685E"/>
    <w:rsid w:val="00396C1B"/>
    <w:rsid w:val="00397444"/>
    <w:rsid w:val="00397F83"/>
    <w:rsid w:val="00397F9C"/>
    <w:rsid w:val="003A05F9"/>
    <w:rsid w:val="003A0985"/>
    <w:rsid w:val="003A10AC"/>
    <w:rsid w:val="003A1738"/>
    <w:rsid w:val="003A19F4"/>
    <w:rsid w:val="003A338A"/>
    <w:rsid w:val="003A33CE"/>
    <w:rsid w:val="003A3642"/>
    <w:rsid w:val="003A4E78"/>
    <w:rsid w:val="003A59D7"/>
    <w:rsid w:val="003A7263"/>
    <w:rsid w:val="003A763F"/>
    <w:rsid w:val="003A7994"/>
    <w:rsid w:val="003A7D74"/>
    <w:rsid w:val="003B04D8"/>
    <w:rsid w:val="003B0558"/>
    <w:rsid w:val="003B05AB"/>
    <w:rsid w:val="003B12A6"/>
    <w:rsid w:val="003B1A5B"/>
    <w:rsid w:val="003B1ABE"/>
    <w:rsid w:val="003B2315"/>
    <w:rsid w:val="003B28A8"/>
    <w:rsid w:val="003B2916"/>
    <w:rsid w:val="003B2BC5"/>
    <w:rsid w:val="003B3663"/>
    <w:rsid w:val="003B44CD"/>
    <w:rsid w:val="003B458B"/>
    <w:rsid w:val="003B4987"/>
    <w:rsid w:val="003B59DA"/>
    <w:rsid w:val="003B6083"/>
    <w:rsid w:val="003B6558"/>
    <w:rsid w:val="003B6999"/>
    <w:rsid w:val="003B714F"/>
    <w:rsid w:val="003B79C7"/>
    <w:rsid w:val="003C1E33"/>
    <w:rsid w:val="003C2219"/>
    <w:rsid w:val="003C2588"/>
    <w:rsid w:val="003C25A1"/>
    <w:rsid w:val="003C2DD4"/>
    <w:rsid w:val="003C3414"/>
    <w:rsid w:val="003C35B3"/>
    <w:rsid w:val="003C35ED"/>
    <w:rsid w:val="003C36C3"/>
    <w:rsid w:val="003C37B1"/>
    <w:rsid w:val="003C3816"/>
    <w:rsid w:val="003C467C"/>
    <w:rsid w:val="003C58F7"/>
    <w:rsid w:val="003C5CE9"/>
    <w:rsid w:val="003C631F"/>
    <w:rsid w:val="003C6F34"/>
    <w:rsid w:val="003C769D"/>
    <w:rsid w:val="003C7C0D"/>
    <w:rsid w:val="003D06DE"/>
    <w:rsid w:val="003D0A98"/>
    <w:rsid w:val="003D1026"/>
    <w:rsid w:val="003D2D2D"/>
    <w:rsid w:val="003D35B8"/>
    <w:rsid w:val="003D5697"/>
    <w:rsid w:val="003D5DE5"/>
    <w:rsid w:val="003D6242"/>
    <w:rsid w:val="003E00D0"/>
    <w:rsid w:val="003E096B"/>
    <w:rsid w:val="003E12B4"/>
    <w:rsid w:val="003E15DC"/>
    <w:rsid w:val="003E1D9D"/>
    <w:rsid w:val="003E2F33"/>
    <w:rsid w:val="003E4759"/>
    <w:rsid w:val="003E4EF8"/>
    <w:rsid w:val="003E5BBF"/>
    <w:rsid w:val="003E682E"/>
    <w:rsid w:val="003F2482"/>
    <w:rsid w:val="003F4145"/>
    <w:rsid w:val="003F4335"/>
    <w:rsid w:val="003F4700"/>
    <w:rsid w:val="003F5E36"/>
    <w:rsid w:val="003F61D1"/>
    <w:rsid w:val="003F7277"/>
    <w:rsid w:val="003F7DD7"/>
    <w:rsid w:val="004012F9"/>
    <w:rsid w:val="004019FB"/>
    <w:rsid w:val="00401D78"/>
    <w:rsid w:val="0040316E"/>
    <w:rsid w:val="00403B4D"/>
    <w:rsid w:val="00403EA9"/>
    <w:rsid w:val="00404086"/>
    <w:rsid w:val="00404A85"/>
    <w:rsid w:val="00404E6E"/>
    <w:rsid w:val="0040506E"/>
    <w:rsid w:val="0040507E"/>
    <w:rsid w:val="0040589F"/>
    <w:rsid w:val="00406737"/>
    <w:rsid w:val="004068B2"/>
    <w:rsid w:val="00406A34"/>
    <w:rsid w:val="004104EC"/>
    <w:rsid w:val="00410C75"/>
    <w:rsid w:val="00412173"/>
    <w:rsid w:val="00412198"/>
    <w:rsid w:val="00412330"/>
    <w:rsid w:val="004123F7"/>
    <w:rsid w:val="00412DBD"/>
    <w:rsid w:val="00413836"/>
    <w:rsid w:val="00414A69"/>
    <w:rsid w:val="00414D91"/>
    <w:rsid w:val="00414F78"/>
    <w:rsid w:val="00415370"/>
    <w:rsid w:val="0041621C"/>
    <w:rsid w:val="00416E4F"/>
    <w:rsid w:val="004178FB"/>
    <w:rsid w:val="00417C8C"/>
    <w:rsid w:val="004200CF"/>
    <w:rsid w:val="0042060B"/>
    <w:rsid w:val="00420FC3"/>
    <w:rsid w:val="0042110B"/>
    <w:rsid w:val="00421347"/>
    <w:rsid w:val="00421624"/>
    <w:rsid w:val="00421A0D"/>
    <w:rsid w:val="0042288A"/>
    <w:rsid w:val="00422942"/>
    <w:rsid w:val="004230BA"/>
    <w:rsid w:val="004233C4"/>
    <w:rsid w:val="00423708"/>
    <w:rsid w:val="0042424C"/>
    <w:rsid w:val="00427A5D"/>
    <w:rsid w:val="00427C35"/>
    <w:rsid w:val="004313C3"/>
    <w:rsid w:val="00432677"/>
    <w:rsid w:val="0043316B"/>
    <w:rsid w:val="00433599"/>
    <w:rsid w:val="004347FE"/>
    <w:rsid w:val="0043500D"/>
    <w:rsid w:val="004357D4"/>
    <w:rsid w:val="00436246"/>
    <w:rsid w:val="00440448"/>
    <w:rsid w:val="004412BE"/>
    <w:rsid w:val="00441782"/>
    <w:rsid w:val="00442821"/>
    <w:rsid w:val="004428DC"/>
    <w:rsid w:val="0044345D"/>
    <w:rsid w:val="00443B5C"/>
    <w:rsid w:val="004469E4"/>
    <w:rsid w:val="00446ABE"/>
    <w:rsid w:val="00447522"/>
    <w:rsid w:val="004477EF"/>
    <w:rsid w:val="0045133B"/>
    <w:rsid w:val="0045276B"/>
    <w:rsid w:val="00452F69"/>
    <w:rsid w:val="00453028"/>
    <w:rsid w:val="0045397C"/>
    <w:rsid w:val="004541C0"/>
    <w:rsid w:val="00454A8C"/>
    <w:rsid w:val="004566BE"/>
    <w:rsid w:val="0045687E"/>
    <w:rsid w:val="004571CF"/>
    <w:rsid w:val="004579A4"/>
    <w:rsid w:val="00457CC3"/>
    <w:rsid w:val="00460052"/>
    <w:rsid w:val="004601FE"/>
    <w:rsid w:val="00460BD2"/>
    <w:rsid w:val="00461886"/>
    <w:rsid w:val="00461D36"/>
    <w:rsid w:val="00462908"/>
    <w:rsid w:val="00462960"/>
    <w:rsid w:val="00463446"/>
    <w:rsid w:val="00463D2D"/>
    <w:rsid w:val="00463E27"/>
    <w:rsid w:val="004651D6"/>
    <w:rsid w:val="004651ED"/>
    <w:rsid w:val="00465778"/>
    <w:rsid w:val="004658BB"/>
    <w:rsid w:val="00466086"/>
    <w:rsid w:val="00466887"/>
    <w:rsid w:val="00471657"/>
    <w:rsid w:val="00472512"/>
    <w:rsid w:val="004734F8"/>
    <w:rsid w:val="004737A8"/>
    <w:rsid w:val="00474DEB"/>
    <w:rsid w:val="00475C86"/>
    <w:rsid w:val="00476470"/>
    <w:rsid w:val="00480681"/>
    <w:rsid w:val="00480F34"/>
    <w:rsid w:val="0048160B"/>
    <w:rsid w:val="00481B98"/>
    <w:rsid w:val="00481FC8"/>
    <w:rsid w:val="004821EF"/>
    <w:rsid w:val="00482387"/>
    <w:rsid w:val="004827D5"/>
    <w:rsid w:val="0048287C"/>
    <w:rsid w:val="00482C6F"/>
    <w:rsid w:val="0048329A"/>
    <w:rsid w:val="004848CB"/>
    <w:rsid w:val="00484BB4"/>
    <w:rsid w:val="0048516C"/>
    <w:rsid w:val="00485211"/>
    <w:rsid w:val="00485297"/>
    <w:rsid w:val="004855D0"/>
    <w:rsid w:val="00485934"/>
    <w:rsid w:val="00485E05"/>
    <w:rsid w:val="004878EC"/>
    <w:rsid w:val="0049019C"/>
    <w:rsid w:val="00490BBD"/>
    <w:rsid w:val="00490DFA"/>
    <w:rsid w:val="0049364E"/>
    <w:rsid w:val="004938E5"/>
    <w:rsid w:val="00493AB3"/>
    <w:rsid w:val="0049471B"/>
    <w:rsid w:val="004977BD"/>
    <w:rsid w:val="00497EF4"/>
    <w:rsid w:val="00497FF8"/>
    <w:rsid w:val="004A2496"/>
    <w:rsid w:val="004A2632"/>
    <w:rsid w:val="004A26DA"/>
    <w:rsid w:val="004A32EA"/>
    <w:rsid w:val="004A4995"/>
    <w:rsid w:val="004A4AA8"/>
    <w:rsid w:val="004A5258"/>
    <w:rsid w:val="004A56E4"/>
    <w:rsid w:val="004A6255"/>
    <w:rsid w:val="004A62BB"/>
    <w:rsid w:val="004A6DAF"/>
    <w:rsid w:val="004A7E93"/>
    <w:rsid w:val="004B007F"/>
    <w:rsid w:val="004B01C6"/>
    <w:rsid w:val="004B045A"/>
    <w:rsid w:val="004B0D85"/>
    <w:rsid w:val="004B0FD5"/>
    <w:rsid w:val="004B29FF"/>
    <w:rsid w:val="004B34D8"/>
    <w:rsid w:val="004B4546"/>
    <w:rsid w:val="004B4569"/>
    <w:rsid w:val="004B5204"/>
    <w:rsid w:val="004B5392"/>
    <w:rsid w:val="004B5E4D"/>
    <w:rsid w:val="004B5FE9"/>
    <w:rsid w:val="004B61B8"/>
    <w:rsid w:val="004B714C"/>
    <w:rsid w:val="004C003B"/>
    <w:rsid w:val="004C0176"/>
    <w:rsid w:val="004C0751"/>
    <w:rsid w:val="004C1230"/>
    <w:rsid w:val="004C2499"/>
    <w:rsid w:val="004C3105"/>
    <w:rsid w:val="004C33B0"/>
    <w:rsid w:val="004C4498"/>
    <w:rsid w:val="004C4A1F"/>
    <w:rsid w:val="004C522E"/>
    <w:rsid w:val="004C6109"/>
    <w:rsid w:val="004C614F"/>
    <w:rsid w:val="004C7380"/>
    <w:rsid w:val="004C7C5B"/>
    <w:rsid w:val="004D0873"/>
    <w:rsid w:val="004D2228"/>
    <w:rsid w:val="004D28E1"/>
    <w:rsid w:val="004D2BD7"/>
    <w:rsid w:val="004D3A10"/>
    <w:rsid w:val="004D40FA"/>
    <w:rsid w:val="004D4D15"/>
    <w:rsid w:val="004D5169"/>
    <w:rsid w:val="004D63D4"/>
    <w:rsid w:val="004D6C7B"/>
    <w:rsid w:val="004D713C"/>
    <w:rsid w:val="004D71B5"/>
    <w:rsid w:val="004D7B8F"/>
    <w:rsid w:val="004E1876"/>
    <w:rsid w:val="004E1F8F"/>
    <w:rsid w:val="004E30E6"/>
    <w:rsid w:val="004E32D9"/>
    <w:rsid w:val="004E32DF"/>
    <w:rsid w:val="004E33A0"/>
    <w:rsid w:val="004E3677"/>
    <w:rsid w:val="004E3C8C"/>
    <w:rsid w:val="004E511F"/>
    <w:rsid w:val="004E5DD9"/>
    <w:rsid w:val="004E68C6"/>
    <w:rsid w:val="004E6CDE"/>
    <w:rsid w:val="004E7516"/>
    <w:rsid w:val="004E7551"/>
    <w:rsid w:val="004E79A1"/>
    <w:rsid w:val="004E7DD0"/>
    <w:rsid w:val="004F017B"/>
    <w:rsid w:val="004F0230"/>
    <w:rsid w:val="004F2FB5"/>
    <w:rsid w:val="004F331F"/>
    <w:rsid w:val="004F3476"/>
    <w:rsid w:val="004F3CA5"/>
    <w:rsid w:val="004F5DE7"/>
    <w:rsid w:val="004F65A8"/>
    <w:rsid w:val="004F68A7"/>
    <w:rsid w:val="004F6B04"/>
    <w:rsid w:val="004F6C49"/>
    <w:rsid w:val="004F7129"/>
    <w:rsid w:val="004F73EA"/>
    <w:rsid w:val="004F77B8"/>
    <w:rsid w:val="005003B4"/>
    <w:rsid w:val="00502149"/>
    <w:rsid w:val="00503B3F"/>
    <w:rsid w:val="005057B8"/>
    <w:rsid w:val="00505924"/>
    <w:rsid w:val="0050601B"/>
    <w:rsid w:val="00506585"/>
    <w:rsid w:val="00510644"/>
    <w:rsid w:val="00511EF5"/>
    <w:rsid w:val="00511F85"/>
    <w:rsid w:val="00512D5C"/>
    <w:rsid w:val="00512D64"/>
    <w:rsid w:val="005136D7"/>
    <w:rsid w:val="00514707"/>
    <w:rsid w:val="005149CB"/>
    <w:rsid w:val="00514CB0"/>
    <w:rsid w:val="00514F1D"/>
    <w:rsid w:val="00515342"/>
    <w:rsid w:val="0051643C"/>
    <w:rsid w:val="0051753B"/>
    <w:rsid w:val="005175F8"/>
    <w:rsid w:val="005223E3"/>
    <w:rsid w:val="00522573"/>
    <w:rsid w:val="00522BDA"/>
    <w:rsid w:val="00522F2D"/>
    <w:rsid w:val="0052330A"/>
    <w:rsid w:val="00524199"/>
    <w:rsid w:val="005248B1"/>
    <w:rsid w:val="00524FD9"/>
    <w:rsid w:val="00526587"/>
    <w:rsid w:val="00526D1B"/>
    <w:rsid w:val="00527276"/>
    <w:rsid w:val="005305F9"/>
    <w:rsid w:val="00530E40"/>
    <w:rsid w:val="00531446"/>
    <w:rsid w:val="00531D7C"/>
    <w:rsid w:val="00532653"/>
    <w:rsid w:val="00532B60"/>
    <w:rsid w:val="00532EF0"/>
    <w:rsid w:val="00533200"/>
    <w:rsid w:val="0053753D"/>
    <w:rsid w:val="00537E10"/>
    <w:rsid w:val="005401BF"/>
    <w:rsid w:val="00540769"/>
    <w:rsid w:val="00540C5B"/>
    <w:rsid w:val="00541A25"/>
    <w:rsid w:val="00541EFB"/>
    <w:rsid w:val="00542D48"/>
    <w:rsid w:val="005431A8"/>
    <w:rsid w:val="005439D4"/>
    <w:rsid w:val="00543D36"/>
    <w:rsid w:val="0054420C"/>
    <w:rsid w:val="00544B76"/>
    <w:rsid w:val="00545130"/>
    <w:rsid w:val="00545A45"/>
    <w:rsid w:val="005463EE"/>
    <w:rsid w:val="00546724"/>
    <w:rsid w:val="00546EB2"/>
    <w:rsid w:val="00547505"/>
    <w:rsid w:val="00547CDA"/>
    <w:rsid w:val="0055006B"/>
    <w:rsid w:val="00553401"/>
    <w:rsid w:val="00554445"/>
    <w:rsid w:val="00557BCF"/>
    <w:rsid w:val="00557ED0"/>
    <w:rsid w:val="005607DD"/>
    <w:rsid w:val="00560B7D"/>
    <w:rsid w:val="00561280"/>
    <w:rsid w:val="00561798"/>
    <w:rsid w:val="00562659"/>
    <w:rsid w:val="00563215"/>
    <w:rsid w:val="0056358E"/>
    <w:rsid w:val="00563E6C"/>
    <w:rsid w:val="005645B9"/>
    <w:rsid w:val="0056479D"/>
    <w:rsid w:val="00564BB1"/>
    <w:rsid w:val="00565C21"/>
    <w:rsid w:val="00566BD4"/>
    <w:rsid w:val="005673FD"/>
    <w:rsid w:val="00567A5A"/>
    <w:rsid w:val="00567AD6"/>
    <w:rsid w:val="00567DAE"/>
    <w:rsid w:val="00570343"/>
    <w:rsid w:val="005720A1"/>
    <w:rsid w:val="00572BBF"/>
    <w:rsid w:val="00572CE6"/>
    <w:rsid w:val="005746E2"/>
    <w:rsid w:val="00574ADE"/>
    <w:rsid w:val="00575091"/>
    <w:rsid w:val="00575528"/>
    <w:rsid w:val="0057636D"/>
    <w:rsid w:val="00576B4E"/>
    <w:rsid w:val="0057722B"/>
    <w:rsid w:val="00577B08"/>
    <w:rsid w:val="0058077C"/>
    <w:rsid w:val="0058099B"/>
    <w:rsid w:val="005818EE"/>
    <w:rsid w:val="005819A9"/>
    <w:rsid w:val="00581ADE"/>
    <w:rsid w:val="00582C35"/>
    <w:rsid w:val="00583533"/>
    <w:rsid w:val="00584526"/>
    <w:rsid w:val="0058554B"/>
    <w:rsid w:val="005858F2"/>
    <w:rsid w:val="00585B09"/>
    <w:rsid w:val="00586B42"/>
    <w:rsid w:val="00590959"/>
    <w:rsid w:val="005915F1"/>
    <w:rsid w:val="00592FB4"/>
    <w:rsid w:val="0059346E"/>
    <w:rsid w:val="00593A5F"/>
    <w:rsid w:val="0059480F"/>
    <w:rsid w:val="00594FEE"/>
    <w:rsid w:val="005957D9"/>
    <w:rsid w:val="00595AF9"/>
    <w:rsid w:val="0059782E"/>
    <w:rsid w:val="005A052C"/>
    <w:rsid w:val="005A1588"/>
    <w:rsid w:val="005A163F"/>
    <w:rsid w:val="005A2BC4"/>
    <w:rsid w:val="005A32D9"/>
    <w:rsid w:val="005A3689"/>
    <w:rsid w:val="005A38D7"/>
    <w:rsid w:val="005A4368"/>
    <w:rsid w:val="005A4956"/>
    <w:rsid w:val="005A5AED"/>
    <w:rsid w:val="005A5FF5"/>
    <w:rsid w:val="005A63C7"/>
    <w:rsid w:val="005A7E4E"/>
    <w:rsid w:val="005B027D"/>
    <w:rsid w:val="005B08D7"/>
    <w:rsid w:val="005B0D14"/>
    <w:rsid w:val="005B14C8"/>
    <w:rsid w:val="005B1F04"/>
    <w:rsid w:val="005B28DB"/>
    <w:rsid w:val="005B2A13"/>
    <w:rsid w:val="005B3433"/>
    <w:rsid w:val="005B3DD8"/>
    <w:rsid w:val="005B3FD3"/>
    <w:rsid w:val="005B474C"/>
    <w:rsid w:val="005B6430"/>
    <w:rsid w:val="005B664C"/>
    <w:rsid w:val="005B6B4C"/>
    <w:rsid w:val="005B6E15"/>
    <w:rsid w:val="005B6E58"/>
    <w:rsid w:val="005B7198"/>
    <w:rsid w:val="005B7865"/>
    <w:rsid w:val="005B7DCE"/>
    <w:rsid w:val="005C1819"/>
    <w:rsid w:val="005C1C9A"/>
    <w:rsid w:val="005C1F53"/>
    <w:rsid w:val="005C2B2A"/>
    <w:rsid w:val="005C3D98"/>
    <w:rsid w:val="005C3DE4"/>
    <w:rsid w:val="005C53E4"/>
    <w:rsid w:val="005C5403"/>
    <w:rsid w:val="005C544E"/>
    <w:rsid w:val="005C612E"/>
    <w:rsid w:val="005C6E3E"/>
    <w:rsid w:val="005D18B6"/>
    <w:rsid w:val="005D1E75"/>
    <w:rsid w:val="005D21FD"/>
    <w:rsid w:val="005D2E15"/>
    <w:rsid w:val="005D2E57"/>
    <w:rsid w:val="005D3CF8"/>
    <w:rsid w:val="005D420F"/>
    <w:rsid w:val="005D4A4F"/>
    <w:rsid w:val="005D4BDB"/>
    <w:rsid w:val="005D527D"/>
    <w:rsid w:val="005D543E"/>
    <w:rsid w:val="005D54D7"/>
    <w:rsid w:val="005D5788"/>
    <w:rsid w:val="005D5BC5"/>
    <w:rsid w:val="005D5F7A"/>
    <w:rsid w:val="005D633E"/>
    <w:rsid w:val="005D64E7"/>
    <w:rsid w:val="005D6CD4"/>
    <w:rsid w:val="005D772F"/>
    <w:rsid w:val="005D7BDA"/>
    <w:rsid w:val="005E051D"/>
    <w:rsid w:val="005E169E"/>
    <w:rsid w:val="005E1C29"/>
    <w:rsid w:val="005E3C97"/>
    <w:rsid w:val="005E46D8"/>
    <w:rsid w:val="005E4A72"/>
    <w:rsid w:val="005E56F1"/>
    <w:rsid w:val="005E5A8E"/>
    <w:rsid w:val="005E6EE9"/>
    <w:rsid w:val="005F0AF1"/>
    <w:rsid w:val="005F0B25"/>
    <w:rsid w:val="005F1AB6"/>
    <w:rsid w:val="005F1B26"/>
    <w:rsid w:val="005F306F"/>
    <w:rsid w:val="005F3E29"/>
    <w:rsid w:val="005F42CA"/>
    <w:rsid w:val="005F521F"/>
    <w:rsid w:val="005F5504"/>
    <w:rsid w:val="005F56CD"/>
    <w:rsid w:val="005F6402"/>
    <w:rsid w:val="005F73CB"/>
    <w:rsid w:val="005F7415"/>
    <w:rsid w:val="0060012B"/>
    <w:rsid w:val="006002A5"/>
    <w:rsid w:val="00602AF8"/>
    <w:rsid w:val="00602BA0"/>
    <w:rsid w:val="00603466"/>
    <w:rsid w:val="00603E05"/>
    <w:rsid w:val="00604050"/>
    <w:rsid w:val="0060485B"/>
    <w:rsid w:val="00604BDF"/>
    <w:rsid w:val="006055EC"/>
    <w:rsid w:val="00605659"/>
    <w:rsid w:val="00605EB2"/>
    <w:rsid w:val="00606089"/>
    <w:rsid w:val="006069AA"/>
    <w:rsid w:val="00606BFF"/>
    <w:rsid w:val="00606DA6"/>
    <w:rsid w:val="0060706C"/>
    <w:rsid w:val="00607E2F"/>
    <w:rsid w:val="0061236B"/>
    <w:rsid w:val="00612E49"/>
    <w:rsid w:val="00613DE8"/>
    <w:rsid w:val="00614002"/>
    <w:rsid w:val="00614BC6"/>
    <w:rsid w:val="00615BCA"/>
    <w:rsid w:val="00615D9B"/>
    <w:rsid w:val="006161F8"/>
    <w:rsid w:val="00616404"/>
    <w:rsid w:val="006169DA"/>
    <w:rsid w:val="00620486"/>
    <w:rsid w:val="00620A13"/>
    <w:rsid w:val="00620E91"/>
    <w:rsid w:val="00620FFD"/>
    <w:rsid w:val="0062133D"/>
    <w:rsid w:val="0062194D"/>
    <w:rsid w:val="00623259"/>
    <w:rsid w:val="006237CA"/>
    <w:rsid w:val="00623E3D"/>
    <w:rsid w:val="006248B8"/>
    <w:rsid w:val="00626337"/>
    <w:rsid w:val="0062694D"/>
    <w:rsid w:val="00626AB2"/>
    <w:rsid w:val="00627039"/>
    <w:rsid w:val="00627A9C"/>
    <w:rsid w:val="00627B22"/>
    <w:rsid w:val="0063033E"/>
    <w:rsid w:val="00630BA0"/>
    <w:rsid w:val="0063253A"/>
    <w:rsid w:val="00633C9B"/>
    <w:rsid w:val="00635AD1"/>
    <w:rsid w:val="00635CCB"/>
    <w:rsid w:val="00640BFA"/>
    <w:rsid w:val="0064188A"/>
    <w:rsid w:val="006426D5"/>
    <w:rsid w:val="006437DB"/>
    <w:rsid w:val="00643D3A"/>
    <w:rsid w:val="00643D8C"/>
    <w:rsid w:val="00644E7D"/>
    <w:rsid w:val="0064532D"/>
    <w:rsid w:val="00646C9C"/>
    <w:rsid w:val="006508B4"/>
    <w:rsid w:val="00650A54"/>
    <w:rsid w:val="0065139E"/>
    <w:rsid w:val="00651865"/>
    <w:rsid w:val="00651FDD"/>
    <w:rsid w:val="006522E8"/>
    <w:rsid w:val="00653CC6"/>
    <w:rsid w:val="006545DC"/>
    <w:rsid w:val="00654C83"/>
    <w:rsid w:val="00654F3A"/>
    <w:rsid w:val="006554F2"/>
    <w:rsid w:val="00655C04"/>
    <w:rsid w:val="00657D71"/>
    <w:rsid w:val="00660197"/>
    <w:rsid w:val="00660BD5"/>
    <w:rsid w:val="00661A18"/>
    <w:rsid w:val="00661BDE"/>
    <w:rsid w:val="00662277"/>
    <w:rsid w:val="006628B2"/>
    <w:rsid w:val="00662DAB"/>
    <w:rsid w:val="006633EE"/>
    <w:rsid w:val="006635C7"/>
    <w:rsid w:val="00663776"/>
    <w:rsid w:val="00663861"/>
    <w:rsid w:val="0066463D"/>
    <w:rsid w:val="00664ECB"/>
    <w:rsid w:val="00666087"/>
    <w:rsid w:val="00666200"/>
    <w:rsid w:val="0066712A"/>
    <w:rsid w:val="00667660"/>
    <w:rsid w:val="00671E7D"/>
    <w:rsid w:val="00672415"/>
    <w:rsid w:val="00672975"/>
    <w:rsid w:val="0067339B"/>
    <w:rsid w:val="006735CC"/>
    <w:rsid w:val="00673C00"/>
    <w:rsid w:val="00674A38"/>
    <w:rsid w:val="00674CBD"/>
    <w:rsid w:val="006753AF"/>
    <w:rsid w:val="006754B1"/>
    <w:rsid w:val="00675768"/>
    <w:rsid w:val="0067577F"/>
    <w:rsid w:val="006759AD"/>
    <w:rsid w:val="006760D2"/>
    <w:rsid w:val="00676E19"/>
    <w:rsid w:val="00680250"/>
    <w:rsid w:val="00680294"/>
    <w:rsid w:val="0068045C"/>
    <w:rsid w:val="006807E8"/>
    <w:rsid w:val="00682056"/>
    <w:rsid w:val="006822BF"/>
    <w:rsid w:val="00683118"/>
    <w:rsid w:val="00683B19"/>
    <w:rsid w:val="00683C2F"/>
    <w:rsid w:val="006840D7"/>
    <w:rsid w:val="00685F73"/>
    <w:rsid w:val="006861D7"/>
    <w:rsid w:val="006868BA"/>
    <w:rsid w:val="00686DEE"/>
    <w:rsid w:val="00686E91"/>
    <w:rsid w:val="00687FE3"/>
    <w:rsid w:val="00690610"/>
    <w:rsid w:val="006906B3"/>
    <w:rsid w:val="00690F1B"/>
    <w:rsid w:val="00692C08"/>
    <w:rsid w:val="00692D68"/>
    <w:rsid w:val="006930E5"/>
    <w:rsid w:val="006938EA"/>
    <w:rsid w:val="006941D8"/>
    <w:rsid w:val="00694618"/>
    <w:rsid w:val="00695ABD"/>
    <w:rsid w:val="00696564"/>
    <w:rsid w:val="00696B26"/>
    <w:rsid w:val="00696F35"/>
    <w:rsid w:val="00697906"/>
    <w:rsid w:val="00697AE7"/>
    <w:rsid w:val="00697D06"/>
    <w:rsid w:val="006A00F7"/>
    <w:rsid w:val="006A029C"/>
    <w:rsid w:val="006A1043"/>
    <w:rsid w:val="006A24E8"/>
    <w:rsid w:val="006A319C"/>
    <w:rsid w:val="006A3378"/>
    <w:rsid w:val="006A3694"/>
    <w:rsid w:val="006A3EFA"/>
    <w:rsid w:val="006A3FEF"/>
    <w:rsid w:val="006A52A9"/>
    <w:rsid w:val="006A5986"/>
    <w:rsid w:val="006A5DDB"/>
    <w:rsid w:val="006A61D0"/>
    <w:rsid w:val="006A62DE"/>
    <w:rsid w:val="006A6475"/>
    <w:rsid w:val="006A653D"/>
    <w:rsid w:val="006A6D77"/>
    <w:rsid w:val="006A7781"/>
    <w:rsid w:val="006B0935"/>
    <w:rsid w:val="006B0BA1"/>
    <w:rsid w:val="006B0F08"/>
    <w:rsid w:val="006B1711"/>
    <w:rsid w:val="006B1D4F"/>
    <w:rsid w:val="006B1EA9"/>
    <w:rsid w:val="006B34A1"/>
    <w:rsid w:val="006B4222"/>
    <w:rsid w:val="006B44FC"/>
    <w:rsid w:val="006B57DE"/>
    <w:rsid w:val="006B64CF"/>
    <w:rsid w:val="006B6544"/>
    <w:rsid w:val="006B6B5F"/>
    <w:rsid w:val="006B7EB8"/>
    <w:rsid w:val="006C007E"/>
    <w:rsid w:val="006C1B1D"/>
    <w:rsid w:val="006C1CBB"/>
    <w:rsid w:val="006C20FF"/>
    <w:rsid w:val="006C34A1"/>
    <w:rsid w:val="006C3965"/>
    <w:rsid w:val="006C3BC1"/>
    <w:rsid w:val="006C3C67"/>
    <w:rsid w:val="006C4126"/>
    <w:rsid w:val="006C4CE2"/>
    <w:rsid w:val="006C5459"/>
    <w:rsid w:val="006C586D"/>
    <w:rsid w:val="006C69BF"/>
    <w:rsid w:val="006C6AC8"/>
    <w:rsid w:val="006C6F31"/>
    <w:rsid w:val="006D08D9"/>
    <w:rsid w:val="006D19CA"/>
    <w:rsid w:val="006D1F85"/>
    <w:rsid w:val="006D22C8"/>
    <w:rsid w:val="006D24DE"/>
    <w:rsid w:val="006D24FE"/>
    <w:rsid w:val="006D26C7"/>
    <w:rsid w:val="006D2886"/>
    <w:rsid w:val="006D2F76"/>
    <w:rsid w:val="006D2F85"/>
    <w:rsid w:val="006D4994"/>
    <w:rsid w:val="006D4DCE"/>
    <w:rsid w:val="006D55EE"/>
    <w:rsid w:val="006D5B13"/>
    <w:rsid w:val="006D5F1B"/>
    <w:rsid w:val="006D6A96"/>
    <w:rsid w:val="006D6D97"/>
    <w:rsid w:val="006D6DDD"/>
    <w:rsid w:val="006D70B9"/>
    <w:rsid w:val="006D7C41"/>
    <w:rsid w:val="006E02D8"/>
    <w:rsid w:val="006E0596"/>
    <w:rsid w:val="006E05B4"/>
    <w:rsid w:val="006E09B1"/>
    <w:rsid w:val="006E21C7"/>
    <w:rsid w:val="006E43D2"/>
    <w:rsid w:val="006E4979"/>
    <w:rsid w:val="006E4A77"/>
    <w:rsid w:val="006E4EFF"/>
    <w:rsid w:val="006E535A"/>
    <w:rsid w:val="006E58A7"/>
    <w:rsid w:val="006E5E40"/>
    <w:rsid w:val="006E6885"/>
    <w:rsid w:val="006E6B94"/>
    <w:rsid w:val="006E6BF1"/>
    <w:rsid w:val="006E78AF"/>
    <w:rsid w:val="006E7F44"/>
    <w:rsid w:val="006F005A"/>
    <w:rsid w:val="006F0274"/>
    <w:rsid w:val="006F0C12"/>
    <w:rsid w:val="006F0F7D"/>
    <w:rsid w:val="006F2B23"/>
    <w:rsid w:val="006F2CB2"/>
    <w:rsid w:val="006F3364"/>
    <w:rsid w:val="006F3D54"/>
    <w:rsid w:val="006F411F"/>
    <w:rsid w:val="006F4982"/>
    <w:rsid w:val="006F5516"/>
    <w:rsid w:val="006F55EA"/>
    <w:rsid w:val="006F5AC0"/>
    <w:rsid w:val="006F648E"/>
    <w:rsid w:val="006F6E5E"/>
    <w:rsid w:val="006F75F6"/>
    <w:rsid w:val="00700F28"/>
    <w:rsid w:val="0070166B"/>
    <w:rsid w:val="0070191F"/>
    <w:rsid w:val="00702AB2"/>
    <w:rsid w:val="00703DFD"/>
    <w:rsid w:val="007047E0"/>
    <w:rsid w:val="0070500B"/>
    <w:rsid w:val="00705DBF"/>
    <w:rsid w:val="00706548"/>
    <w:rsid w:val="0070662C"/>
    <w:rsid w:val="00706C6A"/>
    <w:rsid w:val="00707949"/>
    <w:rsid w:val="00707DC6"/>
    <w:rsid w:val="0071026F"/>
    <w:rsid w:val="00710792"/>
    <w:rsid w:val="00710F73"/>
    <w:rsid w:val="0071102C"/>
    <w:rsid w:val="00711442"/>
    <w:rsid w:val="007124A3"/>
    <w:rsid w:val="00713450"/>
    <w:rsid w:val="00713C0F"/>
    <w:rsid w:val="00713D69"/>
    <w:rsid w:val="00714F74"/>
    <w:rsid w:val="0071573C"/>
    <w:rsid w:val="00715BA8"/>
    <w:rsid w:val="007164A0"/>
    <w:rsid w:val="00716AF3"/>
    <w:rsid w:val="00717E89"/>
    <w:rsid w:val="00720E9B"/>
    <w:rsid w:val="0072190C"/>
    <w:rsid w:val="00721A1B"/>
    <w:rsid w:val="00721B26"/>
    <w:rsid w:val="00723588"/>
    <w:rsid w:val="007235C5"/>
    <w:rsid w:val="00724AD9"/>
    <w:rsid w:val="00725322"/>
    <w:rsid w:val="007257B3"/>
    <w:rsid w:val="0072622D"/>
    <w:rsid w:val="00726629"/>
    <w:rsid w:val="007268B4"/>
    <w:rsid w:val="00727C94"/>
    <w:rsid w:val="00727F33"/>
    <w:rsid w:val="007304B2"/>
    <w:rsid w:val="00730EE6"/>
    <w:rsid w:val="007315B4"/>
    <w:rsid w:val="00731A19"/>
    <w:rsid w:val="0073338B"/>
    <w:rsid w:val="00733DE9"/>
    <w:rsid w:val="00736456"/>
    <w:rsid w:val="00736E33"/>
    <w:rsid w:val="00737E23"/>
    <w:rsid w:val="00740005"/>
    <w:rsid w:val="00740569"/>
    <w:rsid w:val="00740C99"/>
    <w:rsid w:val="00742287"/>
    <w:rsid w:val="007425F9"/>
    <w:rsid w:val="00742693"/>
    <w:rsid w:val="00742F62"/>
    <w:rsid w:val="007436C0"/>
    <w:rsid w:val="00743F64"/>
    <w:rsid w:val="0074469C"/>
    <w:rsid w:val="00745F0C"/>
    <w:rsid w:val="00746961"/>
    <w:rsid w:val="00746DFF"/>
    <w:rsid w:val="00747953"/>
    <w:rsid w:val="00747D03"/>
    <w:rsid w:val="007509A9"/>
    <w:rsid w:val="00751D91"/>
    <w:rsid w:val="00752042"/>
    <w:rsid w:val="007524F0"/>
    <w:rsid w:val="00753598"/>
    <w:rsid w:val="00753CBE"/>
    <w:rsid w:val="00754CB8"/>
    <w:rsid w:val="00755925"/>
    <w:rsid w:val="00756123"/>
    <w:rsid w:val="0075744B"/>
    <w:rsid w:val="0075759C"/>
    <w:rsid w:val="00757A8E"/>
    <w:rsid w:val="007602D6"/>
    <w:rsid w:val="00760706"/>
    <w:rsid w:val="00761A35"/>
    <w:rsid w:val="007632AE"/>
    <w:rsid w:val="007639AB"/>
    <w:rsid w:val="00765515"/>
    <w:rsid w:val="00765D10"/>
    <w:rsid w:val="00766186"/>
    <w:rsid w:val="0076640E"/>
    <w:rsid w:val="0076675A"/>
    <w:rsid w:val="00766B60"/>
    <w:rsid w:val="00766F2A"/>
    <w:rsid w:val="007672EB"/>
    <w:rsid w:val="00770238"/>
    <w:rsid w:val="0077033F"/>
    <w:rsid w:val="00771275"/>
    <w:rsid w:val="00772116"/>
    <w:rsid w:val="0077289A"/>
    <w:rsid w:val="00772B48"/>
    <w:rsid w:val="0077395D"/>
    <w:rsid w:val="00773EAB"/>
    <w:rsid w:val="0077409D"/>
    <w:rsid w:val="00774494"/>
    <w:rsid w:val="00775651"/>
    <w:rsid w:val="00775E49"/>
    <w:rsid w:val="0078050D"/>
    <w:rsid w:val="00780E01"/>
    <w:rsid w:val="00782A4F"/>
    <w:rsid w:val="00782B69"/>
    <w:rsid w:val="00784E23"/>
    <w:rsid w:val="0078507B"/>
    <w:rsid w:val="00785404"/>
    <w:rsid w:val="00785829"/>
    <w:rsid w:val="0078594A"/>
    <w:rsid w:val="007859A0"/>
    <w:rsid w:val="007861C1"/>
    <w:rsid w:val="00786C00"/>
    <w:rsid w:val="00787E21"/>
    <w:rsid w:val="00790A83"/>
    <w:rsid w:val="007911B6"/>
    <w:rsid w:val="00791F86"/>
    <w:rsid w:val="00792EDB"/>
    <w:rsid w:val="00793A60"/>
    <w:rsid w:val="00793E41"/>
    <w:rsid w:val="007948A0"/>
    <w:rsid w:val="007951C0"/>
    <w:rsid w:val="00795774"/>
    <w:rsid w:val="0079587E"/>
    <w:rsid w:val="00795B5F"/>
    <w:rsid w:val="00797A26"/>
    <w:rsid w:val="007A015F"/>
    <w:rsid w:val="007A0C7D"/>
    <w:rsid w:val="007A1C6F"/>
    <w:rsid w:val="007A1D66"/>
    <w:rsid w:val="007A386E"/>
    <w:rsid w:val="007A4297"/>
    <w:rsid w:val="007A5498"/>
    <w:rsid w:val="007A6044"/>
    <w:rsid w:val="007A6C64"/>
    <w:rsid w:val="007B01A5"/>
    <w:rsid w:val="007B05A4"/>
    <w:rsid w:val="007B0919"/>
    <w:rsid w:val="007B13AD"/>
    <w:rsid w:val="007B1510"/>
    <w:rsid w:val="007B1939"/>
    <w:rsid w:val="007B2005"/>
    <w:rsid w:val="007B24CA"/>
    <w:rsid w:val="007C0550"/>
    <w:rsid w:val="007C058D"/>
    <w:rsid w:val="007C0F9E"/>
    <w:rsid w:val="007C10C4"/>
    <w:rsid w:val="007C1BF7"/>
    <w:rsid w:val="007C36C7"/>
    <w:rsid w:val="007C3B6E"/>
    <w:rsid w:val="007C4E53"/>
    <w:rsid w:val="007C7284"/>
    <w:rsid w:val="007C7499"/>
    <w:rsid w:val="007D037C"/>
    <w:rsid w:val="007D0AC3"/>
    <w:rsid w:val="007D1120"/>
    <w:rsid w:val="007D1C4C"/>
    <w:rsid w:val="007D1F09"/>
    <w:rsid w:val="007D1F84"/>
    <w:rsid w:val="007D276A"/>
    <w:rsid w:val="007D3725"/>
    <w:rsid w:val="007D5FDE"/>
    <w:rsid w:val="007D6B22"/>
    <w:rsid w:val="007D6E0F"/>
    <w:rsid w:val="007D71C0"/>
    <w:rsid w:val="007E0E0B"/>
    <w:rsid w:val="007E2B08"/>
    <w:rsid w:val="007E2E92"/>
    <w:rsid w:val="007E38DC"/>
    <w:rsid w:val="007E52AB"/>
    <w:rsid w:val="007E5A8D"/>
    <w:rsid w:val="007E5B84"/>
    <w:rsid w:val="007E6094"/>
    <w:rsid w:val="007E64B5"/>
    <w:rsid w:val="007E70E4"/>
    <w:rsid w:val="007E71CF"/>
    <w:rsid w:val="007E7612"/>
    <w:rsid w:val="007E7A50"/>
    <w:rsid w:val="007E7DD5"/>
    <w:rsid w:val="007E7E96"/>
    <w:rsid w:val="007F0831"/>
    <w:rsid w:val="007F1025"/>
    <w:rsid w:val="007F1425"/>
    <w:rsid w:val="007F1D6F"/>
    <w:rsid w:val="007F2A82"/>
    <w:rsid w:val="007F3575"/>
    <w:rsid w:val="007F35CF"/>
    <w:rsid w:val="007F4BEA"/>
    <w:rsid w:val="007F53D5"/>
    <w:rsid w:val="007F5724"/>
    <w:rsid w:val="007F5738"/>
    <w:rsid w:val="007F5DBF"/>
    <w:rsid w:val="007F7754"/>
    <w:rsid w:val="007F777D"/>
    <w:rsid w:val="008012D8"/>
    <w:rsid w:val="00801486"/>
    <w:rsid w:val="00801754"/>
    <w:rsid w:val="00801C9F"/>
    <w:rsid w:val="008027F3"/>
    <w:rsid w:val="008028E2"/>
    <w:rsid w:val="008030E2"/>
    <w:rsid w:val="00803369"/>
    <w:rsid w:val="0080342A"/>
    <w:rsid w:val="008039CF"/>
    <w:rsid w:val="00803D74"/>
    <w:rsid w:val="00804E4D"/>
    <w:rsid w:val="0080592D"/>
    <w:rsid w:val="00805DD6"/>
    <w:rsid w:val="00806993"/>
    <w:rsid w:val="00806BAF"/>
    <w:rsid w:val="00807FFB"/>
    <w:rsid w:val="00810BA7"/>
    <w:rsid w:val="00810C80"/>
    <w:rsid w:val="00813928"/>
    <w:rsid w:val="008151CC"/>
    <w:rsid w:val="008155B7"/>
    <w:rsid w:val="0081648A"/>
    <w:rsid w:val="00817175"/>
    <w:rsid w:val="0081748E"/>
    <w:rsid w:val="0081784C"/>
    <w:rsid w:val="00817D43"/>
    <w:rsid w:val="00817F39"/>
    <w:rsid w:val="00820045"/>
    <w:rsid w:val="00820DE0"/>
    <w:rsid w:val="00820EBF"/>
    <w:rsid w:val="0082134F"/>
    <w:rsid w:val="00822FFE"/>
    <w:rsid w:val="00824D63"/>
    <w:rsid w:val="00826416"/>
    <w:rsid w:val="00826973"/>
    <w:rsid w:val="008269DA"/>
    <w:rsid w:val="00826ECC"/>
    <w:rsid w:val="008274C2"/>
    <w:rsid w:val="00827F15"/>
    <w:rsid w:val="00830521"/>
    <w:rsid w:val="00830629"/>
    <w:rsid w:val="00832941"/>
    <w:rsid w:val="00832B61"/>
    <w:rsid w:val="00832DB7"/>
    <w:rsid w:val="00832F3D"/>
    <w:rsid w:val="00833E5E"/>
    <w:rsid w:val="00834D19"/>
    <w:rsid w:val="00835A2B"/>
    <w:rsid w:val="00835B05"/>
    <w:rsid w:val="00836063"/>
    <w:rsid w:val="00836839"/>
    <w:rsid w:val="00836D5C"/>
    <w:rsid w:val="00840B9C"/>
    <w:rsid w:val="00841DDD"/>
    <w:rsid w:val="00842C5C"/>
    <w:rsid w:val="00843274"/>
    <w:rsid w:val="008437E3"/>
    <w:rsid w:val="00844167"/>
    <w:rsid w:val="00844664"/>
    <w:rsid w:val="008459E2"/>
    <w:rsid w:val="00845B6C"/>
    <w:rsid w:val="00845E0A"/>
    <w:rsid w:val="00845E77"/>
    <w:rsid w:val="008462AF"/>
    <w:rsid w:val="00846319"/>
    <w:rsid w:val="008465E0"/>
    <w:rsid w:val="00846A39"/>
    <w:rsid w:val="0084796C"/>
    <w:rsid w:val="00850C52"/>
    <w:rsid w:val="008523D1"/>
    <w:rsid w:val="0085298B"/>
    <w:rsid w:val="00852D34"/>
    <w:rsid w:val="00854055"/>
    <w:rsid w:val="008549DC"/>
    <w:rsid w:val="00855735"/>
    <w:rsid w:val="008559AF"/>
    <w:rsid w:val="00856DE9"/>
    <w:rsid w:val="008571FB"/>
    <w:rsid w:val="008575CF"/>
    <w:rsid w:val="008578C8"/>
    <w:rsid w:val="00861FB3"/>
    <w:rsid w:val="00862738"/>
    <w:rsid w:val="00863115"/>
    <w:rsid w:val="0086311C"/>
    <w:rsid w:val="00864B30"/>
    <w:rsid w:val="00865B3E"/>
    <w:rsid w:val="00865D03"/>
    <w:rsid w:val="0086641A"/>
    <w:rsid w:val="0086691F"/>
    <w:rsid w:val="00870588"/>
    <w:rsid w:val="00870CD0"/>
    <w:rsid w:val="00870F8C"/>
    <w:rsid w:val="00871181"/>
    <w:rsid w:val="0087358E"/>
    <w:rsid w:val="00873B5B"/>
    <w:rsid w:val="00873CB5"/>
    <w:rsid w:val="00873D00"/>
    <w:rsid w:val="00875910"/>
    <w:rsid w:val="00875A5B"/>
    <w:rsid w:val="00875AF4"/>
    <w:rsid w:val="00876AD3"/>
    <w:rsid w:val="00876CBB"/>
    <w:rsid w:val="00876D07"/>
    <w:rsid w:val="00876E22"/>
    <w:rsid w:val="008771DF"/>
    <w:rsid w:val="00877D5D"/>
    <w:rsid w:val="008800BD"/>
    <w:rsid w:val="008802F6"/>
    <w:rsid w:val="00880DBD"/>
    <w:rsid w:val="008813BC"/>
    <w:rsid w:val="00881607"/>
    <w:rsid w:val="00882021"/>
    <w:rsid w:val="008834E3"/>
    <w:rsid w:val="008839F0"/>
    <w:rsid w:val="00884912"/>
    <w:rsid w:val="00885380"/>
    <w:rsid w:val="0088549D"/>
    <w:rsid w:val="00886131"/>
    <w:rsid w:val="00887805"/>
    <w:rsid w:val="00890478"/>
    <w:rsid w:val="00890F56"/>
    <w:rsid w:val="00891007"/>
    <w:rsid w:val="00891DEF"/>
    <w:rsid w:val="00893565"/>
    <w:rsid w:val="008935D0"/>
    <w:rsid w:val="00894559"/>
    <w:rsid w:val="00895E45"/>
    <w:rsid w:val="008978AA"/>
    <w:rsid w:val="00897F8E"/>
    <w:rsid w:val="008A0364"/>
    <w:rsid w:val="008A1A62"/>
    <w:rsid w:val="008A1B9F"/>
    <w:rsid w:val="008A2518"/>
    <w:rsid w:val="008A406F"/>
    <w:rsid w:val="008A4A78"/>
    <w:rsid w:val="008A5859"/>
    <w:rsid w:val="008A664E"/>
    <w:rsid w:val="008A7E1B"/>
    <w:rsid w:val="008B0385"/>
    <w:rsid w:val="008B19A7"/>
    <w:rsid w:val="008B25B9"/>
    <w:rsid w:val="008B3251"/>
    <w:rsid w:val="008B3464"/>
    <w:rsid w:val="008B3508"/>
    <w:rsid w:val="008B382D"/>
    <w:rsid w:val="008B39A4"/>
    <w:rsid w:val="008B453F"/>
    <w:rsid w:val="008B55AD"/>
    <w:rsid w:val="008B5EA6"/>
    <w:rsid w:val="008B694D"/>
    <w:rsid w:val="008B6ECB"/>
    <w:rsid w:val="008B7D43"/>
    <w:rsid w:val="008B7E44"/>
    <w:rsid w:val="008C1882"/>
    <w:rsid w:val="008C1A50"/>
    <w:rsid w:val="008C2301"/>
    <w:rsid w:val="008C42F4"/>
    <w:rsid w:val="008C5329"/>
    <w:rsid w:val="008C591C"/>
    <w:rsid w:val="008C59ED"/>
    <w:rsid w:val="008C677D"/>
    <w:rsid w:val="008C6C02"/>
    <w:rsid w:val="008C75DC"/>
    <w:rsid w:val="008C77E9"/>
    <w:rsid w:val="008C7A76"/>
    <w:rsid w:val="008C7DB5"/>
    <w:rsid w:val="008D04D5"/>
    <w:rsid w:val="008D1DB6"/>
    <w:rsid w:val="008D321C"/>
    <w:rsid w:val="008D4315"/>
    <w:rsid w:val="008D5F09"/>
    <w:rsid w:val="008D62BC"/>
    <w:rsid w:val="008D64DF"/>
    <w:rsid w:val="008D6BF6"/>
    <w:rsid w:val="008D6D59"/>
    <w:rsid w:val="008D714C"/>
    <w:rsid w:val="008E00E8"/>
    <w:rsid w:val="008E0499"/>
    <w:rsid w:val="008E0774"/>
    <w:rsid w:val="008E136A"/>
    <w:rsid w:val="008E1C91"/>
    <w:rsid w:val="008E1D2A"/>
    <w:rsid w:val="008E1DE0"/>
    <w:rsid w:val="008E2B52"/>
    <w:rsid w:val="008E3638"/>
    <w:rsid w:val="008E380C"/>
    <w:rsid w:val="008E3B5C"/>
    <w:rsid w:val="008E4143"/>
    <w:rsid w:val="008E59AE"/>
    <w:rsid w:val="008E5F29"/>
    <w:rsid w:val="008E6005"/>
    <w:rsid w:val="008E6341"/>
    <w:rsid w:val="008E6A38"/>
    <w:rsid w:val="008E6DC3"/>
    <w:rsid w:val="008E6E58"/>
    <w:rsid w:val="008E6E76"/>
    <w:rsid w:val="008E70D5"/>
    <w:rsid w:val="008E7A11"/>
    <w:rsid w:val="008F1EEB"/>
    <w:rsid w:val="008F25F8"/>
    <w:rsid w:val="008F4746"/>
    <w:rsid w:val="008F4A28"/>
    <w:rsid w:val="008F4FC9"/>
    <w:rsid w:val="008F6715"/>
    <w:rsid w:val="008F7D3C"/>
    <w:rsid w:val="009009FA"/>
    <w:rsid w:val="00900A84"/>
    <w:rsid w:val="00901370"/>
    <w:rsid w:val="009014C2"/>
    <w:rsid w:val="00902135"/>
    <w:rsid w:val="0090390B"/>
    <w:rsid w:val="0090409A"/>
    <w:rsid w:val="0090481C"/>
    <w:rsid w:val="00904A35"/>
    <w:rsid w:val="00904F04"/>
    <w:rsid w:val="009061F3"/>
    <w:rsid w:val="00906507"/>
    <w:rsid w:val="00906C63"/>
    <w:rsid w:val="009111AC"/>
    <w:rsid w:val="00911A98"/>
    <w:rsid w:val="00914529"/>
    <w:rsid w:val="00914BA5"/>
    <w:rsid w:val="00916587"/>
    <w:rsid w:val="0091739E"/>
    <w:rsid w:val="00917BBB"/>
    <w:rsid w:val="009206B8"/>
    <w:rsid w:val="00920B6A"/>
    <w:rsid w:val="009210CE"/>
    <w:rsid w:val="0092128B"/>
    <w:rsid w:val="0092208F"/>
    <w:rsid w:val="00924B8E"/>
    <w:rsid w:val="00924DA0"/>
    <w:rsid w:val="00925556"/>
    <w:rsid w:val="0092664B"/>
    <w:rsid w:val="00927F90"/>
    <w:rsid w:val="009319CE"/>
    <w:rsid w:val="00931C70"/>
    <w:rsid w:val="00931D6E"/>
    <w:rsid w:val="00932626"/>
    <w:rsid w:val="00932ED5"/>
    <w:rsid w:val="00933111"/>
    <w:rsid w:val="0093337B"/>
    <w:rsid w:val="009335B9"/>
    <w:rsid w:val="00933C19"/>
    <w:rsid w:val="00933C50"/>
    <w:rsid w:val="00934305"/>
    <w:rsid w:val="00934C45"/>
    <w:rsid w:val="00934FD1"/>
    <w:rsid w:val="0093527E"/>
    <w:rsid w:val="009354FA"/>
    <w:rsid w:val="0093551D"/>
    <w:rsid w:val="00935A3A"/>
    <w:rsid w:val="00936595"/>
    <w:rsid w:val="009369A2"/>
    <w:rsid w:val="00936D18"/>
    <w:rsid w:val="009370BD"/>
    <w:rsid w:val="00937AC4"/>
    <w:rsid w:val="00941124"/>
    <w:rsid w:val="00941269"/>
    <w:rsid w:val="009417AD"/>
    <w:rsid w:val="009422DA"/>
    <w:rsid w:val="00942A0D"/>
    <w:rsid w:val="00942E40"/>
    <w:rsid w:val="00943599"/>
    <w:rsid w:val="00944036"/>
    <w:rsid w:val="009441B4"/>
    <w:rsid w:val="009446D9"/>
    <w:rsid w:val="009450CF"/>
    <w:rsid w:val="0094517B"/>
    <w:rsid w:val="009451B8"/>
    <w:rsid w:val="00946041"/>
    <w:rsid w:val="00946123"/>
    <w:rsid w:val="00946486"/>
    <w:rsid w:val="00946C73"/>
    <w:rsid w:val="00947975"/>
    <w:rsid w:val="00947C76"/>
    <w:rsid w:val="009514EB"/>
    <w:rsid w:val="009518ED"/>
    <w:rsid w:val="00951BE9"/>
    <w:rsid w:val="009521BC"/>
    <w:rsid w:val="00952A93"/>
    <w:rsid w:val="00953539"/>
    <w:rsid w:val="0095369D"/>
    <w:rsid w:val="00953911"/>
    <w:rsid w:val="00953F41"/>
    <w:rsid w:val="00954580"/>
    <w:rsid w:val="009550EF"/>
    <w:rsid w:val="00956105"/>
    <w:rsid w:val="0095674E"/>
    <w:rsid w:val="00956B28"/>
    <w:rsid w:val="00957F51"/>
    <w:rsid w:val="00960634"/>
    <w:rsid w:val="00962512"/>
    <w:rsid w:val="00965595"/>
    <w:rsid w:val="00965780"/>
    <w:rsid w:val="0096592C"/>
    <w:rsid w:val="00965D45"/>
    <w:rsid w:val="00967099"/>
    <w:rsid w:val="009678A8"/>
    <w:rsid w:val="00970117"/>
    <w:rsid w:val="0097017D"/>
    <w:rsid w:val="00970C4B"/>
    <w:rsid w:val="00970CE3"/>
    <w:rsid w:val="0097102D"/>
    <w:rsid w:val="00973023"/>
    <w:rsid w:val="00973BAE"/>
    <w:rsid w:val="00973BC6"/>
    <w:rsid w:val="0097427E"/>
    <w:rsid w:val="00975BA9"/>
    <w:rsid w:val="00976A23"/>
    <w:rsid w:val="00977E87"/>
    <w:rsid w:val="0098081B"/>
    <w:rsid w:val="009811A8"/>
    <w:rsid w:val="00981ECE"/>
    <w:rsid w:val="0098288C"/>
    <w:rsid w:val="009845F4"/>
    <w:rsid w:val="00984AD0"/>
    <w:rsid w:val="00984D48"/>
    <w:rsid w:val="00985A5A"/>
    <w:rsid w:val="00985CAA"/>
    <w:rsid w:val="00985E4E"/>
    <w:rsid w:val="00986FCB"/>
    <w:rsid w:val="00987130"/>
    <w:rsid w:val="009871CE"/>
    <w:rsid w:val="00987824"/>
    <w:rsid w:val="00987834"/>
    <w:rsid w:val="00987F6A"/>
    <w:rsid w:val="009908E0"/>
    <w:rsid w:val="009913CD"/>
    <w:rsid w:val="009929BF"/>
    <w:rsid w:val="00992B58"/>
    <w:rsid w:val="00993321"/>
    <w:rsid w:val="00993924"/>
    <w:rsid w:val="0099398A"/>
    <w:rsid w:val="00993F58"/>
    <w:rsid w:val="0099438F"/>
    <w:rsid w:val="00994BC5"/>
    <w:rsid w:val="00995B5F"/>
    <w:rsid w:val="0099635C"/>
    <w:rsid w:val="009965DC"/>
    <w:rsid w:val="00996E7D"/>
    <w:rsid w:val="009A03C3"/>
    <w:rsid w:val="009A0963"/>
    <w:rsid w:val="009A170A"/>
    <w:rsid w:val="009A1970"/>
    <w:rsid w:val="009A27B9"/>
    <w:rsid w:val="009A3DB6"/>
    <w:rsid w:val="009A4348"/>
    <w:rsid w:val="009A4F1D"/>
    <w:rsid w:val="009A5989"/>
    <w:rsid w:val="009A5AF8"/>
    <w:rsid w:val="009A6E68"/>
    <w:rsid w:val="009A704C"/>
    <w:rsid w:val="009B021A"/>
    <w:rsid w:val="009B0945"/>
    <w:rsid w:val="009B19E0"/>
    <w:rsid w:val="009B32F4"/>
    <w:rsid w:val="009B46F8"/>
    <w:rsid w:val="009B4A74"/>
    <w:rsid w:val="009B4C84"/>
    <w:rsid w:val="009B5CA1"/>
    <w:rsid w:val="009B5EA2"/>
    <w:rsid w:val="009B6604"/>
    <w:rsid w:val="009B68B0"/>
    <w:rsid w:val="009B69C4"/>
    <w:rsid w:val="009B7DEE"/>
    <w:rsid w:val="009C08C1"/>
    <w:rsid w:val="009C1103"/>
    <w:rsid w:val="009C2596"/>
    <w:rsid w:val="009C2F71"/>
    <w:rsid w:val="009C342D"/>
    <w:rsid w:val="009C3473"/>
    <w:rsid w:val="009C4CB9"/>
    <w:rsid w:val="009C4E61"/>
    <w:rsid w:val="009C6299"/>
    <w:rsid w:val="009C64DD"/>
    <w:rsid w:val="009C7EC5"/>
    <w:rsid w:val="009D19EB"/>
    <w:rsid w:val="009D1DF2"/>
    <w:rsid w:val="009D270F"/>
    <w:rsid w:val="009D2E7B"/>
    <w:rsid w:val="009D3789"/>
    <w:rsid w:val="009D60EB"/>
    <w:rsid w:val="009D6325"/>
    <w:rsid w:val="009D6FB2"/>
    <w:rsid w:val="009D76AC"/>
    <w:rsid w:val="009E0AFB"/>
    <w:rsid w:val="009E1A1F"/>
    <w:rsid w:val="009E2C93"/>
    <w:rsid w:val="009E3C0A"/>
    <w:rsid w:val="009E462A"/>
    <w:rsid w:val="009E657D"/>
    <w:rsid w:val="009E6744"/>
    <w:rsid w:val="009E6AB7"/>
    <w:rsid w:val="009E6DDA"/>
    <w:rsid w:val="009E7A10"/>
    <w:rsid w:val="009F0E91"/>
    <w:rsid w:val="009F151E"/>
    <w:rsid w:val="009F22D1"/>
    <w:rsid w:val="009F2569"/>
    <w:rsid w:val="009F2742"/>
    <w:rsid w:val="009F393B"/>
    <w:rsid w:val="009F3B4E"/>
    <w:rsid w:val="009F3F6E"/>
    <w:rsid w:val="009F443E"/>
    <w:rsid w:val="009F44B4"/>
    <w:rsid w:val="009F50D2"/>
    <w:rsid w:val="009F58EA"/>
    <w:rsid w:val="009F58F0"/>
    <w:rsid w:val="009F6C1D"/>
    <w:rsid w:val="009F7332"/>
    <w:rsid w:val="009F7386"/>
    <w:rsid w:val="00A00AED"/>
    <w:rsid w:val="00A012F9"/>
    <w:rsid w:val="00A01DBC"/>
    <w:rsid w:val="00A020E7"/>
    <w:rsid w:val="00A03032"/>
    <w:rsid w:val="00A05549"/>
    <w:rsid w:val="00A062B0"/>
    <w:rsid w:val="00A069E6"/>
    <w:rsid w:val="00A06BD3"/>
    <w:rsid w:val="00A076A2"/>
    <w:rsid w:val="00A10884"/>
    <w:rsid w:val="00A109BC"/>
    <w:rsid w:val="00A1193B"/>
    <w:rsid w:val="00A13594"/>
    <w:rsid w:val="00A14623"/>
    <w:rsid w:val="00A1475D"/>
    <w:rsid w:val="00A14825"/>
    <w:rsid w:val="00A14D04"/>
    <w:rsid w:val="00A150FA"/>
    <w:rsid w:val="00A1526B"/>
    <w:rsid w:val="00A15C9C"/>
    <w:rsid w:val="00A15D92"/>
    <w:rsid w:val="00A2081E"/>
    <w:rsid w:val="00A21D7A"/>
    <w:rsid w:val="00A22018"/>
    <w:rsid w:val="00A225A8"/>
    <w:rsid w:val="00A23D5B"/>
    <w:rsid w:val="00A25F36"/>
    <w:rsid w:val="00A263E9"/>
    <w:rsid w:val="00A26406"/>
    <w:rsid w:val="00A3054B"/>
    <w:rsid w:val="00A3168A"/>
    <w:rsid w:val="00A3169A"/>
    <w:rsid w:val="00A3205F"/>
    <w:rsid w:val="00A32328"/>
    <w:rsid w:val="00A32334"/>
    <w:rsid w:val="00A32A44"/>
    <w:rsid w:val="00A3333B"/>
    <w:rsid w:val="00A33918"/>
    <w:rsid w:val="00A3408B"/>
    <w:rsid w:val="00A34E9C"/>
    <w:rsid w:val="00A34EF8"/>
    <w:rsid w:val="00A35782"/>
    <w:rsid w:val="00A35D77"/>
    <w:rsid w:val="00A367C0"/>
    <w:rsid w:val="00A36DC9"/>
    <w:rsid w:val="00A36EFC"/>
    <w:rsid w:val="00A40859"/>
    <w:rsid w:val="00A40BA4"/>
    <w:rsid w:val="00A40DA8"/>
    <w:rsid w:val="00A41953"/>
    <w:rsid w:val="00A41BDD"/>
    <w:rsid w:val="00A41CDD"/>
    <w:rsid w:val="00A41E60"/>
    <w:rsid w:val="00A4252A"/>
    <w:rsid w:val="00A426AE"/>
    <w:rsid w:val="00A42ED9"/>
    <w:rsid w:val="00A4328E"/>
    <w:rsid w:val="00A440E4"/>
    <w:rsid w:val="00A446EC"/>
    <w:rsid w:val="00A44F09"/>
    <w:rsid w:val="00A4562F"/>
    <w:rsid w:val="00A4569F"/>
    <w:rsid w:val="00A456ED"/>
    <w:rsid w:val="00A45847"/>
    <w:rsid w:val="00A45F72"/>
    <w:rsid w:val="00A4649C"/>
    <w:rsid w:val="00A4684A"/>
    <w:rsid w:val="00A46D89"/>
    <w:rsid w:val="00A478BA"/>
    <w:rsid w:val="00A479E6"/>
    <w:rsid w:val="00A47FBE"/>
    <w:rsid w:val="00A50477"/>
    <w:rsid w:val="00A50DB0"/>
    <w:rsid w:val="00A5108F"/>
    <w:rsid w:val="00A51621"/>
    <w:rsid w:val="00A52199"/>
    <w:rsid w:val="00A52389"/>
    <w:rsid w:val="00A52A9C"/>
    <w:rsid w:val="00A5369A"/>
    <w:rsid w:val="00A53718"/>
    <w:rsid w:val="00A5387C"/>
    <w:rsid w:val="00A53A61"/>
    <w:rsid w:val="00A5506B"/>
    <w:rsid w:val="00A56467"/>
    <w:rsid w:val="00A56EF0"/>
    <w:rsid w:val="00A57D17"/>
    <w:rsid w:val="00A57FBA"/>
    <w:rsid w:val="00A609F8"/>
    <w:rsid w:val="00A60FE2"/>
    <w:rsid w:val="00A6174E"/>
    <w:rsid w:val="00A61D02"/>
    <w:rsid w:val="00A61D79"/>
    <w:rsid w:val="00A621E4"/>
    <w:rsid w:val="00A62632"/>
    <w:rsid w:val="00A632AA"/>
    <w:rsid w:val="00A634AB"/>
    <w:rsid w:val="00A64702"/>
    <w:rsid w:val="00A64BAB"/>
    <w:rsid w:val="00A65D7B"/>
    <w:rsid w:val="00A668E0"/>
    <w:rsid w:val="00A707BE"/>
    <w:rsid w:val="00A70F91"/>
    <w:rsid w:val="00A718F8"/>
    <w:rsid w:val="00A72B4E"/>
    <w:rsid w:val="00A73121"/>
    <w:rsid w:val="00A73E02"/>
    <w:rsid w:val="00A76065"/>
    <w:rsid w:val="00A761EA"/>
    <w:rsid w:val="00A76AF7"/>
    <w:rsid w:val="00A778E7"/>
    <w:rsid w:val="00A8075A"/>
    <w:rsid w:val="00A80E86"/>
    <w:rsid w:val="00A8101D"/>
    <w:rsid w:val="00A82218"/>
    <w:rsid w:val="00A827C0"/>
    <w:rsid w:val="00A82B55"/>
    <w:rsid w:val="00A82F07"/>
    <w:rsid w:val="00A836E3"/>
    <w:rsid w:val="00A83920"/>
    <w:rsid w:val="00A83A8A"/>
    <w:rsid w:val="00A83D6B"/>
    <w:rsid w:val="00A83F39"/>
    <w:rsid w:val="00A84592"/>
    <w:rsid w:val="00A87EF7"/>
    <w:rsid w:val="00A90033"/>
    <w:rsid w:val="00A908D0"/>
    <w:rsid w:val="00A915B8"/>
    <w:rsid w:val="00A91FBE"/>
    <w:rsid w:val="00A9295D"/>
    <w:rsid w:val="00A92C5B"/>
    <w:rsid w:val="00A92E3C"/>
    <w:rsid w:val="00A946C2"/>
    <w:rsid w:val="00A94A7F"/>
    <w:rsid w:val="00A94CE7"/>
    <w:rsid w:val="00A953CE"/>
    <w:rsid w:val="00A95567"/>
    <w:rsid w:val="00A96419"/>
    <w:rsid w:val="00A967AA"/>
    <w:rsid w:val="00A968A3"/>
    <w:rsid w:val="00A976B8"/>
    <w:rsid w:val="00A97862"/>
    <w:rsid w:val="00AA1754"/>
    <w:rsid w:val="00AA22F2"/>
    <w:rsid w:val="00AA38A7"/>
    <w:rsid w:val="00AA3C8D"/>
    <w:rsid w:val="00AA46F3"/>
    <w:rsid w:val="00AA47CC"/>
    <w:rsid w:val="00AA5020"/>
    <w:rsid w:val="00AA555E"/>
    <w:rsid w:val="00AA6190"/>
    <w:rsid w:val="00AA6B0A"/>
    <w:rsid w:val="00AA71BE"/>
    <w:rsid w:val="00AA7A27"/>
    <w:rsid w:val="00AA7F0C"/>
    <w:rsid w:val="00AB073B"/>
    <w:rsid w:val="00AB10D9"/>
    <w:rsid w:val="00AB149E"/>
    <w:rsid w:val="00AB1D61"/>
    <w:rsid w:val="00AB4BBF"/>
    <w:rsid w:val="00AB66D7"/>
    <w:rsid w:val="00AB75A7"/>
    <w:rsid w:val="00AB75CE"/>
    <w:rsid w:val="00AC0090"/>
    <w:rsid w:val="00AC06CC"/>
    <w:rsid w:val="00AC11EF"/>
    <w:rsid w:val="00AC205F"/>
    <w:rsid w:val="00AC213E"/>
    <w:rsid w:val="00AC3784"/>
    <w:rsid w:val="00AC3A1E"/>
    <w:rsid w:val="00AC430B"/>
    <w:rsid w:val="00AC5FDD"/>
    <w:rsid w:val="00AC6E32"/>
    <w:rsid w:val="00AC7A42"/>
    <w:rsid w:val="00AD1134"/>
    <w:rsid w:val="00AD338F"/>
    <w:rsid w:val="00AD3571"/>
    <w:rsid w:val="00AD382B"/>
    <w:rsid w:val="00AD3BA0"/>
    <w:rsid w:val="00AD5DE3"/>
    <w:rsid w:val="00AD64AC"/>
    <w:rsid w:val="00AD67FF"/>
    <w:rsid w:val="00AD6A13"/>
    <w:rsid w:val="00AD7107"/>
    <w:rsid w:val="00AD73A7"/>
    <w:rsid w:val="00AD7D39"/>
    <w:rsid w:val="00AE1164"/>
    <w:rsid w:val="00AE12A3"/>
    <w:rsid w:val="00AE1394"/>
    <w:rsid w:val="00AE1590"/>
    <w:rsid w:val="00AE3A5A"/>
    <w:rsid w:val="00AE7607"/>
    <w:rsid w:val="00AE77EC"/>
    <w:rsid w:val="00AE7C61"/>
    <w:rsid w:val="00AF01D2"/>
    <w:rsid w:val="00AF0618"/>
    <w:rsid w:val="00AF079C"/>
    <w:rsid w:val="00AF1CF7"/>
    <w:rsid w:val="00AF2529"/>
    <w:rsid w:val="00AF29B2"/>
    <w:rsid w:val="00AF3CD1"/>
    <w:rsid w:val="00AF4514"/>
    <w:rsid w:val="00AF4781"/>
    <w:rsid w:val="00AF4853"/>
    <w:rsid w:val="00AF489E"/>
    <w:rsid w:val="00AF4B4D"/>
    <w:rsid w:val="00AF5BE2"/>
    <w:rsid w:val="00AF5CEB"/>
    <w:rsid w:val="00AF5D23"/>
    <w:rsid w:val="00AF66EB"/>
    <w:rsid w:val="00AF78B9"/>
    <w:rsid w:val="00AF7BF1"/>
    <w:rsid w:val="00B01288"/>
    <w:rsid w:val="00B02289"/>
    <w:rsid w:val="00B028E0"/>
    <w:rsid w:val="00B045F0"/>
    <w:rsid w:val="00B06D54"/>
    <w:rsid w:val="00B10920"/>
    <w:rsid w:val="00B11525"/>
    <w:rsid w:val="00B1174A"/>
    <w:rsid w:val="00B13C7A"/>
    <w:rsid w:val="00B14BAC"/>
    <w:rsid w:val="00B15924"/>
    <w:rsid w:val="00B15E5D"/>
    <w:rsid w:val="00B15F26"/>
    <w:rsid w:val="00B16954"/>
    <w:rsid w:val="00B1792A"/>
    <w:rsid w:val="00B2287A"/>
    <w:rsid w:val="00B23364"/>
    <w:rsid w:val="00B2529D"/>
    <w:rsid w:val="00B25F7B"/>
    <w:rsid w:val="00B2635E"/>
    <w:rsid w:val="00B274BF"/>
    <w:rsid w:val="00B274C7"/>
    <w:rsid w:val="00B27A18"/>
    <w:rsid w:val="00B27EE0"/>
    <w:rsid w:val="00B30A6F"/>
    <w:rsid w:val="00B32F64"/>
    <w:rsid w:val="00B339EF"/>
    <w:rsid w:val="00B33A34"/>
    <w:rsid w:val="00B33BDD"/>
    <w:rsid w:val="00B34636"/>
    <w:rsid w:val="00B34BFB"/>
    <w:rsid w:val="00B357AA"/>
    <w:rsid w:val="00B357D2"/>
    <w:rsid w:val="00B36075"/>
    <w:rsid w:val="00B366E2"/>
    <w:rsid w:val="00B370FA"/>
    <w:rsid w:val="00B379E9"/>
    <w:rsid w:val="00B404B3"/>
    <w:rsid w:val="00B409AF"/>
    <w:rsid w:val="00B41194"/>
    <w:rsid w:val="00B427EF"/>
    <w:rsid w:val="00B44525"/>
    <w:rsid w:val="00B44DA4"/>
    <w:rsid w:val="00B44FFE"/>
    <w:rsid w:val="00B45243"/>
    <w:rsid w:val="00B4588E"/>
    <w:rsid w:val="00B45B20"/>
    <w:rsid w:val="00B45FF6"/>
    <w:rsid w:val="00B46309"/>
    <w:rsid w:val="00B46648"/>
    <w:rsid w:val="00B47323"/>
    <w:rsid w:val="00B4749B"/>
    <w:rsid w:val="00B47B6A"/>
    <w:rsid w:val="00B50301"/>
    <w:rsid w:val="00B50667"/>
    <w:rsid w:val="00B50FF5"/>
    <w:rsid w:val="00B53F80"/>
    <w:rsid w:val="00B54325"/>
    <w:rsid w:val="00B54702"/>
    <w:rsid w:val="00B55A97"/>
    <w:rsid w:val="00B56BF3"/>
    <w:rsid w:val="00B5709D"/>
    <w:rsid w:val="00B5717D"/>
    <w:rsid w:val="00B57FBE"/>
    <w:rsid w:val="00B60042"/>
    <w:rsid w:val="00B60B22"/>
    <w:rsid w:val="00B60E82"/>
    <w:rsid w:val="00B61052"/>
    <w:rsid w:val="00B61127"/>
    <w:rsid w:val="00B619F4"/>
    <w:rsid w:val="00B621B3"/>
    <w:rsid w:val="00B6264C"/>
    <w:rsid w:val="00B62D95"/>
    <w:rsid w:val="00B62E54"/>
    <w:rsid w:val="00B63AF9"/>
    <w:rsid w:val="00B648F0"/>
    <w:rsid w:val="00B65183"/>
    <w:rsid w:val="00B65428"/>
    <w:rsid w:val="00B654A4"/>
    <w:rsid w:val="00B66C25"/>
    <w:rsid w:val="00B66C2C"/>
    <w:rsid w:val="00B66C45"/>
    <w:rsid w:val="00B66CFC"/>
    <w:rsid w:val="00B66E1C"/>
    <w:rsid w:val="00B671A8"/>
    <w:rsid w:val="00B70030"/>
    <w:rsid w:val="00B70491"/>
    <w:rsid w:val="00B7064F"/>
    <w:rsid w:val="00B70754"/>
    <w:rsid w:val="00B71200"/>
    <w:rsid w:val="00B719AA"/>
    <w:rsid w:val="00B72344"/>
    <w:rsid w:val="00B72DF4"/>
    <w:rsid w:val="00B7401E"/>
    <w:rsid w:val="00B745F0"/>
    <w:rsid w:val="00B75BDA"/>
    <w:rsid w:val="00B763BA"/>
    <w:rsid w:val="00B7677B"/>
    <w:rsid w:val="00B76ACF"/>
    <w:rsid w:val="00B76C8E"/>
    <w:rsid w:val="00B76E8C"/>
    <w:rsid w:val="00B80689"/>
    <w:rsid w:val="00B80A88"/>
    <w:rsid w:val="00B8269B"/>
    <w:rsid w:val="00B82717"/>
    <w:rsid w:val="00B847C1"/>
    <w:rsid w:val="00B84CDC"/>
    <w:rsid w:val="00B85510"/>
    <w:rsid w:val="00B85B39"/>
    <w:rsid w:val="00B85D21"/>
    <w:rsid w:val="00B8617C"/>
    <w:rsid w:val="00B867FC"/>
    <w:rsid w:val="00B86858"/>
    <w:rsid w:val="00B87074"/>
    <w:rsid w:val="00B91D74"/>
    <w:rsid w:val="00B921D8"/>
    <w:rsid w:val="00B9430C"/>
    <w:rsid w:val="00B9539D"/>
    <w:rsid w:val="00B959BE"/>
    <w:rsid w:val="00B9679C"/>
    <w:rsid w:val="00B96A0F"/>
    <w:rsid w:val="00B96D57"/>
    <w:rsid w:val="00B972D4"/>
    <w:rsid w:val="00B9735B"/>
    <w:rsid w:val="00B97803"/>
    <w:rsid w:val="00BA063D"/>
    <w:rsid w:val="00BA07EC"/>
    <w:rsid w:val="00BA144F"/>
    <w:rsid w:val="00BA2B46"/>
    <w:rsid w:val="00BA3E49"/>
    <w:rsid w:val="00BA4DA3"/>
    <w:rsid w:val="00BA5C09"/>
    <w:rsid w:val="00BA6122"/>
    <w:rsid w:val="00BA6DB2"/>
    <w:rsid w:val="00BA6E54"/>
    <w:rsid w:val="00BA7102"/>
    <w:rsid w:val="00BB132E"/>
    <w:rsid w:val="00BB15FA"/>
    <w:rsid w:val="00BB2A13"/>
    <w:rsid w:val="00BB3C4D"/>
    <w:rsid w:val="00BB4459"/>
    <w:rsid w:val="00BB455D"/>
    <w:rsid w:val="00BB5C22"/>
    <w:rsid w:val="00BB75AA"/>
    <w:rsid w:val="00BB76EF"/>
    <w:rsid w:val="00BB7D58"/>
    <w:rsid w:val="00BC1C65"/>
    <w:rsid w:val="00BC20F3"/>
    <w:rsid w:val="00BC2318"/>
    <w:rsid w:val="00BC2639"/>
    <w:rsid w:val="00BC2837"/>
    <w:rsid w:val="00BC2841"/>
    <w:rsid w:val="00BC2D7F"/>
    <w:rsid w:val="00BC32ED"/>
    <w:rsid w:val="00BC384F"/>
    <w:rsid w:val="00BC42FA"/>
    <w:rsid w:val="00BC4428"/>
    <w:rsid w:val="00BC479C"/>
    <w:rsid w:val="00BC47F0"/>
    <w:rsid w:val="00BC59A1"/>
    <w:rsid w:val="00BC5D28"/>
    <w:rsid w:val="00BC637A"/>
    <w:rsid w:val="00BC6E6B"/>
    <w:rsid w:val="00BC70D2"/>
    <w:rsid w:val="00BC7BF6"/>
    <w:rsid w:val="00BD16D0"/>
    <w:rsid w:val="00BD1E18"/>
    <w:rsid w:val="00BD1EED"/>
    <w:rsid w:val="00BD1F47"/>
    <w:rsid w:val="00BD3016"/>
    <w:rsid w:val="00BD307A"/>
    <w:rsid w:val="00BD3A7C"/>
    <w:rsid w:val="00BD446E"/>
    <w:rsid w:val="00BD4DF2"/>
    <w:rsid w:val="00BD4FE4"/>
    <w:rsid w:val="00BD5269"/>
    <w:rsid w:val="00BD5414"/>
    <w:rsid w:val="00BD5593"/>
    <w:rsid w:val="00BD6EED"/>
    <w:rsid w:val="00BD7086"/>
    <w:rsid w:val="00BD779F"/>
    <w:rsid w:val="00BD7F60"/>
    <w:rsid w:val="00BE0EAC"/>
    <w:rsid w:val="00BE0EE7"/>
    <w:rsid w:val="00BE1587"/>
    <w:rsid w:val="00BE21E6"/>
    <w:rsid w:val="00BE28CA"/>
    <w:rsid w:val="00BE2A3D"/>
    <w:rsid w:val="00BE308C"/>
    <w:rsid w:val="00BE3566"/>
    <w:rsid w:val="00BE41AB"/>
    <w:rsid w:val="00BE4C81"/>
    <w:rsid w:val="00BE6331"/>
    <w:rsid w:val="00BE71B3"/>
    <w:rsid w:val="00BF040B"/>
    <w:rsid w:val="00BF150A"/>
    <w:rsid w:val="00BF297C"/>
    <w:rsid w:val="00BF2DA4"/>
    <w:rsid w:val="00BF2FC8"/>
    <w:rsid w:val="00BF333F"/>
    <w:rsid w:val="00BF356F"/>
    <w:rsid w:val="00BF35BC"/>
    <w:rsid w:val="00BF3BF0"/>
    <w:rsid w:val="00BF4488"/>
    <w:rsid w:val="00BF546C"/>
    <w:rsid w:val="00BF6278"/>
    <w:rsid w:val="00BF79A9"/>
    <w:rsid w:val="00C0017E"/>
    <w:rsid w:val="00C00805"/>
    <w:rsid w:val="00C00930"/>
    <w:rsid w:val="00C00B9E"/>
    <w:rsid w:val="00C012E8"/>
    <w:rsid w:val="00C014CB"/>
    <w:rsid w:val="00C01835"/>
    <w:rsid w:val="00C01CCC"/>
    <w:rsid w:val="00C021E9"/>
    <w:rsid w:val="00C0279C"/>
    <w:rsid w:val="00C03566"/>
    <w:rsid w:val="00C038C3"/>
    <w:rsid w:val="00C0517C"/>
    <w:rsid w:val="00C051A7"/>
    <w:rsid w:val="00C05F4A"/>
    <w:rsid w:val="00C0773B"/>
    <w:rsid w:val="00C079D6"/>
    <w:rsid w:val="00C07A02"/>
    <w:rsid w:val="00C07A10"/>
    <w:rsid w:val="00C07F49"/>
    <w:rsid w:val="00C11901"/>
    <w:rsid w:val="00C11B20"/>
    <w:rsid w:val="00C11CAC"/>
    <w:rsid w:val="00C11DA9"/>
    <w:rsid w:val="00C130BE"/>
    <w:rsid w:val="00C13654"/>
    <w:rsid w:val="00C13682"/>
    <w:rsid w:val="00C13716"/>
    <w:rsid w:val="00C147DC"/>
    <w:rsid w:val="00C1586E"/>
    <w:rsid w:val="00C16064"/>
    <w:rsid w:val="00C1628C"/>
    <w:rsid w:val="00C16FDE"/>
    <w:rsid w:val="00C20ECF"/>
    <w:rsid w:val="00C213FA"/>
    <w:rsid w:val="00C2160B"/>
    <w:rsid w:val="00C21FE7"/>
    <w:rsid w:val="00C22414"/>
    <w:rsid w:val="00C22809"/>
    <w:rsid w:val="00C22925"/>
    <w:rsid w:val="00C22D57"/>
    <w:rsid w:val="00C2302B"/>
    <w:rsid w:val="00C2362F"/>
    <w:rsid w:val="00C2388C"/>
    <w:rsid w:val="00C2497D"/>
    <w:rsid w:val="00C26086"/>
    <w:rsid w:val="00C30009"/>
    <w:rsid w:val="00C31987"/>
    <w:rsid w:val="00C31E24"/>
    <w:rsid w:val="00C32655"/>
    <w:rsid w:val="00C332EE"/>
    <w:rsid w:val="00C33530"/>
    <w:rsid w:val="00C33A02"/>
    <w:rsid w:val="00C33E10"/>
    <w:rsid w:val="00C341AE"/>
    <w:rsid w:val="00C361AB"/>
    <w:rsid w:val="00C36917"/>
    <w:rsid w:val="00C40B39"/>
    <w:rsid w:val="00C4156B"/>
    <w:rsid w:val="00C41B90"/>
    <w:rsid w:val="00C42211"/>
    <w:rsid w:val="00C42BB1"/>
    <w:rsid w:val="00C4368F"/>
    <w:rsid w:val="00C4372B"/>
    <w:rsid w:val="00C44282"/>
    <w:rsid w:val="00C442C7"/>
    <w:rsid w:val="00C44D0A"/>
    <w:rsid w:val="00C45137"/>
    <w:rsid w:val="00C45528"/>
    <w:rsid w:val="00C46202"/>
    <w:rsid w:val="00C4723C"/>
    <w:rsid w:val="00C47E2F"/>
    <w:rsid w:val="00C47F8B"/>
    <w:rsid w:val="00C52BB1"/>
    <w:rsid w:val="00C53851"/>
    <w:rsid w:val="00C53DFA"/>
    <w:rsid w:val="00C55C2C"/>
    <w:rsid w:val="00C560ED"/>
    <w:rsid w:val="00C56C58"/>
    <w:rsid w:val="00C56F37"/>
    <w:rsid w:val="00C574C6"/>
    <w:rsid w:val="00C57759"/>
    <w:rsid w:val="00C57A10"/>
    <w:rsid w:val="00C614D4"/>
    <w:rsid w:val="00C61AD0"/>
    <w:rsid w:val="00C63F77"/>
    <w:rsid w:val="00C65F09"/>
    <w:rsid w:val="00C6705D"/>
    <w:rsid w:val="00C67E03"/>
    <w:rsid w:val="00C7030F"/>
    <w:rsid w:val="00C70BFE"/>
    <w:rsid w:val="00C713AE"/>
    <w:rsid w:val="00C7149C"/>
    <w:rsid w:val="00C725FE"/>
    <w:rsid w:val="00C726C2"/>
    <w:rsid w:val="00C7468F"/>
    <w:rsid w:val="00C755A6"/>
    <w:rsid w:val="00C7588B"/>
    <w:rsid w:val="00C758B1"/>
    <w:rsid w:val="00C779DC"/>
    <w:rsid w:val="00C80246"/>
    <w:rsid w:val="00C803E0"/>
    <w:rsid w:val="00C80A6D"/>
    <w:rsid w:val="00C80C49"/>
    <w:rsid w:val="00C80E34"/>
    <w:rsid w:val="00C81495"/>
    <w:rsid w:val="00C819DF"/>
    <w:rsid w:val="00C81CF2"/>
    <w:rsid w:val="00C824E9"/>
    <w:rsid w:val="00C82C86"/>
    <w:rsid w:val="00C83134"/>
    <w:rsid w:val="00C832C8"/>
    <w:rsid w:val="00C836BD"/>
    <w:rsid w:val="00C86298"/>
    <w:rsid w:val="00C868F3"/>
    <w:rsid w:val="00C86992"/>
    <w:rsid w:val="00C869A9"/>
    <w:rsid w:val="00C86A7A"/>
    <w:rsid w:val="00C8757B"/>
    <w:rsid w:val="00C90072"/>
    <w:rsid w:val="00C90079"/>
    <w:rsid w:val="00C910AA"/>
    <w:rsid w:val="00C9299E"/>
    <w:rsid w:val="00C93BE6"/>
    <w:rsid w:val="00C94E86"/>
    <w:rsid w:val="00C94FF6"/>
    <w:rsid w:val="00C95264"/>
    <w:rsid w:val="00C956E3"/>
    <w:rsid w:val="00C95D80"/>
    <w:rsid w:val="00C964B7"/>
    <w:rsid w:val="00C97A9A"/>
    <w:rsid w:val="00C97E68"/>
    <w:rsid w:val="00CA0C87"/>
    <w:rsid w:val="00CA12F4"/>
    <w:rsid w:val="00CA324A"/>
    <w:rsid w:val="00CA370C"/>
    <w:rsid w:val="00CA3D7C"/>
    <w:rsid w:val="00CA4B30"/>
    <w:rsid w:val="00CA4E6C"/>
    <w:rsid w:val="00CA5310"/>
    <w:rsid w:val="00CA57FE"/>
    <w:rsid w:val="00CA5F7D"/>
    <w:rsid w:val="00CA6604"/>
    <w:rsid w:val="00CA6675"/>
    <w:rsid w:val="00CA7094"/>
    <w:rsid w:val="00CA723C"/>
    <w:rsid w:val="00CA76F5"/>
    <w:rsid w:val="00CB2794"/>
    <w:rsid w:val="00CB2B4A"/>
    <w:rsid w:val="00CB3191"/>
    <w:rsid w:val="00CB42C4"/>
    <w:rsid w:val="00CB43BB"/>
    <w:rsid w:val="00CB5436"/>
    <w:rsid w:val="00CB56D1"/>
    <w:rsid w:val="00CB5E05"/>
    <w:rsid w:val="00CB7215"/>
    <w:rsid w:val="00CB7B12"/>
    <w:rsid w:val="00CB7EDD"/>
    <w:rsid w:val="00CC006E"/>
    <w:rsid w:val="00CC1742"/>
    <w:rsid w:val="00CC214C"/>
    <w:rsid w:val="00CC361D"/>
    <w:rsid w:val="00CC382D"/>
    <w:rsid w:val="00CC3AAD"/>
    <w:rsid w:val="00CC42D2"/>
    <w:rsid w:val="00CC4918"/>
    <w:rsid w:val="00CC71B0"/>
    <w:rsid w:val="00CC72C6"/>
    <w:rsid w:val="00CD00B4"/>
    <w:rsid w:val="00CD01DE"/>
    <w:rsid w:val="00CD09BA"/>
    <w:rsid w:val="00CD191D"/>
    <w:rsid w:val="00CD1D54"/>
    <w:rsid w:val="00CD31F9"/>
    <w:rsid w:val="00CD41B8"/>
    <w:rsid w:val="00CD4B98"/>
    <w:rsid w:val="00CD5F2C"/>
    <w:rsid w:val="00CD5F88"/>
    <w:rsid w:val="00CD6146"/>
    <w:rsid w:val="00CE0BE5"/>
    <w:rsid w:val="00CE0F3E"/>
    <w:rsid w:val="00CE10FA"/>
    <w:rsid w:val="00CE292C"/>
    <w:rsid w:val="00CE2A49"/>
    <w:rsid w:val="00CE2E0C"/>
    <w:rsid w:val="00CE3028"/>
    <w:rsid w:val="00CE3608"/>
    <w:rsid w:val="00CE3E46"/>
    <w:rsid w:val="00CE3EA3"/>
    <w:rsid w:val="00CE4412"/>
    <w:rsid w:val="00CE4CF4"/>
    <w:rsid w:val="00CE5657"/>
    <w:rsid w:val="00CE62AC"/>
    <w:rsid w:val="00CE6FA5"/>
    <w:rsid w:val="00CE742C"/>
    <w:rsid w:val="00CE7DEE"/>
    <w:rsid w:val="00CF0B3E"/>
    <w:rsid w:val="00CF13F3"/>
    <w:rsid w:val="00CF2135"/>
    <w:rsid w:val="00CF263C"/>
    <w:rsid w:val="00CF26E8"/>
    <w:rsid w:val="00CF2CBD"/>
    <w:rsid w:val="00CF2CF1"/>
    <w:rsid w:val="00CF5493"/>
    <w:rsid w:val="00CF5BD9"/>
    <w:rsid w:val="00CF621B"/>
    <w:rsid w:val="00CF7A39"/>
    <w:rsid w:val="00D001B4"/>
    <w:rsid w:val="00D0025B"/>
    <w:rsid w:val="00D00332"/>
    <w:rsid w:val="00D00BDF"/>
    <w:rsid w:val="00D00D30"/>
    <w:rsid w:val="00D00DEE"/>
    <w:rsid w:val="00D01252"/>
    <w:rsid w:val="00D01753"/>
    <w:rsid w:val="00D02195"/>
    <w:rsid w:val="00D0448B"/>
    <w:rsid w:val="00D04765"/>
    <w:rsid w:val="00D05285"/>
    <w:rsid w:val="00D05D75"/>
    <w:rsid w:val="00D068DB"/>
    <w:rsid w:val="00D06B4A"/>
    <w:rsid w:val="00D07655"/>
    <w:rsid w:val="00D079CB"/>
    <w:rsid w:val="00D10075"/>
    <w:rsid w:val="00D1158B"/>
    <w:rsid w:val="00D11A89"/>
    <w:rsid w:val="00D13388"/>
    <w:rsid w:val="00D14042"/>
    <w:rsid w:val="00D14070"/>
    <w:rsid w:val="00D1520A"/>
    <w:rsid w:val="00D159D8"/>
    <w:rsid w:val="00D15EEC"/>
    <w:rsid w:val="00D17130"/>
    <w:rsid w:val="00D20731"/>
    <w:rsid w:val="00D20882"/>
    <w:rsid w:val="00D236B1"/>
    <w:rsid w:val="00D2390E"/>
    <w:rsid w:val="00D23BC7"/>
    <w:rsid w:val="00D24F96"/>
    <w:rsid w:val="00D26012"/>
    <w:rsid w:val="00D262BC"/>
    <w:rsid w:val="00D26E1A"/>
    <w:rsid w:val="00D272A5"/>
    <w:rsid w:val="00D27EF4"/>
    <w:rsid w:val="00D27F72"/>
    <w:rsid w:val="00D3010B"/>
    <w:rsid w:val="00D30E3D"/>
    <w:rsid w:val="00D316F4"/>
    <w:rsid w:val="00D3208F"/>
    <w:rsid w:val="00D32595"/>
    <w:rsid w:val="00D3272F"/>
    <w:rsid w:val="00D32933"/>
    <w:rsid w:val="00D32CBE"/>
    <w:rsid w:val="00D33E08"/>
    <w:rsid w:val="00D33ED4"/>
    <w:rsid w:val="00D345DB"/>
    <w:rsid w:val="00D35BD6"/>
    <w:rsid w:val="00D36154"/>
    <w:rsid w:val="00D3624E"/>
    <w:rsid w:val="00D36499"/>
    <w:rsid w:val="00D36520"/>
    <w:rsid w:val="00D3657C"/>
    <w:rsid w:val="00D36788"/>
    <w:rsid w:val="00D36944"/>
    <w:rsid w:val="00D36F0A"/>
    <w:rsid w:val="00D40B3D"/>
    <w:rsid w:val="00D412BB"/>
    <w:rsid w:val="00D41445"/>
    <w:rsid w:val="00D4177C"/>
    <w:rsid w:val="00D42221"/>
    <w:rsid w:val="00D422DF"/>
    <w:rsid w:val="00D429A5"/>
    <w:rsid w:val="00D42BA0"/>
    <w:rsid w:val="00D42FF1"/>
    <w:rsid w:val="00D43C32"/>
    <w:rsid w:val="00D448C0"/>
    <w:rsid w:val="00D44FBF"/>
    <w:rsid w:val="00D44FE7"/>
    <w:rsid w:val="00D45658"/>
    <w:rsid w:val="00D459B4"/>
    <w:rsid w:val="00D461FD"/>
    <w:rsid w:val="00D46708"/>
    <w:rsid w:val="00D46ABE"/>
    <w:rsid w:val="00D46AD3"/>
    <w:rsid w:val="00D472CE"/>
    <w:rsid w:val="00D47C38"/>
    <w:rsid w:val="00D50685"/>
    <w:rsid w:val="00D513B6"/>
    <w:rsid w:val="00D517B3"/>
    <w:rsid w:val="00D5185B"/>
    <w:rsid w:val="00D51E12"/>
    <w:rsid w:val="00D5224C"/>
    <w:rsid w:val="00D53FE9"/>
    <w:rsid w:val="00D5400C"/>
    <w:rsid w:val="00D544F9"/>
    <w:rsid w:val="00D545F1"/>
    <w:rsid w:val="00D54AEC"/>
    <w:rsid w:val="00D553BD"/>
    <w:rsid w:val="00D56DD2"/>
    <w:rsid w:val="00D577AF"/>
    <w:rsid w:val="00D57CFB"/>
    <w:rsid w:val="00D61CFB"/>
    <w:rsid w:val="00D621D7"/>
    <w:rsid w:val="00D6296E"/>
    <w:rsid w:val="00D6387E"/>
    <w:rsid w:val="00D63FB3"/>
    <w:rsid w:val="00D644BF"/>
    <w:rsid w:val="00D64D4E"/>
    <w:rsid w:val="00D64DB0"/>
    <w:rsid w:val="00D66C4C"/>
    <w:rsid w:val="00D676E1"/>
    <w:rsid w:val="00D67820"/>
    <w:rsid w:val="00D70E6D"/>
    <w:rsid w:val="00D71146"/>
    <w:rsid w:val="00D726F5"/>
    <w:rsid w:val="00D732DA"/>
    <w:rsid w:val="00D75408"/>
    <w:rsid w:val="00D75F25"/>
    <w:rsid w:val="00D7617B"/>
    <w:rsid w:val="00D8149F"/>
    <w:rsid w:val="00D82D0F"/>
    <w:rsid w:val="00D832E8"/>
    <w:rsid w:val="00D84E49"/>
    <w:rsid w:val="00D850D4"/>
    <w:rsid w:val="00D85465"/>
    <w:rsid w:val="00D854A2"/>
    <w:rsid w:val="00D85B14"/>
    <w:rsid w:val="00D85C36"/>
    <w:rsid w:val="00D85D5F"/>
    <w:rsid w:val="00D85E09"/>
    <w:rsid w:val="00D863A0"/>
    <w:rsid w:val="00D86A64"/>
    <w:rsid w:val="00D86ECF"/>
    <w:rsid w:val="00D8745F"/>
    <w:rsid w:val="00D874BF"/>
    <w:rsid w:val="00D911D0"/>
    <w:rsid w:val="00D9181F"/>
    <w:rsid w:val="00D91F7E"/>
    <w:rsid w:val="00D9366D"/>
    <w:rsid w:val="00D9465E"/>
    <w:rsid w:val="00D94681"/>
    <w:rsid w:val="00D94746"/>
    <w:rsid w:val="00D94911"/>
    <w:rsid w:val="00D96B90"/>
    <w:rsid w:val="00D96E60"/>
    <w:rsid w:val="00D97630"/>
    <w:rsid w:val="00DA0008"/>
    <w:rsid w:val="00DA259F"/>
    <w:rsid w:val="00DA2ED5"/>
    <w:rsid w:val="00DA32CE"/>
    <w:rsid w:val="00DA3EB6"/>
    <w:rsid w:val="00DA43B4"/>
    <w:rsid w:val="00DA76BF"/>
    <w:rsid w:val="00DA77FB"/>
    <w:rsid w:val="00DB0BED"/>
    <w:rsid w:val="00DB1DCE"/>
    <w:rsid w:val="00DB1ED9"/>
    <w:rsid w:val="00DB22E1"/>
    <w:rsid w:val="00DB33E7"/>
    <w:rsid w:val="00DB3CF5"/>
    <w:rsid w:val="00DB413B"/>
    <w:rsid w:val="00DB4BC7"/>
    <w:rsid w:val="00DB4DC5"/>
    <w:rsid w:val="00DB70E6"/>
    <w:rsid w:val="00DB76B1"/>
    <w:rsid w:val="00DB7FC2"/>
    <w:rsid w:val="00DC01FE"/>
    <w:rsid w:val="00DC0437"/>
    <w:rsid w:val="00DC0E03"/>
    <w:rsid w:val="00DC1429"/>
    <w:rsid w:val="00DC1606"/>
    <w:rsid w:val="00DC179E"/>
    <w:rsid w:val="00DC1F00"/>
    <w:rsid w:val="00DC3F6C"/>
    <w:rsid w:val="00DC4CC6"/>
    <w:rsid w:val="00DC519A"/>
    <w:rsid w:val="00DC52C7"/>
    <w:rsid w:val="00DC65B9"/>
    <w:rsid w:val="00DC6A35"/>
    <w:rsid w:val="00DC729A"/>
    <w:rsid w:val="00DC72C4"/>
    <w:rsid w:val="00DD22B9"/>
    <w:rsid w:val="00DD2711"/>
    <w:rsid w:val="00DD343D"/>
    <w:rsid w:val="00DD3595"/>
    <w:rsid w:val="00DD399A"/>
    <w:rsid w:val="00DD3ADD"/>
    <w:rsid w:val="00DD417C"/>
    <w:rsid w:val="00DD41B2"/>
    <w:rsid w:val="00DD46EB"/>
    <w:rsid w:val="00DD518E"/>
    <w:rsid w:val="00DD51B3"/>
    <w:rsid w:val="00DD597A"/>
    <w:rsid w:val="00DD6CAC"/>
    <w:rsid w:val="00DE047C"/>
    <w:rsid w:val="00DE108C"/>
    <w:rsid w:val="00DE246C"/>
    <w:rsid w:val="00DE33E0"/>
    <w:rsid w:val="00DE3A6A"/>
    <w:rsid w:val="00DE588B"/>
    <w:rsid w:val="00DE6542"/>
    <w:rsid w:val="00DE68EA"/>
    <w:rsid w:val="00DE7A8E"/>
    <w:rsid w:val="00DF0065"/>
    <w:rsid w:val="00DF08C8"/>
    <w:rsid w:val="00DF0CBA"/>
    <w:rsid w:val="00DF1917"/>
    <w:rsid w:val="00DF1F2F"/>
    <w:rsid w:val="00DF20C0"/>
    <w:rsid w:val="00DF2D8A"/>
    <w:rsid w:val="00DF3610"/>
    <w:rsid w:val="00DF3C93"/>
    <w:rsid w:val="00DF47A0"/>
    <w:rsid w:val="00DF47BA"/>
    <w:rsid w:val="00DF5995"/>
    <w:rsid w:val="00DF5C4D"/>
    <w:rsid w:val="00DF5F2C"/>
    <w:rsid w:val="00DF6302"/>
    <w:rsid w:val="00DF6782"/>
    <w:rsid w:val="00DF71AE"/>
    <w:rsid w:val="00DF7CEC"/>
    <w:rsid w:val="00E002F3"/>
    <w:rsid w:val="00E00CA8"/>
    <w:rsid w:val="00E02977"/>
    <w:rsid w:val="00E0407A"/>
    <w:rsid w:val="00E04424"/>
    <w:rsid w:val="00E04E5F"/>
    <w:rsid w:val="00E05339"/>
    <w:rsid w:val="00E05530"/>
    <w:rsid w:val="00E06532"/>
    <w:rsid w:val="00E07632"/>
    <w:rsid w:val="00E0771D"/>
    <w:rsid w:val="00E1091B"/>
    <w:rsid w:val="00E114DA"/>
    <w:rsid w:val="00E11582"/>
    <w:rsid w:val="00E11C22"/>
    <w:rsid w:val="00E11D5A"/>
    <w:rsid w:val="00E11F8E"/>
    <w:rsid w:val="00E11F96"/>
    <w:rsid w:val="00E125D1"/>
    <w:rsid w:val="00E136D4"/>
    <w:rsid w:val="00E139C1"/>
    <w:rsid w:val="00E13D3B"/>
    <w:rsid w:val="00E142E4"/>
    <w:rsid w:val="00E14694"/>
    <w:rsid w:val="00E155EC"/>
    <w:rsid w:val="00E15DE9"/>
    <w:rsid w:val="00E16762"/>
    <w:rsid w:val="00E16C03"/>
    <w:rsid w:val="00E207E9"/>
    <w:rsid w:val="00E20C02"/>
    <w:rsid w:val="00E20CEA"/>
    <w:rsid w:val="00E20D5C"/>
    <w:rsid w:val="00E22429"/>
    <w:rsid w:val="00E22FEA"/>
    <w:rsid w:val="00E23548"/>
    <w:rsid w:val="00E23AF7"/>
    <w:rsid w:val="00E24BB7"/>
    <w:rsid w:val="00E24BF1"/>
    <w:rsid w:val="00E25AD5"/>
    <w:rsid w:val="00E25DE4"/>
    <w:rsid w:val="00E26199"/>
    <w:rsid w:val="00E2678D"/>
    <w:rsid w:val="00E3021D"/>
    <w:rsid w:val="00E3174B"/>
    <w:rsid w:val="00E3183F"/>
    <w:rsid w:val="00E31E93"/>
    <w:rsid w:val="00E322F0"/>
    <w:rsid w:val="00E33730"/>
    <w:rsid w:val="00E341E0"/>
    <w:rsid w:val="00E35087"/>
    <w:rsid w:val="00E35D48"/>
    <w:rsid w:val="00E364A2"/>
    <w:rsid w:val="00E36CA7"/>
    <w:rsid w:val="00E36D8E"/>
    <w:rsid w:val="00E3758A"/>
    <w:rsid w:val="00E413E0"/>
    <w:rsid w:val="00E41616"/>
    <w:rsid w:val="00E41941"/>
    <w:rsid w:val="00E41F5B"/>
    <w:rsid w:val="00E4383E"/>
    <w:rsid w:val="00E43FD3"/>
    <w:rsid w:val="00E44B65"/>
    <w:rsid w:val="00E45596"/>
    <w:rsid w:val="00E456FD"/>
    <w:rsid w:val="00E45AC5"/>
    <w:rsid w:val="00E45CF2"/>
    <w:rsid w:val="00E46131"/>
    <w:rsid w:val="00E46285"/>
    <w:rsid w:val="00E466BA"/>
    <w:rsid w:val="00E46E9C"/>
    <w:rsid w:val="00E471A3"/>
    <w:rsid w:val="00E51596"/>
    <w:rsid w:val="00E51F4E"/>
    <w:rsid w:val="00E52592"/>
    <w:rsid w:val="00E5456F"/>
    <w:rsid w:val="00E551F4"/>
    <w:rsid w:val="00E55720"/>
    <w:rsid w:val="00E5597D"/>
    <w:rsid w:val="00E559E9"/>
    <w:rsid w:val="00E56287"/>
    <w:rsid w:val="00E56735"/>
    <w:rsid w:val="00E57524"/>
    <w:rsid w:val="00E60186"/>
    <w:rsid w:val="00E61D20"/>
    <w:rsid w:val="00E61F3C"/>
    <w:rsid w:val="00E624D2"/>
    <w:rsid w:val="00E624FA"/>
    <w:rsid w:val="00E62994"/>
    <w:rsid w:val="00E62E32"/>
    <w:rsid w:val="00E63A76"/>
    <w:rsid w:val="00E6421E"/>
    <w:rsid w:val="00E642C0"/>
    <w:rsid w:val="00E646FD"/>
    <w:rsid w:val="00E649C4"/>
    <w:rsid w:val="00E64A89"/>
    <w:rsid w:val="00E64EB8"/>
    <w:rsid w:val="00E65666"/>
    <w:rsid w:val="00E66C43"/>
    <w:rsid w:val="00E67824"/>
    <w:rsid w:val="00E70A73"/>
    <w:rsid w:val="00E72EA9"/>
    <w:rsid w:val="00E72EE6"/>
    <w:rsid w:val="00E72EEF"/>
    <w:rsid w:val="00E74851"/>
    <w:rsid w:val="00E752DD"/>
    <w:rsid w:val="00E7690F"/>
    <w:rsid w:val="00E76DFA"/>
    <w:rsid w:val="00E7707C"/>
    <w:rsid w:val="00E77162"/>
    <w:rsid w:val="00E774A0"/>
    <w:rsid w:val="00E77AD0"/>
    <w:rsid w:val="00E77D13"/>
    <w:rsid w:val="00E77E96"/>
    <w:rsid w:val="00E80B2E"/>
    <w:rsid w:val="00E82F41"/>
    <w:rsid w:val="00E846F9"/>
    <w:rsid w:val="00E8488B"/>
    <w:rsid w:val="00E84948"/>
    <w:rsid w:val="00E85220"/>
    <w:rsid w:val="00E85D14"/>
    <w:rsid w:val="00E8639D"/>
    <w:rsid w:val="00E8654B"/>
    <w:rsid w:val="00E86B26"/>
    <w:rsid w:val="00E9110C"/>
    <w:rsid w:val="00E91D36"/>
    <w:rsid w:val="00E926D2"/>
    <w:rsid w:val="00E92A45"/>
    <w:rsid w:val="00E92CCE"/>
    <w:rsid w:val="00E93A77"/>
    <w:rsid w:val="00E93AD7"/>
    <w:rsid w:val="00E93F0D"/>
    <w:rsid w:val="00E94B3F"/>
    <w:rsid w:val="00E9538E"/>
    <w:rsid w:val="00E953C3"/>
    <w:rsid w:val="00E95827"/>
    <w:rsid w:val="00E96192"/>
    <w:rsid w:val="00E963C7"/>
    <w:rsid w:val="00E96500"/>
    <w:rsid w:val="00E97A0B"/>
    <w:rsid w:val="00E97B76"/>
    <w:rsid w:val="00EA0A6B"/>
    <w:rsid w:val="00EA1007"/>
    <w:rsid w:val="00EA1232"/>
    <w:rsid w:val="00EA1EDB"/>
    <w:rsid w:val="00EA2119"/>
    <w:rsid w:val="00EA30D8"/>
    <w:rsid w:val="00EA4D14"/>
    <w:rsid w:val="00EA7171"/>
    <w:rsid w:val="00EB0720"/>
    <w:rsid w:val="00EB076F"/>
    <w:rsid w:val="00EB1923"/>
    <w:rsid w:val="00EB335B"/>
    <w:rsid w:val="00EB3D17"/>
    <w:rsid w:val="00EB40E5"/>
    <w:rsid w:val="00EB434C"/>
    <w:rsid w:val="00EB43D4"/>
    <w:rsid w:val="00EB48CD"/>
    <w:rsid w:val="00EB4C19"/>
    <w:rsid w:val="00EB6358"/>
    <w:rsid w:val="00EB6E5D"/>
    <w:rsid w:val="00EB6ECE"/>
    <w:rsid w:val="00EB70F5"/>
    <w:rsid w:val="00EC027A"/>
    <w:rsid w:val="00EC0E4F"/>
    <w:rsid w:val="00EC145E"/>
    <w:rsid w:val="00EC2C45"/>
    <w:rsid w:val="00EC31AF"/>
    <w:rsid w:val="00EC3BF1"/>
    <w:rsid w:val="00EC3F95"/>
    <w:rsid w:val="00EC456D"/>
    <w:rsid w:val="00EC5749"/>
    <w:rsid w:val="00EC668D"/>
    <w:rsid w:val="00EC67BF"/>
    <w:rsid w:val="00EC7286"/>
    <w:rsid w:val="00EC7D94"/>
    <w:rsid w:val="00ED16C0"/>
    <w:rsid w:val="00ED1C6B"/>
    <w:rsid w:val="00ED26AE"/>
    <w:rsid w:val="00ED2966"/>
    <w:rsid w:val="00ED2A6E"/>
    <w:rsid w:val="00ED2DAE"/>
    <w:rsid w:val="00ED33A8"/>
    <w:rsid w:val="00ED35D8"/>
    <w:rsid w:val="00ED448C"/>
    <w:rsid w:val="00ED493F"/>
    <w:rsid w:val="00ED4FA4"/>
    <w:rsid w:val="00ED4FFA"/>
    <w:rsid w:val="00ED55E8"/>
    <w:rsid w:val="00ED5775"/>
    <w:rsid w:val="00ED6801"/>
    <w:rsid w:val="00ED6F0C"/>
    <w:rsid w:val="00ED76E5"/>
    <w:rsid w:val="00ED7F47"/>
    <w:rsid w:val="00EE11DB"/>
    <w:rsid w:val="00EE121A"/>
    <w:rsid w:val="00EE18AE"/>
    <w:rsid w:val="00EE191E"/>
    <w:rsid w:val="00EE2EA1"/>
    <w:rsid w:val="00EE32E9"/>
    <w:rsid w:val="00EE36C9"/>
    <w:rsid w:val="00EE42D5"/>
    <w:rsid w:val="00EE4FDB"/>
    <w:rsid w:val="00EE5029"/>
    <w:rsid w:val="00EE56C7"/>
    <w:rsid w:val="00EE59D6"/>
    <w:rsid w:val="00EE5CF7"/>
    <w:rsid w:val="00EE5E34"/>
    <w:rsid w:val="00EE68C6"/>
    <w:rsid w:val="00EE767C"/>
    <w:rsid w:val="00EE7AB5"/>
    <w:rsid w:val="00EE7AD0"/>
    <w:rsid w:val="00EE7AD2"/>
    <w:rsid w:val="00EE7C00"/>
    <w:rsid w:val="00EE7F18"/>
    <w:rsid w:val="00EF0180"/>
    <w:rsid w:val="00EF0412"/>
    <w:rsid w:val="00EF1BAD"/>
    <w:rsid w:val="00EF230E"/>
    <w:rsid w:val="00EF272B"/>
    <w:rsid w:val="00EF2907"/>
    <w:rsid w:val="00EF2915"/>
    <w:rsid w:val="00EF3A8E"/>
    <w:rsid w:val="00EF3BF0"/>
    <w:rsid w:val="00EF46BB"/>
    <w:rsid w:val="00EF5E94"/>
    <w:rsid w:val="00EF5F58"/>
    <w:rsid w:val="00EF621E"/>
    <w:rsid w:val="00EF66EB"/>
    <w:rsid w:val="00EF68A2"/>
    <w:rsid w:val="00EF6A38"/>
    <w:rsid w:val="00F00984"/>
    <w:rsid w:val="00F00AF6"/>
    <w:rsid w:val="00F02118"/>
    <w:rsid w:val="00F02A7D"/>
    <w:rsid w:val="00F03459"/>
    <w:rsid w:val="00F03A4E"/>
    <w:rsid w:val="00F0407B"/>
    <w:rsid w:val="00F0477E"/>
    <w:rsid w:val="00F0526A"/>
    <w:rsid w:val="00F061F3"/>
    <w:rsid w:val="00F06286"/>
    <w:rsid w:val="00F064B3"/>
    <w:rsid w:val="00F0687D"/>
    <w:rsid w:val="00F06E59"/>
    <w:rsid w:val="00F105DC"/>
    <w:rsid w:val="00F1147A"/>
    <w:rsid w:val="00F11E50"/>
    <w:rsid w:val="00F12016"/>
    <w:rsid w:val="00F127D4"/>
    <w:rsid w:val="00F12B95"/>
    <w:rsid w:val="00F135E6"/>
    <w:rsid w:val="00F13ABE"/>
    <w:rsid w:val="00F140ED"/>
    <w:rsid w:val="00F14C83"/>
    <w:rsid w:val="00F15BE6"/>
    <w:rsid w:val="00F16113"/>
    <w:rsid w:val="00F17396"/>
    <w:rsid w:val="00F17C74"/>
    <w:rsid w:val="00F17F87"/>
    <w:rsid w:val="00F202CE"/>
    <w:rsid w:val="00F21F39"/>
    <w:rsid w:val="00F2234E"/>
    <w:rsid w:val="00F23294"/>
    <w:rsid w:val="00F23BFF"/>
    <w:rsid w:val="00F23E2F"/>
    <w:rsid w:val="00F2420B"/>
    <w:rsid w:val="00F2459D"/>
    <w:rsid w:val="00F24CC2"/>
    <w:rsid w:val="00F251F9"/>
    <w:rsid w:val="00F30558"/>
    <w:rsid w:val="00F30724"/>
    <w:rsid w:val="00F30892"/>
    <w:rsid w:val="00F313FF"/>
    <w:rsid w:val="00F31B7D"/>
    <w:rsid w:val="00F31CE9"/>
    <w:rsid w:val="00F32240"/>
    <w:rsid w:val="00F322B6"/>
    <w:rsid w:val="00F325AE"/>
    <w:rsid w:val="00F34397"/>
    <w:rsid w:val="00F345CB"/>
    <w:rsid w:val="00F34793"/>
    <w:rsid w:val="00F349F0"/>
    <w:rsid w:val="00F3583F"/>
    <w:rsid w:val="00F368D0"/>
    <w:rsid w:val="00F36E9F"/>
    <w:rsid w:val="00F37053"/>
    <w:rsid w:val="00F371BC"/>
    <w:rsid w:val="00F37465"/>
    <w:rsid w:val="00F37A4B"/>
    <w:rsid w:val="00F37CE9"/>
    <w:rsid w:val="00F402E7"/>
    <w:rsid w:val="00F41D84"/>
    <w:rsid w:val="00F4279A"/>
    <w:rsid w:val="00F438C8"/>
    <w:rsid w:val="00F441CE"/>
    <w:rsid w:val="00F44EF3"/>
    <w:rsid w:val="00F45D47"/>
    <w:rsid w:val="00F468B5"/>
    <w:rsid w:val="00F471FE"/>
    <w:rsid w:val="00F47BA5"/>
    <w:rsid w:val="00F47CA8"/>
    <w:rsid w:val="00F504F6"/>
    <w:rsid w:val="00F5062A"/>
    <w:rsid w:val="00F507B5"/>
    <w:rsid w:val="00F51751"/>
    <w:rsid w:val="00F51AD7"/>
    <w:rsid w:val="00F51E3B"/>
    <w:rsid w:val="00F51F16"/>
    <w:rsid w:val="00F520BA"/>
    <w:rsid w:val="00F5262A"/>
    <w:rsid w:val="00F52881"/>
    <w:rsid w:val="00F535B6"/>
    <w:rsid w:val="00F53712"/>
    <w:rsid w:val="00F5480B"/>
    <w:rsid w:val="00F54A2F"/>
    <w:rsid w:val="00F54B80"/>
    <w:rsid w:val="00F54E6A"/>
    <w:rsid w:val="00F5683E"/>
    <w:rsid w:val="00F56917"/>
    <w:rsid w:val="00F57A11"/>
    <w:rsid w:val="00F60255"/>
    <w:rsid w:val="00F608A2"/>
    <w:rsid w:val="00F60AC8"/>
    <w:rsid w:val="00F6132E"/>
    <w:rsid w:val="00F61629"/>
    <w:rsid w:val="00F63310"/>
    <w:rsid w:val="00F635BF"/>
    <w:rsid w:val="00F637BB"/>
    <w:rsid w:val="00F64418"/>
    <w:rsid w:val="00F6445C"/>
    <w:rsid w:val="00F651EC"/>
    <w:rsid w:val="00F6580C"/>
    <w:rsid w:val="00F66110"/>
    <w:rsid w:val="00F66566"/>
    <w:rsid w:val="00F66A38"/>
    <w:rsid w:val="00F66C30"/>
    <w:rsid w:val="00F6745C"/>
    <w:rsid w:val="00F67AF7"/>
    <w:rsid w:val="00F7050D"/>
    <w:rsid w:val="00F711C0"/>
    <w:rsid w:val="00F739B5"/>
    <w:rsid w:val="00F7405D"/>
    <w:rsid w:val="00F747D5"/>
    <w:rsid w:val="00F74CCC"/>
    <w:rsid w:val="00F757AE"/>
    <w:rsid w:val="00F77759"/>
    <w:rsid w:val="00F77F01"/>
    <w:rsid w:val="00F8030B"/>
    <w:rsid w:val="00F809DB"/>
    <w:rsid w:val="00F81584"/>
    <w:rsid w:val="00F81898"/>
    <w:rsid w:val="00F81D43"/>
    <w:rsid w:val="00F8372A"/>
    <w:rsid w:val="00F84C5D"/>
    <w:rsid w:val="00F857B5"/>
    <w:rsid w:val="00F857CF"/>
    <w:rsid w:val="00F86061"/>
    <w:rsid w:val="00F86744"/>
    <w:rsid w:val="00F86DED"/>
    <w:rsid w:val="00F86E07"/>
    <w:rsid w:val="00F87DB3"/>
    <w:rsid w:val="00F906CC"/>
    <w:rsid w:val="00F906FC"/>
    <w:rsid w:val="00F90B42"/>
    <w:rsid w:val="00F931EA"/>
    <w:rsid w:val="00F94106"/>
    <w:rsid w:val="00F944B6"/>
    <w:rsid w:val="00F946BE"/>
    <w:rsid w:val="00F95F7F"/>
    <w:rsid w:val="00F96743"/>
    <w:rsid w:val="00FA0190"/>
    <w:rsid w:val="00FA0DBA"/>
    <w:rsid w:val="00FA1AA0"/>
    <w:rsid w:val="00FA1D5E"/>
    <w:rsid w:val="00FA23D9"/>
    <w:rsid w:val="00FA31E8"/>
    <w:rsid w:val="00FA3B1A"/>
    <w:rsid w:val="00FA3B9F"/>
    <w:rsid w:val="00FA3DDC"/>
    <w:rsid w:val="00FA5A19"/>
    <w:rsid w:val="00FA6142"/>
    <w:rsid w:val="00FA65B1"/>
    <w:rsid w:val="00FA67F2"/>
    <w:rsid w:val="00FA68DE"/>
    <w:rsid w:val="00FA6B2D"/>
    <w:rsid w:val="00FA6BD0"/>
    <w:rsid w:val="00FA7088"/>
    <w:rsid w:val="00FA74C0"/>
    <w:rsid w:val="00FA7648"/>
    <w:rsid w:val="00FB005F"/>
    <w:rsid w:val="00FB032E"/>
    <w:rsid w:val="00FB07C7"/>
    <w:rsid w:val="00FB16B0"/>
    <w:rsid w:val="00FB1746"/>
    <w:rsid w:val="00FB17DF"/>
    <w:rsid w:val="00FB2699"/>
    <w:rsid w:val="00FB2CEF"/>
    <w:rsid w:val="00FB320E"/>
    <w:rsid w:val="00FB4386"/>
    <w:rsid w:val="00FB4BF2"/>
    <w:rsid w:val="00FB58BC"/>
    <w:rsid w:val="00FB58DA"/>
    <w:rsid w:val="00FB58DD"/>
    <w:rsid w:val="00FB5D81"/>
    <w:rsid w:val="00FB5DF0"/>
    <w:rsid w:val="00FB6F5F"/>
    <w:rsid w:val="00FC08A6"/>
    <w:rsid w:val="00FC0C09"/>
    <w:rsid w:val="00FC1D1C"/>
    <w:rsid w:val="00FC2376"/>
    <w:rsid w:val="00FC290B"/>
    <w:rsid w:val="00FC3381"/>
    <w:rsid w:val="00FC3496"/>
    <w:rsid w:val="00FC3986"/>
    <w:rsid w:val="00FC39B8"/>
    <w:rsid w:val="00FC3AD1"/>
    <w:rsid w:val="00FC4018"/>
    <w:rsid w:val="00FC46C3"/>
    <w:rsid w:val="00FC6059"/>
    <w:rsid w:val="00FC661F"/>
    <w:rsid w:val="00FC79CE"/>
    <w:rsid w:val="00FC7B40"/>
    <w:rsid w:val="00FD17B8"/>
    <w:rsid w:val="00FD1890"/>
    <w:rsid w:val="00FD1962"/>
    <w:rsid w:val="00FD24A5"/>
    <w:rsid w:val="00FD3469"/>
    <w:rsid w:val="00FD3943"/>
    <w:rsid w:val="00FD3BE5"/>
    <w:rsid w:val="00FD4FFD"/>
    <w:rsid w:val="00FD54FF"/>
    <w:rsid w:val="00FD5B47"/>
    <w:rsid w:val="00FD6403"/>
    <w:rsid w:val="00FD6843"/>
    <w:rsid w:val="00FD69CD"/>
    <w:rsid w:val="00FD7D8D"/>
    <w:rsid w:val="00FE0824"/>
    <w:rsid w:val="00FE0B74"/>
    <w:rsid w:val="00FE1359"/>
    <w:rsid w:val="00FE1FAA"/>
    <w:rsid w:val="00FE233A"/>
    <w:rsid w:val="00FE270C"/>
    <w:rsid w:val="00FE27FE"/>
    <w:rsid w:val="00FE33A4"/>
    <w:rsid w:val="00FE40E2"/>
    <w:rsid w:val="00FE48F0"/>
    <w:rsid w:val="00FE58BB"/>
    <w:rsid w:val="00FE67D6"/>
    <w:rsid w:val="00FE787E"/>
    <w:rsid w:val="00FF0503"/>
    <w:rsid w:val="00FF0A70"/>
    <w:rsid w:val="00FF1F04"/>
    <w:rsid w:val="00FF27CF"/>
    <w:rsid w:val="00FF28C4"/>
    <w:rsid w:val="00FF28E9"/>
    <w:rsid w:val="00FF2A95"/>
    <w:rsid w:val="00FF3DD2"/>
    <w:rsid w:val="00FF3E83"/>
    <w:rsid w:val="00FF4137"/>
    <w:rsid w:val="00FF445E"/>
    <w:rsid w:val="00FF4475"/>
    <w:rsid w:val="00FF4B21"/>
    <w:rsid w:val="00FF64E6"/>
    <w:rsid w:val="00FF6584"/>
    <w:rsid w:val="00FF6882"/>
    <w:rsid w:val="00FF6A03"/>
    <w:rsid w:val="00FF6F6C"/>
    <w:rsid w:val="00FF70E6"/>
    <w:rsid w:val="00FF7503"/>
    <w:rsid w:val="00FF763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031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3316B"/>
    <w:pPr>
      <w:spacing w:after="120" w:line="360" w:lineRule="auto"/>
    </w:pPr>
    <w:rPr>
      <w:rFonts w:ascii="Arial" w:hAnsi="Arial" w:cs="Arial"/>
      <w:sz w:val="22"/>
      <w:szCs w:val="22"/>
      <w:lang w:eastAsia="en-US"/>
    </w:rPr>
  </w:style>
  <w:style w:type="paragraph" w:styleId="Heading1">
    <w:name w:val="heading 1"/>
    <w:basedOn w:val="Normal"/>
    <w:next w:val="Normal"/>
    <w:link w:val="Heading1Char"/>
    <w:uiPriority w:val="99"/>
    <w:qFormat/>
    <w:rsid w:val="0043316B"/>
    <w:pPr>
      <w:keepNext/>
      <w:pageBreakBefore/>
      <w:numPr>
        <w:numId w:val="18"/>
      </w:numPr>
      <w:tabs>
        <w:tab w:val="left" w:pos="993"/>
      </w:tabs>
      <w:spacing w:before="120" w:line="240" w:lineRule="auto"/>
      <w:ind w:left="357" w:hanging="357"/>
      <w:outlineLvl w:val="0"/>
    </w:pPr>
    <w:rPr>
      <w:b/>
      <w:bCs/>
      <w:smallCaps/>
      <w:sz w:val="40"/>
      <w:szCs w:val="40"/>
      <w:lang w:val="de-DE"/>
    </w:rPr>
  </w:style>
  <w:style w:type="paragraph" w:styleId="Heading2">
    <w:name w:val="heading 2"/>
    <w:basedOn w:val="Normal"/>
    <w:next w:val="Normal"/>
    <w:link w:val="Heading2Char"/>
    <w:qFormat/>
    <w:rsid w:val="00664ECB"/>
    <w:pPr>
      <w:numPr>
        <w:ilvl w:val="1"/>
        <w:numId w:val="18"/>
      </w:numPr>
      <w:tabs>
        <w:tab w:val="left" w:pos="851"/>
      </w:tabs>
      <w:spacing w:line="240" w:lineRule="auto"/>
      <w:outlineLvl w:val="1"/>
    </w:pPr>
    <w:rPr>
      <w:b/>
      <w:bCs/>
      <w:sz w:val="36"/>
      <w:szCs w:val="36"/>
      <w:lang w:val="de-DE"/>
    </w:rPr>
  </w:style>
  <w:style w:type="paragraph" w:styleId="Heading3">
    <w:name w:val="heading 3"/>
    <w:basedOn w:val="Normal"/>
    <w:next w:val="Normal"/>
    <w:link w:val="Heading3Char"/>
    <w:uiPriority w:val="9"/>
    <w:qFormat/>
    <w:rsid w:val="00C67E03"/>
    <w:pPr>
      <w:keepNext/>
      <w:numPr>
        <w:ilvl w:val="2"/>
        <w:numId w:val="18"/>
      </w:numPr>
      <w:tabs>
        <w:tab w:val="left" w:pos="993"/>
      </w:tabs>
      <w:autoSpaceDE w:val="0"/>
      <w:autoSpaceDN w:val="0"/>
      <w:adjustRightInd w:val="0"/>
      <w:spacing w:line="240" w:lineRule="auto"/>
      <w:outlineLvl w:val="2"/>
    </w:pPr>
    <w:rPr>
      <w:b/>
      <w:bCs/>
      <w:sz w:val="28"/>
      <w:szCs w:val="28"/>
      <w:lang w:val="de-DE"/>
    </w:rPr>
  </w:style>
  <w:style w:type="paragraph" w:styleId="Heading4">
    <w:name w:val="heading 4"/>
    <w:basedOn w:val="Tablebodytext"/>
    <w:next w:val="Normal"/>
    <w:link w:val="Heading4Char"/>
    <w:qFormat/>
    <w:rsid w:val="00E13D3B"/>
    <w:pPr>
      <w:keepNext w:val="0"/>
      <w:spacing w:after="120"/>
      <w:outlineLvl w:val="3"/>
    </w:pPr>
    <w:rPr>
      <w:rFonts w:ascii="Arial" w:hAnsi="Arial" w:cs="Arial"/>
      <w:u w:val="single"/>
      <w:lang w:val="de-DE" w:eastAsia="de-DE"/>
    </w:rPr>
  </w:style>
  <w:style w:type="paragraph" w:styleId="Heading5">
    <w:name w:val="heading 5"/>
    <w:basedOn w:val="Normal"/>
    <w:next w:val="Normal"/>
    <w:link w:val="Heading5Char"/>
    <w:qFormat/>
    <w:rsid w:val="007F0831"/>
    <w:pPr>
      <w:spacing w:before="360" w:line="240" w:lineRule="auto"/>
      <w:jc w:val="both"/>
      <w:outlineLvl w:val="4"/>
    </w:pPr>
    <w:rPr>
      <w:b/>
      <w:bCs/>
      <w:i/>
      <w:iCs/>
      <w:lang w:val="de-DE"/>
    </w:rPr>
  </w:style>
  <w:style w:type="paragraph" w:styleId="Heading6">
    <w:name w:val="heading 6"/>
    <w:aliases w:val="DO NOT USE,DO NOT USE4"/>
    <w:basedOn w:val="Heading5"/>
    <w:next w:val="Normal"/>
    <w:link w:val="Heading6Char"/>
    <w:qFormat/>
    <w:rsid w:val="007F0831"/>
    <w:pPr>
      <w:spacing w:before="120" w:after="240"/>
      <w:outlineLvl w:val="5"/>
    </w:pPr>
    <w:rPr>
      <w:b w:val="0"/>
      <w:bCs w:val="0"/>
    </w:rPr>
  </w:style>
  <w:style w:type="paragraph" w:styleId="Heading7">
    <w:name w:val="heading 7"/>
    <w:basedOn w:val="Normal"/>
    <w:next w:val="Normal"/>
    <w:link w:val="Heading7Char"/>
    <w:uiPriority w:val="99"/>
    <w:qFormat/>
    <w:rsid w:val="00C758B1"/>
    <w:pPr>
      <w:keepNext/>
      <w:numPr>
        <w:ilvl w:val="6"/>
        <w:numId w:val="18"/>
      </w:numPr>
      <w:outlineLvl w:val="6"/>
    </w:pPr>
    <w:rPr>
      <w:rFonts w:ascii="Garamond" w:hAnsi="Garamond" w:cs="Garamond"/>
      <w:b/>
      <w:bCs/>
      <w:smallCaps/>
      <w:sz w:val="28"/>
      <w:szCs w:val="28"/>
      <w:lang w:val="de-DE"/>
    </w:rPr>
  </w:style>
  <w:style w:type="paragraph" w:styleId="Heading8">
    <w:name w:val="heading 8"/>
    <w:basedOn w:val="Heading2"/>
    <w:next w:val="Normal"/>
    <w:link w:val="Heading8Char"/>
    <w:qFormat/>
    <w:rsid w:val="00683118"/>
    <w:pPr>
      <w:numPr>
        <w:ilvl w:val="0"/>
        <w:numId w:val="0"/>
      </w:numPr>
      <w:ind w:left="851" w:hanging="851"/>
      <w:outlineLvl w:val="7"/>
    </w:pPr>
  </w:style>
  <w:style w:type="paragraph" w:styleId="Heading9">
    <w:name w:val="heading 9"/>
    <w:basedOn w:val="Normal"/>
    <w:next w:val="Normal"/>
    <w:link w:val="Heading9Char"/>
    <w:qFormat/>
    <w:rsid w:val="00D00DEE"/>
    <w:pPr>
      <w:tabs>
        <w:tab w:val="left" w:pos="416"/>
        <w:tab w:val="left" w:pos="582"/>
      </w:tabs>
      <w:spacing w:before="240" w:after="60"/>
      <w:ind w:left="1584" w:hanging="1584"/>
      <w:outlineLvl w:val="8"/>
    </w:pPr>
    <w:rPr>
      <w:b/>
      <w:bCs/>
      <w:smallCaps/>
      <w:sz w:val="40"/>
      <w:szCs w:val="4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3316B"/>
    <w:rPr>
      <w:rFonts w:ascii="Arial" w:hAnsi="Arial" w:cs="Arial"/>
      <w:b/>
      <w:bCs/>
      <w:smallCaps/>
      <w:sz w:val="40"/>
      <w:szCs w:val="40"/>
      <w:lang w:val="de-DE" w:eastAsia="en-US"/>
    </w:rPr>
  </w:style>
  <w:style w:type="character" w:customStyle="1" w:styleId="Heading2Char">
    <w:name w:val="Heading 2 Char"/>
    <w:link w:val="Heading2"/>
    <w:rsid w:val="00664ECB"/>
    <w:rPr>
      <w:rFonts w:ascii="Arial" w:hAnsi="Arial" w:cs="Arial"/>
      <w:b/>
      <w:bCs/>
      <w:sz w:val="36"/>
      <w:szCs w:val="36"/>
      <w:lang w:val="de-DE" w:eastAsia="en-US"/>
    </w:rPr>
  </w:style>
  <w:style w:type="character" w:customStyle="1" w:styleId="Heading3Char">
    <w:name w:val="Heading 3 Char"/>
    <w:link w:val="Heading3"/>
    <w:uiPriority w:val="9"/>
    <w:rsid w:val="00C67E03"/>
    <w:rPr>
      <w:rFonts w:ascii="Arial" w:hAnsi="Arial" w:cs="Arial"/>
      <w:b/>
      <w:bCs/>
      <w:sz w:val="28"/>
      <w:szCs w:val="28"/>
      <w:lang w:val="de-DE" w:eastAsia="en-US"/>
    </w:rPr>
  </w:style>
  <w:style w:type="character" w:customStyle="1" w:styleId="Heading4Char">
    <w:name w:val="Heading 4 Char"/>
    <w:link w:val="Heading4"/>
    <w:rsid w:val="00E13D3B"/>
    <w:rPr>
      <w:rFonts w:ascii="Arial" w:hAnsi="Arial" w:cs="Arial"/>
      <w:sz w:val="22"/>
      <w:szCs w:val="22"/>
      <w:u w:val="single"/>
    </w:rPr>
  </w:style>
  <w:style w:type="character" w:customStyle="1" w:styleId="Heading5Char">
    <w:name w:val="Heading 5 Char"/>
    <w:link w:val="Heading5"/>
    <w:rsid w:val="007F0831"/>
    <w:rPr>
      <w:rFonts w:ascii="Arial" w:hAnsi="Arial" w:cs="Arial"/>
      <w:b/>
      <w:bCs/>
      <w:i/>
      <w:iCs/>
      <w:sz w:val="24"/>
      <w:szCs w:val="24"/>
      <w:lang w:eastAsia="en-US"/>
    </w:rPr>
  </w:style>
  <w:style w:type="character" w:customStyle="1" w:styleId="Heading6Char">
    <w:name w:val="Heading 6 Char"/>
    <w:aliases w:val="DO NOT USE Char,DO NOT USE4 Char"/>
    <w:link w:val="Heading6"/>
    <w:rsid w:val="007F0831"/>
    <w:rPr>
      <w:rFonts w:ascii="Arial" w:hAnsi="Arial" w:cs="Arial"/>
      <w:i/>
      <w:iCs/>
      <w:sz w:val="24"/>
      <w:szCs w:val="24"/>
      <w:lang w:eastAsia="en-US"/>
    </w:rPr>
  </w:style>
  <w:style w:type="character" w:customStyle="1" w:styleId="Heading7Char">
    <w:name w:val="Heading 7 Char"/>
    <w:link w:val="Heading7"/>
    <w:uiPriority w:val="99"/>
    <w:rsid w:val="00C758B1"/>
    <w:rPr>
      <w:rFonts w:ascii="Garamond" w:hAnsi="Garamond" w:cs="Garamond"/>
      <w:b/>
      <w:bCs/>
      <w:smallCaps/>
      <w:sz w:val="28"/>
      <w:szCs w:val="28"/>
      <w:lang w:val="de-DE" w:eastAsia="en-US"/>
    </w:rPr>
  </w:style>
  <w:style w:type="character" w:customStyle="1" w:styleId="Heading8Char">
    <w:name w:val="Heading 8 Char"/>
    <w:link w:val="Heading8"/>
    <w:rsid w:val="00683118"/>
    <w:rPr>
      <w:rFonts w:ascii="Arial" w:hAnsi="Arial" w:cs="Arial"/>
      <w:b/>
      <w:bCs/>
      <w:sz w:val="24"/>
      <w:szCs w:val="24"/>
      <w:lang w:eastAsia="en-US"/>
    </w:rPr>
  </w:style>
  <w:style w:type="character" w:customStyle="1" w:styleId="Heading9Char">
    <w:name w:val="Heading 9 Char"/>
    <w:link w:val="Heading9"/>
    <w:rsid w:val="00D00DEE"/>
    <w:rPr>
      <w:rFonts w:ascii="Arial" w:hAnsi="Arial" w:cs="Arial"/>
      <w:b/>
      <w:bCs/>
      <w:smallCaps/>
      <w:sz w:val="40"/>
      <w:szCs w:val="40"/>
      <w:lang w:eastAsia="en-US"/>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qFormat/>
    <w:rsid w:val="00363959"/>
    <w:pPr>
      <w:keepNext/>
      <w:spacing w:before="120" w:line="240" w:lineRule="auto"/>
      <w:ind w:left="1077" w:hanging="1077"/>
    </w:pPr>
    <w:rPr>
      <w:rFonts w:cs="Times New Roman"/>
      <w:b/>
      <w:szCs w:val="20"/>
      <w:lang w:val="de-DE"/>
    </w:rPr>
  </w:style>
  <w:style w:type="character" w:customStyle="1" w:styleId="CaptionChar">
    <w:name w:val="Caption Char"/>
    <w:aliases w:val="Caption Char1 Char Char1,Caption Char Char Char Char1,Caption Char1 Char Char Char Char1,Caption Char Char Char Char Char Char1,Caption Char Char1 Char Char1,Caption Char1 Char1 Char1,Caption Char Char Char1 Char1,Caption Char1 Char3"/>
    <w:link w:val="Caption"/>
    <w:uiPriority w:val="35"/>
    <w:rsid w:val="00363959"/>
    <w:rPr>
      <w:rFonts w:ascii="Arial" w:hAnsi="Arial"/>
      <w:b/>
      <w:sz w:val="22"/>
      <w:lang w:eastAsia="en-US"/>
    </w:rPr>
  </w:style>
  <w:style w:type="paragraph" w:styleId="BodyText">
    <w:name w:val="Body Text"/>
    <w:aliases w:val="Body Text Char"/>
    <w:basedOn w:val="Normal"/>
    <w:link w:val="BodyTextChar1"/>
    <w:semiHidden/>
    <w:rsid w:val="00C758B1"/>
    <w:pPr>
      <w:autoSpaceDE w:val="0"/>
      <w:autoSpaceDN w:val="0"/>
      <w:adjustRightInd w:val="0"/>
    </w:pPr>
    <w:rPr>
      <w:rFonts w:ascii="TimesNewRomanPSMT" w:hAnsi="TimesNewRomanPSMT" w:cs="TimesNewRomanPSMT"/>
      <w:sz w:val="20"/>
      <w:szCs w:val="20"/>
      <w:lang w:val="en-US"/>
    </w:rPr>
  </w:style>
  <w:style w:type="character" w:customStyle="1" w:styleId="BodyTextChar1">
    <w:name w:val="Body Text Char1"/>
    <w:aliases w:val="Body Text Char Char"/>
    <w:link w:val="BodyText"/>
    <w:rsid w:val="00C758B1"/>
    <w:rPr>
      <w:rFonts w:ascii="TimesNewRomanPSMT" w:hAnsi="TimesNewRomanPSMT" w:cs="TimesNewRomanPSMT"/>
      <w:lang w:val="en-US" w:eastAsia="en-US"/>
    </w:rPr>
  </w:style>
  <w:style w:type="paragraph" w:styleId="DocumentMap">
    <w:name w:val="Document Map"/>
    <w:basedOn w:val="Normal"/>
    <w:link w:val="DocumentMapChar"/>
    <w:semiHidden/>
    <w:rsid w:val="00C758B1"/>
    <w:pPr>
      <w:shd w:val="clear" w:color="auto" w:fill="000080"/>
    </w:pPr>
    <w:rPr>
      <w:rFonts w:ascii="Tahoma" w:hAnsi="Tahoma" w:cs="Tahoma"/>
      <w:lang w:val="de-DE"/>
    </w:rPr>
  </w:style>
  <w:style w:type="character" w:customStyle="1" w:styleId="DocumentMapChar">
    <w:name w:val="Document Map Char"/>
    <w:link w:val="DocumentMap"/>
    <w:semiHidden/>
    <w:rsid w:val="00917BBB"/>
    <w:rPr>
      <w:rFonts w:ascii="Tahoma" w:hAnsi="Tahoma" w:cs="Tahoma"/>
      <w:sz w:val="24"/>
      <w:szCs w:val="24"/>
      <w:shd w:val="clear" w:color="auto" w:fill="000080"/>
      <w:lang w:eastAsia="en-US"/>
    </w:rPr>
  </w:style>
  <w:style w:type="paragraph" w:styleId="Subtitle">
    <w:name w:val="Subtitle"/>
    <w:basedOn w:val="Normal"/>
    <w:next w:val="Normal"/>
    <w:link w:val="SubtitleChar"/>
    <w:qFormat/>
    <w:rsid w:val="006F2B23"/>
    <w:pPr>
      <w:spacing w:after="60"/>
      <w:jc w:val="center"/>
      <w:outlineLvl w:val="1"/>
    </w:pPr>
    <w:rPr>
      <w:rFonts w:ascii="Cambria" w:hAnsi="Cambria" w:cs="Cambria"/>
      <w:sz w:val="24"/>
      <w:szCs w:val="24"/>
      <w:lang w:val="de-DE"/>
    </w:rPr>
  </w:style>
  <w:style w:type="character" w:customStyle="1" w:styleId="SubtitleChar">
    <w:name w:val="Subtitle Char"/>
    <w:link w:val="Subtitle"/>
    <w:rsid w:val="006F2B23"/>
    <w:rPr>
      <w:rFonts w:ascii="Cambria" w:hAnsi="Cambria" w:cs="Cambria"/>
      <w:sz w:val="24"/>
      <w:szCs w:val="24"/>
      <w:lang w:eastAsia="en-US"/>
    </w:rPr>
  </w:style>
  <w:style w:type="character" w:customStyle="1" w:styleId="apple-converted-space">
    <w:name w:val="apple-converted-space"/>
    <w:rsid w:val="00C0517C"/>
  </w:style>
  <w:style w:type="paragraph" w:customStyle="1" w:styleId="Tableheadingleft">
    <w:name w:val="Table heading left"/>
    <w:basedOn w:val="Normal"/>
    <w:rsid w:val="009E0AFB"/>
    <w:pPr>
      <w:keepNext/>
      <w:keepLines/>
      <w:tabs>
        <w:tab w:val="left" w:pos="113"/>
        <w:tab w:val="center" w:pos="142"/>
        <w:tab w:val="center" w:pos="284"/>
        <w:tab w:val="center" w:pos="425"/>
      </w:tabs>
      <w:spacing w:line="240" w:lineRule="auto"/>
    </w:pPr>
    <w:rPr>
      <w:b/>
      <w:bCs/>
      <w:sz w:val="20"/>
      <w:szCs w:val="20"/>
      <w:lang w:val="en-GB"/>
    </w:rPr>
  </w:style>
  <w:style w:type="paragraph" w:customStyle="1" w:styleId="Tabletext">
    <w:name w:val="Table text"/>
    <w:basedOn w:val="Normal"/>
    <w:link w:val="TabletextChar"/>
    <w:uiPriority w:val="99"/>
    <w:qFormat/>
    <w:rsid w:val="00C758B1"/>
    <w:pPr>
      <w:keepNext/>
      <w:spacing w:before="60" w:after="40" w:line="240" w:lineRule="auto"/>
    </w:pPr>
    <w:rPr>
      <w:rFonts w:ascii="Arial Narrow" w:hAnsi="Arial Narrow" w:cs="Times New Roman"/>
      <w:sz w:val="20"/>
      <w:szCs w:val="20"/>
    </w:rPr>
  </w:style>
  <w:style w:type="paragraph" w:styleId="BodyTextIndent">
    <w:name w:val="Body Text Indent"/>
    <w:basedOn w:val="Normal"/>
    <w:link w:val="BodyTextIndentChar"/>
    <w:semiHidden/>
    <w:rsid w:val="00C758B1"/>
    <w:pPr>
      <w:ind w:left="720"/>
    </w:pPr>
    <w:rPr>
      <w:rFonts w:cs="Times New Roman"/>
      <w:sz w:val="24"/>
      <w:szCs w:val="20"/>
      <w:lang w:val="de-DE"/>
    </w:rPr>
  </w:style>
  <w:style w:type="character" w:customStyle="1" w:styleId="BodyText2Char">
    <w:name w:val="Body Text 2 Char"/>
    <w:link w:val="BodyText2"/>
    <w:rsid w:val="00C758B1"/>
    <w:rPr>
      <w:rFonts w:ascii="Arial" w:hAnsi="Arial" w:cs="Arial"/>
      <w:b/>
      <w:bCs/>
      <w:sz w:val="24"/>
      <w:szCs w:val="24"/>
      <w:lang w:val="en-US" w:eastAsia="en-US"/>
    </w:rPr>
  </w:style>
  <w:style w:type="paragraph" w:styleId="BodyText3">
    <w:name w:val="Body Text 3"/>
    <w:basedOn w:val="Normal"/>
    <w:link w:val="BodyText3Char"/>
    <w:semiHidden/>
    <w:rsid w:val="00C758B1"/>
    <w:rPr>
      <w:rFonts w:ascii="Verdana" w:hAnsi="Verdana" w:cs="Verdana"/>
      <w:b/>
      <w:bCs/>
      <w:sz w:val="18"/>
      <w:szCs w:val="18"/>
      <w:lang w:val="en-GB"/>
    </w:rPr>
  </w:style>
  <w:style w:type="character" w:customStyle="1" w:styleId="BodyText3Char">
    <w:name w:val="Body Text 3 Char"/>
    <w:link w:val="BodyText3"/>
    <w:semiHidden/>
    <w:rsid w:val="00204BEC"/>
    <w:rPr>
      <w:rFonts w:ascii="Arial" w:hAnsi="Arial" w:cs="Arial"/>
      <w:sz w:val="16"/>
      <w:szCs w:val="16"/>
      <w:lang w:val="en-AU" w:eastAsia="en-US"/>
    </w:rPr>
  </w:style>
  <w:style w:type="paragraph" w:styleId="EndnoteText">
    <w:name w:val="endnote text"/>
    <w:basedOn w:val="Normal"/>
    <w:link w:val="EndnoteTextChar"/>
    <w:semiHidden/>
    <w:rsid w:val="00C758B1"/>
    <w:pPr>
      <w:overflowPunct w:val="0"/>
      <w:autoSpaceDE w:val="0"/>
      <w:autoSpaceDN w:val="0"/>
      <w:adjustRightInd w:val="0"/>
      <w:spacing w:line="240" w:lineRule="auto"/>
      <w:ind w:left="1440"/>
      <w:textAlignment w:val="baseline"/>
    </w:pPr>
    <w:rPr>
      <w:rFonts w:ascii="Verdana" w:hAnsi="Verdana" w:cs="Verdana"/>
      <w:sz w:val="18"/>
      <w:szCs w:val="18"/>
      <w:lang w:val="en-GB"/>
    </w:rPr>
  </w:style>
  <w:style w:type="character" w:customStyle="1" w:styleId="EndnoteTextChar">
    <w:name w:val="Endnote Text Char"/>
    <w:link w:val="EndnoteText"/>
    <w:semiHidden/>
    <w:rsid w:val="00204BEC"/>
    <w:rPr>
      <w:rFonts w:ascii="Arial" w:hAnsi="Arial" w:cs="Arial"/>
      <w:sz w:val="20"/>
      <w:szCs w:val="20"/>
      <w:lang w:val="en-AU" w:eastAsia="en-US"/>
    </w:rPr>
  </w:style>
  <w:style w:type="paragraph" w:styleId="NormalWeb">
    <w:name w:val="Normal (Web)"/>
    <w:basedOn w:val="Normal"/>
    <w:uiPriority w:val="99"/>
    <w:rsid w:val="00C758B1"/>
    <w:pPr>
      <w:spacing w:before="100" w:beforeAutospacing="1" w:after="100" w:afterAutospacing="1" w:line="240" w:lineRule="auto"/>
    </w:pPr>
    <w:rPr>
      <w:rFonts w:ascii="Arial Unicode MS" w:eastAsia="Arial Unicode MS" w:hAnsi="Arial Unicode MS" w:cs="Arial Unicode MS"/>
      <w:sz w:val="24"/>
      <w:szCs w:val="24"/>
    </w:rPr>
  </w:style>
  <w:style w:type="paragraph" w:styleId="FootnoteText">
    <w:name w:val="footnote text"/>
    <w:basedOn w:val="Normal"/>
    <w:link w:val="FootnoteTextChar"/>
    <w:uiPriority w:val="99"/>
    <w:rsid w:val="00C758B1"/>
    <w:rPr>
      <w:sz w:val="20"/>
      <w:szCs w:val="20"/>
    </w:rPr>
  </w:style>
  <w:style w:type="character" w:customStyle="1" w:styleId="FootnoteTextChar">
    <w:name w:val="Footnote Text Char"/>
    <w:link w:val="FootnoteText"/>
    <w:uiPriority w:val="99"/>
    <w:rsid w:val="00C758B1"/>
    <w:rPr>
      <w:rFonts w:ascii="Arial" w:hAnsi="Arial" w:cs="Arial"/>
      <w:lang w:val="en-AU" w:eastAsia="en-US"/>
    </w:rPr>
  </w:style>
  <w:style w:type="character" w:styleId="FootnoteReference">
    <w:name w:val="footnote reference"/>
    <w:uiPriority w:val="99"/>
    <w:semiHidden/>
    <w:rsid w:val="00C758B1"/>
    <w:rPr>
      <w:rFonts w:cs="Times New Roman"/>
      <w:vertAlign w:val="superscript"/>
    </w:rPr>
  </w:style>
  <w:style w:type="paragraph" w:styleId="TOC4">
    <w:name w:val="toc 4"/>
    <w:aliases w:val="title4"/>
    <w:basedOn w:val="Normal"/>
    <w:next w:val="Normal"/>
    <w:autoRedefine/>
    <w:uiPriority w:val="39"/>
    <w:rsid w:val="00C758B1"/>
    <w:pPr>
      <w:spacing w:after="0"/>
      <w:ind w:left="660"/>
    </w:pPr>
    <w:rPr>
      <w:rFonts w:ascii="Calibri" w:hAnsi="Calibri" w:cs="Calibri"/>
      <w:sz w:val="18"/>
      <w:szCs w:val="18"/>
    </w:rPr>
  </w:style>
  <w:style w:type="character" w:styleId="Hyperlink">
    <w:name w:val="Hyperlink"/>
    <w:uiPriority w:val="99"/>
    <w:rsid w:val="00C758B1"/>
    <w:rPr>
      <w:rFonts w:cs="Times New Roman"/>
      <w:color w:val="000066"/>
      <w:u w:val="single"/>
      <w:shd w:val="clear" w:color="auto" w:fill="FFFFFF"/>
    </w:rPr>
  </w:style>
  <w:style w:type="paragraph" w:styleId="Header">
    <w:name w:val="header"/>
    <w:basedOn w:val="Normal"/>
    <w:link w:val="HeaderChar"/>
    <w:semiHidden/>
    <w:rsid w:val="00C758B1"/>
    <w:pPr>
      <w:pBdr>
        <w:bottom w:val="single" w:sz="4" w:space="1" w:color="000000"/>
      </w:pBdr>
      <w:tabs>
        <w:tab w:val="center" w:pos="4153"/>
        <w:tab w:val="right" w:pos="8306"/>
      </w:tabs>
      <w:spacing w:before="240" w:after="40" w:line="240" w:lineRule="auto"/>
      <w:jc w:val="right"/>
    </w:pPr>
    <w:rPr>
      <w:rFonts w:ascii="Franklin Gothic Medium" w:hAnsi="Franklin Gothic Medium" w:cs="Franklin Gothic Medium"/>
      <w:smallCaps/>
      <w:sz w:val="18"/>
      <w:szCs w:val="18"/>
      <w:lang w:val="de-DE"/>
    </w:rPr>
  </w:style>
  <w:style w:type="character" w:customStyle="1" w:styleId="HeaderChar">
    <w:name w:val="Header Char"/>
    <w:link w:val="Header"/>
    <w:rsid w:val="00917BBB"/>
    <w:rPr>
      <w:rFonts w:ascii="Franklin Gothic Medium" w:hAnsi="Franklin Gothic Medium" w:cs="Franklin Gothic Medium"/>
      <w:smallCaps/>
      <w:sz w:val="18"/>
      <w:szCs w:val="18"/>
      <w:lang w:eastAsia="en-US"/>
    </w:rPr>
  </w:style>
  <w:style w:type="paragraph" w:styleId="Footer">
    <w:name w:val="footer"/>
    <w:aliases w:val="Page Footer"/>
    <w:basedOn w:val="Normal"/>
    <w:link w:val="FooterChar"/>
    <w:rsid w:val="00C758B1"/>
    <w:pPr>
      <w:tabs>
        <w:tab w:val="center" w:pos="4153"/>
        <w:tab w:val="right" w:pos="8306"/>
      </w:tabs>
    </w:pPr>
  </w:style>
  <w:style w:type="character" w:customStyle="1" w:styleId="FooterChar">
    <w:name w:val="Footer Char"/>
    <w:aliases w:val="Page Footer Char"/>
    <w:link w:val="Footer"/>
    <w:rsid w:val="00C758B1"/>
    <w:rPr>
      <w:rFonts w:ascii="Arial" w:hAnsi="Arial" w:cs="Arial"/>
      <w:sz w:val="24"/>
      <w:szCs w:val="24"/>
      <w:lang w:val="en-AU" w:eastAsia="en-US"/>
    </w:rPr>
  </w:style>
  <w:style w:type="paragraph" w:customStyle="1" w:styleId="Tablenotes">
    <w:name w:val="Table notes"/>
    <w:basedOn w:val="Normal"/>
    <w:link w:val="TablenotesChar"/>
    <w:rsid w:val="00CF13F3"/>
    <w:pPr>
      <w:spacing w:before="40" w:after="360" w:line="240" w:lineRule="auto"/>
    </w:pPr>
    <w:rPr>
      <w:rFonts w:ascii="Arial Narrow" w:hAnsi="Arial Narrow" w:cs="Times New Roman"/>
      <w:szCs w:val="20"/>
    </w:rPr>
  </w:style>
  <w:style w:type="paragraph" w:styleId="TOC1">
    <w:name w:val="toc 1"/>
    <w:basedOn w:val="Normal"/>
    <w:next w:val="Normal"/>
    <w:autoRedefine/>
    <w:uiPriority w:val="39"/>
    <w:qFormat/>
    <w:rsid w:val="00931C70"/>
    <w:pPr>
      <w:widowControl w:val="0"/>
      <w:tabs>
        <w:tab w:val="left" w:pos="992"/>
        <w:tab w:val="right" w:leader="dot" w:pos="8789"/>
      </w:tabs>
      <w:spacing w:before="120" w:line="288" w:lineRule="auto"/>
      <w:ind w:left="1009" w:hanging="1009"/>
      <w:jc w:val="both"/>
    </w:pPr>
    <w:rPr>
      <w:b/>
      <w:bCs/>
      <w:caps/>
      <w:noProof/>
    </w:rPr>
  </w:style>
  <w:style w:type="paragraph" w:styleId="TOC2">
    <w:name w:val="toc 2"/>
    <w:basedOn w:val="Normal"/>
    <w:next w:val="Normal"/>
    <w:autoRedefine/>
    <w:uiPriority w:val="39"/>
    <w:qFormat/>
    <w:rsid w:val="00485934"/>
    <w:pPr>
      <w:tabs>
        <w:tab w:val="left" w:pos="993"/>
        <w:tab w:val="right" w:leader="dot" w:pos="8789"/>
      </w:tabs>
      <w:spacing w:line="240" w:lineRule="auto"/>
      <w:ind w:left="992" w:right="708" w:hanging="567"/>
    </w:pPr>
    <w:rPr>
      <w:smallCaps/>
      <w:noProof/>
    </w:rPr>
  </w:style>
  <w:style w:type="paragraph" w:styleId="TOC3">
    <w:name w:val="toc 3"/>
    <w:basedOn w:val="Normal"/>
    <w:next w:val="Normal"/>
    <w:autoRedefine/>
    <w:uiPriority w:val="39"/>
    <w:qFormat/>
    <w:rsid w:val="00485934"/>
    <w:pPr>
      <w:spacing w:after="0"/>
      <w:ind w:left="440"/>
    </w:pPr>
    <w:rPr>
      <w:i/>
      <w:iCs/>
      <w:sz w:val="20"/>
      <w:szCs w:val="20"/>
    </w:rPr>
  </w:style>
  <w:style w:type="paragraph" w:styleId="TOC5">
    <w:name w:val="toc 5"/>
    <w:basedOn w:val="Normal"/>
    <w:next w:val="Normal"/>
    <w:autoRedefine/>
    <w:uiPriority w:val="39"/>
    <w:rsid w:val="00C758B1"/>
    <w:pPr>
      <w:spacing w:after="0"/>
      <w:ind w:left="880"/>
    </w:pPr>
    <w:rPr>
      <w:rFonts w:ascii="Calibri" w:hAnsi="Calibri" w:cs="Calibri"/>
      <w:sz w:val="18"/>
      <w:szCs w:val="18"/>
    </w:rPr>
  </w:style>
  <w:style w:type="paragraph" w:styleId="TOC6">
    <w:name w:val="toc 6"/>
    <w:basedOn w:val="Normal"/>
    <w:next w:val="Normal"/>
    <w:autoRedefine/>
    <w:uiPriority w:val="39"/>
    <w:rsid w:val="00C758B1"/>
    <w:pPr>
      <w:spacing w:after="0"/>
      <w:ind w:left="1100"/>
    </w:pPr>
    <w:rPr>
      <w:rFonts w:ascii="Calibri" w:hAnsi="Calibri" w:cs="Calibri"/>
      <w:sz w:val="18"/>
      <w:szCs w:val="18"/>
    </w:rPr>
  </w:style>
  <w:style w:type="paragraph" w:styleId="TOC7">
    <w:name w:val="toc 7"/>
    <w:basedOn w:val="Normal"/>
    <w:next w:val="Normal"/>
    <w:autoRedefine/>
    <w:uiPriority w:val="39"/>
    <w:rsid w:val="00C758B1"/>
    <w:pPr>
      <w:spacing w:after="0"/>
      <w:ind w:left="1320"/>
    </w:pPr>
    <w:rPr>
      <w:rFonts w:ascii="Calibri" w:hAnsi="Calibri" w:cs="Calibri"/>
      <w:sz w:val="18"/>
      <w:szCs w:val="18"/>
    </w:rPr>
  </w:style>
  <w:style w:type="paragraph" w:styleId="TOC8">
    <w:name w:val="toc 8"/>
    <w:basedOn w:val="Normal"/>
    <w:next w:val="Normal"/>
    <w:autoRedefine/>
    <w:uiPriority w:val="39"/>
    <w:rsid w:val="00C758B1"/>
    <w:pPr>
      <w:spacing w:after="0"/>
      <w:ind w:left="1540"/>
    </w:pPr>
    <w:rPr>
      <w:rFonts w:ascii="Calibri" w:hAnsi="Calibri" w:cs="Calibri"/>
      <w:sz w:val="18"/>
      <w:szCs w:val="18"/>
    </w:rPr>
  </w:style>
  <w:style w:type="paragraph" w:styleId="TOC9">
    <w:name w:val="toc 9"/>
    <w:basedOn w:val="Normal"/>
    <w:next w:val="Normal"/>
    <w:autoRedefine/>
    <w:uiPriority w:val="39"/>
    <w:rsid w:val="00C758B1"/>
    <w:pPr>
      <w:spacing w:after="0"/>
      <w:ind w:left="1760"/>
    </w:pPr>
    <w:rPr>
      <w:rFonts w:ascii="Calibri" w:hAnsi="Calibri" w:cs="Calibri"/>
      <w:sz w:val="18"/>
      <w:szCs w:val="18"/>
    </w:rPr>
  </w:style>
  <w:style w:type="paragraph" w:styleId="ListBullet2">
    <w:name w:val="List Bullet 2"/>
    <w:basedOn w:val="Normal"/>
    <w:autoRedefine/>
    <w:semiHidden/>
    <w:rsid w:val="00C758B1"/>
    <w:pPr>
      <w:tabs>
        <w:tab w:val="left" w:pos="416"/>
        <w:tab w:val="left" w:pos="582"/>
        <w:tab w:val="num" w:pos="643"/>
      </w:tabs>
      <w:ind w:left="643" w:hanging="360"/>
    </w:pPr>
    <w:rPr>
      <w:sz w:val="24"/>
      <w:szCs w:val="24"/>
    </w:rPr>
  </w:style>
  <w:style w:type="paragraph" w:customStyle="1" w:styleId="ListBullet-Last">
    <w:name w:val="List Bullet - Last"/>
    <w:basedOn w:val="Normal"/>
    <w:rsid w:val="00C758B1"/>
    <w:pPr>
      <w:numPr>
        <w:numId w:val="2"/>
      </w:numPr>
      <w:tabs>
        <w:tab w:val="left" w:pos="1152"/>
        <w:tab w:val="left" w:pos="1872"/>
      </w:tabs>
      <w:spacing w:line="288" w:lineRule="auto"/>
    </w:pPr>
    <w:rPr>
      <w:lang w:val="en-GB"/>
    </w:rPr>
  </w:style>
  <w:style w:type="paragraph" w:styleId="ListBullet">
    <w:name w:val="List Bullet"/>
    <w:basedOn w:val="Normal"/>
    <w:autoRedefine/>
    <w:semiHidden/>
    <w:rsid w:val="00C758B1"/>
    <w:pPr>
      <w:tabs>
        <w:tab w:val="num" w:pos="926"/>
      </w:tabs>
      <w:spacing w:line="240" w:lineRule="auto"/>
      <w:ind w:left="360" w:hanging="360"/>
    </w:pPr>
    <w:rPr>
      <w:sz w:val="20"/>
      <w:szCs w:val="20"/>
      <w:lang w:val="en-GB"/>
    </w:rPr>
  </w:style>
  <w:style w:type="paragraph" w:styleId="ListBullet3">
    <w:name w:val="List Bullet 3"/>
    <w:basedOn w:val="Normal"/>
    <w:autoRedefine/>
    <w:semiHidden/>
    <w:rsid w:val="00C758B1"/>
    <w:pPr>
      <w:tabs>
        <w:tab w:val="num" w:pos="1080"/>
        <w:tab w:val="num" w:pos="1209"/>
      </w:tabs>
      <w:spacing w:line="240" w:lineRule="auto"/>
      <w:ind w:left="1080" w:hanging="360"/>
    </w:pPr>
    <w:rPr>
      <w:sz w:val="20"/>
      <w:szCs w:val="20"/>
      <w:lang w:val="en-GB"/>
    </w:rPr>
  </w:style>
  <w:style w:type="paragraph" w:styleId="ListBullet4">
    <w:name w:val="List Bullet 4"/>
    <w:basedOn w:val="Normal"/>
    <w:autoRedefine/>
    <w:semiHidden/>
    <w:rsid w:val="00C758B1"/>
    <w:pPr>
      <w:tabs>
        <w:tab w:val="num" w:pos="1440"/>
        <w:tab w:val="num" w:pos="1492"/>
      </w:tabs>
      <w:spacing w:line="240" w:lineRule="auto"/>
      <w:ind w:left="1440" w:hanging="360"/>
    </w:pPr>
    <w:rPr>
      <w:sz w:val="20"/>
      <w:szCs w:val="20"/>
      <w:lang w:val="en-GB"/>
    </w:rPr>
  </w:style>
  <w:style w:type="paragraph" w:styleId="ListBullet5">
    <w:name w:val="List Bullet 5"/>
    <w:basedOn w:val="Normal"/>
    <w:autoRedefine/>
    <w:semiHidden/>
    <w:rsid w:val="00C758B1"/>
    <w:pPr>
      <w:tabs>
        <w:tab w:val="num" w:pos="1800"/>
      </w:tabs>
      <w:spacing w:line="240" w:lineRule="auto"/>
      <w:ind w:left="1800" w:hanging="360"/>
    </w:pPr>
    <w:rPr>
      <w:sz w:val="20"/>
      <w:szCs w:val="20"/>
      <w:lang w:val="en-GB"/>
    </w:rPr>
  </w:style>
  <w:style w:type="paragraph" w:styleId="ListNumber">
    <w:name w:val="List Number"/>
    <w:basedOn w:val="Normal"/>
    <w:semiHidden/>
    <w:rsid w:val="00C758B1"/>
    <w:pPr>
      <w:tabs>
        <w:tab w:val="num" w:pos="643"/>
      </w:tabs>
      <w:spacing w:line="240" w:lineRule="auto"/>
      <w:ind w:left="360" w:hanging="360"/>
    </w:pPr>
    <w:rPr>
      <w:sz w:val="20"/>
      <w:szCs w:val="20"/>
      <w:lang w:val="en-GB"/>
    </w:rPr>
  </w:style>
  <w:style w:type="paragraph" w:styleId="ListNumber2">
    <w:name w:val="List Number 2"/>
    <w:aliases w:val="Char1, Char1"/>
    <w:basedOn w:val="Normal"/>
    <w:link w:val="ListNumber2Char"/>
    <w:semiHidden/>
    <w:rsid w:val="00C758B1"/>
    <w:pPr>
      <w:tabs>
        <w:tab w:val="num" w:pos="720"/>
        <w:tab w:val="num" w:pos="926"/>
      </w:tabs>
      <w:spacing w:line="240" w:lineRule="auto"/>
      <w:ind w:left="720" w:hanging="360"/>
    </w:pPr>
    <w:rPr>
      <w:rFonts w:cs="Times New Roman"/>
      <w:sz w:val="20"/>
      <w:szCs w:val="20"/>
      <w:lang w:val="en-GB"/>
    </w:rPr>
  </w:style>
  <w:style w:type="paragraph" w:styleId="ListNumber3">
    <w:name w:val="List Number 3"/>
    <w:aliases w:val="Char, Char"/>
    <w:basedOn w:val="Normal"/>
    <w:link w:val="ListNumber3Char"/>
    <w:semiHidden/>
    <w:rsid w:val="00C758B1"/>
    <w:pPr>
      <w:tabs>
        <w:tab w:val="num" w:pos="1080"/>
        <w:tab w:val="num" w:pos="1209"/>
      </w:tabs>
      <w:spacing w:line="240" w:lineRule="auto"/>
      <w:ind w:left="1080" w:hanging="360"/>
    </w:pPr>
    <w:rPr>
      <w:rFonts w:cs="Times New Roman"/>
      <w:sz w:val="20"/>
      <w:szCs w:val="20"/>
      <w:lang w:val="en-GB"/>
    </w:rPr>
  </w:style>
  <w:style w:type="paragraph" w:styleId="ListNumber4">
    <w:name w:val="List Number 4"/>
    <w:basedOn w:val="Normal"/>
    <w:semiHidden/>
    <w:rsid w:val="00C758B1"/>
    <w:pPr>
      <w:tabs>
        <w:tab w:val="num" w:pos="1440"/>
        <w:tab w:val="num" w:pos="1492"/>
      </w:tabs>
      <w:spacing w:line="240" w:lineRule="auto"/>
      <w:ind w:left="1440" w:hanging="360"/>
    </w:pPr>
    <w:rPr>
      <w:sz w:val="20"/>
      <w:szCs w:val="20"/>
      <w:lang w:val="en-GB"/>
    </w:rPr>
  </w:style>
  <w:style w:type="paragraph" w:styleId="ListNumber5">
    <w:name w:val="List Number 5"/>
    <w:basedOn w:val="Normal"/>
    <w:semiHidden/>
    <w:rsid w:val="00C758B1"/>
    <w:pPr>
      <w:tabs>
        <w:tab w:val="num" w:pos="643"/>
        <w:tab w:val="num" w:pos="1800"/>
      </w:tabs>
      <w:spacing w:line="240" w:lineRule="auto"/>
      <w:ind w:left="1800" w:hanging="360"/>
    </w:pPr>
    <w:rPr>
      <w:sz w:val="20"/>
      <w:szCs w:val="20"/>
      <w:lang w:val="en-GB"/>
    </w:rPr>
  </w:style>
  <w:style w:type="paragraph" w:styleId="BlockText">
    <w:name w:val="Block Text"/>
    <w:basedOn w:val="Normal"/>
    <w:semiHidden/>
    <w:rsid w:val="00C758B1"/>
    <w:pPr>
      <w:spacing w:line="288" w:lineRule="auto"/>
      <w:ind w:left="1152"/>
    </w:pPr>
    <w:rPr>
      <w:sz w:val="20"/>
      <w:szCs w:val="20"/>
      <w:lang w:val="en-GB"/>
    </w:rPr>
  </w:style>
  <w:style w:type="paragraph" w:customStyle="1" w:styleId="Bullet">
    <w:name w:val="Bullet"/>
    <w:basedOn w:val="Normal"/>
    <w:rsid w:val="00C758B1"/>
    <w:pPr>
      <w:numPr>
        <w:numId w:val="4"/>
      </w:numPr>
      <w:suppressAutoHyphens/>
      <w:spacing w:before="60" w:after="60" w:line="320" w:lineRule="exact"/>
    </w:pPr>
    <w:rPr>
      <w:lang w:val="en-GB"/>
    </w:rPr>
  </w:style>
  <w:style w:type="paragraph" w:customStyle="1" w:styleId="NumberedList">
    <w:name w:val="Numbered List"/>
    <w:rsid w:val="00C758B1"/>
    <w:pPr>
      <w:tabs>
        <w:tab w:val="num" w:pos="648"/>
      </w:tabs>
      <w:suppressAutoHyphens/>
      <w:spacing w:before="120" w:after="120" w:line="360" w:lineRule="exact"/>
      <w:ind w:left="646" w:hanging="357"/>
    </w:pPr>
    <w:rPr>
      <w:rFonts w:ascii="Californian FB" w:hAnsi="Californian FB" w:cs="Californian FB"/>
      <w:sz w:val="24"/>
      <w:szCs w:val="24"/>
      <w:lang w:val="en-US" w:eastAsia="en-US"/>
    </w:rPr>
  </w:style>
  <w:style w:type="paragraph" w:styleId="CommentText">
    <w:name w:val="annotation text"/>
    <w:aliases w:val="Comment Text Char Char Char,Comment Text Char Char"/>
    <w:basedOn w:val="Normal"/>
    <w:link w:val="CommentTextChar1"/>
    <w:uiPriority w:val="99"/>
    <w:qFormat/>
    <w:rsid w:val="00C758B1"/>
    <w:rPr>
      <w:rFonts w:cs="Times New Roman"/>
      <w:sz w:val="20"/>
      <w:szCs w:val="20"/>
    </w:rPr>
  </w:style>
  <w:style w:type="character" w:customStyle="1" w:styleId="CommentTextChar">
    <w:name w:val="Comment Text Char"/>
    <w:aliases w:val="Comment Text Char Char Char Char,Comment Text Char Char Char1"/>
    <w:uiPriority w:val="99"/>
    <w:rsid w:val="00204BEC"/>
    <w:rPr>
      <w:rFonts w:ascii="Arial" w:hAnsi="Arial" w:cs="Arial"/>
      <w:sz w:val="20"/>
      <w:szCs w:val="20"/>
      <w:lang w:val="en-AU" w:eastAsia="en-US"/>
    </w:rPr>
  </w:style>
  <w:style w:type="paragraph" w:styleId="CommentSubject">
    <w:name w:val="annotation subject"/>
    <w:basedOn w:val="CommentText"/>
    <w:next w:val="CommentText"/>
    <w:link w:val="CommentSubjectChar"/>
    <w:semiHidden/>
    <w:rsid w:val="00C758B1"/>
    <w:pPr>
      <w:tabs>
        <w:tab w:val="left" w:pos="416"/>
        <w:tab w:val="left" w:pos="582"/>
      </w:tabs>
    </w:pPr>
    <w:rPr>
      <w:b/>
      <w:bCs/>
    </w:rPr>
  </w:style>
  <w:style w:type="character" w:customStyle="1" w:styleId="CommentSubjectChar">
    <w:name w:val="Comment Subject Char"/>
    <w:link w:val="CommentSubject"/>
    <w:rsid w:val="00C758B1"/>
    <w:rPr>
      <w:rFonts w:ascii="Arial" w:hAnsi="Arial" w:cs="Arial"/>
      <w:b/>
      <w:bCs/>
      <w:sz w:val="20"/>
      <w:szCs w:val="20"/>
      <w:lang w:val="en-AU" w:eastAsia="en-US"/>
    </w:rPr>
  </w:style>
  <w:style w:type="paragraph" w:customStyle="1" w:styleId="summarybox">
    <w:name w:val="summary box"/>
    <w:basedOn w:val="Normal"/>
    <w:link w:val="summaryboxChar"/>
    <w:autoRedefine/>
    <w:rsid w:val="00C758B1"/>
    <w:pPr>
      <w:numPr>
        <w:numId w:val="3"/>
      </w:numPr>
      <w:pBdr>
        <w:top w:val="single" w:sz="12" w:space="10" w:color="auto"/>
        <w:left w:val="single" w:sz="12" w:space="10" w:color="auto"/>
        <w:bottom w:val="single" w:sz="12" w:space="10" w:color="auto"/>
        <w:right w:val="single" w:sz="12" w:space="10" w:color="auto"/>
      </w:pBdr>
      <w:tabs>
        <w:tab w:val="clear" w:pos="648"/>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uto"/>
      <w:ind w:left="0" w:firstLine="0"/>
      <w:jc w:val="center"/>
    </w:pPr>
    <w:rPr>
      <w:rFonts w:ascii="Gill Sans MT" w:hAnsi="Gill Sans MT" w:cs="Times New Roman"/>
      <w:sz w:val="20"/>
      <w:szCs w:val="20"/>
      <w:lang w:val="de-DE" w:eastAsia="ja-JP"/>
    </w:rPr>
  </w:style>
  <w:style w:type="character" w:customStyle="1" w:styleId="summaryboxChar">
    <w:name w:val="summary box Char"/>
    <w:link w:val="summarybox"/>
    <w:rsid w:val="00C758B1"/>
    <w:rPr>
      <w:rFonts w:ascii="Gill Sans MT" w:hAnsi="Gill Sans MT"/>
      <w:lang w:val="de-DE" w:eastAsia="ja-JP"/>
    </w:rPr>
  </w:style>
  <w:style w:type="paragraph" w:customStyle="1" w:styleId="Default">
    <w:name w:val="Default"/>
    <w:rsid w:val="00C758B1"/>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semiHidden/>
    <w:rsid w:val="00C758B1"/>
    <w:rPr>
      <w:rFonts w:ascii="Tahoma" w:hAnsi="Tahoma" w:cs="Tahoma"/>
      <w:sz w:val="16"/>
      <w:szCs w:val="16"/>
    </w:rPr>
  </w:style>
  <w:style w:type="character" w:customStyle="1" w:styleId="BalloonTextChar">
    <w:name w:val="Balloon Text Char"/>
    <w:link w:val="BalloonText"/>
    <w:rsid w:val="00C758B1"/>
    <w:rPr>
      <w:rFonts w:ascii="Tahoma" w:hAnsi="Tahoma" w:cs="Tahoma"/>
      <w:sz w:val="16"/>
      <w:szCs w:val="16"/>
      <w:lang w:val="en-AU" w:eastAsia="en-US"/>
    </w:rPr>
  </w:style>
  <w:style w:type="character" w:styleId="PageNumber">
    <w:name w:val="page number"/>
    <w:semiHidden/>
    <w:rsid w:val="00C758B1"/>
    <w:rPr>
      <w:rFonts w:cs="Times New Roman"/>
    </w:rPr>
  </w:style>
  <w:style w:type="paragraph" w:styleId="TableofFigures">
    <w:name w:val="table of figures"/>
    <w:basedOn w:val="Normal"/>
    <w:next w:val="Normal"/>
    <w:uiPriority w:val="99"/>
    <w:rsid w:val="000709E3"/>
    <w:pPr>
      <w:tabs>
        <w:tab w:val="left" w:pos="1701"/>
        <w:tab w:val="right" w:leader="dot" w:pos="8779"/>
      </w:tabs>
      <w:spacing w:line="240" w:lineRule="auto"/>
      <w:ind w:left="1134" w:right="567" w:hanging="1134"/>
    </w:pPr>
    <w:rPr>
      <w:noProof/>
    </w:rPr>
  </w:style>
  <w:style w:type="paragraph" w:styleId="BodyTextIndent2">
    <w:name w:val="Body Text Indent 2"/>
    <w:basedOn w:val="Normal"/>
    <w:link w:val="BodyTextIndent2Char"/>
    <w:semiHidden/>
    <w:rsid w:val="00C758B1"/>
    <w:pPr>
      <w:spacing w:line="240" w:lineRule="auto"/>
      <w:ind w:left="-108"/>
    </w:pPr>
    <w:rPr>
      <w:sz w:val="18"/>
      <w:szCs w:val="18"/>
    </w:rPr>
  </w:style>
  <w:style w:type="character" w:customStyle="1" w:styleId="BodyTextIndent2Char">
    <w:name w:val="Body Text Indent 2 Char"/>
    <w:link w:val="BodyTextIndent2"/>
    <w:semiHidden/>
    <w:rsid w:val="00F47BA5"/>
    <w:rPr>
      <w:rFonts w:cs="Times New Roman"/>
      <w:sz w:val="18"/>
      <w:szCs w:val="18"/>
      <w:lang w:val="en-AU"/>
    </w:rPr>
  </w:style>
  <w:style w:type="paragraph" w:styleId="ListParagraph">
    <w:name w:val="List Paragraph"/>
    <w:basedOn w:val="Normal"/>
    <w:link w:val="ListParagraphChar"/>
    <w:uiPriority w:val="34"/>
    <w:qFormat/>
    <w:rsid w:val="00C758B1"/>
    <w:pPr>
      <w:ind w:left="720"/>
      <w:contextualSpacing/>
    </w:pPr>
  </w:style>
  <w:style w:type="table" w:styleId="TableGrid">
    <w:name w:val="Table Grid"/>
    <w:aliases w:val="Summary box,Table Gridbeth"/>
    <w:basedOn w:val="TableNormal"/>
    <w:uiPriority w:val="59"/>
    <w:rsid w:val="00C758B1"/>
    <w:rPr>
      <w:rFonts w:ascii="Arial Narrow" w:hAnsi="Arial Narrow" w:cs="Arial Narrow"/>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subtitle">
    <w:name w:val="Main subtitle"/>
    <w:basedOn w:val="Normal"/>
    <w:rsid w:val="00C758B1"/>
    <w:pPr>
      <w:spacing w:before="480" w:after="480" w:line="240" w:lineRule="auto"/>
      <w:jc w:val="center"/>
    </w:pPr>
    <w:rPr>
      <w:b/>
      <w:bCs/>
      <w:sz w:val="36"/>
      <w:szCs w:val="36"/>
    </w:rPr>
  </w:style>
  <w:style w:type="paragraph" w:customStyle="1" w:styleId="Maintitle">
    <w:name w:val="Main title"/>
    <w:basedOn w:val="Normal"/>
    <w:rsid w:val="00C758B1"/>
    <w:pPr>
      <w:spacing w:before="1920" w:after="480" w:line="240" w:lineRule="auto"/>
      <w:jc w:val="center"/>
    </w:pPr>
    <w:rPr>
      <w:rFonts w:eastAsia="Batang"/>
      <w:b/>
      <w:bCs/>
      <w:sz w:val="56"/>
      <w:szCs w:val="56"/>
    </w:rPr>
  </w:style>
  <w:style w:type="paragraph" w:customStyle="1" w:styleId="Mainsub2">
    <w:name w:val="Main sub 2"/>
    <w:basedOn w:val="Normal"/>
    <w:rsid w:val="00C758B1"/>
    <w:pPr>
      <w:spacing w:line="240" w:lineRule="auto"/>
      <w:ind w:right="149"/>
      <w:jc w:val="center"/>
    </w:pPr>
    <w:rPr>
      <w:sz w:val="28"/>
      <w:szCs w:val="28"/>
    </w:rPr>
  </w:style>
  <w:style w:type="paragraph" w:customStyle="1" w:styleId="Mainsub3">
    <w:name w:val="Main sub 3"/>
    <w:basedOn w:val="Normal"/>
    <w:rsid w:val="00C758B1"/>
    <w:pPr>
      <w:spacing w:line="240" w:lineRule="auto"/>
      <w:ind w:right="147"/>
    </w:pPr>
    <w:rPr>
      <w:b/>
      <w:bCs/>
      <w:sz w:val="20"/>
      <w:szCs w:val="20"/>
    </w:rPr>
  </w:style>
  <w:style w:type="paragraph" w:customStyle="1" w:styleId="Headers">
    <w:name w:val="Headers"/>
    <w:basedOn w:val="Normal"/>
    <w:rsid w:val="00CB43BB"/>
    <w:pPr>
      <w:pBdr>
        <w:bottom w:val="single" w:sz="4" w:space="1" w:color="auto"/>
      </w:pBdr>
      <w:spacing w:before="240" w:after="360"/>
      <w:jc w:val="right"/>
    </w:pPr>
    <w:rPr>
      <w:smallCaps/>
      <w:sz w:val="18"/>
      <w:szCs w:val="18"/>
    </w:rPr>
  </w:style>
  <w:style w:type="paragraph" w:customStyle="1" w:styleId="Footers">
    <w:name w:val="Footers"/>
    <w:basedOn w:val="Footer"/>
    <w:link w:val="FootersChar"/>
    <w:rsid w:val="001608BD"/>
    <w:pPr>
      <w:pBdr>
        <w:top w:val="single" w:sz="4" w:space="1" w:color="auto"/>
      </w:pBdr>
      <w:tabs>
        <w:tab w:val="clear" w:pos="8306"/>
        <w:tab w:val="right" w:pos="9000"/>
      </w:tabs>
      <w:spacing w:after="0" w:line="240" w:lineRule="auto"/>
    </w:pPr>
    <w:rPr>
      <w:rFonts w:cs="Times New Roman"/>
      <w:smallCaps/>
      <w:sz w:val="18"/>
      <w:szCs w:val="20"/>
      <w:lang w:val="de-DE"/>
    </w:rPr>
  </w:style>
  <w:style w:type="character" w:customStyle="1" w:styleId="FootersChar">
    <w:name w:val="Footers Char"/>
    <w:link w:val="Footers"/>
    <w:rsid w:val="001608BD"/>
    <w:rPr>
      <w:rFonts w:ascii="Arial" w:hAnsi="Arial"/>
      <w:smallCaps/>
      <w:sz w:val="18"/>
      <w:lang w:eastAsia="en-US"/>
    </w:rPr>
  </w:style>
  <w:style w:type="paragraph" w:customStyle="1" w:styleId="Tableheading">
    <w:name w:val="Table heading"/>
    <w:basedOn w:val="Normal"/>
    <w:link w:val="TableheadingChar"/>
    <w:qFormat/>
    <w:rsid w:val="00C758B1"/>
    <w:pPr>
      <w:keepNext/>
      <w:spacing w:before="60" w:after="60" w:line="240" w:lineRule="auto"/>
    </w:pPr>
    <w:rPr>
      <w:rFonts w:ascii="Arial Narrow" w:hAnsi="Arial Narrow" w:cs="Times New Roman"/>
      <w:b/>
      <w:sz w:val="20"/>
      <w:szCs w:val="20"/>
    </w:rPr>
  </w:style>
  <w:style w:type="character" w:customStyle="1" w:styleId="TableheadingChar">
    <w:name w:val="Table heading Char"/>
    <w:link w:val="Tableheading"/>
    <w:rsid w:val="00C758B1"/>
    <w:rPr>
      <w:rFonts w:ascii="Arial Narrow" w:hAnsi="Arial Narrow"/>
      <w:b/>
      <w:lang w:val="en-AU" w:eastAsia="en-US"/>
    </w:rPr>
  </w:style>
  <w:style w:type="paragraph" w:customStyle="1" w:styleId="Tablecaption">
    <w:name w:val="Table caption"/>
    <w:basedOn w:val="Caption"/>
    <w:rsid w:val="00C758B1"/>
  </w:style>
  <w:style w:type="paragraph" w:customStyle="1" w:styleId="Figurecaption">
    <w:name w:val="Figure caption"/>
    <w:basedOn w:val="Caption"/>
    <w:link w:val="FigurecaptionChar"/>
    <w:rsid w:val="00C758B1"/>
    <w:pPr>
      <w:keepNext w:val="0"/>
      <w:keepLines/>
      <w:spacing w:after="480"/>
    </w:pPr>
  </w:style>
  <w:style w:type="character" w:customStyle="1" w:styleId="FigurecaptionChar">
    <w:name w:val="Figure caption Char"/>
    <w:link w:val="Figurecaption"/>
    <w:rsid w:val="00C758B1"/>
    <w:rPr>
      <w:rFonts w:ascii="Arial" w:hAnsi="Arial" w:cs="Arial"/>
      <w:b/>
      <w:bCs/>
      <w:sz w:val="22"/>
      <w:szCs w:val="22"/>
      <w:lang w:eastAsia="en-US"/>
    </w:rPr>
  </w:style>
  <w:style w:type="paragraph" w:customStyle="1" w:styleId="Bulletedbodytext">
    <w:name w:val="Bulleted body text"/>
    <w:basedOn w:val="BodyText"/>
    <w:link w:val="BulletedbodytextChar"/>
    <w:rsid w:val="00C758B1"/>
    <w:pPr>
      <w:numPr>
        <w:numId w:val="5"/>
      </w:numPr>
      <w:autoSpaceDE/>
      <w:autoSpaceDN/>
      <w:adjustRightInd/>
      <w:ind w:left="714" w:hanging="357"/>
    </w:pPr>
    <w:rPr>
      <w:rFonts w:ascii="Arial" w:hAnsi="Arial" w:cs="Times New Roman"/>
      <w:lang w:val="de-DE" w:eastAsia="ja-JP"/>
    </w:rPr>
  </w:style>
  <w:style w:type="paragraph" w:customStyle="1" w:styleId="Table-bodytext">
    <w:name w:val="Table - body text"/>
    <w:basedOn w:val="Normal"/>
    <w:link w:val="Table-bodytextChar"/>
    <w:rsid w:val="00C758B1"/>
    <w:pPr>
      <w:spacing w:after="0" w:line="240" w:lineRule="auto"/>
      <w:jc w:val="center"/>
    </w:pPr>
    <w:rPr>
      <w:rFonts w:ascii="Times New Roman" w:hAnsi="Times New Roman" w:cs="Times New Roman"/>
      <w:sz w:val="24"/>
      <w:szCs w:val="20"/>
    </w:rPr>
  </w:style>
  <w:style w:type="character" w:customStyle="1" w:styleId="Table-bodytextChar">
    <w:name w:val="Table - body text Char"/>
    <w:link w:val="Table-bodytext"/>
    <w:rsid w:val="00C758B1"/>
    <w:rPr>
      <w:sz w:val="24"/>
      <w:lang w:val="en-AU" w:eastAsia="en-US"/>
    </w:rPr>
  </w:style>
  <w:style w:type="paragraph" w:customStyle="1" w:styleId="TableBullet">
    <w:name w:val="TableBullet"/>
    <w:rsid w:val="00C758B1"/>
    <w:pPr>
      <w:keepNext/>
      <w:numPr>
        <w:numId w:val="7"/>
      </w:numPr>
      <w:tabs>
        <w:tab w:val="clear" w:pos="360"/>
        <w:tab w:val="left" w:pos="216"/>
      </w:tabs>
      <w:spacing w:before="40" w:after="40"/>
    </w:pPr>
    <w:rPr>
      <w:rFonts w:ascii="Arial" w:hAnsi="Arial" w:cs="Arial"/>
      <w:sz w:val="18"/>
      <w:szCs w:val="18"/>
      <w:lang w:eastAsia="en-US"/>
    </w:rPr>
  </w:style>
  <w:style w:type="paragraph" w:customStyle="1" w:styleId="Tableheader1">
    <w:name w:val="Table header 1"/>
    <w:basedOn w:val="Normal"/>
    <w:rsid w:val="00C758B1"/>
    <w:pPr>
      <w:spacing w:line="240" w:lineRule="auto"/>
      <w:jc w:val="center"/>
    </w:pPr>
    <w:rPr>
      <w:b/>
      <w:bCs/>
      <w:sz w:val="18"/>
      <w:szCs w:val="18"/>
      <w:lang w:eastAsia="en-AU"/>
    </w:rPr>
  </w:style>
  <w:style w:type="paragraph" w:customStyle="1" w:styleId="TableDash">
    <w:name w:val="TableDash"/>
    <w:basedOn w:val="Normal"/>
    <w:rsid w:val="00C758B1"/>
    <w:pPr>
      <w:keepNext/>
      <w:numPr>
        <w:numId w:val="8"/>
      </w:numPr>
      <w:spacing w:before="40" w:after="40" w:line="320" w:lineRule="exact"/>
    </w:pPr>
    <w:rPr>
      <w:rFonts w:ascii="Arial Narrow" w:hAnsi="Arial Narrow" w:cs="Arial Narrow"/>
      <w:sz w:val="20"/>
      <w:szCs w:val="20"/>
    </w:rPr>
  </w:style>
  <w:style w:type="paragraph" w:customStyle="1" w:styleId="Footnote">
    <w:name w:val="Footnote"/>
    <w:basedOn w:val="Normal"/>
    <w:rsid w:val="00C758B1"/>
    <w:pPr>
      <w:spacing w:before="40" w:after="0" w:line="240" w:lineRule="auto"/>
    </w:pPr>
    <w:rPr>
      <w:sz w:val="18"/>
      <w:szCs w:val="18"/>
      <w:lang w:eastAsia="en-AU"/>
    </w:rPr>
  </w:style>
  <w:style w:type="paragraph" w:customStyle="1" w:styleId="Notes">
    <w:name w:val="Notes"/>
    <w:next w:val="BodyText"/>
    <w:link w:val="NotesChar"/>
    <w:rsid w:val="00C758B1"/>
    <w:rPr>
      <w:rFonts w:ascii="Arial" w:hAnsi="Arial"/>
      <w:b/>
      <w:color w:val="C00000"/>
      <w:sz w:val="24"/>
      <w:lang w:eastAsia="en-US"/>
    </w:rPr>
  </w:style>
  <w:style w:type="paragraph" w:customStyle="1" w:styleId="Coverpagelargebold">
    <w:name w:val="Cover page large bold"/>
    <w:rsid w:val="00C758B1"/>
    <w:pPr>
      <w:jc w:val="center"/>
    </w:pPr>
    <w:rPr>
      <w:rFonts w:ascii="Arial" w:hAnsi="Arial" w:cs="Arial"/>
      <w:b/>
      <w:bCs/>
      <w:smallCaps/>
      <w:sz w:val="52"/>
      <w:szCs w:val="52"/>
    </w:rPr>
  </w:style>
  <w:style w:type="paragraph" w:customStyle="1" w:styleId="BodyText31">
    <w:name w:val="Body Text 31"/>
    <w:basedOn w:val="BodyText"/>
    <w:next w:val="BodyText"/>
    <w:rsid w:val="00C758B1"/>
    <w:pPr>
      <w:autoSpaceDE/>
      <w:autoSpaceDN/>
      <w:adjustRightInd/>
    </w:pPr>
    <w:rPr>
      <w:rFonts w:ascii="Arial" w:hAnsi="Arial" w:cs="Arial"/>
      <w:i/>
      <w:iCs/>
      <w:lang w:val="en-AU"/>
    </w:rPr>
  </w:style>
  <w:style w:type="paragraph" w:customStyle="1" w:styleId="Bodytext4">
    <w:name w:val="Body text 4"/>
    <w:next w:val="BodyText"/>
    <w:rsid w:val="00C758B1"/>
    <w:pPr>
      <w:spacing w:after="120" w:line="360" w:lineRule="auto"/>
    </w:pPr>
    <w:rPr>
      <w:rFonts w:ascii="Arial" w:hAnsi="Arial" w:cs="Arial"/>
      <w:u w:val="single"/>
      <w:lang w:val="en-GB" w:eastAsia="en-GB"/>
    </w:rPr>
  </w:style>
  <w:style w:type="paragraph" w:customStyle="1" w:styleId="ExecSummarySubheadings">
    <w:name w:val="Exec Summary Subheadings"/>
    <w:next w:val="BodyText"/>
    <w:rsid w:val="00C758B1"/>
    <w:pPr>
      <w:spacing w:after="120" w:line="360" w:lineRule="auto"/>
    </w:pPr>
    <w:rPr>
      <w:rFonts w:ascii="Arial" w:hAnsi="Arial" w:cs="Arial"/>
      <w:b/>
      <w:bCs/>
      <w:smallCaps/>
      <w:kern w:val="32"/>
      <w:sz w:val="24"/>
      <w:szCs w:val="24"/>
      <w:lang w:val="en-GB" w:eastAsia="en-GB"/>
    </w:rPr>
  </w:style>
  <w:style w:type="paragraph" w:customStyle="1" w:styleId="Listoftablesandfigures">
    <w:name w:val="List of tables and figures"/>
    <w:next w:val="BodyText"/>
    <w:rsid w:val="00C758B1"/>
    <w:pPr>
      <w:spacing w:line="360" w:lineRule="auto"/>
    </w:pPr>
    <w:rPr>
      <w:rFonts w:ascii="Arial" w:hAnsi="Arial" w:cs="Arial"/>
      <w:caps/>
      <w:kern w:val="32"/>
      <w:lang w:val="en-GB" w:eastAsia="en-GB"/>
    </w:rPr>
  </w:style>
  <w:style w:type="paragraph" w:customStyle="1" w:styleId="SectionHeading">
    <w:name w:val="Section Heading"/>
    <w:basedOn w:val="Normal"/>
    <w:next w:val="BodyText"/>
    <w:rsid w:val="00C758B1"/>
    <w:pPr>
      <w:pageBreakBefore/>
      <w:spacing w:after="360"/>
    </w:pPr>
    <w:rPr>
      <w:b/>
      <w:bCs/>
      <w:caps/>
      <w:kern w:val="28"/>
      <w:sz w:val="32"/>
      <w:szCs w:val="32"/>
      <w:lang w:val="en-GB"/>
    </w:rPr>
  </w:style>
  <w:style w:type="paragraph" w:customStyle="1" w:styleId="Tableheadertwo">
    <w:name w:val="Table header two"/>
    <w:basedOn w:val="BodyText"/>
    <w:next w:val="BodyText"/>
    <w:rsid w:val="00C758B1"/>
    <w:pPr>
      <w:tabs>
        <w:tab w:val="left" w:pos="1134"/>
      </w:tabs>
      <w:autoSpaceDE/>
      <w:autoSpaceDN/>
      <w:adjustRightInd/>
      <w:spacing w:before="20" w:after="40" w:line="240" w:lineRule="auto"/>
    </w:pPr>
    <w:rPr>
      <w:rFonts w:ascii="Arial" w:hAnsi="Arial" w:cs="Arial"/>
      <w:b/>
      <w:bCs/>
      <w:sz w:val="18"/>
      <w:szCs w:val="18"/>
      <w:lang w:val="en-AU"/>
    </w:rPr>
  </w:style>
  <w:style w:type="table" w:customStyle="1" w:styleId="TableMSDAAlternative">
    <w:name w:val="Table MSDA Alternative"/>
    <w:rsid w:val="00C758B1"/>
    <w:pPr>
      <w:spacing w:before="40" w:after="20"/>
    </w:pPr>
    <w:rPr>
      <w:rFonts w:ascii="Arial" w:hAnsi="Arial" w:cs="Arial"/>
      <w:sz w:val="18"/>
      <w:szCs w:val="1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MSDAStandard">
    <w:name w:val="Table MSDA Standard"/>
    <w:rsid w:val="00C758B1"/>
    <w:pPr>
      <w:tabs>
        <w:tab w:val="left" w:pos="416"/>
        <w:tab w:val="left" w:pos="582"/>
      </w:tabs>
      <w:spacing w:before="40" w:after="20"/>
    </w:pPr>
    <w:rPr>
      <w:rFonts w:ascii="Arial" w:hAnsi="Arial" w:cs="Arial"/>
      <w:sz w:val="18"/>
      <w:szCs w:val="18"/>
      <w:lang w:val="en-US"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customStyle="1" w:styleId="Coverpagemediumbold">
    <w:name w:val="Cover page medium bold"/>
    <w:rsid w:val="00C758B1"/>
    <w:pPr>
      <w:jc w:val="center"/>
    </w:pPr>
    <w:rPr>
      <w:rFonts w:ascii="Arial" w:hAnsi="Arial" w:cs="Arial"/>
      <w:b/>
      <w:bCs/>
      <w:sz w:val="28"/>
      <w:szCs w:val="28"/>
    </w:rPr>
  </w:style>
  <w:style w:type="paragraph" w:styleId="Title">
    <w:name w:val="Title"/>
    <w:basedOn w:val="Normal"/>
    <w:link w:val="TitleChar"/>
    <w:qFormat/>
    <w:rsid w:val="00C758B1"/>
    <w:pPr>
      <w:spacing w:before="240" w:after="60" w:line="240" w:lineRule="auto"/>
      <w:jc w:val="center"/>
      <w:outlineLvl w:val="0"/>
    </w:pPr>
    <w:rPr>
      <w:b/>
      <w:bCs/>
      <w:kern w:val="28"/>
      <w:sz w:val="32"/>
      <w:szCs w:val="32"/>
      <w:lang w:val="de-DE" w:eastAsia="en-GB"/>
    </w:rPr>
  </w:style>
  <w:style w:type="character" w:customStyle="1" w:styleId="TitleChar">
    <w:name w:val="Title Char"/>
    <w:link w:val="Title"/>
    <w:rsid w:val="00917BBB"/>
    <w:rPr>
      <w:rFonts w:ascii="Arial" w:hAnsi="Arial" w:cs="Arial"/>
      <w:b/>
      <w:bCs/>
      <w:kern w:val="28"/>
      <w:sz w:val="32"/>
      <w:szCs w:val="32"/>
      <w:lang w:eastAsia="en-GB"/>
    </w:rPr>
  </w:style>
  <w:style w:type="paragraph" w:customStyle="1" w:styleId="Coverpagemediumitalic">
    <w:name w:val="Cover page medium italic"/>
    <w:rsid w:val="00C758B1"/>
    <w:pPr>
      <w:jc w:val="center"/>
    </w:pPr>
    <w:rPr>
      <w:rFonts w:ascii="Arial" w:hAnsi="Arial" w:cs="Arial"/>
      <w:b/>
      <w:bCs/>
      <w:i/>
      <w:iCs/>
      <w:sz w:val="28"/>
      <w:szCs w:val="28"/>
    </w:rPr>
  </w:style>
  <w:style w:type="paragraph" w:customStyle="1" w:styleId="BodyTextstrong">
    <w:name w:val="Body Text strong"/>
    <w:rsid w:val="00C758B1"/>
    <w:pPr>
      <w:jc w:val="both"/>
    </w:pPr>
    <w:rPr>
      <w:rFonts w:ascii="Arial" w:hAnsi="Arial" w:cs="Arial"/>
      <w:b/>
      <w:bCs/>
      <w:sz w:val="28"/>
      <w:szCs w:val="28"/>
    </w:rPr>
  </w:style>
  <w:style w:type="paragraph" w:customStyle="1" w:styleId="Coverpagemediumemphasis">
    <w:name w:val="Cover page medium emphasis"/>
    <w:rsid w:val="00C758B1"/>
    <w:pPr>
      <w:jc w:val="center"/>
    </w:pPr>
    <w:rPr>
      <w:rFonts w:ascii="Arial" w:hAnsi="Arial" w:cs="Arial"/>
      <w:b/>
      <w:bCs/>
      <w:smallCaps/>
      <w:sz w:val="28"/>
      <w:szCs w:val="28"/>
      <w:u w:val="single"/>
    </w:rPr>
  </w:style>
  <w:style w:type="paragraph" w:customStyle="1" w:styleId="TableText2">
    <w:name w:val="Table Text 2"/>
    <w:basedOn w:val="Normal"/>
    <w:rsid w:val="0013581F"/>
    <w:pPr>
      <w:spacing w:before="80" w:after="80" w:line="240" w:lineRule="auto"/>
    </w:pPr>
    <w:rPr>
      <w:rFonts w:cs="Times New Roman"/>
      <w:b/>
      <w:bCs/>
      <w:szCs w:val="20"/>
      <w:lang w:eastAsia="en-AU"/>
    </w:rPr>
  </w:style>
  <w:style w:type="paragraph" w:customStyle="1" w:styleId="TableText3">
    <w:name w:val="Table Text 3"/>
    <w:basedOn w:val="Normal"/>
    <w:link w:val="TableText3Char"/>
    <w:rsid w:val="0013581F"/>
    <w:pPr>
      <w:spacing w:before="80" w:after="80" w:line="240" w:lineRule="auto"/>
    </w:pPr>
    <w:rPr>
      <w:rFonts w:cs="Times New Roman"/>
      <w:i/>
      <w:szCs w:val="20"/>
      <w:lang w:eastAsia="en-AU"/>
    </w:rPr>
  </w:style>
  <w:style w:type="paragraph" w:customStyle="1" w:styleId="TableText4">
    <w:name w:val="Table Text 4"/>
    <w:basedOn w:val="Normal"/>
    <w:rsid w:val="0013581F"/>
    <w:pPr>
      <w:spacing w:before="80" w:after="80" w:line="240" w:lineRule="auto"/>
      <w:jc w:val="center"/>
    </w:pPr>
    <w:rPr>
      <w:rFonts w:cs="Times New Roman"/>
      <w:szCs w:val="20"/>
      <w:lang w:eastAsia="en-AU"/>
    </w:rPr>
  </w:style>
  <w:style w:type="character" w:customStyle="1" w:styleId="NotesChar">
    <w:name w:val="Notes Char"/>
    <w:link w:val="Notes"/>
    <w:rsid w:val="00C758B1"/>
    <w:rPr>
      <w:rFonts w:ascii="Arial" w:hAnsi="Arial"/>
      <w:b/>
      <w:color w:val="C00000"/>
      <w:sz w:val="24"/>
      <w:lang w:val="en-AU" w:eastAsia="en-US"/>
    </w:rPr>
  </w:style>
  <w:style w:type="character" w:customStyle="1" w:styleId="BulletedbodytextChar">
    <w:name w:val="Bulleted body text Char"/>
    <w:link w:val="Bulletedbodytext"/>
    <w:rsid w:val="00C758B1"/>
    <w:rPr>
      <w:rFonts w:ascii="Arial" w:hAnsi="Arial"/>
      <w:lang w:val="de-DE" w:eastAsia="ja-JP"/>
    </w:rPr>
  </w:style>
  <w:style w:type="paragraph" w:customStyle="1" w:styleId="Abbreviation">
    <w:name w:val="Abbreviation"/>
    <w:basedOn w:val="Normal"/>
    <w:link w:val="AbbreviationChar"/>
    <w:rsid w:val="0013581F"/>
    <w:pPr>
      <w:spacing w:after="0" w:line="240" w:lineRule="auto"/>
    </w:pPr>
    <w:rPr>
      <w:rFonts w:cs="Times New Roman"/>
      <w:i/>
      <w:szCs w:val="20"/>
      <w:lang w:val="en-GB" w:eastAsia="en-GB"/>
    </w:rPr>
  </w:style>
  <w:style w:type="character" w:customStyle="1" w:styleId="AbbreviationChar">
    <w:name w:val="Abbreviation Char"/>
    <w:link w:val="Abbreviation"/>
    <w:rsid w:val="00C758B1"/>
    <w:rPr>
      <w:rFonts w:ascii="Arial" w:hAnsi="Arial"/>
      <w:i/>
      <w:sz w:val="22"/>
      <w:lang w:val="en-GB" w:eastAsia="en-GB"/>
    </w:rPr>
  </w:style>
  <w:style w:type="character" w:customStyle="1" w:styleId="TableText3Char">
    <w:name w:val="Table Text 3 Char"/>
    <w:link w:val="TableText3"/>
    <w:rsid w:val="00C758B1"/>
    <w:rPr>
      <w:rFonts w:ascii="Arial" w:hAnsi="Arial"/>
      <w:i/>
      <w:sz w:val="22"/>
      <w:lang w:val="en-AU" w:eastAsia="en-AU"/>
    </w:rPr>
  </w:style>
  <w:style w:type="paragraph" w:customStyle="1" w:styleId="BodyTextstrong2">
    <w:name w:val="Body Text strong 2"/>
    <w:basedOn w:val="BodyText"/>
    <w:rsid w:val="00C758B1"/>
    <w:pPr>
      <w:autoSpaceDE/>
      <w:autoSpaceDN/>
      <w:adjustRightInd/>
      <w:spacing w:line="240" w:lineRule="auto"/>
      <w:jc w:val="center"/>
    </w:pPr>
    <w:rPr>
      <w:rFonts w:ascii="Arial" w:eastAsia="Arial Unicode MS" w:hAnsi="Arial" w:cs="Arial"/>
      <w:b/>
      <w:bCs/>
      <w:sz w:val="22"/>
      <w:szCs w:val="22"/>
      <w:lang w:val="en-AU"/>
    </w:rPr>
  </w:style>
  <w:style w:type="paragraph" w:customStyle="1" w:styleId="BodyText5">
    <w:name w:val="Body Text 5"/>
    <w:basedOn w:val="BodyText"/>
    <w:rsid w:val="00C758B1"/>
    <w:pPr>
      <w:autoSpaceDE/>
      <w:autoSpaceDN/>
      <w:adjustRightInd/>
      <w:jc w:val="center"/>
    </w:pPr>
    <w:rPr>
      <w:rFonts w:ascii="Arial" w:eastAsia="Arial Unicode MS" w:hAnsi="Arial" w:cs="Arial"/>
      <w:b/>
      <w:bCs/>
      <w:lang w:val="en-AU"/>
    </w:rPr>
  </w:style>
  <w:style w:type="paragraph" w:customStyle="1" w:styleId="BodyText6">
    <w:name w:val="Body Text 6"/>
    <w:basedOn w:val="BodyTextIndent"/>
    <w:rsid w:val="00C758B1"/>
    <w:pPr>
      <w:tabs>
        <w:tab w:val="left" w:pos="416"/>
        <w:tab w:val="left" w:pos="582"/>
      </w:tabs>
      <w:ind w:left="0"/>
    </w:pPr>
    <w:rPr>
      <w:b/>
      <w:bCs/>
      <w:i/>
      <w:iCs/>
      <w:lang w:val="en-AU"/>
    </w:rPr>
  </w:style>
  <w:style w:type="paragraph" w:customStyle="1" w:styleId="Table-columnheadings">
    <w:name w:val="Table - column headings"/>
    <w:basedOn w:val="Table-bodytext"/>
    <w:link w:val="Table-columnheadingsChar"/>
    <w:rsid w:val="00C758B1"/>
    <w:rPr>
      <w:rFonts w:ascii="Arial" w:hAnsi="Arial"/>
      <w:b/>
    </w:rPr>
  </w:style>
  <w:style w:type="paragraph" w:customStyle="1" w:styleId="Table-bodytextLEFT">
    <w:name w:val="Table - body text LEFT"/>
    <w:basedOn w:val="Normal"/>
    <w:rsid w:val="00C758B1"/>
    <w:pPr>
      <w:spacing w:after="0" w:line="240" w:lineRule="auto"/>
    </w:pPr>
    <w:rPr>
      <w:sz w:val="20"/>
      <w:szCs w:val="20"/>
    </w:rPr>
  </w:style>
  <w:style w:type="character" w:customStyle="1" w:styleId="CommentTextChar1">
    <w:name w:val="Comment Text Char1"/>
    <w:aliases w:val="Comment Text Char Char Char Char2,Comment Text Char Char Char2"/>
    <w:link w:val="CommentText"/>
    <w:uiPriority w:val="99"/>
    <w:rsid w:val="00C758B1"/>
    <w:rPr>
      <w:rFonts w:ascii="Arial" w:hAnsi="Arial"/>
      <w:lang w:val="en-AU" w:eastAsia="en-US"/>
    </w:rPr>
  </w:style>
  <w:style w:type="paragraph" w:customStyle="1" w:styleId="Tabletnotes">
    <w:name w:val="Tablet notes"/>
    <w:basedOn w:val="Normal"/>
    <w:rsid w:val="00C758B1"/>
    <w:pPr>
      <w:spacing w:after="0" w:line="240" w:lineRule="auto"/>
      <w:jc w:val="both"/>
    </w:pPr>
    <w:rPr>
      <w:sz w:val="18"/>
      <w:szCs w:val="18"/>
    </w:rPr>
  </w:style>
  <w:style w:type="character" w:styleId="CommentReference">
    <w:name w:val="annotation reference"/>
    <w:uiPriority w:val="99"/>
    <w:rsid w:val="00C758B1"/>
    <w:rPr>
      <w:rFonts w:cs="Times New Roman"/>
      <w:sz w:val="16"/>
      <w:szCs w:val="16"/>
    </w:rPr>
  </w:style>
  <w:style w:type="paragraph" w:customStyle="1" w:styleId="TableHeading0">
    <w:name w:val="Table Heading"/>
    <w:basedOn w:val="Normal"/>
    <w:rsid w:val="00C758B1"/>
    <w:pPr>
      <w:spacing w:before="80" w:after="80" w:line="240" w:lineRule="auto"/>
      <w:jc w:val="center"/>
    </w:pPr>
    <w:rPr>
      <w:b/>
      <w:bCs/>
      <w:sz w:val="20"/>
      <w:szCs w:val="20"/>
      <w:lang w:eastAsia="en-AU"/>
    </w:rPr>
  </w:style>
  <w:style w:type="paragraph" w:customStyle="1" w:styleId="TableName">
    <w:name w:val="Table Name"/>
    <w:basedOn w:val="Normal"/>
    <w:link w:val="TableNameChar"/>
    <w:rsid w:val="00C758B1"/>
    <w:pPr>
      <w:spacing w:line="240" w:lineRule="auto"/>
      <w:ind w:left="1134" w:hanging="1134"/>
    </w:pPr>
    <w:rPr>
      <w:rFonts w:cs="Times New Roman"/>
      <w:b/>
      <w:sz w:val="24"/>
      <w:szCs w:val="20"/>
      <w:lang w:eastAsia="en-AU"/>
    </w:rPr>
  </w:style>
  <w:style w:type="character" w:customStyle="1" w:styleId="TableNameChar">
    <w:name w:val="Table Name Char"/>
    <w:link w:val="TableName"/>
    <w:rsid w:val="00C758B1"/>
    <w:rPr>
      <w:rFonts w:ascii="Arial" w:hAnsi="Arial"/>
      <w:b/>
      <w:sz w:val="24"/>
      <w:lang w:val="en-AU" w:eastAsia="en-AU"/>
    </w:rPr>
  </w:style>
  <w:style w:type="paragraph" w:customStyle="1" w:styleId="Table-footnotes">
    <w:name w:val="Table - footnotes"/>
    <w:basedOn w:val="Normal"/>
    <w:link w:val="Table-footnotesChar"/>
    <w:rsid w:val="00C758B1"/>
    <w:pPr>
      <w:spacing w:after="0" w:line="240" w:lineRule="auto"/>
      <w:jc w:val="both"/>
    </w:pPr>
    <w:rPr>
      <w:rFonts w:cs="Times New Roman"/>
      <w:sz w:val="24"/>
      <w:szCs w:val="20"/>
    </w:rPr>
  </w:style>
  <w:style w:type="paragraph" w:customStyle="1" w:styleId="Tabletext0">
    <w:name w:val="Tabletext"/>
    <w:basedOn w:val="Normal"/>
    <w:rsid w:val="00C758B1"/>
    <w:pPr>
      <w:spacing w:after="0" w:line="240" w:lineRule="auto"/>
    </w:pPr>
    <w:rPr>
      <w:sz w:val="18"/>
      <w:szCs w:val="18"/>
    </w:rPr>
  </w:style>
  <w:style w:type="character" w:customStyle="1" w:styleId="Table-footnotesChar">
    <w:name w:val="Table - footnotes Char"/>
    <w:link w:val="Table-footnotes"/>
    <w:rsid w:val="00C758B1"/>
    <w:rPr>
      <w:rFonts w:ascii="Arial" w:hAnsi="Arial"/>
      <w:sz w:val="24"/>
      <w:lang w:val="en-AU" w:eastAsia="en-US"/>
    </w:rPr>
  </w:style>
  <w:style w:type="paragraph" w:customStyle="1" w:styleId="References">
    <w:name w:val="References"/>
    <w:basedOn w:val="Normal"/>
    <w:rsid w:val="00C758B1"/>
    <w:pPr>
      <w:keepLines/>
      <w:spacing w:line="240" w:lineRule="auto"/>
      <w:jc w:val="both"/>
    </w:pPr>
    <w:rPr>
      <w:sz w:val="20"/>
      <w:szCs w:val="20"/>
    </w:rPr>
  </w:style>
  <w:style w:type="paragraph" w:customStyle="1" w:styleId="TablebodytextleftBOLD">
    <w:name w:val="Table body text left BOLD"/>
    <w:basedOn w:val="Table-bodytextLEFT"/>
    <w:rsid w:val="00C758B1"/>
    <w:pPr>
      <w:keepNext/>
      <w:widowControl w:val="0"/>
    </w:pPr>
    <w:rPr>
      <w:b/>
      <w:bCs/>
    </w:rPr>
  </w:style>
  <w:style w:type="paragraph" w:styleId="Index1">
    <w:name w:val="index 1"/>
    <w:basedOn w:val="Normal"/>
    <w:next w:val="Normal"/>
    <w:autoRedefine/>
    <w:rsid w:val="00C758B1"/>
    <w:pPr>
      <w:spacing w:after="0"/>
      <w:ind w:left="220" w:hanging="220"/>
      <w:jc w:val="both"/>
    </w:pPr>
  </w:style>
  <w:style w:type="paragraph" w:styleId="IndexHeading">
    <w:name w:val="index heading"/>
    <w:basedOn w:val="Normal"/>
    <w:next w:val="Index1"/>
    <w:rsid w:val="00C758B1"/>
    <w:pPr>
      <w:spacing w:after="0"/>
      <w:jc w:val="both"/>
    </w:pPr>
  </w:style>
  <w:style w:type="paragraph" w:customStyle="1" w:styleId="StyleHeading2Garamond16ptNotItalicSmallcaps">
    <w:name w:val="Style Heading 2 + Garamond 16 pt Not Italic Small caps"/>
    <w:basedOn w:val="Normal"/>
    <w:rsid w:val="00C758B1"/>
    <w:pPr>
      <w:tabs>
        <w:tab w:val="num" w:pos="792"/>
      </w:tabs>
      <w:spacing w:after="0"/>
      <w:ind w:left="792" w:hanging="432"/>
      <w:jc w:val="both"/>
    </w:pPr>
  </w:style>
  <w:style w:type="paragraph" w:customStyle="1" w:styleId="p7">
    <w:name w:val="p7"/>
    <w:basedOn w:val="Normal"/>
    <w:rsid w:val="00C758B1"/>
    <w:pPr>
      <w:tabs>
        <w:tab w:val="left" w:pos="720"/>
      </w:tabs>
      <w:spacing w:after="0"/>
      <w:jc w:val="both"/>
    </w:pPr>
  </w:style>
  <w:style w:type="character" w:customStyle="1" w:styleId="11PBACtext">
    <w:name w:val="11 PBAC text"/>
    <w:rsid w:val="00C758B1"/>
    <w:rPr>
      <w:rFonts w:ascii="Times New Roman" w:hAnsi="Times New Roman"/>
      <w:sz w:val="22"/>
    </w:rPr>
  </w:style>
  <w:style w:type="table" w:customStyle="1" w:styleId="TableHTAStandard">
    <w:name w:val="Table HTA Standard"/>
    <w:rsid w:val="00C758B1"/>
    <w:pPr>
      <w:tabs>
        <w:tab w:val="left" w:pos="416"/>
        <w:tab w:val="left" w:pos="582"/>
      </w:tabs>
      <w:spacing w:before="40" w:after="20"/>
    </w:pPr>
    <w:rPr>
      <w:rFonts w:ascii="Garamond" w:hAnsi="Garamond" w:cs="Garamond"/>
      <w:sz w:val="18"/>
      <w:szCs w:val="18"/>
      <w:lang w:val="en-US"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character" w:customStyle="1" w:styleId="ListNumber3Char">
    <w:name w:val="List Number 3 Char"/>
    <w:aliases w:val="Char Char, Char Char"/>
    <w:link w:val="ListNumber3"/>
    <w:semiHidden/>
    <w:rsid w:val="00C758B1"/>
    <w:rPr>
      <w:rFonts w:ascii="Arial" w:hAnsi="Arial"/>
      <w:lang w:val="en-GB" w:eastAsia="en-US"/>
    </w:rPr>
  </w:style>
  <w:style w:type="character" w:customStyle="1" w:styleId="ListNumber2Char">
    <w:name w:val="List Number 2 Char"/>
    <w:aliases w:val="Char1 Char, Char1 Char"/>
    <w:link w:val="ListNumber2"/>
    <w:semiHidden/>
    <w:rsid w:val="00C758B1"/>
    <w:rPr>
      <w:rFonts w:ascii="Arial" w:hAnsi="Arial"/>
      <w:lang w:val="en-GB" w:eastAsia="en-US"/>
    </w:rPr>
  </w:style>
  <w:style w:type="paragraph" w:customStyle="1" w:styleId="Tableheader">
    <w:name w:val="Table header"/>
    <w:basedOn w:val="BodyText"/>
    <w:next w:val="BodyText"/>
    <w:rsid w:val="00C758B1"/>
    <w:pPr>
      <w:tabs>
        <w:tab w:val="left" w:pos="1134"/>
      </w:tabs>
      <w:autoSpaceDE/>
      <w:autoSpaceDN/>
      <w:adjustRightInd/>
      <w:spacing w:after="60" w:line="240" w:lineRule="auto"/>
      <w:jc w:val="both"/>
    </w:pPr>
    <w:rPr>
      <w:rFonts w:ascii="Arial" w:hAnsi="Arial" w:cs="Arial"/>
      <w:b/>
      <w:bCs/>
      <w:lang w:val="en-AU"/>
    </w:rPr>
  </w:style>
  <w:style w:type="paragraph" w:styleId="PlainText">
    <w:name w:val="Plain Text"/>
    <w:basedOn w:val="Normal"/>
    <w:link w:val="PlainTextChar"/>
    <w:rsid w:val="00C758B1"/>
    <w:pPr>
      <w:spacing w:after="0" w:line="240" w:lineRule="auto"/>
    </w:pPr>
    <w:rPr>
      <w:rFonts w:ascii="Consolas" w:hAnsi="Consolas" w:cs="Consolas"/>
      <w:sz w:val="21"/>
      <w:szCs w:val="21"/>
    </w:rPr>
  </w:style>
  <w:style w:type="character" w:customStyle="1" w:styleId="PlainTextChar">
    <w:name w:val="Plain Text Char"/>
    <w:link w:val="PlainText"/>
    <w:rsid w:val="00C758B1"/>
    <w:rPr>
      <w:rFonts w:ascii="Consolas" w:hAnsi="Consolas" w:cs="Consolas"/>
      <w:sz w:val="21"/>
      <w:szCs w:val="21"/>
      <w:lang w:val="en-AU" w:eastAsia="en-US"/>
    </w:rPr>
  </w:style>
  <w:style w:type="paragraph" w:customStyle="1" w:styleId="Bodytextbullet0">
    <w:name w:val="Body text bullet"/>
    <w:basedOn w:val="BodyText"/>
    <w:link w:val="BodytextbulletChar"/>
    <w:rsid w:val="00C758B1"/>
    <w:pPr>
      <w:autoSpaceDE/>
      <w:autoSpaceDN/>
      <w:adjustRightInd/>
    </w:pPr>
    <w:rPr>
      <w:rFonts w:ascii="Arial" w:hAnsi="Arial" w:cs="Times New Roman"/>
      <w:sz w:val="24"/>
      <w:lang w:val="en-GB" w:eastAsia="en-GB"/>
    </w:rPr>
  </w:style>
  <w:style w:type="paragraph" w:customStyle="1" w:styleId="Tableheaderrow">
    <w:name w:val="Table header row"/>
    <w:basedOn w:val="Table-columnheadings"/>
    <w:link w:val="TableheaderrowChar"/>
    <w:uiPriority w:val="99"/>
    <w:rsid w:val="00C758B1"/>
    <w:pPr>
      <w:keepNext/>
      <w:keepLines/>
      <w:spacing w:before="60" w:after="60"/>
      <w:jc w:val="left"/>
    </w:pPr>
    <w:rPr>
      <w:rFonts w:ascii="Arial Narrow" w:hAnsi="Arial Narrow"/>
      <w:bCs/>
      <w:sz w:val="22"/>
      <w:lang w:eastAsia="en-AU"/>
    </w:rPr>
  </w:style>
  <w:style w:type="paragraph" w:customStyle="1" w:styleId="Bodytextbullet18ptafter">
    <w:name w:val="Body text bullet + 18 pt after"/>
    <w:basedOn w:val="Bodytextbullet0"/>
    <w:link w:val="Bodytextbullet18ptafterChar"/>
    <w:rsid w:val="00C758B1"/>
    <w:pPr>
      <w:spacing w:after="360"/>
    </w:pPr>
  </w:style>
  <w:style w:type="character" w:customStyle="1" w:styleId="BodytextbulletChar">
    <w:name w:val="Body text bullet Char"/>
    <w:link w:val="Bodytextbullet0"/>
    <w:rsid w:val="00C758B1"/>
    <w:rPr>
      <w:rFonts w:ascii="Arial" w:hAnsi="Arial"/>
      <w:sz w:val="24"/>
      <w:lang w:val="en-GB" w:eastAsia="en-GB"/>
    </w:rPr>
  </w:style>
  <w:style w:type="character" w:customStyle="1" w:styleId="Bodytextbullet18ptafterChar">
    <w:name w:val="Body text bullet + 18 pt after Char"/>
    <w:link w:val="Bodytextbullet18ptafter"/>
    <w:rsid w:val="00C758B1"/>
    <w:rPr>
      <w:rFonts w:ascii="Arial" w:hAnsi="Arial" w:cs="Arial"/>
      <w:sz w:val="24"/>
      <w:szCs w:val="24"/>
      <w:lang w:val="en-GB" w:eastAsia="en-GB"/>
    </w:rPr>
  </w:style>
  <w:style w:type="paragraph" w:customStyle="1" w:styleId="Tablebodytext">
    <w:name w:val="Table body text"/>
    <w:basedOn w:val="Tableheaderrow"/>
    <w:link w:val="TablebodytextChar"/>
    <w:rsid w:val="00C758B1"/>
    <w:pPr>
      <w:spacing w:before="40"/>
    </w:pPr>
    <w:rPr>
      <w:b w:val="0"/>
      <w:bCs w:val="0"/>
    </w:rPr>
  </w:style>
  <w:style w:type="paragraph" w:customStyle="1" w:styleId="Tablebodybullets">
    <w:name w:val="Table body bullets"/>
    <w:basedOn w:val="Tablebodytext"/>
    <w:rsid w:val="00C758B1"/>
    <w:pPr>
      <w:numPr>
        <w:numId w:val="10"/>
      </w:numPr>
      <w:tabs>
        <w:tab w:val="clear" w:pos="720"/>
        <w:tab w:val="num" w:pos="360"/>
      </w:tabs>
      <w:ind w:left="227" w:hanging="227"/>
    </w:pPr>
  </w:style>
  <w:style w:type="character" w:customStyle="1" w:styleId="Table-columnheadingsChar">
    <w:name w:val="Table - column headings Char"/>
    <w:link w:val="Table-columnheadings"/>
    <w:rsid w:val="00C758B1"/>
    <w:rPr>
      <w:rFonts w:ascii="Arial" w:hAnsi="Arial"/>
      <w:b/>
      <w:sz w:val="24"/>
      <w:lang w:val="en-AU" w:eastAsia="en-US"/>
    </w:rPr>
  </w:style>
  <w:style w:type="character" w:customStyle="1" w:styleId="TableheaderrowChar">
    <w:name w:val="Table header row Char"/>
    <w:link w:val="Tableheaderrow"/>
    <w:uiPriority w:val="99"/>
    <w:rsid w:val="00C758B1"/>
    <w:rPr>
      <w:rFonts w:ascii="Arial Narrow" w:hAnsi="Arial Narrow"/>
      <w:b/>
      <w:sz w:val="22"/>
      <w:lang w:val="en-AU" w:eastAsia="en-AU"/>
    </w:rPr>
  </w:style>
  <w:style w:type="character" w:customStyle="1" w:styleId="TablebodytextChar">
    <w:name w:val="Table body text Char"/>
    <w:link w:val="Tablebodytext"/>
    <w:rsid w:val="00C758B1"/>
    <w:rPr>
      <w:rFonts w:ascii="Arial Narrow" w:hAnsi="Arial Narrow" w:cs="Arial Narrow"/>
      <w:b/>
      <w:bCs/>
      <w:sz w:val="22"/>
      <w:szCs w:val="22"/>
      <w:lang w:val="en-AU" w:eastAsia="en-AU"/>
    </w:rPr>
  </w:style>
  <w:style w:type="character" w:customStyle="1" w:styleId="TabletextChar">
    <w:name w:val="Table text Char"/>
    <w:link w:val="Tabletext"/>
    <w:uiPriority w:val="99"/>
    <w:rsid w:val="00C758B1"/>
    <w:rPr>
      <w:rFonts w:ascii="Arial Narrow" w:hAnsi="Arial Narrow"/>
      <w:lang w:val="en-AU" w:eastAsia="en-US"/>
    </w:rPr>
  </w:style>
  <w:style w:type="paragraph" w:customStyle="1" w:styleId="StyleBodyTextAfter6ptLinespacingsingle">
    <w:name w:val="Style Body Text + After:  6 pt Line spacing:  single"/>
    <w:basedOn w:val="BodyText"/>
    <w:rsid w:val="00C758B1"/>
    <w:pPr>
      <w:autoSpaceDE/>
      <w:autoSpaceDN/>
      <w:adjustRightInd/>
      <w:spacing w:line="240" w:lineRule="auto"/>
    </w:pPr>
    <w:rPr>
      <w:rFonts w:ascii="Arial" w:hAnsi="Arial" w:cs="Arial"/>
      <w:lang w:val="en-AU"/>
    </w:rPr>
  </w:style>
  <w:style w:type="paragraph" w:customStyle="1" w:styleId="Bodytextbulletlevel2">
    <w:name w:val="Body text bullet level 2"/>
    <w:basedOn w:val="Normal"/>
    <w:rsid w:val="00C758B1"/>
    <w:pPr>
      <w:numPr>
        <w:numId w:val="12"/>
      </w:numPr>
    </w:pPr>
  </w:style>
  <w:style w:type="character" w:styleId="FollowedHyperlink">
    <w:name w:val="FollowedHyperlink"/>
    <w:rsid w:val="00C758B1"/>
    <w:rPr>
      <w:rFonts w:cs="Times New Roman"/>
      <w:color w:val="800080"/>
      <w:u w:val="single"/>
    </w:rPr>
  </w:style>
  <w:style w:type="paragraph" w:customStyle="1" w:styleId="Tablebullet0">
    <w:name w:val="Table bullet"/>
    <w:basedOn w:val="Tabletext"/>
    <w:rsid w:val="00C758B1"/>
    <w:pPr>
      <w:keepLines/>
      <w:numPr>
        <w:numId w:val="13"/>
      </w:numPr>
      <w:spacing w:before="40" w:after="60"/>
      <w:ind w:left="714" w:hanging="357"/>
    </w:pPr>
    <w:rPr>
      <w:lang w:eastAsia="en-AU"/>
    </w:rPr>
  </w:style>
  <w:style w:type="paragraph" w:customStyle="1" w:styleId="Tablenotes0">
    <w:name w:val="Tablenotes"/>
    <w:basedOn w:val="Tablebodytext"/>
    <w:rsid w:val="00C758B1"/>
    <w:pPr>
      <w:keepLines w:val="0"/>
      <w:spacing w:after="360"/>
    </w:pPr>
    <w:rPr>
      <w:sz w:val="18"/>
      <w:szCs w:val="18"/>
      <w:lang w:eastAsia="en-GB"/>
    </w:rPr>
  </w:style>
  <w:style w:type="paragraph" w:customStyle="1" w:styleId="Tablebodytextbullet">
    <w:name w:val="Table body text bullet"/>
    <w:basedOn w:val="Tablebodytext"/>
    <w:link w:val="TablebodytextbulletChar"/>
    <w:rsid w:val="00C758B1"/>
    <w:pPr>
      <w:keepLines w:val="0"/>
      <w:numPr>
        <w:numId w:val="14"/>
      </w:numPr>
      <w:tabs>
        <w:tab w:val="clear" w:pos="720"/>
        <w:tab w:val="left" w:pos="357"/>
      </w:tabs>
      <w:ind w:left="357" w:hanging="357"/>
    </w:pPr>
    <w:rPr>
      <w:b/>
      <w:bCs/>
      <w:sz w:val="20"/>
      <w:lang w:val="de-DE" w:eastAsia="en-GB"/>
    </w:rPr>
  </w:style>
  <w:style w:type="character" w:customStyle="1" w:styleId="TablenotesChar">
    <w:name w:val="Table notes Char"/>
    <w:link w:val="Tablenotes"/>
    <w:rsid w:val="00CF13F3"/>
    <w:rPr>
      <w:rFonts w:ascii="Arial Narrow" w:hAnsi="Arial Narrow"/>
      <w:sz w:val="22"/>
      <w:lang w:val="en-AU" w:eastAsia="en-US"/>
    </w:rPr>
  </w:style>
  <w:style w:type="paragraph" w:customStyle="1" w:styleId="bodytextbullet">
    <w:name w:val="body text bullet"/>
    <w:basedOn w:val="BodyText"/>
    <w:rsid w:val="00C758B1"/>
    <w:pPr>
      <w:numPr>
        <w:numId w:val="15"/>
      </w:numPr>
      <w:tabs>
        <w:tab w:val="clear" w:pos="720"/>
        <w:tab w:val="num" w:pos="742"/>
      </w:tabs>
      <w:autoSpaceDE/>
      <w:autoSpaceDN/>
      <w:adjustRightInd/>
      <w:ind w:left="742" w:hanging="406"/>
    </w:pPr>
    <w:rPr>
      <w:rFonts w:ascii="Arial" w:hAnsi="Arial" w:cs="Arial"/>
      <w:sz w:val="22"/>
      <w:szCs w:val="22"/>
      <w:lang w:val="en-AU" w:eastAsia="en-GB"/>
    </w:rPr>
  </w:style>
  <w:style w:type="paragraph" w:customStyle="1" w:styleId="Bodytextbold">
    <w:name w:val="Body text bold"/>
    <w:basedOn w:val="BodyText"/>
    <w:link w:val="BodytextboldChar"/>
    <w:rsid w:val="00BC32ED"/>
    <w:pPr>
      <w:autoSpaceDE/>
      <w:autoSpaceDN/>
      <w:adjustRightInd/>
    </w:pPr>
    <w:rPr>
      <w:rFonts w:ascii="Arial" w:hAnsi="Arial" w:cs="Times New Roman"/>
      <w:b/>
      <w:sz w:val="24"/>
      <w:lang w:val="en-AU" w:eastAsia="en-GB"/>
    </w:rPr>
  </w:style>
  <w:style w:type="character" w:customStyle="1" w:styleId="BodytextboldChar">
    <w:name w:val="Body text bold Char"/>
    <w:link w:val="Bodytextbold"/>
    <w:rsid w:val="00BC32ED"/>
    <w:rPr>
      <w:rFonts w:ascii="Arial" w:hAnsi="Arial"/>
      <w:b/>
      <w:sz w:val="24"/>
      <w:lang w:val="en-AU" w:eastAsia="en-GB"/>
    </w:rPr>
  </w:style>
  <w:style w:type="paragraph" w:customStyle="1" w:styleId="Subbullet">
    <w:name w:val="Sub bullet"/>
    <w:basedOn w:val="Bodytextbullet0"/>
    <w:rsid w:val="00C758B1"/>
    <w:pPr>
      <w:numPr>
        <w:numId w:val="9"/>
      </w:numPr>
      <w:tabs>
        <w:tab w:val="clear" w:pos="360"/>
        <w:tab w:val="left" w:pos="770"/>
        <w:tab w:val="num" w:pos="1430"/>
      </w:tabs>
      <w:ind w:left="1418" w:hanging="648"/>
    </w:pPr>
  </w:style>
  <w:style w:type="character" w:styleId="Emphasis">
    <w:name w:val="Emphasis"/>
    <w:uiPriority w:val="20"/>
    <w:qFormat/>
    <w:rsid w:val="00D46708"/>
    <w:rPr>
      <w:rFonts w:cs="Times New Roman"/>
      <w:i/>
      <w:iCs/>
    </w:rPr>
  </w:style>
  <w:style w:type="paragraph" w:customStyle="1" w:styleId="StyleHeading2H2FollowUpQuestionLeft0cmHanging2cm">
    <w:name w:val="Style Heading 2H2Follow Up Question + Left:  0 cm Hanging:  2 cm..."/>
    <w:basedOn w:val="Heading2"/>
    <w:rsid w:val="00BC32ED"/>
    <w:rPr>
      <w:sz w:val="32"/>
      <w:szCs w:val="32"/>
    </w:rPr>
  </w:style>
  <w:style w:type="paragraph" w:customStyle="1" w:styleId="BodyText1">
    <w:name w:val="Body Text1"/>
    <w:basedOn w:val="Normal"/>
    <w:link w:val="BodytextChar"/>
    <w:qFormat/>
    <w:rsid w:val="00261F9F"/>
    <w:rPr>
      <w:rFonts w:cs="Times New Roman"/>
      <w:sz w:val="24"/>
      <w:szCs w:val="20"/>
    </w:rPr>
  </w:style>
  <w:style w:type="paragraph" w:customStyle="1" w:styleId="StyleHeading3H3Left0cmFirstline0cm">
    <w:name w:val="Style Heading 3H3 + Left:  0 cm First line:  0 cm"/>
    <w:basedOn w:val="Heading3"/>
    <w:rsid w:val="00BC32ED"/>
    <w:pPr>
      <w:ind w:left="0" w:firstLine="0"/>
    </w:pPr>
  </w:style>
  <w:style w:type="character" w:styleId="Strong">
    <w:name w:val="Strong"/>
    <w:uiPriority w:val="22"/>
    <w:qFormat/>
    <w:rsid w:val="00EB335B"/>
    <w:rPr>
      <w:rFonts w:cs="Times New Roman"/>
      <w:b/>
      <w:bCs/>
    </w:rPr>
  </w:style>
  <w:style w:type="character" w:customStyle="1" w:styleId="TablebodytextbulletChar">
    <w:name w:val="Table body text bullet Char"/>
    <w:link w:val="Tablebodytextbullet"/>
    <w:rsid w:val="00EB335B"/>
    <w:rPr>
      <w:rFonts w:ascii="Arial Narrow" w:hAnsi="Arial Narrow"/>
      <w:b/>
      <w:bCs/>
      <w:lang w:val="de-DE" w:eastAsia="en-GB"/>
    </w:rPr>
  </w:style>
  <w:style w:type="character" w:customStyle="1" w:styleId="BodytextChar">
    <w:name w:val="Body text Char"/>
    <w:link w:val="BodyText1"/>
    <w:rsid w:val="00EB335B"/>
    <w:rPr>
      <w:rFonts w:ascii="Arial" w:hAnsi="Arial"/>
      <w:sz w:val="24"/>
      <w:lang w:val="en-AU" w:eastAsia="en-US"/>
    </w:rPr>
  </w:style>
  <w:style w:type="paragraph" w:customStyle="1" w:styleId="Summarytext">
    <w:name w:val="Summary text"/>
    <w:basedOn w:val="BodyText1"/>
    <w:link w:val="SummarytextChar"/>
    <w:rsid w:val="00307E77"/>
    <w:rPr>
      <w:lang w:eastAsia="en-GB"/>
    </w:rPr>
  </w:style>
  <w:style w:type="paragraph" w:customStyle="1" w:styleId="Summarytextbullet">
    <w:name w:val="Summary text bullet"/>
    <w:basedOn w:val="Summarytext"/>
    <w:rsid w:val="00307E77"/>
    <w:pPr>
      <w:numPr>
        <w:numId w:val="16"/>
      </w:numPr>
    </w:pPr>
  </w:style>
  <w:style w:type="character" w:customStyle="1" w:styleId="SummarytextChar">
    <w:name w:val="Summary text Char"/>
    <w:link w:val="Summarytext"/>
    <w:rsid w:val="006F0274"/>
    <w:rPr>
      <w:rFonts w:ascii="Arial" w:hAnsi="Arial"/>
      <w:sz w:val="24"/>
      <w:lang w:val="en-AU" w:eastAsia="en-GB"/>
    </w:rPr>
  </w:style>
  <w:style w:type="paragraph" w:customStyle="1" w:styleId="Summarytabletext">
    <w:name w:val="Summary table text"/>
    <w:basedOn w:val="Tablebodytext"/>
    <w:rsid w:val="00692C08"/>
    <w:rPr>
      <w:sz w:val="18"/>
      <w:szCs w:val="18"/>
    </w:rPr>
  </w:style>
  <w:style w:type="paragraph" w:customStyle="1" w:styleId="Summarytableheaderrow">
    <w:name w:val="Summary table header row"/>
    <w:basedOn w:val="Tableheaderrow"/>
    <w:rsid w:val="00692C08"/>
    <w:rPr>
      <w:sz w:val="18"/>
      <w:szCs w:val="18"/>
    </w:rPr>
  </w:style>
  <w:style w:type="paragraph" w:customStyle="1" w:styleId="StyleTableBulletTimesNewRoman11ptLinespacingExactly">
    <w:name w:val="Style TableBullet + Times New Roman 11 pt Line spacing:  Exactly ..."/>
    <w:basedOn w:val="TableBullet"/>
    <w:rsid w:val="001D0908"/>
    <w:pPr>
      <w:numPr>
        <w:numId w:val="1"/>
      </w:numPr>
      <w:spacing w:line="280" w:lineRule="exact"/>
    </w:pPr>
    <w:rPr>
      <w:sz w:val="20"/>
      <w:szCs w:val="20"/>
    </w:rPr>
  </w:style>
  <w:style w:type="paragraph" w:customStyle="1" w:styleId="Style26ptBoldSmallcapsCentered">
    <w:name w:val="Style 26 pt Bold Small caps Centered"/>
    <w:basedOn w:val="Normal"/>
    <w:rsid w:val="001D0908"/>
    <w:pPr>
      <w:spacing w:after="0" w:line="240" w:lineRule="auto"/>
      <w:jc w:val="center"/>
    </w:pPr>
    <w:rPr>
      <w:b/>
      <w:bCs/>
      <w:smallCaps/>
      <w:sz w:val="52"/>
      <w:szCs w:val="52"/>
      <w:lang w:eastAsia="en-AU"/>
    </w:rPr>
  </w:style>
  <w:style w:type="character" w:customStyle="1" w:styleId="CommentTextCharCharCharChar1">
    <w:name w:val="Comment Text Char Char Char Char1"/>
    <w:aliases w:val="Comment Text Char Char Char Char11"/>
    <w:rsid w:val="001D0908"/>
    <w:rPr>
      <w:rFonts w:ascii="Arial" w:hAnsi="Arial"/>
      <w:lang w:val="en-AU" w:eastAsia="en-AU"/>
    </w:rPr>
  </w:style>
  <w:style w:type="paragraph" w:styleId="Revision">
    <w:name w:val="Revision"/>
    <w:hidden/>
    <w:semiHidden/>
    <w:rsid w:val="001D0908"/>
    <w:rPr>
      <w:rFonts w:ascii="Arial" w:hAnsi="Arial" w:cs="Arial"/>
      <w:sz w:val="22"/>
      <w:szCs w:val="22"/>
    </w:rPr>
  </w:style>
  <w:style w:type="paragraph" w:customStyle="1" w:styleId="StyleCaption">
    <w:name w:val="Style Caption"/>
    <w:basedOn w:val="Caption"/>
    <w:next w:val="Normal"/>
    <w:link w:val="StyleCaptionChar"/>
    <w:rsid w:val="001D0908"/>
    <w:pPr>
      <w:spacing w:before="0"/>
      <w:ind w:left="1418" w:hanging="1418"/>
    </w:pPr>
    <w:rPr>
      <w:rFonts w:ascii="Arial Narrow" w:hAnsi="Arial Narrow"/>
      <w:bCs/>
      <w:sz w:val="16"/>
      <w:lang w:val="en-AU" w:eastAsia="en-AU"/>
    </w:rPr>
  </w:style>
  <w:style w:type="character" w:customStyle="1" w:styleId="StyleCaptionChar">
    <w:name w:val="Style Caption Char"/>
    <w:link w:val="StyleCaption"/>
    <w:rsid w:val="001D0908"/>
    <w:rPr>
      <w:rFonts w:ascii="Arial Narrow" w:hAnsi="Arial Narrow"/>
      <w:b/>
      <w:sz w:val="16"/>
      <w:lang w:val="en-AU" w:eastAsia="en-AU"/>
    </w:rPr>
  </w:style>
  <w:style w:type="paragraph" w:customStyle="1" w:styleId="StyleHeading4Arial11pt">
    <w:name w:val="Style Heading 4 + Arial 11 pt"/>
    <w:basedOn w:val="Heading4"/>
    <w:rsid w:val="001D0908"/>
    <w:pPr>
      <w:keepLines w:val="0"/>
      <w:spacing w:after="240"/>
      <w:ind w:left="1134" w:hanging="1134"/>
    </w:pPr>
    <w:rPr>
      <w:b/>
      <w:bCs/>
    </w:rPr>
  </w:style>
  <w:style w:type="paragraph" w:styleId="List">
    <w:name w:val="List"/>
    <w:basedOn w:val="Normal"/>
    <w:rsid w:val="001D0908"/>
    <w:pPr>
      <w:spacing w:after="0" w:line="320" w:lineRule="exact"/>
      <w:ind w:left="283" w:hanging="283"/>
      <w:contextualSpacing/>
    </w:pPr>
    <w:rPr>
      <w:lang w:eastAsia="en-AU"/>
    </w:rPr>
  </w:style>
  <w:style w:type="paragraph" w:customStyle="1" w:styleId="BodyTextBold0">
    <w:name w:val="Body Text Bold"/>
    <w:basedOn w:val="BodyText"/>
    <w:link w:val="BodyTextBoldChar0"/>
    <w:rsid w:val="001D0908"/>
    <w:pPr>
      <w:autoSpaceDE/>
      <w:autoSpaceDN/>
      <w:adjustRightInd/>
    </w:pPr>
    <w:rPr>
      <w:rFonts w:ascii="Arial" w:hAnsi="Arial" w:cs="Times New Roman"/>
      <w:b/>
      <w:sz w:val="24"/>
      <w:lang w:val="en-AU" w:eastAsia="en-AU"/>
    </w:rPr>
  </w:style>
  <w:style w:type="character" w:customStyle="1" w:styleId="BodyTextBoldChar0">
    <w:name w:val="Body Text Bold Char"/>
    <w:link w:val="BodyTextBold0"/>
    <w:rsid w:val="001D0908"/>
    <w:rPr>
      <w:rFonts w:ascii="Arial" w:hAnsi="Arial"/>
      <w:b/>
      <w:sz w:val="24"/>
      <w:lang w:val="en-AU" w:eastAsia="en-AU"/>
    </w:rPr>
  </w:style>
  <w:style w:type="paragraph" w:customStyle="1" w:styleId="TableTextSectionE">
    <w:name w:val="Table Text Section E"/>
    <w:basedOn w:val="Normal"/>
    <w:link w:val="TableTextSectionEChar"/>
    <w:qFormat/>
    <w:rsid w:val="001A214A"/>
    <w:pPr>
      <w:spacing w:after="0" w:line="240" w:lineRule="auto"/>
    </w:pPr>
    <w:rPr>
      <w:rFonts w:cs="Times New Roman"/>
      <w:szCs w:val="20"/>
      <w:lang w:eastAsia="en-AU"/>
    </w:rPr>
  </w:style>
  <w:style w:type="character" w:customStyle="1" w:styleId="CaptionChar1CharChar">
    <w:name w:val="Caption Char1 Char Char"/>
    <w:aliases w:val="Caption Char Char Char Char,Caption Char1 Char Char Char Char,Caption Char Char Char Char Char Char,Caption Char Char1 Char Char,Caption Char1 Char1 Char,Caption Char Char Char1 Char,Caption Char1 Char2"/>
    <w:rsid w:val="001A214A"/>
    <w:rPr>
      <w:rFonts w:ascii="Arial Narrow" w:hAnsi="Arial Narrow"/>
      <w:b/>
      <w:lang w:val="en-AU" w:eastAsia="en-GB"/>
    </w:rPr>
  </w:style>
  <w:style w:type="character" w:customStyle="1" w:styleId="TableTextSectionEChar">
    <w:name w:val="Table Text Section E Char"/>
    <w:link w:val="TableTextSectionE"/>
    <w:rsid w:val="001A214A"/>
    <w:rPr>
      <w:rFonts w:ascii="Arial" w:hAnsi="Arial"/>
      <w:sz w:val="22"/>
      <w:lang w:val="en-AU" w:eastAsia="en-AU"/>
    </w:rPr>
  </w:style>
  <w:style w:type="character" w:customStyle="1" w:styleId="TablenotesCharChar">
    <w:name w:val="Table notes Char Char"/>
    <w:rsid w:val="001A214A"/>
    <w:rPr>
      <w:rFonts w:ascii="Arial Narrow" w:hAnsi="Arial Narrow"/>
      <w:sz w:val="24"/>
      <w:lang w:val="en-AU" w:eastAsia="en-US"/>
    </w:rPr>
  </w:style>
  <w:style w:type="paragraph" w:customStyle="1" w:styleId="Bodybullet">
    <w:name w:val="Body bullet"/>
    <w:basedOn w:val="BodyText"/>
    <w:rsid w:val="001A214A"/>
    <w:pPr>
      <w:numPr>
        <w:numId w:val="17"/>
      </w:numPr>
      <w:autoSpaceDE/>
      <w:autoSpaceDN/>
      <w:adjustRightInd/>
    </w:pPr>
    <w:rPr>
      <w:rFonts w:ascii="Arial" w:hAnsi="Arial" w:cs="Arial"/>
      <w:sz w:val="22"/>
      <w:szCs w:val="22"/>
      <w:lang w:val="en-AU"/>
    </w:rPr>
  </w:style>
  <w:style w:type="character" w:customStyle="1" w:styleId="BodyText2Char1">
    <w:name w:val="Body Text 2 Char1"/>
    <w:rsid w:val="00917BBB"/>
    <w:rPr>
      <w:rFonts w:ascii="Arial" w:hAnsi="Arial"/>
      <w:b/>
      <w:sz w:val="24"/>
      <w:lang w:val="en-US" w:eastAsia="en-US"/>
    </w:rPr>
  </w:style>
  <w:style w:type="character" w:customStyle="1" w:styleId="CommentSubjectChar1">
    <w:name w:val="Comment Subject Char1"/>
    <w:rsid w:val="00917BBB"/>
    <w:rPr>
      <w:rFonts w:ascii="Arial" w:hAnsi="Arial"/>
      <w:b/>
      <w:lang w:val="en-AU" w:eastAsia="en-US"/>
    </w:rPr>
  </w:style>
  <w:style w:type="character" w:customStyle="1" w:styleId="BalloonTextChar1">
    <w:name w:val="Balloon Text Char1"/>
    <w:rsid w:val="00917BBB"/>
    <w:rPr>
      <w:rFonts w:ascii="Tahoma" w:hAnsi="Tahoma"/>
      <w:sz w:val="16"/>
      <w:lang w:val="en-AU" w:eastAsia="en-US"/>
    </w:rPr>
  </w:style>
  <w:style w:type="character" w:customStyle="1" w:styleId="FootnoteTextChar1">
    <w:name w:val="Footnote Text Char1"/>
    <w:aliases w:val="Char Char1"/>
    <w:rsid w:val="00EA1007"/>
  </w:style>
  <w:style w:type="character" w:customStyle="1" w:styleId="PlainTextChar1">
    <w:name w:val="Plain Text Char1"/>
    <w:rsid w:val="00917BBB"/>
    <w:rPr>
      <w:rFonts w:ascii="Consolas" w:hAnsi="Consolas"/>
      <w:sz w:val="21"/>
      <w:lang w:val="en-AU" w:eastAsia="en-US"/>
    </w:rPr>
  </w:style>
  <w:style w:type="paragraph" w:styleId="NoSpacing">
    <w:name w:val="No Spacing"/>
    <w:uiPriority w:val="99"/>
    <w:qFormat/>
    <w:rsid w:val="00917BBB"/>
    <w:rPr>
      <w:rFonts w:ascii="Calibri" w:hAnsi="Calibri" w:cs="Calibri"/>
      <w:sz w:val="22"/>
      <w:szCs w:val="22"/>
      <w:lang w:val="en-US" w:eastAsia="en-US"/>
    </w:rPr>
  </w:style>
  <w:style w:type="paragraph" w:customStyle="1" w:styleId="Text">
    <w:name w:val="Text"/>
    <w:basedOn w:val="Normal"/>
    <w:link w:val="TextChar"/>
    <w:rsid w:val="009C6299"/>
    <w:pPr>
      <w:spacing w:after="200" w:line="480" w:lineRule="auto"/>
    </w:pPr>
    <w:rPr>
      <w:rFonts w:cs="Times New Roman"/>
      <w:sz w:val="20"/>
      <w:szCs w:val="20"/>
      <w:lang w:val="en-GB"/>
    </w:rPr>
  </w:style>
  <w:style w:type="character" w:customStyle="1" w:styleId="TextChar">
    <w:name w:val="Text Char"/>
    <w:link w:val="Text"/>
    <w:rsid w:val="009C6299"/>
    <w:rPr>
      <w:rFonts w:ascii="Arial" w:hAnsi="Arial"/>
      <w:lang w:val="en-GB" w:eastAsia="en-US"/>
    </w:rPr>
  </w:style>
  <w:style w:type="character" w:customStyle="1" w:styleId="BodyTextIndentChar">
    <w:name w:val="Body Text Indent Char"/>
    <w:link w:val="BodyTextIndent"/>
    <w:semiHidden/>
    <w:rsid w:val="00EA1007"/>
    <w:rPr>
      <w:rFonts w:ascii="Arial" w:hAnsi="Arial"/>
      <w:sz w:val="24"/>
      <w:lang w:eastAsia="en-US"/>
    </w:rPr>
  </w:style>
  <w:style w:type="character" w:customStyle="1" w:styleId="named-content">
    <w:name w:val="named-content"/>
    <w:rsid w:val="001B7280"/>
    <w:rPr>
      <w:rFonts w:cs="Times New Roman"/>
    </w:rPr>
  </w:style>
  <w:style w:type="character" w:customStyle="1" w:styleId="cit-source">
    <w:name w:val="cit-source"/>
    <w:rsid w:val="001B7280"/>
    <w:rPr>
      <w:rFonts w:cs="Times New Roman"/>
    </w:rPr>
  </w:style>
  <w:style w:type="character" w:customStyle="1" w:styleId="cit-pub-date">
    <w:name w:val="cit-pub-date"/>
    <w:rsid w:val="001B7280"/>
    <w:rPr>
      <w:rFonts w:cs="Times New Roman"/>
    </w:rPr>
  </w:style>
  <w:style w:type="character" w:customStyle="1" w:styleId="cit-vol">
    <w:name w:val="cit-vol"/>
    <w:rsid w:val="001B7280"/>
    <w:rPr>
      <w:rFonts w:cs="Times New Roman"/>
    </w:rPr>
  </w:style>
  <w:style w:type="character" w:customStyle="1" w:styleId="cit-fpage">
    <w:name w:val="cit-fpage"/>
    <w:rsid w:val="001B7280"/>
    <w:rPr>
      <w:rFonts w:cs="Times New Roman"/>
    </w:rPr>
  </w:style>
  <w:style w:type="character" w:customStyle="1" w:styleId="jrnl">
    <w:name w:val="jrnl"/>
    <w:rsid w:val="00E61D20"/>
    <w:rPr>
      <w:rFonts w:cs="Times New Roman"/>
    </w:rPr>
  </w:style>
  <w:style w:type="character" w:customStyle="1" w:styleId="journal">
    <w:name w:val="journal"/>
    <w:rsid w:val="005B6E15"/>
    <w:rPr>
      <w:rFonts w:cs="Times New Roman"/>
    </w:rPr>
  </w:style>
  <w:style w:type="paragraph" w:customStyle="1" w:styleId="Tablefooter">
    <w:name w:val="Table footer"/>
    <w:basedOn w:val="Normal"/>
    <w:link w:val="TablefooterChar"/>
    <w:qFormat/>
    <w:rsid w:val="0013581F"/>
    <w:pPr>
      <w:spacing w:before="80" w:after="80" w:line="240" w:lineRule="auto"/>
    </w:pPr>
    <w:rPr>
      <w:rFonts w:ascii="Arial Narrow" w:hAnsi="Arial Narrow" w:cs="Arial Narrow"/>
      <w:sz w:val="16"/>
      <w:szCs w:val="16"/>
      <w:lang w:eastAsia="en-AU"/>
    </w:rPr>
  </w:style>
  <w:style w:type="character" w:customStyle="1" w:styleId="TablefooterChar">
    <w:name w:val="Table footer Char"/>
    <w:link w:val="Tablefooter"/>
    <w:rsid w:val="00967099"/>
    <w:rPr>
      <w:rFonts w:ascii="Arial Narrow" w:hAnsi="Arial Narrow" w:cs="Arial Narrow"/>
      <w:sz w:val="16"/>
      <w:szCs w:val="16"/>
      <w:lang w:val="en-AU" w:eastAsia="en-AU"/>
    </w:rPr>
  </w:style>
  <w:style w:type="paragraph" w:customStyle="1" w:styleId="Heading50">
    <w:name w:val="Heading5"/>
    <w:basedOn w:val="Normal"/>
    <w:rsid w:val="006069AA"/>
    <w:pPr>
      <w:spacing w:before="240" w:after="360"/>
    </w:pPr>
    <w:rPr>
      <w:i/>
      <w:iCs/>
      <w:spacing w:val="-8"/>
      <w:sz w:val="24"/>
      <w:szCs w:val="24"/>
    </w:rPr>
  </w:style>
  <w:style w:type="paragraph" w:customStyle="1" w:styleId="TableText1">
    <w:name w:val="TableText"/>
    <w:basedOn w:val="Normal"/>
    <w:uiPriority w:val="99"/>
    <w:qFormat/>
    <w:rsid w:val="00412198"/>
    <w:pPr>
      <w:keepNext/>
      <w:spacing w:after="0" w:line="240" w:lineRule="auto"/>
    </w:pPr>
    <w:rPr>
      <w:rFonts w:ascii="Trebuchet MS" w:hAnsi="Trebuchet MS" w:cs="Trebuchet MS"/>
      <w:sz w:val="18"/>
      <w:szCs w:val="18"/>
    </w:rPr>
  </w:style>
  <w:style w:type="paragraph" w:customStyle="1" w:styleId="GIBodytext">
    <w:name w:val="GI Body text"/>
    <w:basedOn w:val="Normal"/>
    <w:rsid w:val="00CA4B30"/>
    <w:pPr>
      <w:spacing w:before="60" w:after="60"/>
      <w:ind w:left="720"/>
    </w:pPr>
    <w:rPr>
      <w:rFonts w:eastAsia="Arial Unicode MS"/>
      <w:sz w:val="20"/>
      <w:szCs w:val="20"/>
      <w:lang w:val="en-US"/>
    </w:rPr>
  </w:style>
  <w:style w:type="paragraph" w:styleId="TOCHeading">
    <w:name w:val="TOC Heading"/>
    <w:basedOn w:val="Heading1"/>
    <w:next w:val="Normal"/>
    <w:uiPriority w:val="39"/>
    <w:qFormat/>
    <w:rsid w:val="00D544F9"/>
    <w:pPr>
      <w:keepLines/>
      <w:pageBreakBefore w:val="0"/>
      <w:numPr>
        <w:numId w:val="0"/>
      </w:numPr>
      <w:tabs>
        <w:tab w:val="clear" w:pos="993"/>
      </w:tabs>
      <w:spacing w:before="480" w:after="0" w:line="276" w:lineRule="auto"/>
      <w:outlineLvl w:val="9"/>
    </w:pPr>
    <w:rPr>
      <w:rFonts w:ascii="Cambria" w:eastAsia="MS Gothic" w:hAnsi="Cambria" w:cs="Cambria"/>
      <w:smallCaps w:val="0"/>
      <w:color w:val="365F91"/>
      <w:sz w:val="28"/>
      <w:szCs w:val="28"/>
      <w:lang w:val="en-US" w:eastAsia="ja-JP"/>
    </w:rPr>
  </w:style>
  <w:style w:type="paragraph" w:customStyle="1" w:styleId="Heading40">
    <w:name w:val="Heading4"/>
    <w:basedOn w:val="Heading30"/>
    <w:rsid w:val="00F47BA5"/>
    <w:pPr>
      <w:spacing w:after="120"/>
      <w:ind w:left="0" w:firstLine="0"/>
    </w:pPr>
    <w:rPr>
      <w:i/>
      <w:iCs/>
      <w:sz w:val="22"/>
      <w:szCs w:val="22"/>
    </w:rPr>
  </w:style>
  <w:style w:type="paragraph" w:customStyle="1" w:styleId="Heading30">
    <w:name w:val="Heading3"/>
    <w:basedOn w:val="Heading20"/>
    <w:rsid w:val="00F47BA5"/>
    <w:pPr>
      <w:spacing w:after="240"/>
    </w:pPr>
    <w:rPr>
      <w:sz w:val="28"/>
      <w:szCs w:val="28"/>
    </w:rPr>
  </w:style>
  <w:style w:type="paragraph" w:customStyle="1" w:styleId="Heading20">
    <w:name w:val="Heading2"/>
    <w:basedOn w:val="Heading1"/>
    <w:link w:val="Heading2Char0"/>
    <w:rsid w:val="00F47BA5"/>
    <w:pPr>
      <w:pageBreakBefore w:val="0"/>
      <w:numPr>
        <w:numId w:val="0"/>
      </w:numPr>
      <w:tabs>
        <w:tab w:val="clear" w:pos="993"/>
        <w:tab w:val="left" w:pos="851"/>
        <w:tab w:val="left" w:pos="1560"/>
      </w:tabs>
      <w:spacing w:before="240"/>
      <w:ind w:left="1701" w:hanging="1701"/>
    </w:pPr>
    <w:rPr>
      <w:rFonts w:ascii="Gill Sans MT" w:eastAsia="MS Mincho" w:hAnsi="Gill Sans MT" w:cs="Times New Roman"/>
      <w:bCs w:val="0"/>
      <w:smallCaps w:val="0"/>
      <w:sz w:val="32"/>
      <w:szCs w:val="20"/>
    </w:rPr>
  </w:style>
  <w:style w:type="character" w:customStyle="1" w:styleId="Heading2Char0">
    <w:name w:val="Heading2 Char"/>
    <w:link w:val="Heading20"/>
    <w:rsid w:val="00F47BA5"/>
    <w:rPr>
      <w:rFonts w:ascii="Gill Sans MT" w:eastAsia="MS Mincho" w:hAnsi="Gill Sans MT"/>
      <w:b/>
      <w:sz w:val="32"/>
      <w:lang w:eastAsia="en-US"/>
    </w:rPr>
  </w:style>
  <w:style w:type="character" w:styleId="EndnoteReference">
    <w:name w:val="endnote reference"/>
    <w:rsid w:val="00F47BA5"/>
    <w:rPr>
      <w:rFonts w:ascii="Verdana" w:hAnsi="Verdana" w:cs="Verdana"/>
      <w:sz w:val="14"/>
      <w:szCs w:val="14"/>
      <w:vertAlign w:val="superscript"/>
    </w:rPr>
  </w:style>
  <w:style w:type="paragraph" w:customStyle="1" w:styleId="Heading2a">
    <w:name w:val="Heading2a"/>
    <w:basedOn w:val="Heading20"/>
    <w:link w:val="Heading2aChar"/>
    <w:rsid w:val="00F47BA5"/>
    <w:pPr>
      <w:ind w:left="0" w:firstLine="0"/>
    </w:pPr>
  </w:style>
  <w:style w:type="character" w:customStyle="1" w:styleId="Heading2aChar">
    <w:name w:val="Heading2a Char"/>
    <w:link w:val="Heading2a"/>
    <w:rsid w:val="00F47BA5"/>
    <w:rPr>
      <w:rFonts w:ascii="Gill Sans MT" w:eastAsia="MS Mincho" w:hAnsi="Gill Sans MT" w:cs="Gill Sans MT"/>
      <w:b/>
      <w:bCs/>
      <w:sz w:val="32"/>
      <w:szCs w:val="32"/>
      <w:lang w:eastAsia="en-US"/>
    </w:rPr>
  </w:style>
  <w:style w:type="paragraph" w:customStyle="1" w:styleId="MediumGrid1-Accent21">
    <w:name w:val="Medium Grid 1 - Accent 21"/>
    <w:basedOn w:val="Normal"/>
    <w:rsid w:val="00F47BA5"/>
    <w:pPr>
      <w:ind w:left="720"/>
      <w:contextualSpacing/>
    </w:pPr>
    <w:rPr>
      <w:rFonts w:ascii="Californian FB" w:eastAsia="MS Mincho" w:hAnsi="Californian FB" w:cs="Californian FB"/>
    </w:rPr>
  </w:style>
  <w:style w:type="character" w:customStyle="1" w:styleId="LightGrid-Accent11">
    <w:name w:val="Light Grid - Accent 11"/>
    <w:semiHidden/>
    <w:rsid w:val="00F47BA5"/>
    <w:rPr>
      <w:color w:val="808080"/>
    </w:rPr>
  </w:style>
  <w:style w:type="paragraph" w:customStyle="1" w:styleId="Heading1a">
    <w:name w:val="Heading 1a"/>
    <w:basedOn w:val="Normal"/>
    <w:rsid w:val="00F47BA5"/>
    <w:pPr>
      <w:spacing w:after="360" w:line="240" w:lineRule="auto"/>
    </w:pPr>
    <w:rPr>
      <w:rFonts w:ascii="Gill Sans MT" w:eastAsia="MS Mincho" w:hAnsi="Gill Sans MT" w:cs="Gill Sans MT"/>
      <w:b/>
      <w:bCs/>
      <w:sz w:val="32"/>
      <w:szCs w:val="32"/>
    </w:rPr>
  </w:style>
  <w:style w:type="paragraph" w:customStyle="1" w:styleId="Heading3a">
    <w:name w:val="Heading3a"/>
    <w:basedOn w:val="Heading30"/>
    <w:rsid w:val="00F47BA5"/>
    <w:pPr>
      <w:ind w:left="0" w:firstLine="0"/>
    </w:pPr>
    <w:rPr>
      <w:b w:val="0"/>
    </w:rPr>
  </w:style>
  <w:style w:type="character" w:customStyle="1" w:styleId="maintitle0">
    <w:name w:val="maintitle"/>
    <w:rsid w:val="00F47BA5"/>
  </w:style>
  <w:style w:type="paragraph" w:customStyle="1" w:styleId="articledetails">
    <w:name w:val="articledetails"/>
    <w:basedOn w:val="Normal"/>
    <w:rsid w:val="00F47BA5"/>
    <w:pPr>
      <w:spacing w:before="100" w:beforeAutospacing="1" w:after="100" w:afterAutospacing="1" w:line="240" w:lineRule="auto"/>
    </w:pPr>
    <w:rPr>
      <w:rFonts w:ascii="Times New Roman" w:eastAsia="MS Mincho" w:hAnsi="Times New Roman" w:cs="Times New Roman"/>
      <w:sz w:val="24"/>
      <w:szCs w:val="24"/>
      <w:lang w:eastAsia="en-AU"/>
    </w:rPr>
  </w:style>
  <w:style w:type="paragraph" w:customStyle="1" w:styleId="StyleHeading116pt">
    <w:name w:val="Style Heading 1 + 16 pt"/>
    <w:basedOn w:val="Heading1"/>
    <w:rsid w:val="00F47BA5"/>
    <w:pPr>
      <w:pageBreakBefore w:val="0"/>
      <w:numPr>
        <w:numId w:val="0"/>
      </w:numPr>
      <w:tabs>
        <w:tab w:val="clear" w:pos="993"/>
        <w:tab w:val="left" w:pos="851"/>
        <w:tab w:val="left" w:pos="1560"/>
      </w:tabs>
      <w:spacing w:before="240" w:after="240" w:line="240" w:lineRule="atLeast"/>
      <w:ind w:left="851" w:hanging="851"/>
    </w:pPr>
    <w:rPr>
      <w:rFonts w:ascii="Gill Sans MT" w:eastAsia="MS Mincho" w:hAnsi="Gill Sans MT" w:cs="Gill Sans MT"/>
      <w:smallCaps w:val="0"/>
      <w:sz w:val="32"/>
      <w:szCs w:val="32"/>
    </w:rPr>
  </w:style>
  <w:style w:type="paragraph" w:customStyle="1" w:styleId="StyleHeading212pt">
    <w:name w:val="Style Heading2 + 12 pt"/>
    <w:basedOn w:val="Heading20"/>
    <w:rsid w:val="00F47BA5"/>
    <w:rPr>
      <w:sz w:val="24"/>
      <w:szCs w:val="24"/>
    </w:rPr>
  </w:style>
  <w:style w:type="paragraph" w:styleId="Date">
    <w:name w:val="Date"/>
    <w:basedOn w:val="Normal"/>
    <w:next w:val="Normal"/>
    <w:link w:val="DateChar"/>
    <w:uiPriority w:val="99"/>
    <w:rsid w:val="00F47BA5"/>
    <w:rPr>
      <w:rFonts w:ascii="Californian FB" w:eastAsia="MS Mincho" w:hAnsi="Californian FB" w:cs="Californian FB"/>
    </w:rPr>
  </w:style>
  <w:style w:type="character" w:customStyle="1" w:styleId="DateChar">
    <w:name w:val="Date Char"/>
    <w:link w:val="Date"/>
    <w:uiPriority w:val="99"/>
    <w:rsid w:val="00F47BA5"/>
    <w:rPr>
      <w:rFonts w:ascii="Californian FB" w:eastAsia="MS Mincho" w:hAnsi="Californian FB" w:cs="Californian FB"/>
      <w:sz w:val="24"/>
      <w:szCs w:val="24"/>
      <w:lang w:eastAsia="en-US"/>
    </w:rPr>
  </w:style>
  <w:style w:type="paragraph" w:customStyle="1" w:styleId="TOCHeading1">
    <w:name w:val="TOC Heading1"/>
    <w:basedOn w:val="Heading1"/>
    <w:next w:val="Normal"/>
    <w:uiPriority w:val="39"/>
    <w:semiHidden/>
    <w:qFormat/>
    <w:rsid w:val="00F47BA5"/>
    <w:pPr>
      <w:keepLines/>
      <w:pageBreakBefore w:val="0"/>
      <w:numPr>
        <w:numId w:val="0"/>
      </w:numPr>
      <w:tabs>
        <w:tab w:val="clear" w:pos="993"/>
        <w:tab w:val="left" w:pos="851"/>
        <w:tab w:val="left" w:pos="1560"/>
      </w:tabs>
      <w:spacing w:before="480" w:after="0" w:line="276" w:lineRule="auto"/>
      <w:outlineLvl w:val="9"/>
    </w:pPr>
    <w:rPr>
      <w:rFonts w:ascii="Cambria" w:eastAsia="MS Gothic" w:hAnsi="Cambria" w:cs="Cambria"/>
      <w:smallCaps w:val="0"/>
      <w:color w:val="365F91"/>
      <w:sz w:val="28"/>
      <w:szCs w:val="28"/>
      <w:lang w:val="en-US" w:eastAsia="ja-JP"/>
    </w:rPr>
  </w:style>
  <w:style w:type="paragraph" w:customStyle="1" w:styleId="ColorfulShading-Accent11">
    <w:name w:val="Colorful Shading - Accent 11"/>
    <w:hidden/>
    <w:uiPriority w:val="99"/>
    <w:semiHidden/>
    <w:rsid w:val="00F47BA5"/>
    <w:rPr>
      <w:rFonts w:ascii="Californian FB" w:eastAsia="MS Mincho" w:hAnsi="Californian FB" w:cs="Californian FB"/>
      <w:sz w:val="22"/>
      <w:szCs w:val="22"/>
      <w:lang w:eastAsia="en-US"/>
    </w:rPr>
  </w:style>
  <w:style w:type="paragraph" w:customStyle="1" w:styleId="TableHeading1">
    <w:name w:val="TableHeading"/>
    <w:basedOn w:val="Normal"/>
    <w:rsid w:val="00F47BA5"/>
    <w:pPr>
      <w:keepNext/>
      <w:spacing w:before="40" w:after="40" w:line="240" w:lineRule="auto"/>
      <w:outlineLvl w:val="1"/>
    </w:pPr>
    <w:rPr>
      <w:rFonts w:ascii="Arial Narrow" w:eastAsia="MS Mincho" w:hAnsi="Arial Narrow" w:cs="Arial Narrow"/>
      <w:b/>
      <w:bCs/>
      <w:sz w:val="20"/>
      <w:szCs w:val="20"/>
    </w:rPr>
  </w:style>
  <w:style w:type="paragraph" w:styleId="HTMLPreformatted">
    <w:name w:val="HTML Preformatted"/>
    <w:basedOn w:val="Normal"/>
    <w:link w:val="HTMLPreformattedChar"/>
    <w:uiPriority w:val="99"/>
    <w:rsid w:val="00F47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PreformattedChar">
    <w:name w:val="HTML Preformatted Char"/>
    <w:link w:val="HTMLPreformatted"/>
    <w:uiPriority w:val="99"/>
    <w:rsid w:val="00F47BA5"/>
    <w:rPr>
      <w:rFonts w:ascii="Courier New" w:eastAsia="MS Mincho" w:hAnsi="Courier New" w:cs="Courier New"/>
      <w:lang w:eastAsia="ja-JP"/>
    </w:rPr>
  </w:style>
  <w:style w:type="table" w:customStyle="1" w:styleId="Summarybox1">
    <w:name w:val="Summary box1"/>
    <w:uiPriority w:val="59"/>
    <w:rsid w:val="00F47BA5"/>
    <w:rPr>
      <w:rFonts w:ascii="Arial Narrow" w:hAnsi="Arial Narrow" w:cs="Arial Narrow"/>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F47BA5"/>
    <w:rPr>
      <w:rFonts w:cs="Times New Roman"/>
      <w:color w:val="808080"/>
    </w:rPr>
  </w:style>
  <w:style w:type="paragraph" w:customStyle="1" w:styleId="SectionSummTop">
    <w:name w:val="SectionSummTop"/>
    <w:basedOn w:val="Normal"/>
    <w:rsid w:val="00604BDF"/>
    <w:pPr>
      <w:spacing w:line="240" w:lineRule="auto"/>
    </w:pPr>
    <w:rPr>
      <w:b/>
      <w:bCs/>
      <w:sz w:val="20"/>
      <w:szCs w:val="20"/>
    </w:rPr>
  </w:style>
  <w:style w:type="character" w:customStyle="1" w:styleId="invert">
    <w:name w:val="invert"/>
    <w:rsid w:val="009E657D"/>
    <w:rPr>
      <w:rFonts w:cs="Times New Roman"/>
    </w:rPr>
  </w:style>
  <w:style w:type="character" w:customStyle="1" w:styleId="highlight">
    <w:name w:val="highlight"/>
    <w:rsid w:val="00F402E7"/>
    <w:rPr>
      <w:rFonts w:cs="Times New Roman"/>
    </w:rPr>
  </w:style>
  <w:style w:type="numbering" w:customStyle="1" w:styleId="StyleNumberedTimesNewRomanPSMT10pt">
    <w:name w:val="Style Numbered TimesNewRomanPSMT 10 pt"/>
    <w:rsid w:val="00CC4EA0"/>
    <w:pPr>
      <w:numPr>
        <w:numId w:val="11"/>
      </w:numPr>
    </w:pPr>
  </w:style>
  <w:style w:type="numbering" w:customStyle="1" w:styleId="StyleBulleted">
    <w:name w:val="Style Bulleted"/>
    <w:rsid w:val="00CC4EA0"/>
    <w:pPr>
      <w:numPr>
        <w:numId w:val="6"/>
      </w:numPr>
    </w:pPr>
  </w:style>
  <w:style w:type="numbering" w:customStyle="1" w:styleId="PBACstandardnumberstyle">
    <w:name w:val="PBAC standard number style"/>
    <w:rsid w:val="00CC4EA0"/>
    <w:pPr>
      <w:numPr>
        <w:numId w:val="19"/>
      </w:numPr>
    </w:pPr>
  </w:style>
  <w:style w:type="paragraph" w:customStyle="1" w:styleId="Listenabsatz1">
    <w:name w:val="Listenabsatz1"/>
    <w:basedOn w:val="Normal"/>
    <w:rsid w:val="0040506E"/>
    <w:pPr>
      <w:ind w:left="720"/>
      <w:contextualSpacing/>
    </w:pPr>
    <w:rPr>
      <w:rFonts w:cs="Times New Roman"/>
      <w:szCs w:val="24"/>
    </w:rPr>
  </w:style>
  <w:style w:type="paragraph" w:customStyle="1" w:styleId="berarbeitung1">
    <w:name w:val="Überarbeitung1"/>
    <w:hidden/>
    <w:semiHidden/>
    <w:rsid w:val="0040506E"/>
    <w:rPr>
      <w:rFonts w:ascii="Arial" w:hAnsi="Arial"/>
      <w:sz w:val="22"/>
      <w:szCs w:val="24"/>
    </w:rPr>
  </w:style>
  <w:style w:type="paragraph" w:customStyle="1" w:styleId="KeinLeerraum1">
    <w:name w:val="Kein Leerraum1"/>
    <w:rsid w:val="0040506E"/>
    <w:rPr>
      <w:rFonts w:ascii="Calibri" w:hAnsi="Calibri"/>
      <w:sz w:val="22"/>
      <w:szCs w:val="22"/>
      <w:lang w:val="en-US" w:eastAsia="en-US"/>
    </w:rPr>
  </w:style>
  <w:style w:type="paragraph" w:customStyle="1" w:styleId="Inhaltsverzeichnisberschrift1">
    <w:name w:val="Inhaltsverzeichnisüberschrift1"/>
    <w:basedOn w:val="Heading1"/>
    <w:next w:val="Normal"/>
    <w:rsid w:val="0040506E"/>
    <w:pPr>
      <w:keepLines/>
      <w:pageBreakBefore w:val="0"/>
      <w:numPr>
        <w:numId w:val="0"/>
      </w:numPr>
      <w:tabs>
        <w:tab w:val="clear" w:pos="993"/>
      </w:tabs>
      <w:spacing w:before="480" w:after="0" w:line="276" w:lineRule="auto"/>
      <w:outlineLvl w:val="9"/>
    </w:pPr>
    <w:rPr>
      <w:rFonts w:ascii="Cambria" w:eastAsia="MS Gothic" w:hAnsi="Cambria" w:cs="Times New Roman"/>
      <w:smallCaps w:val="0"/>
      <w:color w:val="365F91"/>
      <w:sz w:val="28"/>
      <w:szCs w:val="28"/>
      <w:lang w:val="en-US" w:eastAsia="ja-JP"/>
    </w:rPr>
  </w:style>
  <w:style w:type="character" w:customStyle="1" w:styleId="Platzhaltertext1">
    <w:name w:val="Platzhaltertext1"/>
    <w:basedOn w:val="DefaultParagraphFont"/>
    <w:semiHidden/>
    <w:rsid w:val="0040506E"/>
    <w:rPr>
      <w:rFonts w:cs="Times New Roman"/>
      <w:color w:val="808080"/>
    </w:rPr>
  </w:style>
  <w:style w:type="character" w:customStyle="1" w:styleId="li-content">
    <w:name w:val="li-content"/>
    <w:basedOn w:val="DefaultParagraphFont"/>
    <w:rsid w:val="0040506E"/>
    <w:rPr>
      <w:rFonts w:cs="Times New Roman"/>
    </w:rPr>
  </w:style>
  <w:style w:type="paragraph" w:customStyle="1" w:styleId="Tablefootnote">
    <w:name w:val="Table footnote"/>
    <w:basedOn w:val="Tablefooter"/>
    <w:link w:val="TablefootnoteChar"/>
    <w:qFormat/>
    <w:rsid w:val="00531D7C"/>
    <w:rPr>
      <w:lang w:val="en-GB"/>
    </w:rPr>
  </w:style>
  <w:style w:type="character" w:customStyle="1" w:styleId="TablefootnoteChar">
    <w:name w:val="Table footnote Char"/>
    <w:basedOn w:val="TablefooterChar"/>
    <w:link w:val="Tablefootnote"/>
    <w:rsid w:val="00531D7C"/>
    <w:rPr>
      <w:rFonts w:ascii="Arial Narrow" w:hAnsi="Arial Narrow" w:cs="Arial Narrow"/>
      <w:sz w:val="16"/>
      <w:szCs w:val="16"/>
      <w:lang w:val="en-GB" w:eastAsia="en-AU"/>
    </w:rPr>
  </w:style>
  <w:style w:type="paragraph" w:styleId="TOAHeading">
    <w:name w:val="toa heading"/>
    <w:basedOn w:val="Normal"/>
    <w:next w:val="Normal"/>
    <w:uiPriority w:val="99"/>
    <w:semiHidden/>
    <w:unhideWhenUsed/>
    <w:rsid w:val="009D2E7B"/>
    <w:pPr>
      <w:spacing w:before="120"/>
    </w:pPr>
    <w:rPr>
      <w:rFonts w:asciiTheme="majorHAnsi" w:eastAsiaTheme="majorEastAsia" w:hAnsiTheme="majorHAnsi" w:cstheme="majorBidi"/>
      <w:b/>
      <w:bCs/>
      <w:sz w:val="24"/>
      <w:szCs w:val="24"/>
    </w:rPr>
  </w:style>
  <w:style w:type="paragraph" w:styleId="BodyText2">
    <w:name w:val="Body Text 2"/>
    <w:basedOn w:val="Normal"/>
    <w:link w:val="BodyText2Char"/>
    <w:semiHidden/>
    <w:rsid w:val="00A62632"/>
    <w:rPr>
      <w:b/>
      <w:bCs/>
      <w:sz w:val="24"/>
      <w:szCs w:val="24"/>
      <w:lang w:val="en-US"/>
    </w:rPr>
  </w:style>
  <w:style w:type="character" w:customStyle="1" w:styleId="BodyText2Char2">
    <w:name w:val="Body Text 2 Char2"/>
    <w:basedOn w:val="DefaultParagraphFont"/>
    <w:uiPriority w:val="99"/>
    <w:semiHidden/>
    <w:rsid w:val="00A62632"/>
    <w:rPr>
      <w:rFonts w:ascii="Arial" w:hAnsi="Arial" w:cs="Arial"/>
      <w:sz w:val="22"/>
      <w:szCs w:val="22"/>
      <w:lang w:eastAsia="en-US"/>
    </w:rPr>
  </w:style>
  <w:style w:type="table" w:customStyle="1" w:styleId="Submissionstandard">
    <w:name w:val="Submission standard"/>
    <w:basedOn w:val="TableNormal"/>
    <w:uiPriority w:val="99"/>
    <w:qFormat/>
    <w:rsid w:val="00A62632"/>
    <w:rPr>
      <w:rFonts w:ascii="Arial Narrow" w:eastAsia="MS Gothic" w:hAnsi="Arial Narrow"/>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ungsuh" w:hAnsi="Gungsuh"/>
        <w:b/>
        <w:sz w:val="20"/>
      </w:rPr>
      <w:tblPr/>
      <w:tcPr>
        <w:shd w:val="clear" w:color="auto" w:fill="BFBFBF"/>
      </w:tcPr>
    </w:tblStylePr>
  </w:style>
  <w:style w:type="character" w:customStyle="1" w:styleId="TableBold">
    <w:name w:val="Table Bold"/>
    <w:uiPriority w:val="4"/>
    <w:qFormat/>
    <w:rsid w:val="00A62632"/>
    <w:rPr>
      <w:rFonts w:ascii="Arial Narrow" w:hAnsi="Arial Narrow"/>
      <w:b/>
      <w:sz w:val="20"/>
      <w:lang w:val="en-AU"/>
    </w:rPr>
  </w:style>
  <w:style w:type="character" w:customStyle="1" w:styleId="googqs-tidbit">
    <w:name w:val="goog_qs-tidbit"/>
    <w:basedOn w:val="DefaultParagraphFont"/>
    <w:rsid w:val="00463446"/>
  </w:style>
  <w:style w:type="paragraph" w:customStyle="1" w:styleId="minoredits">
    <w:name w:val="minor edits"/>
    <w:basedOn w:val="Normal"/>
    <w:link w:val="minoreditsChar"/>
    <w:qFormat/>
    <w:rsid w:val="006E7F44"/>
    <w:pPr>
      <w:spacing w:before="120" w:line="276" w:lineRule="auto"/>
    </w:pPr>
    <w:rPr>
      <w:rFonts w:eastAsiaTheme="minorHAnsi"/>
      <w:color w:val="1B3FF1"/>
    </w:rPr>
  </w:style>
  <w:style w:type="character" w:customStyle="1" w:styleId="ListParagraphChar">
    <w:name w:val="List Paragraph Char"/>
    <w:basedOn w:val="DefaultParagraphFont"/>
    <w:link w:val="ListParagraph"/>
    <w:uiPriority w:val="34"/>
    <w:rsid w:val="006E7F44"/>
    <w:rPr>
      <w:rFonts w:ascii="Arial" w:hAnsi="Arial" w:cs="Arial"/>
      <w:sz w:val="22"/>
      <w:szCs w:val="22"/>
      <w:lang w:eastAsia="en-US"/>
    </w:rPr>
  </w:style>
  <w:style w:type="character" w:customStyle="1" w:styleId="minoreditsChar">
    <w:name w:val="minor edits Char"/>
    <w:basedOn w:val="DefaultParagraphFont"/>
    <w:link w:val="minoredits"/>
    <w:rsid w:val="006E7F44"/>
    <w:rPr>
      <w:rFonts w:ascii="Arial" w:eastAsiaTheme="minorHAnsi" w:hAnsi="Arial" w:cs="Arial"/>
      <w:color w:val="1B3FF1"/>
      <w:sz w:val="22"/>
      <w:szCs w:val="22"/>
      <w:lang w:eastAsia="en-US"/>
    </w:rPr>
  </w:style>
  <w:style w:type="paragraph" w:customStyle="1" w:styleId="wp-caption-text">
    <w:name w:val="wp-caption-text"/>
    <w:basedOn w:val="Normal"/>
    <w:rsid w:val="00951BE9"/>
    <w:pPr>
      <w:spacing w:before="100" w:beforeAutospacing="1" w:after="100" w:afterAutospacing="1" w:line="240" w:lineRule="auto"/>
    </w:pPr>
    <w:rPr>
      <w:rFonts w:ascii="Times New Roman" w:hAnsi="Times New Roman" w:cs="Times New Roman"/>
      <w:sz w:val="24"/>
      <w:szCs w:val="24"/>
      <w:lang w:eastAsia="en-AU"/>
    </w:rPr>
  </w:style>
  <w:style w:type="paragraph" w:customStyle="1" w:styleId="headinganchor2">
    <w:name w:val="headinganchor2"/>
    <w:basedOn w:val="Normal"/>
    <w:rsid w:val="00B70754"/>
    <w:pPr>
      <w:spacing w:before="100" w:beforeAutospacing="1" w:after="100" w:afterAutospacing="1" w:line="240" w:lineRule="auto"/>
    </w:pPr>
    <w:rPr>
      <w:rFonts w:ascii="Times New Roman" w:hAnsi="Times New Roman" w:cs="Times New Roman"/>
      <w:sz w:val="24"/>
      <w:szCs w:val="24"/>
      <w:lang w:eastAsia="en-AU"/>
    </w:rPr>
  </w:style>
  <w:style w:type="paragraph" w:customStyle="1" w:styleId="Comments">
    <w:name w:val="Comments"/>
    <w:basedOn w:val="ListParagraph"/>
    <w:link w:val="CommentsChar"/>
    <w:qFormat/>
    <w:rsid w:val="00785829"/>
    <w:pPr>
      <w:spacing w:before="120" w:line="276" w:lineRule="auto"/>
      <w:ind w:left="502"/>
    </w:pPr>
    <w:rPr>
      <w:rFonts w:eastAsia="Calibri"/>
      <w:i/>
      <w:color w:val="1B3FF1"/>
      <w:szCs w:val="24"/>
    </w:rPr>
  </w:style>
  <w:style w:type="character" w:customStyle="1" w:styleId="CommentsChar">
    <w:name w:val="Comments Char"/>
    <w:basedOn w:val="ListParagraphChar"/>
    <w:link w:val="Comments"/>
    <w:rsid w:val="00785829"/>
    <w:rPr>
      <w:rFonts w:ascii="Arial" w:eastAsia="Calibri" w:hAnsi="Arial" w:cs="Arial"/>
      <w:i/>
      <w:color w:val="1B3FF1"/>
      <w:sz w:val="22"/>
      <w:szCs w:val="24"/>
      <w:lang w:eastAsia="en-US"/>
    </w:rPr>
  </w:style>
  <w:style w:type="paragraph" w:customStyle="1" w:styleId="p">
    <w:name w:val="p"/>
    <w:basedOn w:val="Normal"/>
    <w:rsid w:val="00646C9C"/>
    <w:pPr>
      <w:spacing w:before="100" w:beforeAutospacing="1" w:after="100" w:afterAutospacing="1" w:line="240" w:lineRule="auto"/>
    </w:pPr>
    <w:rPr>
      <w:rFonts w:ascii="Times New Roman" w:hAnsi="Times New Roman" w:cs="Times New Roman"/>
      <w:sz w:val="24"/>
      <w:szCs w:val="24"/>
      <w:lang w:eastAsia="en-AU"/>
    </w:rPr>
  </w:style>
  <w:style w:type="paragraph" w:customStyle="1" w:styleId="ReportText">
    <w:name w:val="Report Text"/>
    <w:link w:val="ReportTextChar"/>
    <w:rsid w:val="002C2359"/>
    <w:pPr>
      <w:spacing w:line="288" w:lineRule="auto"/>
      <w:jc w:val="both"/>
    </w:pPr>
    <w:rPr>
      <w:rFonts w:ascii="Arial" w:hAnsi="Arial"/>
      <w:sz w:val="22"/>
      <w:lang w:val="en-GB" w:eastAsia="en-US"/>
    </w:rPr>
  </w:style>
  <w:style w:type="character" w:customStyle="1" w:styleId="ReportTextChar">
    <w:name w:val="Report Text Char"/>
    <w:basedOn w:val="DefaultParagraphFont"/>
    <w:link w:val="ReportText"/>
    <w:rsid w:val="002C2359"/>
    <w:rPr>
      <w:rFonts w:ascii="Arial" w:hAnsi="Arial"/>
      <w:sz w:val="22"/>
      <w:lang w:val="en-GB" w:eastAsia="en-US"/>
    </w:rPr>
  </w:style>
  <w:style w:type="paragraph" w:customStyle="1" w:styleId="EndNoteBibliography">
    <w:name w:val="EndNote Bibliography"/>
    <w:basedOn w:val="Normal"/>
    <w:link w:val="EndNoteBibliographyChar"/>
    <w:rsid w:val="00163D10"/>
    <w:pPr>
      <w:spacing w:after="0" w:line="240" w:lineRule="auto"/>
      <w:jc w:val="both"/>
    </w:pPr>
    <w:rPr>
      <w:noProof/>
      <w:szCs w:val="24"/>
      <w:lang w:val="en-US"/>
    </w:rPr>
  </w:style>
  <w:style w:type="character" w:customStyle="1" w:styleId="EndNoteBibliographyChar">
    <w:name w:val="EndNote Bibliography Char"/>
    <w:basedOn w:val="DefaultParagraphFont"/>
    <w:link w:val="EndNoteBibliography"/>
    <w:rsid w:val="00163D10"/>
    <w:rPr>
      <w:rFonts w:ascii="Arial" w:eastAsiaTheme="minorEastAsia" w:hAnsi="Arial" w:cs="Arial"/>
      <w:noProof/>
      <w:sz w:val="22"/>
      <w:szCs w:val="24"/>
      <w:lang w:val="en-US" w:eastAsia="en-US"/>
    </w:rPr>
  </w:style>
  <w:style w:type="paragraph" w:customStyle="1" w:styleId="Pa5">
    <w:name w:val="Pa5"/>
    <w:basedOn w:val="Default"/>
    <w:next w:val="Default"/>
    <w:uiPriority w:val="99"/>
    <w:rsid w:val="00257DE8"/>
    <w:pPr>
      <w:spacing w:line="401" w:lineRule="atLeast"/>
    </w:pPr>
    <w:rPr>
      <w:rFonts w:ascii="OYKZI O+ Helvetica Neue LT" w:hAnsi="OYKZI O+ Helvetica Neue LT" w:cs="Times New Roman"/>
      <w:color w:val="auto"/>
      <w:lang w:val="en-AU" w:eastAsia="en-AU"/>
    </w:rPr>
  </w:style>
  <w:style w:type="paragraph" w:customStyle="1" w:styleId="Pa2">
    <w:name w:val="Pa2"/>
    <w:basedOn w:val="Default"/>
    <w:next w:val="Default"/>
    <w:uiPriority w:val="99"/>
    <w:rsid w:val="00257DE8"/>
    <w:pPr>
      <w:spacing w:line="191" w:lineRule="atLeast"/>
    </w:pPr>
    <w:rPr>
      <w:rFonts w:ascii="OYKZI O+ Helvetica Neue LT" w:hAnsi="OYKZI O+ Helvetica Neue LT" w:cs="Times New Roman"/>
      <w:color w:val="auto"/>
      <w:lang w:val="en-AU" w:eastAsia="en-AU"/>
    </w:rPr>
  </w:style>
  <w:style w:type="character" w:customStyle="1" w:styleId="A7">
    <w:name w:val="A7"/>
    <w:uiPriority w:val="99"/>
    <w:rsid w:val="00257DE8"/>
    <w:rPr>
      <w:rFonts w:cs="OYKZI O+ Helvetica Neue LT"/>
      <w:color w:val="000000"/>
      <w:sz w:val="11"/>
      <w:szCs w:val="11"/>
    </w:rPr>
  </w:style>
  <w:style w:type="paragraph" w:customStyle="1" w:styleId="TableText5">
    <w:name w:val="Table Text"/>
    <w:basedOn w:val="Normal"/>
    <w:link w:val="TableTextChar0"/>
    <w:qFormat/>
    <w:rsid w:val="007F5738"/>
    <w:pPr>
      <w:spacing w:before="80" w:after="80" w:line="240" w:lineRule="auto"/>
    </w:pPr>
    <w:rPr>
      <w:rFonts w:cs="Times New Roman"/>
      <w:szCs w:val="20"/>
      <w:lang w:eastAsia="en-AU"/>
    </w:rPr>
  </w:style>
  <w:style w:type="character" w:customStyle="1" w:styleId="TableTextChar0">
    <w:name w:val="Table Text Char"/>
    <w:link w:val="TableText5"/>
    <w:rsid w:val="007F5738"/>
    <w:rPr>
      <w:rFonts w:ascii="Arial" w:hAnsi="Arial"/>
      <w:sz w:val="22"/>
    </w:rPr>
  </w:style>
  <w:style w:type="character" w:customStyle="1" w:styleId="ref-journal">
    <w:name w:val="ref-journal"/>
    <w:basedOn w:val="DefaultParagraphFont"/>
    <w:rsid w:val="00901370"/>
  </w:style>
  <w:style w:type="character" w:customStyle="1" w:styleId="ref-vol">
    <w:name w:val="ref-vol"/>
    <w:basedOn w:val="DefaultParagraphFont"/>
    <w:rsid w:val="00901370"/>
  </w:style>
  <w:style w:type="paragraph" w:customStyle="1" w:styleId="Pa16">
    <w:name w:val="Pa16"/>
    <w:basedOn w:val="Normal"/>
    <w:next w:val="Normal"/>
    <w:uiPriority w:val="99"/>
    <w:rsid w:val="00E5456F"/>
    <w:pPr>
      <w:autoSpaceDE w:val="0"/>
      <w:autoSpaceDN w:val="0"/>
      <w:adjustRightInd w:val="0"/>
      <w:spacing w:after="0" w:line="181" w:lineRule="atLeast"/>
    </w:pPr>
    <w:rPr>
      <w:rFonts w:ascii="OYKZI O+ Helvetica Neue LT" w:hAnsi="OYKZI O+ Helvetica Neue LT" w:cs="Times New Roman"/>
      <w:sz w:val="24"/>
      <w:szCs w:val="24"/>
      <w:lang w:eastAsia="en-AU"/>
    </w:rPr>
  </w:style>
  <w:style w:type="paragraph" w:customStyle="1" w:styleId="TableNotes1">
    <w:name w:val="Table Notes"/>
    <w:basedOn w:val="Normal"/>
    <w:next w:val="Normal"/>
    <w:link w:val="TableNotesChar0"/>
    <w:uiPriority w:val="99"/>
    <w:qFormat/>
    <w:rsid w:val="006E0596"/>
    <w:pPr>
      <w:keepNext/>
      <w:keepLines/>
      <w:spacing w:before="60" w:after="0" w:line="240" w:lineRule="auto"/>
      <w:jc w:val="both"/>
    </w:pPr>
    <w:rPr>
      <w:rFonts w:cs="Times New Roman"/>
      <w:sz w:val="16"/>
      <w:szCs w:val="16"/>
      <w:lang w:eastAsia="en-AU"/>
    </w:rPr>
  </w:style>
  <w:style w:type="character" w:customStyle="1" w:styleId="TableNotesChar0">
    <w:name w:val="Table Notes Char"/>
    <w:link w:val="TableNotes1"/>
    <w:uiPriority w:val="99"/>
    <w:rsid w:val="006E0596"/>
    <w:rPr>
      <w:rFonts w:ascii="Arial" w:hAnsi="Arial"/>
      <w:sz w:val="16"/>
      <w:szCs w:val="16"/>
    </w:rPr>
  </w:style>
  <w:style w:type="paragraph" w:customStyle="1" w:styleId="Pa28">
    <w:name w:val="Pa28"/>
    <w:basedOn w:val="Default"/>
    <w:next w:val="Default"/>
    <w:uiPriority w:val="99"/>
    <w:rsid w:val="006F5516"/>
    <w:pPr>
      <w:spacing w:line="201" w:lineRule="atLeast"/>
    </w:pPr>
    <w:rPr>
      <w:rFonts w:ascii="Arial Narrow" w:hAnsi="Arial Narrow" w:cs="Times New Roman"/>
      <w:color w:val="auto"/>
      <w:lang w:val="en-AU" w:eastAsia="en-AU"/>
    </w:rPr>
  </w:style>
  <w:style w:type="character" w:customStyle="1" w:styleId="A3">
    <w:name w:val="A3"/>
    <w:uiPriority w:val="99"/>
    <w:rsid w:val="006F5516"/>
    <w:rPr>
      <w:rFonts w:cs="Arial Narrow"/>
      <w:b/>
      <w:bCs/>
      <w:color w:val="000000"/>
      <w:sz w:val="18"/>
      <w:szCs w:val="18"/>
    </w:rPr>
  </w:style>
  <w:style w:type="paragraph" w:customStyle="1" w:styleId="Pa20">
    <w:name w:val="Pa20"/>
    <w:basedOn w:val="Default"/>
    <w:next w:val="Default"/>
    <w:uiPriority w:val="99"/>
    <w:rsid w:val="006F5516"/>
    <w:pPr>
      <w:spacing w:line="201" w:lineRule="atLeast"/>
    </w:pPr>
    <w:rPr>
      <w:rFonts w:ascii="Arial Narrow" w:hAnsi="Arial Narrow" w:cs="Times New Roman"/>
      <w:color w:val="auto"/>
      <w:lang w:val="en-AU" w:eastAsia="en-AU"/>
    </w:rPr>
  </w:style>
  <w:style w:type="paragraph" w:customStyle="1" w:styleId="Pa3">
    <w:name w:val="Pa3"/>
    <w:basedOn w:val="Default"/>
    <w:next w:val="Default"/>
    <w:uiPriority w:val="99"/>
    <w:rsid w:val="006F5516"/>
    <w:pPr>
      <w:spacing w:line="201" w:lineRule="atLeast"/>
    </w:pPr>
    <w:rPr>
      <w:rFonts w:ascii="Arial Narrow" w:hAnsi="Arial Narrow" w:cs="Times New Roman"/>
      <w:color w:val="auto"/>
      <w:lang w:val="en-AU" w:eastAsia="en-AU"/>
    </w:rPr>
  </w:style>
  <w:style w:type="character" w:customStyle="1" w:styleId="Heading6Char1">
    <w:name w:val="Heading 6 Char1"/>
    <w:aliases w:val="DO NOT USE Char1,DO NOT USE4 Char1"/>
    <w:basedOn w:val="DefaultParagraphFont"/>
    <w:semiHidden/>
    <w:rsid w:val="00A41E60"/>
    <w:rPr>
      <w:rFonts w:asciiTheme="majorHAnsi" w:eastAsiaTheme="majorEastAsia" w:hAnsiTheme="majorHAnsi" w:cstheme="majorBidi"/>
      <w:color w:val="243F60" w:themeColor="accent1" w:themeShade="7F"/>
      <w:sz w:val="22"/>
      <w:szCs w:val="22"/>
      <w:lang w:eastAsia="en-US"/>
    </w:rPr>
  </w:style>
  <w:style w:type="paragraph" w:customStyle="1" w:styleId="msonormal0">
    <w:name w:val="msonormal"/>
    <w:basedOn w:val="Normal"/>
    <w:uiPriority w:val="99"/>
    <w:rsid w:val="00A41E6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ooterChar1">
    <w:name w:val="Footer Char1"/>
    <w:aliases w:val="Page Footer Char1"/>
    <w:basedOn w:val="DefaultParagraphFont"/>
    <w:semiHidden/>
    <w:rsid w:val="00A41E60"/>
    <w:rPr>
      <w:rFonts w:ascii="Arial" w:hAnsi="Arial" w:cs="Arial"/>
      <w:sz w:val="22"/>
      <w:szCs w:val="22"/>
      <w:lang w:eastAsia="en-US"/>
    </w:rPr>
  </w:style>
  <w:style w:type="character" w:customStyle="1" w:styleId="CharChar13">
    <w:name w:val="Char Char13"/>
    <w:rsid w:val="000C04B5"/>
    <w:rPr>
      <w:rFonts w:ascii="Arial" w:hAnsi="Arial"/>
      <w:b/>
      <w:caps/>
      <w:kern w:val="32"/>
      <w:sz w:val="32"/>
      <w:lang w:val="en-GB" w:eastAsia="en-GB"/>
    </w:rPr>
  </w:style>
  <w:style w:type="character" w:customStyle="1" w:styleId="CharChar7">
    <w:name w:val="Char Char7"/>
    <w:rsid w:val="000C04B5"/>
    <w:rPr>
      <w:rFonts w:ascii="Arial Narrow" w:hAnsi="Arial Narrow"/>
      <w:b/>
      <w:sz w:val="22"/>
      <w:lang w:val="en-AU" w:eastAsia="en-GB"/>
    </w:rPr>
  </w:style>
  <w:style w:type="character" w:customStyle="1" w:styleId="CharChar11">
    <w:name w:val="Char Char11"/>
    <w:rsid w:val="000C04B5"/>
    <w:rPr>
      <w:rFonts w:ascii="Arial" w:hAnsi="Arial"/>
      <w:b/>
      <w:i/>
      <w:lang w:eastAsia="en-US"/>
    </w:rPr>
  </w:style>
  <w:style w:type="character" w:customStyle="1" w:styleId="CharChar4">
    <w:name w:val="Char Char4"/>
    <w:rsid w:val="000C04B5"/>
    <w:rPr>
      <w:rFonts w:ascii="Arial" w:hAnsi="Arial"/>
      <w:b/>
      <w:smallCaps/>
      <w:sz w:val="28"/>
      <w:lang w:val="en-AU" w:eastAsia="en-AU"/>
    </w:rPr>
  </w:style>
  <w:style w:type="character" w:customStyle="1" w:styleId="CharCharCharChar">
    <w:name w:val="Char Char Char Char"/>
    <w:rsid w:val="000C04B5"/>
    <w:rPr>
      <w:rFonts w:ascii="Courier New" w:hAnsi="Courier New"/>
      <w:lang w:val="en-AU" w:eastAsia="en-AU"/>
    </w:rPr>
  </w:style>
  <w:style w:type="paragraph" w:customStyle="1" w:styleId="Tableorfigurefootnote">
    <w:name w:val="Table or figure footnote"/>
    <w:next w:val="BodyText"/>
    <w:link w:val="TableorfigurefootnoteChar"/>
    <w:rsid w:val="00315893"/>
    <w:rPr>
      <w:rFonts w:ascii="Arial" w:eastAsia="Times New Roman" w:hAnsi="Arial"/>
      <w:sz w:val="22"/>
      <w:lang w:val="en-GB" w:eastAsia="en-GB"/>
    </w:rPr>
  </w:style>
  <w:style w:type="character" w:customStyle="1" w:styleId="TableorfigurefootnoteChar">
    <w:name w:val="Table or figure footnote Char"/>
    <w:link w:val="Tableorfigurefootnote"/>
    <w:rsid w:val="00315893"/>
    <w:rPr>
      <w:rFonts w:ascii="Arial" w:eastAsia="Times New Roman" w:hAnsi="Arial"/>
      <w:sz w:val="22"/>
      <w:lang w:val="en-GB" w:eastAsia="en-GB"/>
    </w:rPr>
  </w:style>
  <w:style w:type="paragraph" w:customStyle="1" w:styleId="Tableorfigurefootnotesuperscript">
    <w:name w:val="Table or figure footnote superscript"/>
    <w:basedOn w:val="Tableorfigurefootnote"/>
    <w:next w:val="Tableorfigurefootnote"/>
    <w:rsid w:val="00315893"/>
    <w:rPr>
      <w:vertAlign w:val="superscript"/>
    </w:rPr>
  </w:style>
  <w:style w:type="paragraph" w:customStyle="1" w:styleId="TableArialNarrow10">
    <w:name w:val="Table Arial Narrow 10"/>
    <w:basedOn w:val="Normal"/>
    <w:rsid w:val="00315893"/>
    <w:pPr>
      <w:keepNext/>
      <w:keepLines/>
      <w:spacing w:before="40" w:after="60" w:line="240" w:lineRule="auto"/>
    </w:pPr>
    <w:rPr>
      <w:rFonts w:ascii="Arial Narrow" w:eastAsiaTheme="majorEastAsia" w:hAnsi="Arial Narrow" w:cstheme="majorBidi"/>
      <w:sz w:val="20"/>
      <w:szCs w:val="20"/>
      <w:lang w:eastAsia="en-AU" w:bidi="en-US"/>
    </w:rPr>
  </w:style>
  <w:style w:type="table" w:customStyle="1" w:styleId="TableGridbeth1">
    <w:name w:val="Table Gridbeth1"/>
    <w:basedOn w:val="TableNormal"/>
    <w:next w:val="TableGrid"/>
    <w:uiPriority w:val="99"/>
    <w:rsid w:val="00315893"/>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autoRedefine/>
    <w:qFormat/>
    <w:rsid w:val="003C467C"/>
    <w:pPr>
      <w:keepNext w:val="0"/>
      <w:pageBreakBefore w:val="0"/>
      <w:widowControl w:val="0"/>
      <w:numPr>
        <w:numId w:val="0"/>
      </w:numPr>
      <w:tabs>
        <w:tab w:val="clear" w:pos="993"/>
      </w:tabs>
      <w:spacing w:before="0" w:after="240"/>
    </w:pPr>
    <w:rPr>
      <w:rFonts w:eastAsia="Times New Roman"/>
      <w:smallCaps w:val="0"/>
      <w:kern w:val="32"/>
      <w:sz w:val="32"/>
      <w:szCs w:val="32"/>
    </w:rPr>
  </w:style>
  <w:style w:type="character" w:customStyle="1" w:styleId="Style1Char">
    <w:name w:val="Style1 Char"/>
    <w:basedOn w:val="Heading1Char"/>
    <w:link w:val="Style1"/>
    <w:rsid w:val="003C467C"/>
    <w:rPr>
      <w:rFonts w:ascii="Arial" w:eastAsia="Times New Roman" w:hAnsi="Arial" w:cs="Arial"/>
      <w:b/>
      <w:bCs/>
      <w:smallCaps w:val="0"/>
      <w:kern w:val="32"/>
      <w:sz w:val="32"/>
      <w:szCs w:val="32"/>
      <w:lang w:val="de-DE" w:eastAsia="en-US"/>
    </w:rPr>
  </w:style>
  <w:style w:type="paragraph" w:customStyle="1" w:styleId="ExecSummHead">
    <w:name w:val="ExecSummHead"/>
    <w:basedOn w:val="Normal"/>
    <w:uiPriority w:val="99"/>
    <w:qFormat/>
    <w:rsid w:val="005C5403"/>
    <w:pPr>
      <w:spacing w:before="120" w:line="240" w:lineRule="auto"/>
    </w:pPr>
    <w:rPr>
      <w:rFonts w:eastAsia="Times New Roman" w:cs="Times New Roman"/>
      <w:b/>
      <w:bCs/>
      <w:i/>
      <w:iCs/>
      <w:szCs w:val="20"/>
      <w:lang w:eastAsia="en-AU"/>
    </w:rPr>
  </w:style>
  <w:style w:type="paragraph" w:customStyle="1" w:styleId="ExecSummText">
    <w:name w:val="ExecSummText"/>
    <w:basedOn w:val="Normal"/>
    <w:qFormat/>
    <w:rsid w:val="005C5403"/>
    <w:pPr>
      <w:widowControl w:val="0"/>
      <w:spacing w:before="120" w:line="240" w:lineRule="auto"/>
    </w:pPr>
    <w:rPr>
      <w:rFonts w:asciiTheme="majorHAnsi" w:eastAsia="Times New Roman" w:hAnsiTheme="majorHAnsi" w:cs="Times New Roman"/>
      <w:sz w:val="20"/>
      <w:szCs w:val="20"/>
      <w:u w:val="single"/>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index heading"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3316B"/>
    <w:pPr>
      <w:spacing w:after="120" w:line="360" w:lineRule="auto"/>
    </w:pPr>
    <w:rPr>
      <w:rFonts w:ascii="Arial" w:hAnsi="Arial" w:cs="Arial"/>
      <w:sz w:val="22"/>
      <w:szCs w:val="22"/>
      <w:lang w:eastAsia="en-US"/>
    </w:rPr>
  </w:style>
  <w:style w:type="paragraph" w:styleId="Heading1">
    <w:name w:val="heading 1"/>
    <w:basedOn w:val="Normal"/>
    <w:next w:val="Normal"/>
    <w:link w:val="Heading1Char"/>
    <w:uiPriority w:val="99"/>
    <w:qFormat/>
    <w:rsid w:val="0043316B"/>
    <w:pPr>
      <w:keepNext/>
      <w:pageBreakBefore/>
      <w:numPr>
        <w:numId w:val="18"/>
      </w:numPr>
      <w:tabs>
        <w:tab w:val="left" w:pos="993"/>
      </w:tabs>
      <w:spacing w:before="120" w:line="240" w:lineRule="auto"/>
      <w:ind w:left="357" w:hanging="357"/>
      <w:outlineLvl w:val="0"/>
    </w:pPr>
    <w:rPr>
      <w:b/>
      <w:bCs/>
      <w:smallCaps/>
      <w:sz w:val="40"/>
      <w:szCs w:val="40"/>
      <w:lang w:val="de-DE"/>
    </w:rPr>
  </w:style>
  <w:style w:type="paragraph" w:styleId="Heading2">
    <w:name w:val="heading 2"/>
    <w:basedOn w:val="Normal"/>
    <w:next w:val="Normal"/>
    <w:link w:val="Heading2Char"/>
    <w:qFormat/>
    <w:rsid w:val="00664ECB"/>
    <w:pPr>
      <w:numPr>
        <w:ilvl w:val="1"/>
        <w:numId w:val="18"/>
      </w:numPr>
      <w:tabs>
        <w:tab w:val="left" w:pos="851"/>
      </w:tabs>
      <w:spacing w:line="240" w:lineRule="auto"/>
      <w:outlineLvl w:val="1"/>
    </w:pPr>
    <w:rPr>
      <w:b/>
      <w:bCs/>
      <w:sz w:val="36"/>
      <w:szCs w:val="36"/>
      <w:lang w:val="de-DE"/>
    </w:rPr>
  </w:style>
  <w:style w:type="paragraph" w:styleId="Heading3">
    <w:name w:val="heading 3"/>
    <w:basedOn w:val="Normal"/>
    <w:next w:val="Normal"/>
    <w:link w:val="Heading3Char"/>
    <w:uiPriority w:val="9"/>
    <w:qFormat/>
    <w:rsid w:val="00C67E03"/>
    <w:pPr>
      <w:keepNext/>
      <w:numPr>
        <w:ilvl w:val="2"/>
        <w:numId w:val="18"/>
      </w:numPr>
      <w:tabs>
        <w:tab w:val="left" w:pos="993"/>
      </w:tabs>
      <w:autoSpaceDE w:val="0"/>
      <w:autoSpaceDN w:val="0"/>
      <w:adjustRightInd w:val="0"/>
      <w:spacing w:line="240" w:lineRule="auto"/>
      <w:outlineLvl w:val="2"/>
    </w:pPr>
    <w:rPr>
      <w:b/>
      <w:bCs/>
      <w:sz w:val="28"/>
      <w:szCs w:val="28"/>
      <w:lang w:val="de-DE"/>
    </w:rPr>
  </w:style>
  <w:style w:type="paragraph" w:styleId="Heading4">
    <w:name w:val="heading 4"/>
    <w:basedOn w:val="Tablebodytext"/>
    <w:next w:val="Normal"/>
    <w:link w:val="Heading4Char"/>
    <w:qFormat/>
    <w:rsid w:val="00E13D3B"/>
    <w:pPr>
      <w:keepNext w:val="0"/>
      <w:spacing w:after="120"/>
      <w:outlineLvl w:val="3"/>
    </w:pPr>
    <w:rPr>
      <w:rFonts w:ascii="Arial" w:hAnsi="Arial" w:cs="Arial"/>
      <w:u w:val="single"/>
      <w:lang w:val="de-DE" w:eastAsia="de-DE"/>
    </w:rPr>
  </w:style>
  <w:style w:type="paragraph" w:styleId="Heading5">
    <w:name w:val="heading 5"/>
    <w:basedOn w:val="Normal"/>
    <w:next w:val="Normal"/>
    <w:link w:val="Heading5Char"/>
    <w:qFormat/>
    <w:rsid w:val="007F0831"/>
    <w:pPr>
      <w:spacing w:before="360" w:line="240" w:lineRule="auto"/>
      <w:jc w:val="both"/>
      <w:outlineLvl w:val="4"/>
    </w:pPr>
    <w:rPr>
      <w:b/>
      <w:bCs/>
      <w:i/>
      <w:iCs/>
      <w:lang w:val="de-DE"/>
    </w:rPr>
  </w:style>
  <w:style w:type="paragraph" w:styleId="Heading6">
    <w:name w:val="heading 6"/>
    <w:aliases w:val="DO NOT USE,DO NOT USE4"/>
    <w:basedOn w:val="Heading5"/>
    <w:next w:val="Normal"/>
    <w:link w:val="Heading6Char"/>
    <w:qFormat/>
    <w:rsid w:val="007F0831"/>
    <w:pPr>
      <w:spacing w:before="120" w:after="240"/>
      <w:outlineLvl w:val="5"/>
    </w:pPr>
    <w:rPr>
      <w:b w:val="0"/>
      <w:bCs w:val="0"/>
    </w:rPr>
  </w:style>
  <w:style w:type="paragraph" w:styleId="Heading7">
    <w:name w:val="heading 7"/>
    <w:basedOn w:val="Normal"/>
    <w:next w:val="Normal"/>
    <w:link w:val="Heading7Char"/>
    <w:uiPriority w:val="99"/>
    <w:qFormat/>
    <w:rsid w:val="00C758B1"/>
    <w:pPr>
      <w:keepNext/>
      <w:numPr>
        <w:ilvl w:val="6"/>
        <w:numId w:val="18"/>
      </w:numPr>
      <w:outlineLvl w:val="6"/>
    </w:pPr>
    <w:rPr>
      <w:rFonts w:ascii="Garamond" w:hAnsi="Garamond" w:cs="Garamond"/>
      <w:b/>
      <w:bCs/>
      <w:smallCaps/>
      <w:sz w:val="28"/>
      <w:szCs w:val="28"/>
      <w:lang w:val="de-DE"/>
    </w:rPr>
  </w:style>
  <w:style w:type="paragraph" w:styleId="Heading8">
    <w:name w:val="heading 8"/>
    <w:basedOn w:val="Heading2"/>
    <w:next w:val="Normal"/>
    <w:link w:val="Heading8Char"/>
    <w:qFormat/>
    <w:rsid w:val="00683118"/>
    <w:pPr>
      <w:numPr>
        <w:ilvl w:val="0"/>
        <w:numId w:val="0"/>
      </w:numPr>
      <w:ind w:left="851" w:hanging="851"/>
      <w:outlineLvl w:val="7"/>
    </w:pPr>
  </w:style>
  <w:style w:type="paragraph" w:styleId="Heading9">
    <w:name w:val="heading 9"/>
    <w:basedOn w:val="Normal"/>
    <w:next w:val="Normal"/>
    <w:link w:val="Heading9Char"/>
    <w:qFormat/>
    <w:rsid w:val="00D00DEE"/>
    <w:pPr>
      <w:tabs>
        <w:tab w:val="left" w:pos="416"/>
        <w:tab w:val="left" w:pos="582"/>
      </w:tabs>
      <w:spacing w:before="240" w:after="60"/>
      <w:ind w:left="1584" w:hanging="1584"/>
      <w:outlineLvl w:val="8"/>
    </w:pPr>
    <w:rPr>
      <w:b/>
      <w:bCs/>
      <w:smallCaps/>
      <w:sz w:val="40"/>
      <w:szCs w:val="4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43316B"/>
    <w:rPr>
      <w:rFonts w:ascii="Arial" w:hAnsi="Arial" w:cs="Arial"/>
      <w:b/>
      <w:bCs/>
      <w:smallCaps/>
      <w:sz w:val="40"/>
      <w:szCs w:val="40"/>
      <w:lang w:val="de-DE" w:eastAsia="en-US"/>
    </w:rPr>
  </w:style>
  <w:style w:type="character" w:customStyle="1" w:styleId="Heading2Char">
    <w:name w:val="Heading 2 Char"/>
    <w:link w:val="Heading2"/>
    <w:rsid w:val="00664ECB"/>
    <w:rPr>
      <w:rFonts w:ascii="Arial" w:hAnsi="Arial" w:cs="Arial"/>
      <w:b/>
      <w:bCs/>
      <w:sz w:val="36"/>
      <w:szCs w:val="36"/>
      <w:lang w:val="de-DE" w:eastAsia="en-US"/>
    </w:rPr>
  </w:style>
  <w:style w:type="character" w:customStyle="1" w:styleId="Heading3Char">
    <w:name w:val="Heading 3 Char"/>
    <w:link w:val="Heading3"/>
    <w:uiPriority w:val="9"/>
    <w:rsid w:val="00C67E03"/>
    <w:rPr>
      <w:rFonts w:ascii="Arial" w:hAnsi="Arial" w:cs="Arial"/>
      <w:b/>
      <w:bCs/>
      <w:sz w:val="28"/>
      <w:szCs w:val="28"/>
      <w:lang w:val="de-DE" w:eastAsia="en-US"/>
    </w:rPr>
  </w:style>
  <w:style w:type="character" w:customStyle="1" w:styleId="Heading4Char">
    <w:name w:val="Heading 4 Char"/>
    <w:link w:val="Heading4"/>
    <w:rsid w:val="00E13D3B"/>
    <w:rPr>
      <w:rFonts w:ascii="Arial" w:hAnsi="Arial" w:cs="Arial"/>
      <w:sz w:val="22"/>
      <w:szCs w:val="22"/>
      <w:u w:val="single"/>
    </w:rPr>
  </w:style>
  <w:style w:type="character" w:customStyle="1" w:styleId="Heading5Char">
    <w:name w:val="Heading 5 Char"/>
    <w:link w:val="Heading5"/>
    <w:rsid w:val="007F0831"/>
    <w:rPr>
      <w:rFonts w:ascii="Arial" w:hAnsi="Arial" w:cs="Arial"/>
      <w:b/>
      <w:bCs/>
      <w:i/>
      <w:iCs/>
      <w:sz w:val="24"/>
      <w:szCs w:val="24"/>
      <w:lang w:eastAsia="en-US"/>
    </w:rPr>
  </w:style>
  <w:style w:type="character" w:customStyle="1" w:styleId="Heading6Char">
    <w:name w:val="Heading 6 Char"/>
    <w:aliases w:val="DO NOT USE Char,DO NOT USE4 Char"/>
    <w:link w:val="Heading6"/>
    <w:rsid w:val="007F0831"/>
    <w:rPr>
      <w:rFonts w:ascii="Arial" w:hAnsi="Arial" w:cs="Arial"/>
      <w:i/>
      <w:iCs/>
      <w:sz w:val="24"/>
      <w:szCs w:val="24"/>
      <w:lang w:eastAsia="en-US"/>
    </w:rPr>
  </w:style>
  <w:style w:type="character" w:customStyle="1" w:styleId="Heading7Char">
    <w:name w:val="Heading 7 Char"/>
    <w:link w:val="Heading7"/>
    <w:uiPriority w:val="99"/>
    <w:rsid w:val="00C758B1"/>
    <w:rPr>
      <w:rFonts w:ascii="Garamond" w:hAnsi="Garamond" w:cs="Garamond"/>
      <w:b/>
      <w:bCs/>
      <w:smallCaps/>
      <w:sz w:val="28"/>
      <w:szCs w:val="28"/>
      <w:lang w:val="de-DE" w:eastAsia="en-US"/>
    </w:rPr>
  </w:style>
  <w:style w:type="character" w:customStyle="1" w:styleId="Heading8Char">
    <w:name w:val="Heading 8 Char"/>
    <w:link w:val="Heading8"/>
    <w:rsid w:val="00683118"/>
    <w:rPr>
      <w:rFonts w:ascii="Arial" w:hAnsi="Arial" w:cs="Arial"/>
      <w:b/>
      <w:bCs/>
      <w:sz w:val="24"/>
      <w:szCs w:val="24"/>
      <w:lang w:eastAsia="en-US"/>
    </w:rPr>
  </w:style>
  <w:style w:type="character" w:customStyle="1" w:styleId="Heading9Char">
    <w:name w:val="Heading 9 Char"/>
    <w:link w:val="Heading9"/>
    <w:rsid w:val="00D00DEE"/>
    <w:rPr>
      <w:rFonts w:ascii="Arial" w:hAnsi="Arial" w:cs="Arial"/>
      <w:b/>
      <w:bCs/>
      <w:smallCaps/>
      <w:sz w:val="40"/>
      <w:szCs w:val="40"/>
      <w:lang w:eastAsia="en-US"/>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qFormat/>
    <w:rsid w:val="00363959"/>
    <w:pPr>
      <w:keepNext/>
      <w:spacing w:before="120" w:line="240" w:lineRule="auto"/>
      <w:ind w:left="1077" w:hanging="1077"/>
    </w:pPr>
    <w:rPr>
      <w:rFonts w:cs="Times New Roman"/>
      <w:b/>
      <w:szCs w:val="20"/>
      <w:lang w:val="de-DE"/>
    </w:rPr>
  </w:style>
  <w:style w:type="character" w:customStyle="1" w:styleId="CaptionChar">
    <w:name w:val="Caption Char"/>
    <w:aliases w:val="Caption Char1 Char Char1,Caption Char Char Char Char1,Caption Char1 Char Char Char Char1,Caption Char Char Char Char Char Char1,Caption Char Char1 Char Char1,Caption Char1 Char1 Char1,Caption Char Char Char1 Char1,Caption Char1 Char3"/>
    <w:link w:val="Caption"/>
    <w:uiPriority w:val="35"/>
    <w:rsid w:val="00363959"/>
    <w:rPr>
      <w:rFonts w:ascii="Arial" w:hAnsi="Arial"/>
      <w:b/>
      <w:sz w:val="22"/>
      <w:lang w:eastAsia="en-US"/>
    </w:rPr>
  </w:style>
  <w:style w:type="paragraph" w:styleId="BodyText">
    <w:name w:val="Body Text"/>
    <w:aliases w:val="Body Text Char"/>
    <w:basedOn w:val="Normal"/>
    <w:link w:val="BodyTextChar1"/>
    <w:semiHidden/>
    <w:rsid w:val="00C758B1"/>
    <w:pPr>
      <w:autoSpaceDE w:val="0"/>
      <w:autoSpaceDN w:val="0"/>
      <w:adjustRightInd w:val="0"/>
    </w:pPr>
    <w:rPr>
      <w:rFonts w:ascii="TimesNewRomanPSMT" w:hAnsi="TimesNewRomanPSMT" w:cs="TimesNewRomanPSMT"/>
      <w:sz w:val="20"/>
      <w:szCs w:val="20"/>
      <w:lang w:val="en-US"/>
    </w:rPr>
  </w:style>
  <w:style w:type="character" w:customStyle="1" w:styleId="BodyTextChar1">
    <w:name w:val="Body Text Char1"/>
    <w:aliases w:val="Body Text Char Char"/>
    <w:link w:val="BodyText"/>
    <w:rsid w:val="00C758B1"/>
    <w:rPr>
      <w:rFonts w:ascii="TimesNewRomanPSMT" w:hAnsi="TimesNewRomanPSMT" w:cs="TimesNewRomanPSMT"/>
      <w:lang w:val="en-US" w:eastAsia="en-US"/>
    </w:rPr>
  </w:style>
  <w:style w:type="paragraph" w:styleId="DocumentMap">
    <w:name w:val="Document Map"/>
    <w:basedOn w:val="Normal"/>
    <w:link w:val="DocumentMapChar"/>
    <w:semiHidden/>
    <w:rsid w:val="00C758B1"/>
    <w:pPr>
      <w:shd w:val="clear" w:color="auto" w:fill="000080"/>
    </w:pPr>
    <w:rPr>
      <w:rFonts w:ascii="Tahoma" w:hAnsi="Tahoma" w:cs="Tahoma"/>
      <w:lang w:val="de-DE"/>
    </w:rPr>
  </w:style>
  <w:style w:type="character" w:customStyle="1" w:styleId="DocumentMapChar">
    <w:name w:val="Document Map Char"/>
    <w:link w:val="DocumentMap"/>
    <w:semiHidden/>
    <w:rsid w:val="00917BBB"/>
    <w:rPr>
      <w:rFonts w:ascii="Tahoma" w:hAnsi="Tahoma" w:cs="Tahoma"/>
      <w:sz w:val="24"/>
      <w:szCs w:val="24"/>
      <w:shd w:val="clear" w:color="auto" w:fill="000080"/>
      <w:lang w:eastAsia="en-US"/>
    </w:rPr>
  </w:style>
  <w:style w:type="paragraph" w:styleId="Subtitle">
    <w:name w:val="Subtitle"/>
    <w:basedOn w:val="Normal"/>
    <w:next w:val="Normal"/>
    <w:link w:val="SubtitleChar"/>
    <w:qFormat/>
    <w:rsid w:val="006F2B23"/>
    <w:pPr>
      <w:spacing w:after="60"/>
      <w:jc w:val="center"/>
      <w:outlineLvl w:val="1"/>
    </w:pPr>
    <w:rPr>
      <w:rFonts w:ascii="Cambria" w:hAnsi="Cambria" w:cs="Cambria"/>
      <w:sz w:val="24"/>
      <w:szCs w:val="24"/>
      <w:lang w:val="de-DE"/>
    </w:rPr>
  </w:style>
  <w:style w:type="character" w:customStyle="1" w:styleId="SubtitleChar">
    <w:name w:val="Subtitle Char"/>
    <w:link w:val="Subtitle"/>
    <w:rsid w:val="006F2B23"/>
    <w:rPr>
      <w:rFonts w:ascii="Cambria" w:hAnsi="Cambria" w:cs="Cambria"/>
      <w:sz w:val="24"/>
      <w:szCs w:val="24"/>
      <w:lang w:eastAsia="en-US"/>
    </w:rPr>
  </w:style>
  <w:style w:type="character" w:customStyle="1" w:styleId="apple-converted-space">
    <w:name w:val="apple-converted-space"/>
    <w:rsid w:val="00C0517C"/>
  </w:style>
  <w:style w:type="paragraph" w:customStyle="1" w:styleId="Tableheadingleft">
    <w:name w:val="Table heading left"/>
    <w:basedOn w:val="Normal"/>
    <w:rsid w:val="009E0AFB"/>
    <w:pPr>
      <w:keepNext/>
      <w:keepLines/>
      <w:tabs>
        <w:tab w:val="left" w:pos="113"/>
        <w:tab w:val="center" w:pos="142"/>
        <w:tab w:val="center" w:pos="284"/>
        <w:tab w:val="center" w:pos="425"/>
      </w:tabs>
      <w:spacing w:line="240" w:lineRule="auto"/>
    </w:pPr>
    <w:rPr>
      <w:b/>
      <w:bCs/>
      <w:sz w:val="20"/>
      <w:szCs w:val="20"/>
      <w:lang w:val="en-GB"/>
    </w:rPr>
  </w:style>
  <w:style w:type="paragraph" w:customStyle="1" w:styleId="Tabletext">
    <w:name w:val="Table text"/>
    <w:basedOn w:val="Normal"/>
    <w:link w:val="TabletextChar"/>
    <w:uiPriority w:val="99"/>
    <w:qFormat/>
    <w:rsid w:val="00C758B1"/>
    <w:pPr>
      <w:keepNext/>
      <w:spacing w:before="60" w:after="40" w:line="240" w:lineRule="auto"/>
    </w:pPr>
    <w:rPr>
      <w:rFonts w:ascii="Arial Narrow" w:hAnsi="Arial Narrow" w:cs="Times New Roman"/>
      <w:sz w:val="20"/>
      <w:szCs w:val="20"/>
    </w:rPr>
  </w:style>
  <w:style w:type="paragraph" w:styleId="BodyTextIndent">
    <w:name w:val="Body Text Indent"/>
    <w:basedOn w:val="Normal"/>
    <w:link w:val="BodyTextIndentChar"/>
    <w:semiHidden/>
    <w:rsid w:val="00C758B1"/>
    <w:pPr>
      <w:ind w:left="720"/>
    </w:pPr>
    <w:rPr>
      <w:rFonts w:cs="Times New Roman"/>
      <w:sz w:val="24"/>
      <w:szCs w:val="20"/>
      <w:lang w:val="de-DE"/>
    </w:rPr>
  </w:style>
  <w:style w:type="character" w:customStyle="1" w:styleId="BodyText2Char">
    <w:name w:val="Body Text 2 Char"/>
    <w:link w:val="BodyText2"/>
    <w:rsid w:val="00C758B1"/>
    <w:rPr>
      <w:rFonts w:ascii="Arial" w:hAnsi="Arial" w:cs="Arial"/>
      <w:b/>
      <w:bCs/>
      <w:sz w:val="24"/>
      <w:szCs w:val="24"/>
      <w:lang w:val="en-US" w:eastAsia="en-US"/>
    </w:rPr>
  </w:style>
  <w:style w:type="paragraph" w:styleId="BodyText3">
    <w:name w:val="Body Text 3"/>
    <w:basedOn w:val="Normal"/>
    <w:link w:val="BodyText3Char"/>
    <w:semiHidden/>
    <w:rsid w:val="00C758B1"/>
    <w:rPr>
      <w:rFonts w:ascii="Verdana" w:hAnsi="Verdana" w:cs="Verdana"/>
      <w:b/>
      <w:bCs/>
      <w:sz w:val="18"/>
      <w:szCs w:val="18"/>
      <w:lang w:val="en-GB"/>
    </w:rPr>
  </w:style>
  <w:style w:type="character" w:customStyle="1" w:styleId="BodyText3Char">
    <w:name w:val="Body Text 3 Char"/>
    <w:link w:val="BodyText3"/>
    <w:semiHidden/>
    <w:rsid w:val="00204BEC"/>
    <w:rPr>
      <w:rFonts w:ascii="Arial" w:hAnsi="Arial" w:cs="Arial"/>
      <w:sz w:val="16"/>
      <w:szCs w:val="16"/>
      <w:lang w:val="en-AU" w:eastAsia="en-US"/>
    </w:rPr>
  </w:style>
  <w:style w:type="paragraph" w:styleId="EndnoteText">
    <w:name w:val="endnote text"/>
    <w:basedOn w:val="Normal"/>
    <w:link w:val="EndnoteTextChar"/>
    <w:semiHidden/>
    <w:rsid w:val="00C758B1"/>
    <w:pPr>
      <w:overflowPunct w:val="0"/>
      <w:autoSpaceDE w:val="0"/>
      <w:autoSpaceDN w:val="0"/>
      <w:adjustRightInd w:val="0"/>
      <w:spacing w:line="240" w:lineRule="auto"/>
      <w:ind w:left="1440"/>
      <w:textAlignment w:val="baseline"/>
    </w:pPr>
    <w:rPr>
      <w:rFonts w:ascii="Verdana" w:hAnsi="Verdana" w:cs="Verdana"/>
      <w:sz w:val="18"/>
      <w:szCs w:val="18"/>
      <w:lang w:val="en-GB"/>
    </w:rPr>
  </w:style>
  <w:style w:type="character" w:customStyle="1" w:styleId="EndnoteTextChar">
    <w:name w:val="Endnote Text Char"/>
    <w:link w:val="EndnoteText"/>
    <w:semiHidden/>
    <w:rsid w:val="00204BEC"/>
    <w:rPr>
      <w:rFonts w:ascii="Arial" w:hAnsi="Arial" w:cs="Arial"/>
      <w:sz w:val="20"/>
      <w:szCs w:val="20"/>
      <w:lang w:val="en-AU" w:eastAsia="en-US"/>
    </w:rPr>
  </w:style>
  <w:style w:type="paragraph" w:styleId="NormalWeb">
    <w:name w:val="Normal (Web)"/>
    <w:basedOn w:val="Normal"/>
    <w:uiPriority w:val="99"/>
    <w:rsid w:val="00C758B1"/>
    <w:pPr>
      <w:spacing w:before="100" w:beforeAutospacing="1" w:after="100" w:afterAutospacing="1" w:line="240" w:lineRule="auto"/>
    </w:pPr>
    <w:rPr>
      <w:rFonts w:ascii="Arial Unicode MS" w:eastAsia="Arial Unicode MS" w:hAnsi="Arial Unicode MS" w:cs="Arial Unicode MS"/>
      <w:sz w:val="24"/>
      <w:szCs w:val="24"/>
    </w:rPr>
  </w:style>
  <w:style w:type="paragraph" w:styleId="FootnoteText">
    <w:name w:val="footnote text"/>
    <w:basedOn w:val="Normal"/>
    <w:link w:val="FootnoteTextChar"/>
    <w:uiPriority w:val="99"/>
    <w:rsid w:val="00C758B1"/>
    <w:rPr>
      <w:sz w:val="20"/>
      <w:szCs w:val="20"/>
    </w:rPr>
  </w:style>
  <w:style w:type="character" w:customStyle="1" w:styleId="FootnoteTextChar">
    <w:name w:val="Footnote Text Char"/>
    <w:link w:val="FootnoteText"/>
    <w:uiPriority w:val="99"/>
    <w:rsid w:val="00C758B1"/>
    <w:rPr>
      <w:rFonts w:ascii="Arial" w:hAnsi="Arial" w:cs="Arial"/>
      <w:lang w:val="en-AU" w:eastAsia="en-US"/>
    </w:rPr>
  </w:style>
  <w:style w:type="character" w:styleId="FootnoteReference">
    <w:name w:val="footnote reference"/>
    <w:uiPriority w:val="99"/>
    <w:semiHidden/>
    <w:rsid w:val="00C758B1"/>
    <w:rPr>
      <w:rFonts w:cs="Times New Roman"/>
      <w:vertAlign w:val="superscript"/>
    </w:rPr>
  </w:style>
  <w:style w:type="paragraph" w:styleId="TOC4">
    <w:name w:val="toc 4"/>
    <w:aliases w:val="title4"/>
    <w:basedOn w:val="Normal"/>
    <w:next w:val="Normal"/>
    <w:autoRedefine/>
    <w:uiPriority w:val="39"/>
    <w:rsid w:val="00C758B1"/>
    <w:pPr>
      <w:spacing w:after="0"/>
      <w:ind w:left="660"/>
    </w:pPr>
    <w:rPr>
      <w:rFonts w:ascii="Calibri" w:hAnsi="Calibri" w:cs="Calibri"/>
      <w:sz w:val="18"/>
      <w:szCs w:val="18"/>
    </w:rPr>
  </w:style>
  <w:style w:type="character" w:styleId="Hyperlink">
    <w:name w:val="Hyperlink"/>
    <w:uiPriority w:val="99"/>
    <w:rsid w:val="00C758B1"/>
    <w:rPr>
      <w:rFonts w:cs="Times New Roman"/>
      <w:color w:val="000066"/>
      <w:u w:val="single"/>
      <w:shd w:val="clear" w:color="auto" w:fill="FFFFFF"/>
    </w:rPr>
  </w:style>
  <w:style w:type="paragraph" w:styleId="Header">
    <w:name w:val="header"/>
    <w:basedOn w:val="Normal"/>
    <w:link w:val="HeaderChar"/>
    <w:semiHidden/>
    <w:rsid w:val="00C758B1"/>
    <w:pPr>
      <w:pBdr>
        <w:bottom w:val="single" w:sz="4" w:space="1" w:color="000000"/>
      </w:pBdr>
      <w:tabs>
        <w:tab w:val="center" w:pos="4153"/>
        <w:tab w:val="right" w:pos="8306"/>
      </w:tabs>
      <w:spacing w:before="240" w:after="40" w:line="240" w:lineRule="auto"/>
      <w:jc w:val="right"/>
    </w:pPr>
    <w:rPr>
      <w:rFonts w:ascii="Franklin Gothic Medium" w:hAnsi="Franklin Gothic Medium" w:cs="Franklin Gothic Medium"/>
      <w:smallCaps/>
      <w:sz w:val="18"/>
      <w:szCs w:val="18"/>
      <w:lang w:val="de-DE"/>
    </w:rPr>
  </w:style>
  <w:style w:type="character" w:customStyle="1" w:styleId="HeaderChar">
    <w:name w:val="Header Char"/>
    <w:link w:val="Header"/>
    <w:rsid w:val="00917BBB"/>
    <w:rPr>
      <w:rFonts w:ascii="Franklin Gothic Medium" w:hAnsi="Franklin Gothic Medium" w:cs="Franklin Gothic Medium"/>
      <w:smallCaps/>
      <w:sz w:val="18"/>
      <w:szCs w:val="18"/>
      <w:lang w:eastAsia="en-US"/>
    </w:rPr>
  </w:style>
  <w:style w:type="paragraph" w:styleId="Footer">
    <w:name w:val="footer"/>
    <w:aliases w:val="Page Footer"/>
    <w:basedOn w:val="Normal"/>
    <w:link w:val="FooterChar"/>
    <w:rsid w:val="00C758B1"/>
    <w:pPr>
      <w:tabs>
        <w:tab w:val="center" w:pos="4153"/>
        <w:tab w:val="right" w:pos="8306"/>
      </w:tabs>
    </w:pPr>
  </w:style>
  <w:style w:type="character" w:customStyle="1" w:styleId="FooterChar">
    <w:name w:val="Footer Char"/>
    <w:aliases w:val="Page Footer Char"/>
    <w:link w:val="Footer"/>
    <w:rsid w:val="00C758B1"/>
    <w:rPr>
      <w:rFonts w:ascii="Arial" w:hAnsi="Arial" w:cs="Arial"/>
      <w:sz w:val="24"/>
      <w:szCs w:val="24"/>
      <w:lang w:val="en-AU" w:eastAsia="en-US"/>
    </w:rPr>
  </w:style>
  <w:style w:type="paragraph" w:customStyle="1" w:styleId="Tablenotes">
    <w:name w:val="Table notes"/>
    <w:basedOn w:val="Normal"/>
    <w:link w:val="TablenotesChar"/>
    <w:rsid w:val="00CF13F3"/>
    <w:pPr>
      <w:spacing w:before="40" w:after="360" w:line="240" w:lineRule="auto"/>
    </w:pPr>
    <w:rPr>
      <w:rFonts w:ascii="Arial Narrow" w:hAnsi="Arial Narrow" w:cs="Times New Roman"/>
      <w:szCs w:val="20"/>
    </w:rPr>
  </w:style>
  <w:style w:type="paragraph" w:styleId="TOC1">
    <w:name w:val="toc 1"/>
    <w:basedOn w:val="Normal"/>
    <w:next w:val="Normal"/>
    <w:autoRedefine/>
    <w:uiPriority w:val="39"/>
    <w:qFormat/>
    <w:rsid w:val="00931C70"/>
    <w:pPr>
      <w:widowControl w:val="0"/>
      <w:tabs>
        <w:tab w:val="left" w:pos="992"/>
        <w:tab w:val="right" w:leader="dot" w:pos="8789"/>
      </w:tabs>
      <w:spacing w:before="120" w:line="288" w:lineRule="auto"/>
      <w:ind w:left="1009" w:hanging="1009"/>
      <w:jc w:val="both"/>
    </w:pPr>
    <w:rPr>
      <w:b/>
      <w:bCs/>
      <w:caps/>
      <w:noProof/>
    </w:rPr>
  </w:style>
  <w:style w:type="paragraph" w:styleId="TOC2">
    <w:name w:val="toc 2"/>
    <w:basedOn w:val="Normal"/>
    <w:next w:val="Normal"/>
    <w:autoRedefine/>
    <w:uiPriority w:val="39"/>
    <w:qFormat/>
    <w:rsid w:val="00485934"/>
    <w:pPr>
      <w:tabs>
        <w:tab w:val="left" w:pos="993"/>
        <w:tab w:val="right" w:leader="dot" w:pos="8789"/>
      </w:tabs>
      <w:spacing w:line="240" w:lineRule="auto"/>
      <w:ind w:left="992" w:right="708" w:hanging="567"/>
    </w:pPr>
    <w:rPr>
      <w:smallCaps/>
      <w:noProof/>
    </w:rPr>
  </w:style>
  <w:style w:type="paragraph" w:styleId="TOC3">
    <w:name w:val="toc 3"/>
    <w:basedOn w:val="Normal"/>
    <w:next w:val="Normal"/>
    <w:autoRedefine/>
    <w:uiPriority w:val="39"/>
    <w:qFormat/>
    <w:rsid w:val="00485934"/>
    <w:pPr>
      <w:spacing w:after="0"/>
      <w:ind w:left="440"/>
    </w:pPr>
    <w:rPr>
      <w:i/>
      <w:iCs/>
      <w:sz w:val="20"/>
      <w:szCs w:val="20"/>
    </w:rPr>
  </w:style>
  <w:style w:type="paragraph" w:styleId="TOC5">
    <w:name w:val="toc 5"/>
    <w:basedOn w:val="Normal"/>
    <w:next w:val="Normal"/>
    <w:autoRedefine/>
    <w:uiPriority w:val="39"/>
    <w:rsid w:val="00C758B1"/>
    <w:pPr>
      <w:spacing w:after="0"/>
      <w:ind w:left="880"/>
    </w:pPr>
    <w:rPr>
      <w:rFonts w:ascii="Calibri" w:hAnsi="Calibri" w:cs="Calibri"/>
      <w:sz w:val="18"/>
      <w:szCs w:val="18"/>
    </w:rPr>
  </w:style>
  <w:style w:type="paragraph" w:styleId="TOC6">
    <w:name w:val="toc 6"/>
    <w:basedOn w:val="Normal"/>
    <w:next w:val="Normal"/>
    <w:autoRedefine/>
    <w:uiPriority w:val="39"/>
    <w:rsid w:val="00C758B1"/>
    <w:pPr>
      <w:spacing w:after="0"/>
      <w:ind w:left="1100"/>
    </w:pPr>
    <w:rPr>
      <w:rFonts w:ascii="Calibri" w:hAnsi="Calibri" w:cs="Calibri"/>
      <w:sz w:val="18"/>
      <w:szCs w:val="18"/>
    </w:rPr>
  </w:style>
  <w:style w:type="paragraph" w:styleId="TOC7">
    <w:name w:val="toc 7"/>
    <w:basedOn w:val="Normal"/>
    <w:next w:val="Normal"/>
    <w:autoRedefine/>
    <w:uiPriority w:val="39"/>
    <w:rsid w:val="00C758B1"/>
    <w:pPr>
      <w:spacing w:after="0"/>
      <w:ind w:left="1320"/>
    </w:pPr>
    <w:rPr>
      <w:rFonts w:ascii="Calibri" w:hAnsi="Calibri" w:cs="Calibri"/>
      <w:sz w:val="18"/>
      <w:szCs w:val="18"/>
    </w:rPr>
  </w:style>
  <w:style w:type="paragraph" w:styleId="TOC8">
    <w:name w:val="toc 8"/>
    <w:basedOn w:val="Normal"/>
    <w:next w:val="Normal"/>
    <w:autoRedefine/>
    <w:uiPriority w:val="39"/>
    <w:rsid w:val="00C758B1"/>
    <w:pPr>
      <w:spacing w:after="0"/>
      <w:ind w:left="1540"/>
    </w:pPr>
    <w:rPr>
      <w:rFonts w:ascii="Calibri" w:hAnsi="Calibri" w:cs="Calibri"/>
      <w:sz w:val="18"/>
      <w:szCs w:val="18"/>
    </w:rPr>
  </w:style>
  <w:style w:type="paragraph" w:styleId="TOC9">
    <w:name w:val="toc 9"/>
    <w:basedOn w:val="Normal"/>
    <w:next w:val="Normal"/>
    <w:autoRedefine/>
    <w:uiPriority w:val="39"/>
    <w:rsid w:val="00C758B1"/>
    <w:pPr>
      <w:spacing w:after="0"/>
      <w:ind w:left="1760"/>
    </w:pPr>
    <w:rPr>
      <w:rFonts w:ascii="Calibri" w:hAnsi="Calibri" w:cs="Calibri"/>
      <w:sz w:val="18"/>
      <w:szCs w:val="18"/>
    </w:rPr>
  </w:style>
  <w:style w:type="paragraph" w:styleId="ListBullet2">
    <w:name w:val="List Bullet 2"/>
    <w:basedOn w:val="Normal"/>
    <w:autoRedefine/>
    <w:semiHidden/>
    <w:rsid w:val="00C758B1"/>
    <w:pPr>
      <w:tabs>
        <w:tab w:val="left" w:pos="416"/>
        <w:tab w:val="left" w:pos="582"/>
        <w:tab w:val="num" w:pos="643"/>
      </w:tabs>
      <w:ind w:left="643" w:hanging="360"/>
    </w:pPr>
    <w:rPr>
      <w:sz w:val="24"/>
      <w:szCs w:val="24"/>
    </w:rPr>
  </w:style>
  <w:style w:type="paragraph" w:customStyle="1" w:styleId="ListBullet-Last">
    <w:name w:val="List Bullet - Last"/>
    <w:basedOn w:val="Normal"/>
    <w:rsid w:val="00C758B1"/>
    <w:pPr>
      <w:numPr>
        <w:numId w:val="2"/>
      </w:numPr>
      <w:tabs>
        <w:tab w:val="left" w:pos="1152"/>
        <w:tab w:val="left" w:pos="1872"/>
      </w:tabs>
      <w:spacing w:line="288" w:lineRule="auto"/>
    </w:pPr>
    <w:rPr>
      <w:lang w:val="en-GB"/>
    </w:rPr>
  </w:style>
  <w:style w:type="paragraph" w:styleId="ListBullet">
    <w:name w:val="List Bullet"/>
    <w:basedOn w:val="Normal"/>
    <w:autoRedefine/>
    <w:semiHidden/>
    <w:rsid w:val="00C758B1"/>
    <w:pPr>
      <w:tabs>
        <w:tab w:val="num" w:pos="926"/>
      </w:tabs>
      <w:spacing w:line="240" w:lineRule="auto"/>
      <w:ind w:left="360" w:hanging="360"/>
    </w:pPr>
    <w:rPr>
      <w:sz w:val="20"/>
      <w:szCs w:val="20"/>
      <w:lang w:val="en-GB"/>
    </w:rPr>
  </w:style>
  <w:style w:type="paragraph" w:styleId="ListBullet3">
    <w:name w:val="List Bullet 3"/>
    <w:basedOn w:val="Normal"/>
    <w:autoRedefine/>
    <w:semiHidden/>
    <w:rsid w:val="00C758B1"/>
    <w:pPr>
      <w:tabs>
        <w:tab w:val="num" w:pos="1080"/>
        <w:tab w:val="num" w:pos="1209"/>
      </w:tabs>
      <w:spacing w:line="240" w:lineRule="auto"/>
      <w:ind w:left="1080" w:hanging="360"/>
    </w:pPr>
    <w:rPr>
      <w:sz w:val="20"/>
      <w:szCs w:val="20"/>
      <w:lang w:val="en-GB"/>
    </w:rPr>
  </w:style>
  <w:style w:type="paragraph" w:styleId="ListBullet4">
    <w:name w:val="List Bullet 4"/>
    <w:basedOn w:val="Normal"/>
    <w:autoRedefine/>
    <w:semiHidden/>
    <w:rsid w:val="00C758B1"/>
    <w:pPr>
      <w:tabs>
        <w:tab w:val="num" w:pos="1440"/>
        <w:tab w:val="num" w:pos="1492"/>
      </w:tabs>
      <w:spacing w:line="240" w:lineRule="auto"/>
      <w:ind w:left="1440" w:hanging="360"/>
    </w:pPr>
    <w:rPr>
      <w:sz w:val="20"/>
      <w:szCs w:val="20"/>
      <w:lang w:val="en-GB"/>
    </w:rPr>
  </w:style>
  <w:style w:type="paragraph" w:styleId="ListBullet5">
    <w:name w:val="List Bullet 5"/>
    <w:basedOn w:val="Normal"/>
    <w:autoRedefine/>
    <w:semiHidden/>
    <w:rsid w:val="00C758B1"/>
    <w:pPr>
      <w:tabs>
        <w:tab w:val="num" w:pos="1800"/>
      </w:tabs>
      <w:spacing w:line="240" w:lineRule="auto"/>
      <w:ind w:left="1800" w:hanging="360"/>
    </w:pPr>
    <w:rPr>
      <w:sz w:val="20"/>
      <w:szCs w:val="20"/>
      <w:lang w:val="en-GB"/>
    </w:rPr>
  </w:style>
  <w:style w:type="paragraph" w:styleId="ListNumber">
    <w:name w:val="List Number"/>
    <w:basedOn w:val="Normal"/>
    <w:semiHidden/>
    <w:rsid w:val="00C758B1"/>
    <w:pPr>
      <w:tabs>
        <w:tab w:val="num" w:pos="643"/>
      </w:tabs>
      <w:spacing w:line="240" w:lineRule="auto"/>
      <w:ind w:left="360" w:hanging="360"/>
    </w:pPr>
    <w:rPr>
      <w:sz w:val="20"/>
      <w:szCs w:val="20"/>
      <w:lang w:val="en-GB"/>
    </w:rPr>
  </w:style>
  <w:style w:type="paragraph" w:styleId="ListNumber2">
    <w:name w:val="List Number 2"/>
    <w:aliases w:val="Char1, Char1"/>
    <w:basedOn w:val="Normal"/>
    <w:link w:val="ListNumber2Char"/>
    <w:semiHidden/>
    <w:rsid w:val="00C758B1"/>
    <w:pPr>
      <w:tabs>
        <w:tab w:val="num" w:pos="720"/>
        <w:tab w:val="num" w:pos="926"/>
      </w:tabs>
      <w:spacing w:line="240" w:lineRule="auto"/>
      <w:ind w:left="720" w:hanging="360"/>
    </w:pPr>
    <w:rPr>
      <w:rFonts w:cs="Times New Roman"/>
      <w:sz w:val="20"/>
      <w:szCs w:val="20"/>
      <w:lang w:val="en-GB"/>
    </w:rPr>
  </w:style>
  <w:style w:type="paragraph" w:styleId="ListNumber3">
    <w:name w:val="List Number 3"/>
    <w:aliases w:val="Char, Char"/>
    <w:basedOn w:val="Normal"/>
    <w:link w:val="ListNumber3Char"/>
    <w:semiHidden/>
    <w:rsid w:val="00C758B1"/>
    <w:pPr>
      <w:tabs>
        <w:tab w:val="num" w:pos="1080"/>
        <w:tab w:val="num" w:pos="1209"/>
      </w:tabs>
      <w:spacing w:line="240" w:lineRule="auto"/>
      <w:ind w:left="1080" w:hanging="360"/>
    </w:pPr>
    <w:rPr>
      <w:rFonts w:cs="Times New Roman"/>
      <w:sz w:val="20"/>
      <w:szCs w:val="20"/>
      <w:lang w:val="en-GB"/>
    </w:rPr>
  </w:style>
  <w:style w:type="paragraph" w:styleId="ListNumber4">
    <w:name w:val="List Number 4"/>
    <w:basedOn w:val="Normal"/>
    <w:semiHidden/>
    <w:rsid w:val="00C758B1"/>
    <w:pPr>
      <w:tabs>
        <w:tab w:val="num" w:pos="1440"/>
        <w:tab w:val="num" w:pos="1492"/>
      </w:tabs>
      <w:spacing w:line="240" w:lineRule="auto"/>
      <w:ind w:left="1440" w:hanging="360"/>
    </w:pPr>
    <w:rPr>
      <w:sz w:val="20"/>
      <w:szCs w:val="20"/>
      <w:lang w:val="en-GB"/>
    </w:rPr>
  </w:style>
  <w:style w:type="paragraph" w:styleId="ListNumber5">
    <w:name w:val="List Number 5"/>
    <w:basedOn w:val="Normal"/>
    <w:semiHidden/>
    <w:rsid w:val="00C758B1"/>
    <w:pPr>
      <w:tabs>
        <w:tab w:val="num" w:pos="643"/>
        <w:tab w:val="num" w:pos="1800"/>
      </w:tabs>
      <w:spacing w:line="240" w:lineRule="auto"/>
      <w:ind w:left="1800" w:hanging="360"/>
    </w:pPr>
    <w:rPr>
      <w:sz w:val="20"/>
      <w:szCs w:val="20"/>
      <w:lang w:val="en-GB"/>
    </w:rPr>
  </w:style>
  <w:style w:type="paragraph" w:styleId="BlockText">
    <w:name w:val="Block Text"/>
    <w:basedOn w:val="Normal"/>
    <w:semiHidden/>
    <w:rsid w:val="00C758B1"/>
    <w:pPr>
      <w:spacing w:line="288" w:lineRule="auto"/>
      <w:ind w:left="1152"/>
    </w:pPr>
    <w:rPr>
      <w:sz w:val="20"/>
      <w:szCs w:val="20"/>
      <w:lang w:val="en-GB"/>
    </w:rPr>
  </w:style>
  <w:style w:type="paragraph" w:customStyle="1" w:styleId="Bullet">
    <w:name w:val="Bullet"/>
    <w:basedOn w:val="Normal"/>
    <w:rsid w:val="00C758B1"/>
    <w:pPr>
      <w:numPr>
        <w:numId w:val="4"/>
      </w:numPr>
      <w:suppressAutoHyphens/>
      <w:spacing w:before="60" w:after="60" w:line="320" w:lineRule="exact"/>
    </w:pPr>
    <w:rPr>
      <w:lang w:val="en-GB"/>
    </w:rPr>
  </w:style>
  <w:style w:type="paragraph" w:customStyle="1" w:styleId="NumberedList">
    <w:name w:val="Numbered List"/>
    <w:rsid w:val="00C758B1"/>
    <w:pPr>
      <w:tabs>
        <w:tab w:val="num" w:pos="648"/>
      </w:tabs>
      <w:suppressAutoHyphens/>
      <w:spacing w:before="120" w:after="120" w:line="360" w:lineRule="exact"/>
      <w:ind w:left="646" w:hanging="357"/>
    </w:pPr>
    <w:rPr>
      <w:rFonts w:ascii="Californian FB" w:hAnsi="Californian FB" w:cs="Californian FB"/>
      <w:sz w:val="24"/>
      <w:szCs w:val="24"/>
      <w:lang w:val="en-US" w:eastAsia="en-US"/>
    </w:rPr>
  </w:style>
  <w:style w:type="paragraph" w:styleId="CommentText">
    <w:name w:val="annotation text"/>
    <w:aliases w:val="Comment Text Char Char Char,Comment Text Char Char"/>
    <w:basedOn w:val="Normal"/>
    <w:link w:val="CommentTextChar1"/>
    <w:uiPriority w:val="99"/>
    <w:qFormat/>
    <w:rsid w:val="00C758B1"/>
    <w:rPr>
      <w:rFonts w:cs="Times New Roman"/>
      <w:sz w:val="20"/>
      <w:szCs w:val="20"/>
    </w:rPr>
  </w:style>
  <w:style w:type="character" w:customStyle="1" w:styleId="CommentTextChar">
    <w:name w:val="Comment Text Char"/>
    <w:aliases w:val="Comment Text Char Char Char Char,Comment Text Char Char Char1"/>
    <w:uiPriority w:val="99"/>
    <w:rsid w:val="00204BEC"/>
    <w:rPr>
      <w:rFonts w:ascii="Arial" w:hAnsi="Arial" w:cs="Arial"/>
      <w:sz w:val="20"/>
      <w:szCs w:val="20"/>
      <w:lang w:val="en-AU" w:eastAsia="en-US"/>
    </w:rPr>
  </w:style>
  <w:style w:type="paragraph" w:styleId="CommentSubject">
    <w:name w:val="annotation subject"/>
    <w:basedOn w:val="CommentText"/>
    <w:next w:val="CommentText"/>
    <w:link w:val="CommentSubjectChar"/>
    <w:semiHidden/>
    <w:rsid w:val="00C758B1"/>
    <w:pPr>
      <w:tabs>
        <w:tab w:val="left" w:pos="416"/>
        <w:tab w:val="left" w:pos="582"/>
      </w:tabs>
    </w:pPr>
    <w:rPr>
      <w:b/>
      <w:bCs/>
    </w:rPr>
  </w:style>
  <w:style w:type="character" w:customStyle="1" w:styleId="CommentSubjectChar">
    <w:name w:val="Comment Subject Char"/>
    <w:link w:val="CommentSubject"/>
    <w:rsid w:val="00C758B1"/>
    <w:rPr>
      <w:rFonts w:ascii="Arial" w:hAnsi="Arial" w:cs="Arial"/>
      <w:b/>
      <w:bCs/>
      <w:sz w:val="20"/>
      <w:szCs w:val="20"/>
      <w:lang w:val="en-AU" w:eastAsia="en-US"/>
    </w:rPr>
  </w:style>
  <w:style w:type="paragraph" w:customStyle="1" w:styleId="summarybox">
    <w:name w:val="summary box"/>
    <w:basedOn w:val="Normal"/>
    <w:link w:val="summaryboxChar"/>
    <w:autoRedefine/>
    <w:rsid w:val="00C758B1"/>
    <w:pPr>
      <w:numPr>
        <w:numId w:val="3"/>
      </w:numPr>
      <w:pBdr>
        <w:top w:val="single" w:sz="12" w:space="10" w:color="auto"/>
        <w:left w:val="single" w:sz="12" w:space="10" w:color="auto"/>
        <w:bottom w:val="single" w:sz="12" w:space="10" w:color="auto"/>
        <w:right w:val="single" w:sz="12" w:space="10" w:color="auto"/>
      </w:pBdr>
      <w:tabs>
        <w:tab w:val="clear" w:pos="648"/>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uto"/>
      <w:ind w:left="0" w:firstLine="0"/>
      <w:jc w:val="center"/>
    </w:pPr>
    <w:rPr>
      <w:rFonts w:ascii="Gill Sans MT" w:hAnsi="Gill Sans MT" w:cs="Times New Roman"/>
      <w:sz w:val="20"/>
      <w:szCs w:val="20"/>
      <w:lang w:val="de-DE" w:eastAsia="ja-JP"/>
    </w:rPr>
  </w:style>
  <w:style w:type="character" w:customStyle="1" w:styleId="summaryboxChar">
    <w:name w:val="summary box Char"/>
    <w:link w:val="summarybox"/>
    <w:rsid w:val="00C758B1"/>
    <w:rPr>
      <w:rFonts w:ascii="Gill Sans MT" w:hAnsi="Gill Sans MT"/>
      <w:lang w:val="de-DE" w:eastAsia="ja-JP"/>
    </w:rPr>
  </w:style>
  <w:style w:type="paragraph" w:customStyle="1" w:styleId="Default">
    <w:name w:val="Default"/>
    <w:rsid w:val="00C758B1"/>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semiHidden/>
    <w:rsid w:val="00C758B1"/>
    <w:rPr>
      <w:rFonts w:ascii="Tahoma" w:hAnsi="Tahoma" w:cs="Tahoma"/>
      <w:sz w:val="16"/>
      <w:szCs w:val="16"/>
    </w:rPr>
  </w:style>
  <w:style w:type="character" w:customStyle="1" w:styleId="BalloonTextChar">
    <w:name w:val="Balloon Text Char"/>
    <w:link w:val="BalloonText"/>
    <w:rsid w:val="00C758B1"/>
    <w:rPr>
      <w:rFonts w:ascii="Tahoma" w:hAnsi="Tahoma" w:cs="Tahoma"/>
      <w:sz w:val="16"/>
      <w:szCs w:val="16"/>
      <w:lang w:val="en-AU" w:eastAsia="en-US"/>
    </w:rPr>
  </w:style>
  <w:style w:type="character" w:styleId="PageNumber">
    <w:name w:val="page number"/>
    <w:semiHidden/>
    <w:rsid w:val="00C758B1"/>
    <w:rPr>
      <w:rFonts w:cs="Times New Roman"/>
    </w:rPr>
  </w:style>
  <w:style w:type="paragraph" w:styleId="TableofFigures">
    <w:name w:val="table of figures"/>
    <w:basedOn w:val="Normal"/>
    <w:next w:val="Normal"/>
    <w:uiPriority w:val="99"/>
    <w:rsid w:val="000709E3"/>
    <w:pPr>
      <w:tabs>
        <w:tab w:val="left" w:pos="1701"/>
        <w:tab w:val="right" w:leader="dot" w:pos="8779"/>
      </w:tabs>
      <w:spacing w:line="240" w:lineRule="auto"/>
      <w:ind w:left="1134" w:right="567" w:hanging="1134"/>
    </w:pPr>
    <w:rPr>
      <w:noProof/>
    </w:rPr>
  </w:style>
  <w:style w:type="paragraph" w:styleId="BodyTextIndent2">
    <w:name w:val="Body Text Indent 2"/>
    <w:basedOn w:val="Normal"/>
    <w:link w:val="BodyTextIndent2Char"/>
    <w:semiHidden/>
    <w:rsid w:val="00C758B1"/>
    <w:pPr>
      <w:spacing w:line="240" w:lineRule="auto"/>
      <w:ind w:left="-108"/>
    </w:pPr>
    <w:rPr>
      <w:sz w:val="18"/>
      <w:szCs w:val="18"/>
    </w:rPr>
  </w:style>
  <w:style w:type="character" w:customStyle="1" w:styleId="BodyTextIndent2Char">
    <w:name w:val="Body Text Indent 2 Char"/>
    <w:link w:val="BodyTextIndent2"/>
    <w:semiHidden/>
    <w:rsid w:val="00F47BA5"/>
    <w:rPr>
      <w:rFonts w:cs="Times New Roman"/>
      <w:sz w:val="18"/>
      <w:szCs w:val="18"/>
      <w:lang w:val="en-AU"/>
    </w:rPr>
  </w:style>
  <w:style w:type="paragraph" w:styleId="ListParagraph">
    <w:name w:val="List Paragraph"/>
    <w:basedOn w:val="Normal"/>
    <w:link w:val="ListParagraphChar"/>
    <w:uiPriority w:val="34"/>
    <w:qFormat/>
    <w:rsid w:val="00C758B1"/>
    <w:pPr>
      <w:ind w:left="720"/>
      <w:contextualSpacing/>
    </w:pPr>
  </w:style>
  <w:style w:type="table" w:styleId="TableGrid">
    <w:name w:val="Table Grid"/>
    <w:aliases w:val="Summary box,Table Gridbeth"/>
    <w:basedOn w:val="TableNormal"/>
    <w:uiPriority w:val="59"/>
    <w:rsid w:val="00C758B1"/>
    <w:rPr>
      <w:rFonts w:ascii="Arial Narrow" w:hAnsi="Arial Narrow" w:cs="Arial Narrow"/>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subtitle">
    <w:name w:val="Main subtitle"/>
    <w:basedOn w:val="Normal"/>
    <w:rsid w:val="00C758B1"/>
    <w:pPr>
      <w:spacing w:before="480" w:after="480" w:line="240" w:lineRule="auto"/>
      <w:jc w:val="center"/>
    </w:pPr>
    <w:rPr>
      <w:b/>
      <w:bCs/>
      <w:sz w:val="36"/>
      <w:szCs w:val="36"/>
    </w:rPr>
  </w:style>
  <w:style w:type="paragraph" w:customStyle="1" w:styleId="Maintitle">
    <w:name w:val="Main title"/>
    <w:basedOn w:val="Normal"/>
    <w:rsid w:val="00C758B1"/>
    <w:pPr>
      <w:spacing w:before="1920" w:after="480" w:line="240" w:lineRule="auto"/>
      <w:jc w:val="center"/>
    </w:pPr>
    <w:rPr>
      <w:rFonts w:eastAsia="Batang"/>
      <w:b/>
      <w:bCs/>
      <w:sz w:val="56"/>
      <w:szCs w:val="56"/>
    </w:rPr>
  </w:style>
  <w:style w:type="paragraph" w:customStyle="1" w:styleId="Mainsub2">
    <w:name w:val="Main sub 2"/>
    <w:basedOn w:val="Normal"/>
    <w:rsid w:val="00C758B1"/>
    <w:pPr>
      <w:spacing w:line="240" w:lineRule="auto"/>
      <w:ind w:right="149"/>
      <w:jc w:val="center"/>
    </w:pPr>
    <w:rPr>
      <w:sz w:val="28"/>
      <w:szCs w:val="28"/>
    </w:rPr>
  </w:style>
  <w:style w:type="paragraph" w:customStyle="1" w:styleId="Mainsub3">
    <w:name w:val="Main sub 3"/>
    <w:basedOn w:val="Normal"/>
    <w:rsid w:val="00C758B1"/>
    <w:pPr>
      <w:spacing w:line="240" w:lineRule="auto"/>
      <w:ind w:right="147"/>
    </w:pPr>
    <w:rPr>
      <w:b/>
      <w:bCs/>
      <w:sz w:val="20"/>
      <w:szCs w:val="20"/>
    </w:rPr>
  </w:style>
  <w:style w:type="paragraph" w:customStyle="1" w:styleId="Headers">
    <w:name w:val="Headers"/>
    <w:basedOn w:val="Normal"/>
    <w:rsid w:val="00CB43BB"/>
    <w:pPr>
      <w:pBdr>
        <w:bottom w:val="single" w:sz="4" w:space="1" w:color="auto"/>
      </w:pBdr>
      <w:spacing w:before="240" w:after="360"/>
      <w:jc w:val="right"/>
    </w:pPr>
    <w:rPr>
      <w:smallCaps/>
      <w:sz w:val="18"/>
      <w:szCs w:val="18"/>
    </w:rPr>
  </w:style>
  <w:style w:type="paragraph" w:customStyle="1" w:styleId="Footers">
    <w:name w:val="Footers"/>
    <w:basedOn w:val="Footer"/>
    <w:link w:val="FootersChar"/>
    <w:rsid w:val="001608BD"/>
    <w:pPr>
      <w:pBdr>
        <w:top w:val="single" w:sz="4" w:space="1" w:color="auto"/>
      </w:pBdr>
      <w:tabs>
        <w:tab w:val="clear" w:pos="8306"/>
        <w:tab w:val="right" w:pos="9000"/>
      </w:tabs>
      <w:spacing w:after="0" w:line="240" w:lineRule="auto"/>
    </w:pPr>
    <w:rPr>
      <w:rFonts w:cs="Times New Roman"/>
      <w:smallCaps/>
      <w:sz w:val="18"/>
      <w:szCs w:val="20"/>
      <w:lang w:val="de-DE"/>
    </w:rPr>
  </w:style>
  <w:style w:type="character" w:customStyle="1" w:styleId="FootersChar">
    <w:name w:val="Footers Char"/>
    <w:link w:val="Footers"/>
    <w:rsid w:val="001608BD"/>
    <w:rPr>
      <w:rFonts w:ascii="Arial" w:hAnsi="Arial"/>
      <w:smallCaps/>
      <w:sz w:val="18"/>
      <w:lang w:eastAsia="en-US"/>
    </w:rPr>
  </w:style>
  <w:style w:type="paragraph" w:customStyle="1" w:styleId="Tableheading">
    <w:name w:val="Table heading"/>
    <w:basedOn w:val="Normal"/>
    <w:link w:val="TableheadingChar"/>
    <w:qFormat/>
    <w:rsid w:val="00C758B1"/>
    <w:pPr>
      <w:keepNext/>
      <w:spacing w:before="60" w:after="60" w:line="240" w:lineRule="auto"/>
    </w:pPr>
    <w:rPr>
      <w:rFonts w:ascii="Arial Narrow" w:hAnsi="Arial Narrow" w:cs="Times New Roman"/>
      <w:b/>
      <w:sz w:val="20"/>
      <w:szCs w:val="20"/>
    </w:rPr>
  </w:style>
  <w:style w:type="character" w:customStyle="1" w:styleId="TableheadingChar">
    <w:name w:val="Table heading Char"/>
    <w:link w:val="Tableheading"/>
    <w:rsid w:val="00C758B1"/>
    <w:rPr>
      <w:rFonts w:ascii="Arial Narrow" w:hAnsi="Arial Narrow"/>
      <w:b/>
      <w:lang w:val="en-AU" w:eastAsia="en-US"/>
    </w:rPr>
  </w:style>
  <w:style w:type="paragraph" w:customStyle="1" w:styleId="Tablecaption">
    <w:name w:val="Table caption"/>
    <w:basedOn w:val="Caption"/>
    <w:rsid w:val="00C758B1"/>
  </w:style>
  <w:style w:type="paragraph" w:customStyle="1" w:styleId="Figurecaption">
    <w:name w:val="Figure caption"/>
    <w:basedOn w:val="Caption"/>
    <w:link w:val="FigurecaptionChar"/>
    <w:rsid w:val="00C758B1"/>
    <w:pPr>
      <w:keepNext w:val="0"/>
      <w:keepLines/>
      <w:spacing w:after="480"/>
    </w:pPr>
  </w:style>
  <w:style w:type="character" w:customStyle="1" w:styleId="FigurecaptionChar">
    <w:name w:val="Figure caption Char"/>
    <w:link w:val="Figurecaption"/>
    <w:rsid w:val="00C758B1"/>
    <w:rPr>
      <w:rFonts w:ascii="Arial" w:hAnsi="Arial" w:cs="Arial"/>
      <w:b/>
      <w:bCs/>
      <w:sz w:val="22"/>
      <w:szCs w:val="22"/>
      <w:lang w:eastAsia="en-US"/>
    </w:rPr>
  </w:style>
  <w:style w:type="paragraph" w:customStyle="1" w:styleId="Bulletedbodytext">
    <w:name w:val="Bulleted body text"/>
    <w:basedOn w:val="BodyText"/>
    <w:link w:val="BulletedbodytextChar"/>
    <w:rsid w:val="00C758B1"/>
    <w:pPr>
      <w:numPr>
        <w:numId w:val="5"/>
      </w:numPr>
      <w:autoSpaceDE/>
      <w:autoSpaceDN/>
      <w:adjustRightInd/>
      <w:ind w:left="714" w:hanging="357"/>
    </w:pPr>
    <w:rPr>
      <w:rFonts w:ascii="Arial" w:hAnsi="Arial" w:cs="Times New Roman"/>
      <w:lang w:val="de-DE" w:eastAsia="ja-JP"/>
    </w:rPr>
  </w:style>
  <w:style w:type="paragraph" w:customStyle="1" w:styleId="Table-bodytext">
    <w:name w:val="Table - body text"/>
    <w:basedOn w:val="Normal"/>
    <w:link w:val="Table-bodytextChar"/>
    <w:rsid w:val="00C758B1"/>
    <w:pPr>
      <w:spacing w:after="0" w:line="240" w:lineRule="auto"/>
      <w:jc w:val="center"/>
    </w:pPr>
    <w:rPr>
      <w:rFonts w:ascii="Times New Roman" w:hAnsi="Times New Roman" w:cs="Times New Roman"/>
      <w:sz w:val="24"/>
      <w:szCs w:val="20"/>
    </w:rPr>
  </w:style>
  <w:style w:type="character" w:customStyle="1" w:styleId="Table-bodytextChar">
    <w:name w:val="Table - body text Char"/>
    <w:link w:val="Table-bodytext"/>
    <w:rsid w:val="00C758B1"/>
    <w:rPr>
      <w:sz w:val="24"/>
      <w:lang w:val="en-AU" w:eastAsia="en-US"/>
    </w:rPr>
  </w:style>
  <w:style w:type="paragraph" w:customStyle="1" w:styleId="TableBullet">
    <w:name w:val="TableBullet"/>
    <w:rsid w:val="00C758B1"/>
    <w:pPr>
      <w:keepNext/>
      <w:numPr>
        <w:numId w:val="7"/>
      </w:numPr>
      <w:tabs>
        <w:tab w:val="clear" w:pos="360"/>
        <w:tab w:val="left" w:pos="216"/>
      </w:tabs>
      <w:spacing w:before="40" w:after="40"/>
    </w:pPr>
    <w:rPr>
      <w:rFonts w:ascii="Arial" w:hAnsi="Arial" w:cs="Arial"/>
      <w:sz w:val="18"/>
      <w:szCs w:val="18"/>
      <w:lang w:eastAsia="en-US"/>
    </w:rPr>
  </w:style>
  <w:style w:type="paragraph" w:customStyle="1" w:styleId="Tableheader1">
    <w:name w:val="Table header 1"/>
    <w:basedOn w:val="Normal"/>
    <w:rsid w:val="00C758B1"/>
    <w:pPr>
      <w:spacing w:line="240" w:lineRule="auto"/>
      <w:jc w:val="center"/>
    </w:pPr>
    <w:rPr>
      <w:b/>
      <w:bCs/>
      <w:sz w:val="18"/>
      <w:szCs w:val="18"/>
      <w:lang w:eastAsia="en-AU"/>
    </w:rPr>
  </w:style>
  <w:style w:type="paragraph" w:customStyle="1" w:styleId="TableDash">
    <w:name w:val="TableDash"/>
    <w:basedOn w:val="Normal"/>
    <w:rsid w:val="00C758B1"/>
    <w:pPr>
      <w:keepNext/>
      <w:numPr>
        <w:numId w:val="8"/>
      </w:numPr>
      <w:spacing w:before="40" w:after="40" w:line="320" w:lineRule="exact"/>
    </w:pPr>
    <w:rPr>
      <w:rFonts w:ascii="Arial Narrow" w:hAnsi="Arial Narrow" w:cs="Arial Narrow"/>
      <w:sz w:val="20"/>
      <w:szCs w:val="20"/>
    </w:rPr>
  </w:style>
  <w:style w:type="paragraph" w:customStyle="1" w:styleId="Footnote">
    <w:name w:val="Footnote"/>
    <w:basedOn w:val="Normal"/>
    <w:rsid w:val="00C758B1"/>
    <w:pPr>
      <w:spacing w:before="40" w:after="0" w:line="240" w:lineRule="auto"/>
    </w:pPr>
    <w:rPr>
      <w:sz w:val="18"/>
      <w:szCs w:val="18"/>
      <w:lang w:eastAsia="en-AU"/>
    </w:rPr>
  </w:style>
  <w:style w:type="paragraph" w:customStyle="1" w:styleId="Notes">
    <w:name w:val="Notes"/>
    <w:next w:val="BodyText"/>
    <w:link w:val="NotesChar"/>
    <w:rsid w:val="00C758B1"/>
    <w:rPr>
      <w:rFonts w:ascii="Arial" w:hAnsi="Arial"/>
      <w:b/>
      <w:color w:val="C00000"/>
      <w:sz w:val="24"/>
      <w:lang w:eastAsia="en-US"/>
    </w:rPr>
  </w:style>
  <w:style w:type="paragraph" w:customStyle="1" w:styleId="Coverpagelargebold">
    <w:name w:val="Cover page large bold"/>
    <w:rsid w:val="00C758B1"/>
    <w:pPr>
      <w:jc w:val="center"/>
    </w:pPr>
    <w:rPr>
      <w:rFonts w:ascii="Arial" w:hAnsi="Arial" w:cs="Arial"/>
      <w:b/>
      <w:bCs/>
      <w:smallCaps/>
      <w:sz w:val="52"/>
      <w:szCs w:val="52"/>
    </w:rPr>
  </w:style>
  <w:style w:type="paragraph" w:customStyle="1" w:styleId="BodyText31">
    <w:name w:val="Body Text 31"/>
    <w:basedOn w:val="BodyText"/>
    <w:next w:val="BodyText"/>
    <w:rsid w:val="00C758B1"/>
    <w:pPr>
      <w:autoSpaceDE/>
      <w:autoSpaceDN/>
      <w:adjustRightInd/>
    </w:pPr>
    <w:rPr>
      <w:rFonts w:ascii="Arial" w:hAnsi="Arial" w:cs="Arial"/>
      <w:i/>
      <w:iCs/>
      <w:lang w:val="en-AU"/>
    </w:rPr>
  </w:style>
  <w:style w:type="paragraph" w:customStyle="1" w:styleId="Bodytext4">
    <w:name w:val="Body text 4"/>
    <w:next w:val="BodyText"/>
    <w:rsid w:val="00C758B1"/>
    <w:pPr>
      <w:spacing w:after="120" w:line="360" w:lineRule="auto"/>
    </w:pPr>
    <w:rPr>
      <w:rFonts w:ascii="Arial" w:hAnsi="Arial" w:cs="Arial"/>
      <w:u w:val="single"/>
      <w:lang w:val="en-GB" w:eastAsia="en-GB"/>
    </w:rPr>
  </w:style>
  <w:style w:type="paragraph" w:customStyle="1" w:styleId="ExecSummarySubheadings">
    <w:name w:val="Exec Summary Subheadings"/>
    <w:next w:val="BodyText"/>
    <w:rsid w:val="00C758B1"/>
    <w:pPr>
      <w:spacing w:after="120" w:line="360" w:lineRule="auto"/>
    </w:pPr>
    <w:rPr>
      <w:rFonts w:ascii="Arial" w:hAnsi="Arial" w:cs="Arial"/>
      <w:b/>
      <w:bCs/>
      <w:smallCaps/>
      <w:kern w:val="32"/>
      <w:sz w:val="24"/>
      <w:szCs w:val="24"/>
      <w:lang w:val="en-GB" w:eastAsia="en-GB"/>
    </w:rPr>
  </w:style>
  <w:style w:type="paragraph" w:customStyle="1" w:styleId="Listoftablesandfigures">
    <w:name w:val="List of tables and figures"/>
    <w:next w:val="BodyText"/>
    <w:rsid w:val="00C758B1"/>
    <w:pPr>
      <w:spacing w:line="360" w:lineRule="auto"/>
    </w:pPr>
    <w:rPr>
      <w:rFonts w:ascii="Arial" w:hAnsi="Arial" w:cs="Arial"/>
      <w:caps/>
      <w:kern w:val="32"/>
      <w:lang w:val="en-GB" w:eastAsia="en-GB"/>
    </w:rPr>
  </w:style>
  <w:style w:type="paragraph" w:customStyle="1" w:styleId="SectionHeading">
    <w:name w:val="Section Heading"/>
    <w:basedOn w:val="Normal"/>
    <w:next w:val="BodyText"/>
    <w:rsid w:val="00C758B1"/>
    <w:pPr>
      <w:pageBreakBefore/>
      <w:spacing w:after="360"/>
    </w:pPr>
    <w:rPr>
      <w:b/>
      <w:bCs/>
      <w:caps/>
      <w:kern w:val="28"/>
      <w:sz w:val="32"/>
      <w:szCs w:val="32"/>
      <w:lang w:val="en-GB"/>
    </w:rPr>
  </w:style>
  <w:style w:type="paragraph" w:customStyle="1" w:styleId="Tableheadertwo">
    <w:name w:val="Table header two"/>
    <w:basedOn w:val="BodyText"/>
    <w:next w:val="BodyText"/>
    <w:rsid w:val="00C758B1"/>
    <w:pPr>
      <w:tabs>
        <w:tab w:val="left" w:pos="1134"/>
      </w:tabs>
      <w:autoSpaceDE/>
      <w:autoSpaceDN/>
      <w:adjustRightInd/>
      <w:spacing w:before="20" w:after="40" w:line="240" w:lineRule="auto"/>
    </w:pPr>
    <w:rPr>
      <w:rFonts w:ascii="Arial" w:hAnsi="Arial" w:cs="Arial"/>
      <w:b/>
      <w:bCs/>
      <w:sz w:val="18"/>
      <w:szCs w:val="18"/>
      <w:lang w:val="en-AU"/>
    </w:rPr>
  </w:style>
  <w:style w:type="table" w:customStyle="1" w:styleId="TableMSDAAlternative">
    <w:name w:val="Table MSDA Alternative"/>
    <w:rsid w:val="00C758B1"/>
    <w:pPr>
      <w:spacing w:before="40" w:after="20"/>
    </w:pPr>
    <w:rPr>
      <w:rFonts w:ascii="Arial" w:hAnsi="Arial" w:cs="Arial"/>
      <w:sz w:val="18"/>
      <w:szCs w:val="18"/>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MSDAStandard">
    <w:name w:val="Table MSDA Standard"/>
    <w:rsid w:val="00C758B1"/>
    <w:pPr>
      <w:tabs>
        <w:tab w:val="left" w:pos="416"/>
        <w:tab w:val="left" w:pos="582"/>
      </w:tabs>
      <w:spacing w:before="40" w:after="20"/>
    </w:pPr>
    <w:rPr>
      <w:rFonts w:ascii="Arial" w:hAnsi="Arial" w:cs="Arial"/>
      <w:sz w:val="18"/>
      <w:szCs w:val="18"/>
      <w:lang w:val="en-US"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customStyle="1" w:styleId="Coverpagemediumbold">
    <w:name w:val="Cover page medium bold"/>
    <w:rsid w:val="00C758B1"/>
    <w:pPr>
      <w:jc w:val="center"/>
    </w:pPr>
    <w:rPr>
      <w:rFonts w:ascii="Arial" w:hAnsi="Arial" w:cs="Arial"/>
      <w:b/>
      <w:bCs/>
      <w:sz w:val="28"/>
      <w:szCs w:val="28"/>
    </w:rPr>
  </w:style>
  <w:style w:type="paragraph" w:styleId="Title">
    <w:name w:val="Title"/>
    <w:basedOn w:val="Normal"/>
    <w:link w:val="TitleChar"/>
    <w:qFormat/>
    <w:rsid w:val="00C758B1"/>
    <w:pPr>
      <w:spacing w:before="240" w:after="60" w:line="240" w:lineRule="auto"/>
      <w:jc w:val="center"/>
      <w:outlineLvl w:val="0"/>
    </w:pPr>
    <w:rPr>
      <w:b/>
      <w:bCs/>
      <w:kern w:val="28"/>
      <w:sz w:val="32"/>
      <w:szCs w:val="32"/>
      <w:lang w:val="de-DE" w:eastAsia="en-GB"/>
    </w:rPr>
  </w:style>
  <w:style w:type="character" w:customStyle="1" w:styleId="TitleChar">
    <w:name w:val="Title Char"/>
    <w:link w:val="Title"/>
    <w:rsid w:val="00917BBB"/>
    <w:rPr>
      <w:rFonts w:ascii="Arial" w:hAnsi="Arial" w:cs="Arial"/>
      <w:b/>
      <w:bCs/>
      <w:kern w:val="28"/>
      <w:sz w:val="32"/>
      <w:szCs w:val="32"/>
      <w:lang w:eastAsia="en-GB"/>
    </w:rPr>
  </w:style>
  <w:style w:type="paragraph" w:customStyle="1" w:styleId="Coverpagemediumitalic">
    <w:name w:val="Cover page medium italic"/>
    <w:rsid w:val="00C758B1"/>
    <w:pPr>
      <w:jc w:val="center"/>
    </w:pPr>
    <w:rPr>
      <w:rFonts w:ascii="Arial" w:hAnsi="Arial" w:cs="Arial"/>
      <w:b/>
      <w:bCs/>
      <w:i/>
      <w:iCs/>
      <w:sz w:val="28"/>
      <w:szCs w:val="28"/>
    </w:rPr>
  </w:style>
  <w:style w:type="paragraph" w:customStyle="1" w:styleId="BodyTextstrong">
    <w:name w:val="Body Text strong"/>
    <w:rsid w:val="00C758B1"/>
    <w:pPr>
      <w:jc w:val="both"/>
    </w:pPr>
    <w:rPr>
      <w:rFonts w:ascii="Arial" w:hAnsi="Arial" w:cs="Arial"/>
      <w:b/>
      <w:bCs/>
      <w:sz w:val="28"/>
      <w:szCs w:val="28"/>
    </w:rPr>
  </w:style>
  <w:style w:type="paragraph" w:customStyle="1" w:styleId="Coverpagemediumemphasis">
    <w:name w:val="Cover page medium emphasis"/>
    <w:rsid w:val="00C758B1"/>
    <w:pPr>
      <w:jc w:val="center"/>
    </w:pPr>
    <w:rPr>
      <w:rFonts w:ascii="Arial" w:hAnsi="Arial" w:cs="Arial"/>
      <w:b/>
      <w:bCs/>
      <w:smallCaps/>
      <w:sz w:val="28"/>
      <w:szCs w:val="28"/>
      <w:u w:val="single"/>
    </w:rPr>
  </w:style>
  <w:style w:type="paragraph" w:customStyle="1" w:styleId="TableText2">
    <w:name w:val="Table Text 2"/>
    <w:basedOn w:val="Normal"/>
    <w:rsid w:val="0013581F"/>
    <w:pPr>
      <w:spacing w:before="80" w:after="80" w:line="240" w:lineRule="auto"/>
    </w:pPr>
    <w:rPr>
      <w:rFonts w:cs="Times New Roman"/>
      <w:b/>
      <w:bCs/>
      <w:szCs w:val="20"/>
      <w:lang w:eastAsia="en-AU"/>
    </w:rPr>
  </w:style>
  <w:style w:type="paragraph" w:customStyle="1" w:styleId="TableText3">
    <w:name w:val="Table Text 3"/>
    <w:basedOn w:val="Normal"/>
    <w:link w:val="TableText3Char"/>
    <w:rsid w:val="0013581F"/>
    <w:pPr>
      <w:spacing w:before="80" w:after="80" w:line="240" w:lineRule="auto"/>
    </w:pPr>
    <w:rPr>
      <w:rFonts w:cs="Times New Roman"/>
      <w:i/>
      <w:szCs w:val="20"/>
      <w:lang w:eastAsia="en-AU"/>
    </w:rPr>
  </w:style>
  <w:style w:type="paragraph" w:customStyle="1" w:styleId="TableText4">
    <w:name w:val="Table Text 4"/>
    <w:basedOn w:val="Normal"/>
    <w:rsid w:val="0013581F"/>
    <w:pPr>
      <w:spacing w:before="80" w:after="80" w:line="240" w:lineRule="auto"/>
      <w:jc w:val="center"/>
    </w:pPr>
    <w:rPr>
      <w:rFonts w:cs="Times New Roman"/>
      <w:szCs w:val="20"/>
      <w:lang w:eastAsia="en-AU"/>
    </w:rPr>
  </w:style>
  <w:style w:type="character" w:customStyle="1" w:styleId="NotesChar">
    <w:name w:val="Notes Char"/>
    <w:link w:val="Notes"/>
    <w:rsid w:val="00C758B1"/>
    <w:rPr>
      <w:rFonts w:ascii="Arial" w:hAnsi="Arial"/>
      <w:b/>
      <w:color w:val="C00000"/>
      <w:sz w:val="24"/>
      <w:lang w:val="en-AU" w:eastAsia="en-US"/>
    </w:rPr>
  </w:style>
  <w:style w:type="character" w:customStyle="1" w:styleId="BulletedbodytextChar">
    <w:name w:val="Bulleted body text Char"/>
    <w:link w:val="Bulletedbodytext"/>
    <w:rsid w:val="00C758B1"/>
    <w:rPr>
      <w:rFonts w:ascii="Arial" w:hAnsi="Arial"/>
      <w:lang w:val="de-DE" w:eastAsia="ja-JP"/>
    </w:rPr>
  </w:style>
  <w:style w:type="paragraph" w:customStyle="1" w:styleId="Abbreviation">
    <w:name w:val="Abbreviation"/>
    <w:basedOn w:val="Normal"/>
    <w:link w:val="AbbreviationChar"/>
    <w:rsid w:val="0013581F"/>
    <w:pPr>
      <w:spacing w:after="0" w:line="240" w:lineRule="auto"/>
    </w:pPr>
    <w:rPr>
      <w:rFonts w:cs="Times New Roman"/>
      <w:i/>
      <w:szCs w:val="20"/>
      <w:lang w:val="en-GB" w:eastAsia="en-GB"/>
    </w:rPr>
  </w:style>
  <w:style w:type="character" w:customStyle="1" w:styleId="AbbreviationChar">
    <w:name w:val="Abbreviation Char"/>
    <w:link w:val="Abbreviation"/>
    <w:rsid w:val="00C758B1"/>
    <w:rPr>
      <w:rFonts w:ascii="Arial" w:hAnsi="Arial"/>
      <w:i/>
      <w:sz w:val="22"/>
      <w:lang w:val="en-GB" w:eastAsia="en-GB"/>
    </w:rPr>
  </w:style>
  <w:style w:type="character" w:customStyle="1" w:styleId="TableText3Char">
    <w:name w:val="Table Text 3 Char"/>
    <w:link w:val="TableText3"/>
    <w:rsid w:val="00C758B1"/>
    <w:rPr>
      <w:rFonts w:ascii="Arial" w:hAnsi="Arial"/>
      <w:i/>
      <w:sz w:val="22"/>
      <w:lang w:val="en-AU" w:eastAsia="en-AU"/>
    </w:rPr>
  </w:style>
  <w:style w:type="paragraph" w:customStyle="1" w:styleId="BodyTextstrong2">
    <w:name w:val="Body Text strong 2"/>
    <w:basedOn w:val="BodyText"/>
    <w:rsid w:val="00C758B1"/>
    <w:pPr>
      <w:autoSpaceDE/>
      <w:autoSpaceDN/>
      <w:adjustRightInd/>
      <w:spacing w:line="240" w:lineRule="auto"/>
      <w:jc w:val="center"/>
    </w:pPr>
    <w:rPr>
      <w:rFonts w:ascii="Arial" w:eastAsia="Arial Unicode MS" w:hAnsi="Arial" w:cs="Arial"/>
      <w:b/>
      <w:bCs/>
      <w:sz w:val="22"/>
      <w:szCs w:val="22"/>
      <w:lang w:val="en-AU"/>
    </w:rPr>
  </w:style>
  <w:style w:type="paragraph" w:customStyle="1" w:styleId="BodyText5">
    <w:name w:val="Body Text 5"/>
    <w:basedOn w:val="BodyText"/>
    <w:rsid w:val="00C758B1"/>
    <w:pPr>
      <w:autoSpaceDE/>
      <w:autoSpaceDN/>
      <w:adjustRightInd/>
      <w:jc w:val="center"/>
    </w:pPr>
    <w:rPr>
      <w:rFonts w:ascii="Arial" w:eastAsia="Arial Unicode MS" w:hAnsi="Arial" w:cs="Arial"/>
      <w:b/>
      <w:bCs/>
      <w:lang w:val="en-AU"/>
    </w:rPr>
  </w:style>
  <w:style w:type="paragraph" w:customStyle="1" w:styleId="BodyText6">
    <w:name w:val="Body Text 6"/>
    <w:basedOn w:val="BodyTextIndent"/>
    <w:rsid w:val="00C758B1"/>
    <w:pPr>
      <w:tabs>
        <w:tab w:val="left" w:pos="416"/>
        <w:tab w:val="left" w:pos="582"/>
      </w:tabs>
      <w:ind w:left="0"/>
    </w:pPr>
    <w:rPr>
      <w:b/>
      <w:bCs/>
      <w:i/>
      <w:iCs/>
      <w:lang w:val="en-AU"/>
    </w:rPr>
  </w:style>
  <w:style w:type="paragraph" w:customStyle="1" w:styleId="Table-columnheadings">
    <w:name w:val="Table - column headings"/>
    <w:basedOn w:val="Table-bodytext"/>
    <w:link w:val="Table-columnheadingsChar"/>
    <w:rsid w:val="00C758B1"/>
    <w:rPr>
      <w:rFonts w:ascii="Arial" w:hAnsi="Arial"/>
      <w:b/>
    </w:rPr>
  </w:style>
  <w:style w:type="paragraph" w:customStyle="1" w:styleId="Table-bodytextLEFT">
    <w:name w:val="Table - body text LEFT"/>
    <w:basedOn w:val="Normal"/>
    <w:rsid w:val="00C758B1"/>
    <w:pPr>
      <w:spacing w:after="0" w:line="240" w:lineRule="auto"/>
    </w:pPr>
    <w:rPr>
      <w:sz w:val="20"/>
      <w:szCs w:val="20"/>
    </w:rPr>
  </w:style>
  <w:style w:type="character" w:customStyle="1" w:styleId="CommentTextChar1">
    <w:name w:val="Comment Text Char1"/>
    <w:aliases w:val="Comment Text Char Char Char Char2,Comment Text Char Char Char2"/>
    <w:link w:val="CommentText"/>
    <w:uiPriority w:val="99"/>
    <w:rsid w:val="00C758B1"/>
    <w:rPr>
      <w:rFonts w:ascii="Arial" w:hAnsi="Arial"/>
      <w:lang w:val="en-AU" w:eastAsia="en-US"/>
    </w:rPr>
  </w:style>
  <w:style w:type="paragraph" w:customStyle="1" w:styleId="Tabletnotes">
    <w:name w:val="Tablet notes"/>
    <w:basedOn w:val="Normal"/>
    <w:rsid w:val="00C758B1"/>
    <w:pPr>
      <w:spacing w:after="0" w:line="240" w:lineRule="auto"/>
      <w:jc w:val="both"/>
    </w:pPr>
    <w:rPr>
      <w:sz w:val="18"/>
      <w:szCs w:val="18"/>
    </w:rPr>
  </w:style>
  <w:style w:type="character" w:styleId="CommentReference">
    <w:name w:val="annotation reference"/>
    <w:uiPriority w:val="99"/>
    <w:rsid w:val="00C758B1"/>
    <w:rPr>
      <w:rFonts w:cs="Times New Roman"/>
      <w:sz w:val="16"/>
      <w:szCs w:val="16"/>
    </w:rPr>
  </w:style>
  <w:style w:type="paragraph" w:customStyle="1" w:styleId="TableHeading0">
    <w:name w:val="Table Heading"/>
    <w:basedOn w:val="Normal"/>
    <w:rsid w:val="00C758B1"/>
    <w:pPr>
      <w:spacing w:before="80" w:after="80" w:line="240" w:lineRule="auto"/>
      <w:jc w:val="center"/>
    </w:pPr>
    <w:rPr>
      <w:b/>
      <w:bCs/>
      <w:sz w:val="20"/>
      <w:szCs w:val="20"/>
      <w:lang w:eastAsia="en-AU"/>
    </w:rPr>
  </w:style>
  <w:style w:type="paragraph" w:customStyle="1" w:styleId="TableName">
    <w:name w:val="Table Name"/>
    <w:basedOn w:val="Normal"/>
    <w:link w:val="TableNameChar"/>
    <w:rsid w:val="00C758B1"/>
    <w:pPr>
      <w:spacing w:line="240" w:lineRule="auto"/>
      <w:ind w:left="1134" w:hanging="1134"/>
    </w:pPr>
    <w:rPr>
      <w:rFonts w:cs="Times New Roman"/>
      <w:b/>
      <w:sz w:val="24"/>
      <w:szCs w:val="20"/>
      <w:lang w:eastAsia="en-AU"/>
    </w:rPr>
  </w:style>
  <w:style w:type="character" w:customStyle="1" w:styleId="TableNameChar">
    <w:name w:val="Table Name Char"/>
    <w:link w:val="TableName"/>
    <w:rsid w:val="00C758B1"/>
    <w:rPr>
      <w:rFonts w:ascii="Arial" w:hAnsi="Arial"/>
      <w:b/>
      <w:sz w:val="24"/>
      <w:lang w:val="en-AU" w:eastAsia="en-AU"/>
    </w:rPr>
  </w:style>
  <w:style w:type="paragraph" w:customStyle="1" w:styleId="Table-footnotes">
    <w:name w:val="Table - footnotes"/>
    <w:basedOn w:val="Normal"/>
    <w:link w:val="Table-footnotesChar"/>
    <w:rsid w:val="00C758B1"/>
    <w:pPr>
      <w:spacing w:after="0" w:line="240" w:lineRule="auto"/>
      <w:jc w:val="both"/>
    </w:pPr>
    <w:rPr>
      <w:rFonts w:cs="Times New Roman"/>
      <w:sz w:val="24"/>
      <w:szCs w:val="20"/>
    </w:rPr>
  </w:style>
  <w:style w:type="paragraph" w:customStyle="1" w:styleId="Tabletext0">
    <w:name w:val="Tabletext"/>
    <w:basedOn w:val="Normal"/>
    <w:rsid w:val="00C758B1"/>
    <w:pPr>
      <w:spacing w:after="0" w:line="240" w:lineRule="auto"/>
    </w:pPr>
    <w:rPr>
      <w:sz w:val="18"/>
      <w:szCs w:val="18"/>
    </w:rPr>
  </w:style>
  <w:style w:type="character" w:customStyle="1" w:styleId="Table-footnotesChar">
    <w:name w:val="Table - footnotes Char"/>
    <w:link w:val="Table-footnotes"/>
    <w:rsid w:val="00C758B1"/>
    <w:rPr>
      <w:rFonts w:ascii="Arial" w:hAnsi="Arial"/>
      <w:sz w:val="24"/>
      <w:lang w:val="en-AU" w:eastAsia="en-US"/>
    </w:rPr>
  </w:style>
  <w:style w:type="paragraph" w:customStyle="1" w:styleId="References">
    <w:name w:val="References"/>
    <w:basedOn w:val="Normal"/>
    <w:rsid w:val="00C758B1"/>
    <w:pPr>
      <w:keepLines/>
      <w:spacing w:line="240" w:lineRule="auto"/>
      <w:jc w:val="both"/>
    </w:pPr>
    <w:rPr>
      <w:sz w:val="20"/>
      <w:szCs w:val="20"/>
    </w:rPr>
  </w:style>
  <w:style w:type="paragraph" w:customStyle="1" w:styleId="TablebodytextleftBOLD">
    <w:name w:val="Table body text left BOLD"/>
    <w:basedOn w:val="Table-bodytextLEFT"/>
    <w:rsid w:val="00C758B1"/>
    <w:pPr>
      <w:keepNext/>
      <w:widowControl w:val="0"/>
    </w:pPr>
    <w:rPr>
      <w:b/>
      <w:bCs/>
    </w:rPr>
  </w:style>
  <w:style w:type="paragraph" w:styleId="Index1">
    <w:name w:val="index 1"/>
    <w:basedOn w:val="Normal"/>
    <w:next w:val="Normal"/>
    <w:autoRedefine/>
    <w:rsid w:val="00C758B1"/>
    <w:pPr>
      <w:spacing w:after="0"/>
      <w:ind w:left="220" w:hanging="220"/>
      <w:jc w:val="both"/>
    </w:pPr>
  </w:style>
  <w:style w:type="paragraph" w:styleId="IndexHeading">
    <w:name w:val="index heading"/>
    <w:basedOn w:val="Normal"/>
    <w:next w:val="Index1"/>
    <w:rsid w:val="00C758B1"/>
    <w:pPr>
      <w:spacing w:after="0"/>
      <w:jc w:val="both"/>
    </w:pPr>
  </w:style>
  <w:style w:type="paragraph" w:customStyle="1" w:styleId="StyleHeading2Garamond16ptNotItalicSmallcaps">
    <w:name w:val="Style Heading 2 + Garamond 16 pt Not Italic Small caps"/>
    <w:basedOn w:val="Normal"/>
    <w:rsid w:val="00C758B1"/>
    <w:pPr>
      <w:tabs>
        <w:tab w:val="num" w:pos="792"/>
      </w:tabs>
      <w:spacing w:after="0"/>
      <w:ind w:left="792" w:hanging="432"/>
      <w:jc w:val="both"/>
    </w:pPr>
  </w:style>
  <w:style w:type="paragraph" w:customStyle="1" w:styleId="p7">
    <w:name w:val="p7"/>
    <w:basedOn w:val="Normal"/>
    <w:rsid w:val="00C758B1"/>
    <w:pPr>
      <w:tabs>
        <w:tab w:val="left" w:pos="720"/>
      </w:tabs>
      <w:spacing w:after="0"/>
      <w:jc w:val="both"/>
    </w:pPr>
  </w:style>
  <w:style w:type="character" w:customStyle="1" w:styleId="11PBACtext">
    <w:name w:val="11 PBAC text"/>
    <w:rsid w:val="00C758B1"/>
    <w:rPr>
      <w:rFonts w:ascii="Times New Roman" w:hAnsi="Times New Roman"/>
      <w:sz w:val="22"/>
    </w:rPr>
  </w:style>
  <w:style w:type="table" w:customStyle="1" w:styleId="TableHTAStandard">
    <w:name w:val="Table HTA Standard"/>
    <w:rsid w:val="00C758B1"/>
    <w:pPr>
      <w:tabs>
        <w:tab w:val="left" w:pos="416"/>
        <w:tab w:val="left" w:pos="582"/>
      </w:tabs>
      <w:spacing w:before="40" w:after="20"/>
    </w:pPr>
    <w:rPr>
      <w:rFonts w:ascii="Garamond" w:hAnsi="Garamond" w:cs="Garamond"/>
      <w:sz w:val="18"/>
      <w:szCs w:val="18"/>
      <w:lang w:val="en-US"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character" w:customStyle="1" w:styleId="ListNumber3Char">
    <w:name w:val="List Number 3 Char"/>
    <w:aliases w:val="Char Char, Char Char"/>
    <w:link w:val="ListNumber3"/>
    <w:semiHidden/>
    <w:rsid w:val="00C758B1"/>
    <w:rPr>
      <w:rFonts w:ascii="Arial" w:hAnsi="Arial"/>
      <w:lang w:val="en-GB" w:eastAsia="en-US"/>
    </w:rPr>
  </w:style>
  <w:style w:type="character" w:customStyle="1" w:styleId="ListNumber2Char">
    <w:name w:val="List Number 2 Char"/>
    <w:aliases w:val="Char1 Char, Char1 Char"/>
    <w:link w:val="ListNumber2"/>
    <w:semiHidden/>
    <w:rsid w:val="00C758B1"/>
    <w:rPr>
      <w:rFonts w:ascii="Arial" w:hAnsi="Arial"/>
      <w:lang w:val="en-GB" w:eastAsia="en-US"/>
    </w:rPr>
  </w:style>
  <w:style w:type="paragraph" w:customStyle="1" w:styleId="Tableheader">
    <w:name w:val="Table header"/>
    <w:basedOn w:val="BodyText"/>
    <w:next w:val="BodyText"/>
    <w:rsid w:val="00C758B1"/>
    <w:pPr>
      <w:tabs>
        <w:tab w:val="left" w:pos="1134"/>
      </w:tabs>
      <w:autoSpaceDE/>
      <w:autoSpaceDN/>
      <w:adjustRightInd/>
      <w:spacing w:after="60" w:line="240" w:lineRule="auto"/>
      <w:jc w:val="both"/>
    </w:pPr>
    <w:rPr>
      <w:rFonts w:ascii="Arial" w:hAnsi="Arial" w:cs="Arial"/>
      <w:b/>
      <w:bCs/>
      <w:lang w:val="en-AU"/>
    </w:rPr>
  </w:style>
  <w:style w:type="paragraph" w:styleId="PlainText">
    <w:name w:val="Plain Text"/>
    <w:basedOn w:val="Normal"/>
    <w:link w:val="PlainTextChar"/>
    <w:rsid w:val="00C758B1"/>
    <w:pPr>
      <w:spacing w:after="0" w:line="240" w:lineRule="auto"/>
    </w:pPr>
    <w:rPr>
      <w:rFonts w:ascii="Consolas" w:hAnsi="Consolas" w:cs="Consolas"/>
      <w:sz w:val="21"/>
      <w:szCs w:val="21"/>
    </w:rPr>
  </w:style>
  <w:style w:type="character" w:customStyle="1" w:styleId="PlainTextChar">
    <w:name w:val="Plain Text Char"/>
    <w:link w:val="PlainText"/>
    <w:rsid w:val="00C758B1"/>
    <w:rPr>
      <w:rFonts w:ascii="Consolas" w:hAnsi="Consolas" w:cs="Consolas"/>
      <w:sz w:val="21"/>
      <w:szCs w:val="21"/>
      <w:lang w:val="en-AU" w:eastAsia="en-US"/>
    </w:rPr>
  </w:style>
  <w:style w:type="paragraph" w:customStyle="1" w:styleId="Bodytextbullet0">
    <w:name w:val="Body text bullet"/>
    <w:basedOn w:val="BodyText"/>
    <w:link w:val="BodytextbulletChar"/>
    <w:rsid w:val="00C758B1"/>
    <w:pPr>
      <w:autoSpaceDE/>
      <w:autoSpaceDN/>
      <w:adjustRightInd/>
    </w:pPr>
    <w:rPr>
      <w:rFonts w:ascii="Arial" w:hAnsi="Arial" w:cs="Times New Roman"/>
      <w:sz w:val="24"/>
      <w:lang w:val="en-GB" w:eastAsia="en-GB"/>
    </w:rPr>
  </w:style>
  <w:style w:type="paragraph" w:customStyle="1" w:styleId="Tableheaderrow">
    <w:name w:val="Table header row"/>
    <w:basedOn w:val="Table-columnheadings"/>
    <w:link w:val="TableheaderrowChar"/>
    <w:uiPriority w:val="99"/>
    <w:rsid w:val="00C758B1"/>
    <w:pPr>
      <w:keepNext/>
      <w:keepLines/>
      <w:spacing w:before="60" w:after="60"/>
      <w:jc w:val="left"/>
    </w:pPr>
    <w:rPr>
      <w:rFonts w:ascii="Arial Narrow" w:hAnsi="Arial Narrow"/>
      <w:bCs/>
      <w:sz w:val="22"/>
      <w:lang w:eastAsia="en-AU"/>
    </w:rPr>
  </w:style>
  <w:style w:type="paragraph" w:customStyle="1" w:styleId="Bodytextbullet18ptafter">
    <w:name w:val="Body text bullet + 18 pt after"/>
    <w:basedOn w:val="Bodytextbullet0"/>
    <w:link w:val="Bodytextbullet18ptafterChar"/>
    <w:rsid w:val="00C758B1"/>
    <w:pPr>
      <w:spacing w:after="360"/>
    </w:pPr>
  </w:style>
  <w:style w:type="character" w:customStyle="1" w:styleId="BodytextbulletChar">
    <w:name w:val="Body text bullet Char"/>
    <w:link w:val="Bodytextbullet0"/>
    <w:rsid w:val="00C758B1"/>
    <w:rPr>
      <w:rFonts w:ascii="Arial" w:hAnsi="Arial"/>
      <w:sz w:val="24"/>
      <w:lang w:val="en-GB" w:eastAsia="en-GB"/>
    </w:rPr>
  </w:style>
  <w:style w:type="character" w:customStyle="1" w:styleId="Bodytextbullet18ptafterChar">
    <w:name w:val="Body text bullet + 18 pt after Char"/>
    <w:link w:val="Bodytextbullet18ptafter"/>
    <w:rsid w:val="00C758B1"/>
    <w:rPr>
      <w:rFonts w:ascii="Arial" w:hAnsi="Arial" w:cs="Arial"/>
      <w:sz w:val="24"/>
      <w:szCs w:val="24"/>
      <w:lang w:val="en-GB" w:eastAsia="en-GB"/>
    </w:rPr>
  </w:style>
  <w:style w:type="paragraph" w:customStyle="1" w:styleId="Tablebodytext">
    <w:name w:val="Table body text"/>
    <w:basedOn w:val="Tableheaderrow"/>
    <w:link w:val="TablebodytextChar"/>
    <w:rsid w:val="00C758B1"/>
    <w:pPr>
      <w:spacing w:before="40"/>
    </w:pPr>
    <w:rPr>
      <w:b w:val="0"/>
      <w:bCs w:val="0"/>
    </w:rPr>
  </w:style>
  <w:style w:type="paragraph" w:customStyle="1" w:styleId="Tablebodybullets">
    <w:name w:val="Table body bullets"/>
    <w:basedOn w:val="Tablebodytext"/>
    <w:rsid w:val="00C758B1"/>
    <w:pPr>
      <w:numPr>
        <w:numId w:val="10"/>
      </w:numPr>
      <w:tabs>
        <w:tab w:val="clear" w:pos="720"/>
        <w:tab w:val="num" w:pos="360"/>
      </w:tabs>
      <w:ind w:left="227" w:hanging="227"/>
    </w:pPr>
  </w:style>
  <w:style w:type="character" w:customStyle="1" w:styleId="Table-columnheadingsChar">
    <w:name w:val="Table - column headings Char"/>
    <w:link w:val="Table-columnheadings"/>
    <w:rsid w:val="00C758B1"/>
    <w:rPr>
      <w:rFonts w:ascii="Arial" w:hAnsi="Arial"/>
      <w:b/>
      <w:sz w:val="24"/>
      <w:lang w:val="en-AU" w:eastAsia="en-US"/>
    </w:rPr>
  </w:style>
  <w:style w:type="character" w:customStyle="1" w:styleId="TableheaderrowChar">
    <w:name w:val="Table header row Char"/>
    <w:link w:val="Tableheaderrow"/>
    <w:uiPriority w:val="99"/>
    <w:rsid w:val="00C758B1"/>
    <w:rPr>
      <w:rFonts w:ascii="Arial Narrow" w:hAnsi="Arial Narrow"/>
      <w:b/>
      <w:sz w:val="22"/>
      <w:lang w:val="en-AU" w:eastAsia="en-AU"/>
    </w:rPr>
  </w:style>
  <w:style w:type="character" w:customStyle="1" w:styleId="TablebodytextChar">
    <w:name w:val="Table body text Char"/>
    <w:link w:val="Tablebodytext"/>
    <w:rsid w:val="00C758B1"/>
    <w:rPr>
      <w:rFonts w:ascii="Arial Narrow" w:hAnsi="Arial Narrow" w:cs="Arial Narrow"/>
      <w:b/>
      <w:bCs/>
      <w:sz w:val="22"/>
      <w:szCs w:val="22"/>
      <w:lang w:val="en-AU" w:eastAsia="en-AU"/>
    </w:rPr>
  </w:style>
  <w:style w:type="character" w:customStyle="1" w:styleId="TabletextChar">
    <w:name w:val="Table text Char"/>
    <w:link w:val="Tabletext"/>
    <w:uiPriority w:val="99"/>
    <w:rsid w:val="00C758B1"/>
    <w:rPr>
      <w:rFonts w:ascii="Arial Narrow" w:hAnsi="Arial Narrow"/>
      <w:lang w:val="en-AU" w:eastAsia="en-US"/>
    </w:rPr>
  </w:style>
  <w:style w:type="paragraph" w:customStyle="1" w:styleId="StyleBodyTextAfter6ptLinespacingsingle">
    <w:name w:val="Style Body Text + After:  6 pt Line spacing:  single"/>
    <w:basedOn w:val="BodyText"/>
    <w:rsid w:val="00C758B1"/>
    <w:pPr>
      <w:autoSpaceDE/>
      <w:autoSpaceDN/>
      <w:adjustRightInd/>
      <w:spacing w:line="240" w:lineRule="auto"/>
    </w:pPr>
    <w:rPr>
      <w:rFonts w:ascii="Arial" w:hAnsi="Arial" w:cs="Arial"/>
      <w:lang w:val="en-AU"/>
    </w:rPr>
  </w:style>
  <w:style w:type="paragraph" w:customStyle="1" w:styleId="Bodytextbulletlevel2">
    <w:name w:val="Body text bullet level 2"/>
    <w:basedOn w:val="Normal"/>
    <w:rsid w:val="00C758B1"/>
    <w:pPr>
      <w:numPr>
        <w:numId w:val="12"/>
      </w:numPr>
    </w:pPr>
  </w:style>
  <w:style w:type="character" w:styleId="FollowedHyperlink">
    <w:name w:val="FollowedHyperlink"/>
    <w:rsid w:val="00C758B1"/>
    <w:rPr>
      <w:rFonts w:cs="Times New Roman"/>
      <w:color w:val="800080"/>
      <w:u w:val="single"/>
    </w:rPr>
  </w:style>
  <w:style w:type="paragraph" w:customStyle="1" w:styleId="Tablebullet0">
    <w:name w:val="Table bullet"/>
    <w:basedOn w:val="Tabletext"/>
    <w:rsid w:val="00C758B1"/>
    <w:pPr>
      <w:keepLines/>
      <w:numPr>
        <w:numId w:val="13"/>
      </w:numPr>
      <w:spacing w:before="40" w:after="60"/>
      <w:ind w:left="714" w:hanging="357"/>
    </w:pPr>
    <w:rPr>
      <w:lang w:eastAsia="en-AU"/>
    </w:rPr>
  </w:style>
  <w:style w:type="paragraph" w:customStyle="1" w:styleId="Tablenotes0">
    <w:name w:val="Tablenotes"/>
    <w:basedOn w:val="Tablebodytext"/>
    <w:rsid w:val="00C758B1"/>
    <w:pPr>
      <w:keepLines w:val="0"/>
      <w:spacing w:after="360"/>
    </w:pPr>
    <w:rPr>
      <w:sz w:val="18"/>
      <w:szCs w:val="18"/>
      <w:lang w:eastAsia="en-GB"/>
    </w:rPr>
  </w:style>
  <w:style w:type="paragraph" w:customStyle="1" w:styleId="Tablebodytextbullet">
    <w:name w:val="Table body text bullet"/>
    <w:basedOn w:val="Tablebodytext"/>
    <w:link w:val="TablebodytextbulletChar"/>
    <w:rsid w:val="00C758B1"/>
    <w:pPr>
      <w:keepLines w:val="0"/>
      <w:numPr>
        <w:numId w:val="14"/>
      </w:numPr>
      <w:tabs>
        <w:tab w:val="clear" w:pos="720"/>
        <w:tab w:val="left" w:pos="357"/>
      </w:tabs>
      <w:ind w:left="357" w:hanging="357"/>
    </w:pPr>
    <w:rPr>
      <w:b/>
      <w:bCs/>
      <w:sz w:val="20"/>
      <w:lang w:val="de-DE" w:eastAsia="en-GB"/>
    </w:rPr>
  </w:style>
  <w:style w:type="character" w:customStyle="1" w:styleId="TablenotesChar">
    <w:name w:val="Table notes Char"/>
    <w:link w:val="Tablenotes"/>
    <w:rsid w:val="00CF13F3"/>
    <w:rPr>
      <w:rFonts w:ascii="Arial Narrow" w:hAnsi="Arial Narrow"/>
      <w:sz w:val="22"/>
      <w:lang w:val="en-AU" w:eastAsia="en-US"/>
    </w:rPr>
  </w:style>
  <w:style w:type="paragraph" w:customStyle="1" w:styleId="bodytextbullet">
    <w:name w:val="body text bullet"/>
    <w:basedOn w:val="BodyText"/>
    <w:rsid w:val="00C758B1"/>
    <w:pPr>
      <w:numPr>
        <w:numId w:val="15"/>
      </w:numPr>
      <w:tabs>
        <w:tab w:val="clear" w:pos="720"/>
        <w:tab w:val="num" w:pos="742"/>
      </w:tabs>
      <w:autoSpaceDE/>
      <w:autoSpaceDN/>
      <w:adjustRightInd/>
      <w:ind w:left="742" w:hanging="406"/>
    </w:pPr>
    <w:rPr>
      <w:rFonts w:ascii="Arial" w:hAnsi="Arial" w:cs="Arial"/>
      <w:sz w:val="22"/>
      <w:szCs w:val="22"/>
      <w:lang w:val="en-AU" w:eastAsia="en-GB"/>
    </w:rPr>
  </w:style>
  <w:style w:type="paragraph" w:customStyle="1" w:styleId="Bodytextbold">
    <w:name w:val="Body text bold"/>
    <w:basedOn w:val="BodyText"/>
    <w:link w:val="BodytextboldChar"/>
    <w:rsid w:val="00BC32ED"/>
    <w:pPr>
      <w:autoSpaceDE/>
      <w:autoSpaceDN/>
      <w:adjustRightInd/>
    </w:pPr>
    <w:rPr>
      <w:rFonts w:ascii="Arial" w:hAnsi="Arial" w:cs="Times New Roman"/>
      <w:b/>
      <w:sz w:val="24"/>
      <w:lang w:val="en-AU" w:eastAsia="en-GB"/>
    </w:rPr>
  </w:style>
  <w:style w:type="character" w:customStyle="1" w:styleId="BodytextboldChar">
    <w:name w:val="Body text bold Char"/>
    <w:link w:val="Bodytextbold"/>
    <w:rsid w:val="00BC32ED"/>
    <w:rPr>
      <w:rFonts w:ascii="Arial" w:hAnsi="Arial"/>
      <w:b/>
      <w:sz w:val="24"/>
      <w:lang w:val="en-AU" w:eastAsia="en-GB"/>
    </w:rPr>
  </w:style>
  <w:style w:type="paragraph" w:customStyle="1" w:styleId="Subbullet">
    <w:name w:val="Sub bullet"/>
    <w:basedOn w:val="Bodytextbullet0"/>
    <w:rsid w:val="00C758B1"/>
    <w:pPr>
      <w:numPr>
        <w:numId w:val="9"/>
      </w:numPr>
      <w:tabs>
        <w:tab w:val="clear" w:pos="360"/>
        <w:tab w:val="left" w:pos="770"/>
        <w:tab w:val="num" w:pos="1430"/>
      </w:tabs>
      <w:ind w:left="1418" w:hanging="648"/>
    </w:pPr>
  </w:style>
  <w:style w:type="character" w:styleId="Emphasis">
    <w:name w:val="Emphasis"/>
    <w:uiPriority w:val="20"/>
    <w:qFormat/>
    <w:rsid w:val="00D46708"/>
    <w:rPr>
      <w:rFonts w:cs="Times New Roman"/>
      <w:i/>
      <w:iCs/>
    </w:rPr>
  </w:style>
  <w:style w:type="paragraph" w:customStyle="1" w:styleId="StyleHeading2H2FollowUpQuestionLeft0cmHanging2cm">
    <w:name w:val="Style Heading 2H2Follow Up Question + Left:  0 cm Hanging:  2 cm..."/>
    <w:basedOn w:val="Heading2"/>
    <w:rsid w:val="00BC32ED"/>
    <w:rPr>
      <w:sz w:val="32"/>
      <w:szCs w:val="32"/>
    </w:rPr>
  </w:style>
  <w:style w:type="paragraph" w:customStyle="1" w:styleId="BodyText1">
    <w:name w:val="Body Text1"/>
    <w:basedOn w:val="Normal"/>
    <w:link w:val="BodytextChar"/>
    <w:qFormat/>
    <w:rsid w:val="00261F9F"/>
    <w:rPr>
      <w:rFonts w:cs="Times New Roman"/>
      <w:sz w:val="24"/>
      <w:szCs w:val="20"/>
    </w:rPr>
  </w:style>
  <w:style w:type="paragraph" w:customStyle="1" w:styleId="StyleHeading3H3Left0cmFirstline0cm">
    <w:name w:val="Style Heading 3H3 + Left:  0 cm First line:  0 cm"/>
    <w:basedOn w:val="Heading3"/>
    <w:rsid w:val="00BC32ED"/>
    <w:pPr>
      <w:ind w:left="0" w:firstLine="0"/>
    </w:pPr>
  </w:style>
  <w:style w:type="character" w:styleId="Strong">
    <w:name w:val="Strong"/>
    <w:uiPriority w:val="22"/>
    <w:qFormat/>
    <w:rsid w:val="00EB335B"/>
    <w:rPr>
      <w:rFonts w:cs="Times New Roman"/>
      <w:b/>
      <w:bCs/>
    </w:rPr>
  </w:style>
  <w:style w:type="character" w:customStyle="1" w:styleId="TablebodytextbulletChar">
    <w:name w:val="Table body text bullet Char"/>
    <w:link w:val="Tablebodytextbullet"/>
    <w:rsid w:val="00EB335B"/>
    <w:rPr>
      <w:rFonts w:ascii="Arial Narrow" w:hAnsi="Arial Narrow"/>
      <w:b/>
      <w:bCs/>
      <w:lang w:val="de-DE" w:eastAsia="en-GB"/>
    </w:rPr>
  </w:style>
  <w:style w:type="character" w:customStyle="1" w:styleId="BodytextChar">
    <w:name w:val="Body text Char"/>
    <w:link w:val="BodyText1"/>
    <w:rsid w:val="00EB335B"/>
    <w:rPr>
      <w:rFonts w:ascii="Arial" w:hAnsi="Arial"/>
      <w:sz w:val="24"/>
      <w:lang w:val="en-AU" w:eastAsia="en-US"/>
    </w:rPr>
  </w:style>
  <w:style w:type="paragraph" w:customStyle="1" w:styleId="Summarytext">
    <w:name w:val="Summary text"/>
    <w:basedOn w:val="BodyText1"/>
    <w:link w:val="SummarytextChar"/>
    <w:rsid w:val="00307E77"/>
    <w:rPr>
      <w:lang w:eastAsia="en-GB"/>
    </w:rPr>
  </w:style>
  <w:style w:type="paragraph" w:customStyle="1" w:styleId="Summarytextbullet">
    <w:name w:val="Summary text bullet"/>
    <w:basedOn w:val="Summarytext"/>
    <w:rsid w:val="00307E77"/>
    <w:pPr>
      <w:numPr>
        <w:numId w:val="16"/>
      </w:numPr>
    </w:pPr>
  </w:style>
  <w:style w:type="character" w:customStyle="1" w:styleId="SummarytextChar">
    <w:name w:val="Summary text Char"/>
    <w:link w:val="Summarytext"/>
    <w:rsid w:val="006F0274"/>
    <w:rPr>
      <w:rFonts w:ascii="Arial" w:hAnsi="Arial"/>
      <w:sz w:val="24"/>
      <w:lang w:val="en-AU" w:eastAsia="en-GB"/>
    </w:rPr>
  </w:style>
  <w:style w:type="paragraph" w:customStyle="1" w:styleId="Summarytabletext">
    <w:name w:val="Summary table text"/>
    <w:basedOn w:val="Tablebodytext"/>
    <w:rsid w:val="00692C08"/>
    <w:rPr>
      <w:sz w:val="18"/>
      <w:szCs w:val="18"/>
    </w:rPr>
  </w:style>
  <w:style w:type="paragraph" w:customStyle="1" w:styleId="Summarytableheaderrow">
    <w:name w:val="Summary table header row"/>
    <w:basedOn w:val="Tableheaderrow"/>
    <w:rsid w:val="00692C08"/>
    <w:rPr>
      <w:sz w:val="18"/>
      <w:szCs w:val="18"/>
    </w:rPr>
  </w:style>
  <w:style w:type="paragraph" w:customStyle="1" w:styleId="StyleTableBulletTimesNewRoman11ptLinespacingExactly">
    <w:name w:val="Style TableBullet + Times New Roman 11 pt Line spacing:  Exactly ..."/>
    <w:basedOn w:val="TableBullet"/>
    <w:rsid w:val="001D0908"/>
    <w:pPr>
      <w:numPr>
        <w:numId w:val="1"/>
      </w:numPr>
      <w:spacing w:line="280" w:lineRule="exact"/>
    </w:pPr>
    <w:rPr>
      <w:sz w:val="20"/>
      <w:szCs w:val="20"/>
    </w:rPr>
  </w:style>
  <w:style w:type="paragraph" w:customStyle="1" w:styleId="Style26ptBoldSmallcapsCentered">
    <w:name w:val="Style 26 pt Bold Small caps Centered"/>
    <w:basedOn w:val="Normal"/>
    <w:rsid w:val="001D0908"/>
    <w:pPr>
      <w:spacing w:after="0" w:line="240" w:lineRule="auto"/>
      <w:jc w:val="center"/>
    </w:pPr>
    <w:rPr>
      <w:b/>
      <w:bCs/>
      <w:smallCaps/>
      <w:sz w:val="52"/>
      <w:szCs w:val="52"/>
      <w:lang w:eastAsia="en-AU"/>
    </w:rPr>
  </w:style>
  <w:style w:type="character" w:customStyle="1" w:styleId="CommentTextCharCharCharChar1">
    <w:name w:val="Comment Text Char Char Char Char1"/>
    <w:aliases w:val="Comment Text Char Char Char Char11"/>
    <w:rsid w:val="001D0908"/>
    <w:rPr>
      <w:rFonts w:ascii="Arial" w:hAnsi="Arial"/>
      <w:lang w:val="en-AU" w:eastAsia="en-AU"/>
    </w:rPr>
  </w:style>
  <w:style w:type="paragraph" w:styleId="Revision">
    <w:name w:val="Revision"/>
    <w:hidden/>
    <w:semiHidden/>
    <w:rsid w:val="001D0908"/>
    <w:rPr>
      <w:rFonts w:ascii="Arial" w:hAnsi="Arial" w:cs="Arial"/>
      <w:sz w:val="22"/>
      <w:szCs w:val="22"/>
    </w:rPr>
  </w:style>
  <w:style w:type="paragraph" w:customStyle="1" w:styleId="StyleCaption">
    <w:name w:val="Style Caption"/>
    <w:basedOn w:val="Caption"/>
    <w:next w:val="Normal"/>
    <w:link w:val="StyleCaptionChar"/>
    <w:rsid w:val="001D0908"/>
    <w:pPr>
      <w:spacing w:before="0"/>
      <w:ind w:left="1418" w:hanging="1418"/>
    </w:pPr>
    <w:rPr>
      <w:rFonts w:ascii="Arial Narrow" w:hAnsi="Arial Narrow"/>
      <w:bCs/>
      <w:sz w:val="16"/>
      <w:lang w:val="en-AU" w:eastAsia="en-AU"/>
    </w:rPr>
  </w:style>
  <w:style w:type="character" w:customStyle="1" w:styleId="StyleCaptionChar">
    <w:name w:val="Style Caption Char"/>
    <w:link w:val="StyleCaption"/>
    <w:rsid w:val="001D0908"/>
    <w:rPr>
      <w:rFonts w:ascii="Arial Narrow" w:hAnsi="Arial Narrow"/>
      <w:b/>
      <w:sz w:val="16"/>
      <w:lang w:val="en-AU" w:eastAsia="en-AU"/>
    </w:rPr>
  </w:style>
  <w:style w:type="paragraph" w:customStyle="1" w:styleId="StyleHeading4Arial11pt">
    <w:name w:val="Style Heading 4 + Arial 11 pt"/>
    <w:basedOn w:val="Heading4"/>
    <w:rsid w:val="001D0908"/>
    <w:pPr>
      <w:keepLines w:val="0"/>
      <w:spacing w:after="240"/>
      <w:ind w:left="1134" w:hanging="1134"/>
    </w:pPr>
    <w:rPr>
      <w:b/>
      <w:bCs/>
    </w:rPr>
  </w:style>
  <w:style w:type="paragraph" w:styleId="List">
    <w:name w:val="List"/>
    <w:basedOn w:val="Normal"/>
    <w:rsid w:val="001D0908"/>
    <w:pPr>
      <w:spacing w:after="0" w:line="320" w:lineRule="exact"/>
      <w:ind w:left="283" w:hanging="283"/>
      <w:contextualSpacing/>
    </w:pPr>
    <w:rPr>
      <w:lang w:eastAsia="en-AU"/>
    </w:rPr>
  </w:style>
  <w:style w:type="paragraph" w:customStyle="1" w:styleId="BodyTextBold0">
    <w:name w:val="Body Text Bold"/>
    <w:basedOn w:val="BodyText"/>
    <w:link w:val="BodyTextBoldChar0"/>
    <w:rsid w:val="001D0908"/>
    <w:pPr>
      <w:autoSpaceDE/>
      <w:autoSpaceDN/>
      <w:adjustRightInd/>
    </w:pPr>
    <w:rPr>
      <w:rFonts w:ascii="Arial" w:hAnsi="Arial" w:cs="Times New Roman"/>
      <w:b/>
      <w:sz w:val="24"/>
      <w:lang w:val="en-AU" w:eastAsia="en-AU"/>
    </w:rPr>
  </w:style>
  <w:style w:type="character" w:customStyle="1" w:styleId="BodyTextBoldChar0">
    <w:name w:val="Body Text Bold Char"/>
    <w:link w:val="BodyTextBold0"/>
    <w:rsid w:val="001D0908"/>
    <w:rPr>
      <w:rFonts w:ascii="Arial" w:hAnsi="Arial"/>
      <w:b/>
      <w:sz w:val="24"/>
      <w:lang w:val="en-AU" w:eastAsia="en-AU"/>
    </w:rPr>
  </w:style>
  <w:style w:type="paragraph" w:customStyle="1" w:styleId="TableTextSectionE">
    <w:name w:val="Table Text Section E"/>
    <w:basedOn w:val="Normal"/>
    <w:link w:val="TableTextSectionEChar"/>
    <w:qFormat/>
    <w:rsid w:val="001A214A"/>
    <w:pPr>
      <w:spacing w:after="0" w:line="240" w:lineRule="auto"/>
    </w:pPr>
    <w:rPr>
      <w:rFonts w:cs="Times New Roman"/>
      <w:szCs w:val="20"/>
      <w:lang w:eastAsia="en-AU"/>
    </w:rPr>
  </w:style>
  <w:style w:type="character" w:customStyle="1" w:styleId="CaptionChar1CharChar">
    <w:name w:val="Caption Char1 Char Char"/>
    <w:aliases w:val="Caption Char Char Char Char,Caption Char1 Char Char Char Char,Caption Char Char Char Char Char Char,Caption Char Char1 Char Char,Caption Char1 Char1 Char,Caption Char Char Char1 Char,Caption Char1 Char2"/>
    <w:rsid w:val="001A214A"/>
    <w:rPr>
      <w:rFonts w:ascii="Arial Narrow" w:hAnsi="Arial Narrow"/>
      <w:b/>
      <w:lang w:val="en-AU" w:eastAsia="en-GB"/>
    </w:rPr>
  </w:style>
  <w:style w:type="character" w:customStyle="1" w:styleId="TableTextSectionEChar">
    <w:name w:val="Table Text Section E Char"/>
    <w:link w:val="TableTextSectionE"/>
    <w:rsid w:val="001A214A"/>
    <w:rPr>
      <w:rFonts w:ascii="Arial" w:hAnsi="Arial"/>
      <w:sz w:val="22"/>
      <w:lang w:val="en-AU" w:eastAsia="en-AU"/>
    </w:rPr>
  </w:style>
  <w:style w:type="character" w:customStyle="1" w:styleId="TablenotesCharChar">
    <w:name w:val="Table notes Char Char"/>
    <w:rsid w:val="001A214A"/>
    <w:rPr>
      <w:rFonts w:ascii="Arial Narrow" w:hAnsi="Arial Narrow"/>
      <w:sz w:val="24"/>
      <w:lang w:val="en-AU" w:eastAsia="en-US"/>
    </w:rPr>
  </w:style>
  <w:style w:type="paragraph" w:customStyle="1" w:styleId="Bodybullet">
    <w:name w:val="Body bullet"/>
    <w:basedOn w:val="BodyText"/>
    <w:rsid w:val="001A214A"/>
    <w:pPr>
      <w:numPr>
        <w:numId w:val="17"/>
      </w:numPr>
      <w:autoSpaceDE/>
      <w:autoSpaceDN/>
      <w:adjustRightInd/>
    </w:pPr>
    <w:rPr>
      <w:rFonts w:ascii="Arial" w:hAnsi="Arial" w:cs="Arial"/>
      <w:sz w:val="22"/>
      <w:szCs w:val="22"/>
      <w:lang w:val="en-AU"/>
    </w:rPr>
  </w:style>
  <w:style w:type="character" w:customStyle="1" w:styleId="BodyText2Char1">
    <w:name w:val="Body Text 2 Char1"/>
    <w:rsid w:val="00917BBB"/>
    <w:rPr>
      <w:rFonts w:ascii="Arial" w:hAnsi="Arial"/>
      <w:b/>
      <w:sz w:val="24"/>
      <w:lang w:val="en-US" w:eastAsia="en-US"/>
    </w:rPr>
  </w:style>
  <w:style w:type="character" w:customStyle="1" w:styleId="CommentSubjectChar1">
    <w:name w:val="Comment Subject Char1"/>
    <w:rsid w:val="00917BBB"/>
    <w:rPr>
      <w:rFonts w:ascii="Arial" w:hAnsi="Arial"/>
      <w:b/>
      <w:lang w:val="en-AU" w:eastAsia="en-US"/>
    </w:rPr>
  </w:style>
  <w:style w:type="character" w:customStyle="1" w:styleId="BalloonTextChar1">
    <w:name w:val="Balloon Text Char1"/>
    <w:rsid w:val="00917BBB"/>
    <w:rPr>
      <w:rFonts w:ascii="Tahoma" w:hAnsi="Tahoma"/>
      <w:sz w:val="16"/>
      <w:lang w:val="en-AU" w:eastAsia="en-US"/>
    </w:rPr>
  </w:style>
  <w:style w:type="character" w:customStyle="1" w:styleId="FootnoteTextChar1">
    <w:name w:val="Footnote Text Char1"/>
    <w:aliases w:val="Char Char1"/>
    <w:rsid w:val="00EA1007"/>
  </w:style>
  <w:style w:type="character" w:customStyle="1" w:styleId="PlainTextChar1">
    <w:name w:val="Plain Text Char1"/>
    <w:rsid w:val="00917BBB"/>
    <w:rPr>
      <w:rFonts w:ascii="Consolas" w:hAnsi="Consolas"/>
      <w:sz w:val="21"/>
      <w:lang w:val="en-AU" w:eastAsia="en-US"/>
    </w:rPr>
  </w:style>
  <w:style w:type="paragraph" w:styleId="NoSpacing">
    <w:name w:val="No Spacing"/>
    <w:uiPriority w:val="99"/>
    <w:qFormat/>
    <w:rsid w:val="00917BBB"/>
    <w:rPr>
      <w:rFonts w:ascii="Calibri" w:hAnsi="Calibri" w:cs="Calibri"/>
      <w:sz w:val="22"/>
      <w:szCs w:val="22"/>
      <w:lang w:val="en-US" w:eastAsia="en-US"/>
    </w:rPr>
  </w:style>
  <w:style w:type="paragraph" w:customStyle="1" w:styleId="Text">
    <w:name w:val="Text"/>
    <w:basedOn w:val="Normal"/>
    <w:link w:val="TextChar"/>
    <w:rsid w:val="009C6299"/>
    <w:pPr>
      <w:spacing w:after="200" w:line="480" w:lineRule="auto"/>
    </w:pPr>
    <w:rPr>
      <w:rFonts w:cs="Times New Roman"/>
      <w:sz w:val="20"/>
      <w:szCs w:val="20"/>
      <w:lang w:val="en-GB"/>
    </w:rPr>
  </w:style>
  <w:style w:type="character" w:customStyle="1" w:styleId="TextChar">
    <w:name w:val="Text Char"/>
    <w:link w:val="Text"/>
    <w:rsid w:val="009C6299"/>
    <w:rPr>
      <w:rFonts w:ascii="Arial" w:hAnsi="Arial"/>
      <w:lang w:val="en-GB" w:eastAsia="en-US"/>
    </w:rPr>
  </w:style>
  <w:style w:type="character" w:customStyle="1" w:styleId="BodyTextIndentChar">
    <w:name w:val="Body Text Indent Char"/>
    <w:link w:val="BodyTextIndent"/>
    <w:semiHidden/>
    <w:rsid w:val="00EA1007"/>
    <w:rPr>
      <w:rFonts w:ascii="Arial" w:hAnsi="Arial"/>
      <w:sz w:val="24"/>
      <w:lang w:eastAsia="en-US"/>
    </w:rPr>
  </w:style>
  <w:style w:type="character" w:customStyle="1" w:styleId="named-content">
    <w:name w:val="named-content"/>
    <w:rsid w:val="001B7280"/>
    <w:rPr>
      <w:rFonts w:cs="Times New Roman"/>
    </w:rPr>
  </w:style>
  <w:style w:type="character" w:customStyle="1" w:styleId="cit-source">
    <w:name w:val="cit-source"/>
    <w:rsid w:val="001B7280"/>
    <w:rPr>
      <w:rFonts w:cs="Times New Roman"/>
    </w:rPr>
  </w:style>
  <w:style w:type="character" w:customStyle="1" w:styleId="cit-pub-date">
    <w:name w:val="cit-pub-date"/>
    <w:rsid w:val="001B7280"/>
    <w:rPr>
      <w:rFonts w:cs="Times New Roman"/>
    </w:rPr>
  </w:style>
  <w:style w:type="character" w:customStyle="1" w:styleId="cit-vol">
    <w:name w:val="cit-vol"/>
    <w:rsid w:val="001B7280"/>
    <w:rPr>
      <w:rFonts w:cs="Times New Roman"/>
    </w:rPr>
  </w:style>
  <w:style w:type="character" w:customStyle="1" w:styleId="cit-fpage">
    <w:name w:val="cit-fpage"/>
    <w:rsid w:val="001B7280"/>
    <w:rPr>
      <w:rFonts w:cs="Times New Roman"/>
    </w:rPr>
  </w:style>
  <w:style w:type="character" w:customStyle="1" w:styleId="jrnl">
    <w:name w:val="jrnl"/>
    <w:rsid w:val="00E61D20"/>
    <w:rPr>
      <w:rFonts w:cs="Times New Roman"/>
    </w:rPr>
  </w:style>
  <w:style w:type="character" w:customStyle="1" w:styleId="journal">
    <w:name w:val="journal"/>
    <w:rsid w:val="005B6E15"/>
    <w:rPr>
      <w:rFonts w:cs="Times New Roman"/>
    </w:rPr>
  </w:style>
  <w:style w:type="paragraph" w:customStyle="1" w:styleId="Tablefooter">
    <w:name w:val="Table footer"/>
    <w:basedOn w:val="Normal"/>
    <w:link w:val="TablefooterChar"/>
    <w:qFormat/>
    <w:rsid w:val="0013581F"/>
    <w:pPr>
      <w:spacing w:before="80" w:after="80" w:line="240" w:lineRule="auto"/>
    </w:pPr>
    <w:rPr>
      <w:rFonts w:ascii="Arial Narrow" w:hAnsi="Arial Narrow" w:cs="Arial Narrow"/>
      <w:sz w:val="16"/>
      <w:szCs w:val="16"/>
      <w:lang w:eastAsia="en-AU"/>
    </w:rPr>
  </w:style>
  <w:style w:type="character" w:customStyle="1" w:styleId="TablefooterChar">
    <w:name w:val="Table footer Char"/>
    <w:link w:val="Tablefooter"/>
    <w:rsid w:val="00967099"/>
    <w:rPr>
      <w:rFonts w:ascii="Arial Narrow" w:hAnsi="Arial Narrow" w:cs="Arial Narrow"/>
      <w:sz w:val="16"/>
      <w:szCs w:val="16"/>
      <w:lang w:val="en-AU" w:eastAsia="en-AU"/>
    </w:rPr>
  </w:style>
  <w:style w:type="paragraph" w:customStyle="1" w:styleId="Heading50">
    <w:name w:val="Heading5"/>
    <w:basedOn w:val="Normal"/>
    <w:rsid w:val="006069AA"/>
    <w:pPr>
      <w:spacing w:before="240" w:after="360"/>
    </w:pPr>
    <w:rPr>
      <w:i/>
      <w:iCs/>
      <w:spacing w:val="-8"/>
      <w:sz w:val="24"/>
      <w:szCs w:val="24"/>
    </w:rPr>
  </w:style>
  <w:style w:type="paragraph" w:customStyle="1" w:styleId="TableText1">
    <w:name w:val="TableText"/>
    <w:basedOn w:val="Normal"/>
    <w:uiPriority w:val="99"/>
    <w:qFormat/>
    <w:rsid w:val="00412198"/>
    <w:pPr>
      <w:keepNext/>
      <w:spacing w:after="0" w:line="240" w:lineRule="auto"/>
    </w:pPr>
    <w:rPr>
      <w:rFonts w:ascii="Trebuchet MS" w:hAnsi="Trebuchet MS" w:cs="Trebuchet MS"/>
      <w:sz w:val="18"/>
      <w:szCs w:val="18"/>
    </w:rPr>
  </w:style>
  <w:style w:type="paragraph" w:customStyle="1" w:styleId="GIBodytext">
    <w:name w:val="GI Body text"/>
    <w:basedOn w:val="Normal"/>
    <w:rsid w:val="00CA4B30"/>
    <w:pPr>
      <w:spacing w:before="60" w:after="60"/>
      <w:ind w:left="720"/>
    </w:pPr>
    <w:rPr>
      <w:rFonts w:eastAsia="Arial Unicode MS"/>
      <w:sz w:val="20"/>
      <w:szCs w:val="20"/>
      <w:lang w:val="en-US"/>
    </w:rPr>
  </w:style>
  <w:style w:type="paragraph" w:styleId="TOCHeading">
    <w:name w:val="TOC Heading"/>
    <w:basedOn w:val="Heading1"/>
    <w:next w:val="Normal"/>
    <w:uiPriority w:val="39"/>
    <w:qFormat/>
    <w:rsid w:val="00D544F9"/>
    <w:pPr>
      <w:keepLines/>
      <w:pageBreakBefore w:val="0"/>
      <w:numPr>
        <w:numId w:val="0"/>
      </w:numPr>
      <w:tabs>
        <w:tab w:val="clear" w:pos="993"/>
      </w:tabs>
      <w:spacing w:before="480" w:after="0" w:line="276" w:lineRule="auto"/>
      <w:outlineLvl w:val="9"/>
    </w:pPr>
    <w:rPr>
      <w:rFonts w:ascii="Cambria" w:eastAsia="MS Gothic" w:hAnsi="Cambria" w:cs="Cambria"/>
      <w:smallCaps w:val="0"/>
      <w:color w:val="365F91"/>
      <w:sz w:val="28"/>
      <w:szCs w:val="28"/>
      <w:lang w:val="en-US" w:eastAsia="ja-JP"/>
    </w:rPr>
  </w:style>
  <w:style w:type="paragraph" w:customStyle="1" w:styleId="Heading40">
    <w:name w:val="Heading4"/>
    <w:basedOn w:val="Heading30"/>
    <w:rsid w:val="00F47BA5"/>
    <w:pPr>
      <w:spacing w:after="120"/>
      <w:ind w:left="0" w:firstLine="0"/>
    </w:pPr>
    <w:rPr>
      <w:i/>
      <w:iCs/>
      <w:sz w:val="22"/>
      <w:szCs w:val="22"/>
    </w:rPr>
  </w:style>
  <w:style w:type="paragraph" w:customStyle="1" w:styleId="Heading30">
    <w:name w:val="Heading3"/>
    <w:basedOn w:val="Heading20"/>
    <w:rsid w:val="00F47BA5"/>
    <w:pPr>
      <w:spacing w:after="240"/>
    </w:pPr>
    <w:rPr>
      <w:sz w:val="28"/>
      <w:szCs w:val="28"/>
    </w:rPr>
  </w:style>
  <w:style w:type="paragraph" w:customStyle="1" w:styleId="Heading20">
    <w:name w:val="Heading2"/>
    <w:basedOn w:val="Heading1"/>
    <w:link w:val="Heading2Char0"/>
    <w:rsid w:val="00F47BA5"/>
    <w:pPr>
      <w:pageBreakBefore w:val="0"/>
      <w:numPr>
        <w:numId w:val="0"/>
      </w:numPr>
      <w:tabs>
        <w:tab w:val="clear" w:pos="993"/>
        <w:tab w:val="left" w:pos="851"/>
        <w:tab w:val="left" w:pos="1560"/>
      </w:tabs>
      <w:spacing w:before="240"/>
      <w:ind w:left="1701" w:hanging="1701"/>
    </w:pPr>
    <w:rPr>
      <w:rFonts w:ascii="Gill Sans MT" w:eastAsia="MS Mincho" w:hAnsi="Gill Sans MT" w:cs="Times New Roman"/>
      <w:bCs w:val="0"/>
      <w:smallCaps w:val="0"/>
      <w:sz w:val="32"/>
      <w:szCs w:val="20"/>
    </w:rPr>
  </w:style>
  <w:style w:type="character" w:customStyle="1" w:styleId="Heading2Char0">
    <w:name w:val="Heading2 Char"/>
    <w:link w:val="Heading20"/>
    <w:rsid w:val="00F47BA5"/>
    <w:rPr>
      <w:rFonts w:ascii="Gill Sans MT" w:eastAsia="MS Mincho" w:hAnsi="Gill Sans MT"/>
      <w:b/>
      <w:sz w:val="32"/>
      <w:lang w:eastAsia="en-US"/>
    </w:rPr>
  </w:style>
  <w:style w:type="character" w:styleId="EndnoteReference">
    <w:name w:val="endnote reference"/>
    <w:rsid w:val="00F47BA5"/>
    <w:rPr>
      <w:rFonts w:ascii="Verdana" w:hAnsi="Verdana" w:cs="Verdana"/>
      <w:sz w:val="14"/>
      <w:szCs w:val="14"/>
      <w:vertAlign w:val="superscript"/>
    </w:rPr>
  </w:style>
  <w:style w:type="paragraph" w:customStyle="1" w:styleId="Heading2a">
    <w:name w:val="Heading2a"/>
    <w:basedOn w:val="Heading20"/>
    <w:link w:val="Heading2aChar"/>
    <w:rsid w:val="00F47BA5"/>
    <w:pPr>
      <w:ind w:left="0" w:firstLine="0"/>
    </w:pPr>
  </w:style>
  <w:style w:type="character" w:customStyle="1" w:styleId="Heading2aChar">
    <w:name w:val="Heading2a Char"/>
    <w:link w:val="Heading2a"/>
    <w:rsid w:val="00F47BA5"/>
    <w:rPr>
      <w:rFonts w:ascii="Gill Sans MT" w:eastAsia="MS Mincho" w:hAnsi="Gill Sans MT" w:cs="Gill Sans MT"/>
      <w:b/>
      <w:bCs/>
      <w:sz w:val="32"/>
      <w:szCs w:val="32"/>
      <w:lang w:eastAsia="en-US"/>
    </w:rPr>
  </w:style>
  <w:style w:type="paragraph" w:customStyle="1" w:styleId="MediumGrid1-Accent21">
    <w:name w:val="Medium Grid 1 - Accent 21"/>
    <w:basedOn w:val="Normal"/>
    <w:rsid w:val="00F47BA5"/>
    <w:pPr>
      <w:ind w:left="720"/>
      <w:contextualSpacing/>
    </w:pPr>
    <w:rPr>
      <w:rFonts w:ascii="Californian FB" w:eastAsia="MS Mincho" w:hAnsi="Californian FB" w:cs="Californian FB"/>
    </w:rPr>
  </w:style>
  <w:style w:type="character" w:customStyle="1" w:styleId="LightGrid-Accent11">
    <w:name w:val="Light Grid - Accent 11"/>
    <w:semiHidden/>
    <w:rsid w:val="00F47BA5"/>
    <w:rPr>
      <w:color w:val="808080"/>
    </w:rPr>
  </w:style>
  <w:style w:type="paragraph" w:customStyle="1" w:styleId="Heading1a">
    <w:name w:val="Heading 1a"/>
    <w:basedOn w:val="Normal"/>
    <w:rsid w:val="00F47BA5"/>
    <w:pPr>
      <w:spacing w:after="360" w:line="240" w:lineRule="auto"/>
    </w:pPr>
    <w:rPr>
      <w:rFonts w:ascii="Gill Sans MT" w:eastAsia="MS Mincho" w:hAnsi="Gill Sans MT" w:cs="Gill Sans MT"/>
      <w:b/>
      <w:bCs/>
      <w:sz w:val="32"/>
      <w:szCs w:val="32"/>
    </w:rPr>
  </w:style>
  <w:style w:type="paragraph" w:customStyle="1" w:styleId="Heading3a">
    <w:name w:val="Heading3a"/>
    <w:basedOn w:val="Heading30"/>
    <w:rsid w:val="00F47BA5"/>
    <w:pPr>
      <w:ind w:left="0" w:firstLine="0"/>
    </w:pPr>
    <w:rPr>
      <w:b w:val="0"/>
    </w:rPr>
  </w:style>
  <w:style w:type="character" w:customStyle="1" w:styleId="maintitle0">
    <w:name w:val="maintitle"/>
    <w:rsid w:val="00F47BA5"/>
  </w:style>
  <w:style w:type="paragraph" w:customStyle="1" w:styleId="articledetails">
    <w:name w:val="articledetails"/>
    <w:basedOn w:val="Normal"/>
    <w:rsid w:val="00F47BA5"/>
    <w:pPr>
      <w:spacing w:before="100" w:beforeAutospacing="1" w:after="100" w:afterAutospacing="1" w:line="240" w:lineRule="auto"/>
    </w:pPr>
    <w:rPr>
      <w:rFonts w:ascii="Times New Roman" w:eastAsia="MS Mincho" w:hAnsi="Times New Roman" w:cs="Times New Roman"/>
      <w:sz w:val="24"/>
      <w:szCs w:val="24"/>
      <w:lang w:eastAsia="en-AU"/>
    </w:rPr>
  </w:style>
  <w:style w:type="paragraph" w:customStyle="1" w:styleId="StyleHeading116pt">
    <w:name w:val="Style Heading 1 + 16 pt"/>
    <w:basedOn w:val="Heading1"/>
    <w:rsid w:val="00F47BA5"/>
    <w:pPr>
      <w:pageBreakBefore w:val="0"/>
      <w:numPr>
        <w:numId w:val="0"/>
      </w:numPr>
      <w:tabs>
        <w:tab w:val="clear" w:pos="993"/>
        <w:tab w:val="left" w:pos="851"/>
        <w:tab w:val="left" w:pos="1560"/>
      </w:tabs>
      <w:spacing w:before="240" w:after="240" w:line="240" w:lineRule="atLeast"/>
      <w:ind w:left="851" w:hanging="851"/>
    </w:pPr>
    <w:rPr>
      <w:rFonts w:ascii="Gill Sans MT" w:eastAsia="MS Mincho" w:hAnsi="Gill Sans MT" w:cs="Gill Sans MT"/>
      <w:smallCaps w:val="0"/>
      <w:sz w:val="32"/>
      <w:szCs w:val="32"/>
    </w:rPr>
  </w:style>
  <w:style w:type="paragraph" w:customStyle="1" w:styleId="StyleHeading212pt">
    <w:name w:val="Style Heading2 + 12 pt"/>
    <w:basedOn w:val="Heading20"/>
    <w:rsid w:val="00F47BA5"/>
    <w:rPr>
      <w:sz w:val="24"/>
      <w:szCs w:val="24"/>
    </w:rPr>
  </w:style>
  <w:style w:type="paragraph" w:styleId="Date">
    <w:name w:val="Date"/>
    <w:basedOn w:val="Normal"/>
    <w:next w:val="Normal"/>
    <w:link w:val="DateChar"/>
    <w:uiPriority w:val="99"/>
    <w:rsid w:val="00F47BA5"/>
    <w:rPr>
      <w:rFonts w:ascii="Californian FB" w:eastAsia="MS Mincho" w:hAnsi="Californian FB" w:cs="Californian FB"/>
    </w:rPr>
  </w:style>
  <w:style w:type="character" w:customStyle="1" w:styleId="DateChar">
    <w:name w:val="Date Char"/>
    <w:link w:val="Date"/>
    <w:uiPriority w:val="99"/>
    <w:rsid w:val="00F47BA5"/>
    <w:rPr>
      <w:rFonts w:ascii="Californian FB" w:eastAsia="MS Mincho" w:hAnsi="Californian FB" w:cs="Californian FB"/>
      <w:sz w:val="24"/>
      <w:szCs w:val="24"/>
      <w:lang w:eastAsia="en-US"/>
    </w:rPr>
  </w:style>
  <w:style w:type="paragraph" w:customStyle="1" w:styleId="TOCHeading1">
    <w:name w:val="TOC Heading1"/>
    <w:basedOn w:val="Heading1"/>
    <w:next w:val="Normal"/>
    <w:uiPriority w:val="39"/>
    <w:semiHidden/>
    <w:qFormat/>
    <w:rsid w:val="00F47BA5"/>
    <w:pPr>
      <w:keepLines/>
      <w:pageBreakBefore w:val="0"/>
      <w:numPr>
        <w:numId w:val="0"/>
      </w:numPr>
      <w:tabs>
        <w:tab w:val="clear" w:pos="993"/>
        <w:tab w:val="left" w:pos="851"/>
        <w:tab w:val="left" w:pos="1560"/>
      </w:tabs>
      <w:spacing w:before="480" w:after="0" w:line="276" w:lineRule="auto"/>
      <w:outlineLvl w:val="9"/>
    </w:pPr>
    <w:rPr>
      <w:rFonts w:ascii="Cambria" w:eastAsia="MS Gothic" w:hAnsi="Cambria" w:cs="Cambria"/>
      <w:smallCaps w:val="0"/>
      <w:color w:val="365F91"/>
      <w:sz w:val="28"/>
      <w:szCs w:val="28"/>
      <w:lang w:val="en-US" w:eastAsia="ja-JP"/>
    </w:rPr>
  </w:style>
  <w:style w:type="paragraph" w:customStyle="1" w:styleId="ColorfulShading-Accent11">
    <w:name w:val="Colorful Shading - Accent 11"/>
    <w:hidden/>
    <w:uiPriority w:val="99"/>
    <w:semiHidden/>
    <w:rsid w:val="00F47BA5"/>
    <w:rPr>
      <w:rFonts w:ascii="Californian FB" w:eastAsia="MS Mincho" w:hAnsi="Californian FB" w:cs="Californian FB"/>
      <w:sz w:val="22"/>
      <w:szCs w:val="22"/>
      <w:lang w:eastAsia="en-US"/>
    </w:rPr>
  </w:style>
  <w:style w:type="paragraph" w:customStyle="1" w:styleId="TableHeading1">
    <w:name w:val="TableHeading"/>
    <w:basedOn w:val="Normal"/>
    <w:rsid w:val="00F47BA5"/>
    <w:pPr>
      <w:keepNext/>
      <w:spacing w:before="40" w:after="40" w:line="240" w:lineRule="auto"/>
      <w:outlineLvl w:val="1"/>
    </w:pPr>
    <w:rPr>
      <w:rFonts w:ascii="Arial Narrow" w:eastAsia="MS Mincho" w:hAnsi="Arial Narrow" w:cs="Arial Narrow"/>
      <w:b/>
      <w:bCs/>
      <w:sz w:val="20"/>
      <w:szCs w:val="20"/>
    </w:rPr>
  </w:style>
  <w:style w:type="paragraph" w:styleId="HTMLPreformatted">
    <w:name w:val="HTML Preformatted"/>
    <w:basedOn w:val="Normal"/>
    <w:link w:val="HTMLPreformattedChar"/>
    <w:uiPriority w:val="99"/>
    <w:rsid w:val="00F47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PreformattedChar">
    <w:name w:val="HTML Preformatted Char"/>
    <w:link w:val="HTMLPreformatted"/>
    <w:uiPriority w:val="99"/>
    <w:rsid w:val="00F47BA5"/>
    <w:rPr>
      <w:rFonts w:ascii="Courier New" w:eastAsia="MS Mincho" w:hAnsi="Courier New" w:cs="Courier New"/>
      <w:lang w:eastAsia="ja-JP"/>
    </w:rPr>
  </w:style>
  <w:style w:type="table" w:customStyle="1" w:styleId="Summarybox1">
    <w:name w:val="Summary box1"/>
    <w:uiPriority w:val="59"/>
    <w:rsid w:val="00F47BA5"/>
    <w:rPr>
      <w:rFonts w:ascii="Arial Narrow" w:hAnsi="Arial Narrow" w:cs="Arial Narrow"/>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F47BA5"/>
    <w:rPr>
      <w:rFonts w:cs="Times New Roman"/>
      <w:color w:val="808080"/>
    </w:rPr>
  </w:style>
  <w:style w:type="paragraph" w:customStyle="1" w:styleId="SectionSummTop">
    <w:name w:val="SectionSummTop"/>
    <w:basedOn w:val="Normal"/>
    <w:rsid w:val="00604BDF"/>
    <w:pPr>
      <w:spacing w:line="240" w:lineRule="auto"/>
    </w:pPr>
    <w:rPr>
      <w:b/>
      <w:bCs/>
      <w:sz w:val="20"/>
      <w:szCs w:val="20"/>
    </w:rPr>
  </w:style>
  <w:style w:type="character" w:customStyle="1" w:styleId="invert">
    <w:name w:val="invert"/>
    <w:rsid w:val="009E657D"/>
    <w:rPr>
      <w:rFonts w:cs="Times New Roman"/>
    </w:rPr>
  </w:style>
  <w:style w:type="character" w:customStyle="1" w:styleId="highlight">
    <w:name w:val="highlight"/>
    <w:rsid w:val="00F402E7"/>
    <w:rPr>
      <w:rFonts w:cs="Times New Roman"/>
    </w:rPr>
  </w:style>
  <w:style w:type="numbering" w:customStyle="1" w:styleId="StyleNumberedTimesNewRomanPSMT10pt">
    <w:name w:val="Style Numbered TimesNewRomanPSMT 10 pt"/>
    <w:rsid w:val="00CC4EA0"/>
    <w:pPr>
      <w:numPr>
        <w:numId w:val="11"/>
      </w:numPr>
    </w:pPr>
  </w:style>
  <w:style w:type="numbering" w:customStyle="1" w:styleId="StyleBulleted">
    <w:name w:val="Style Bulleted"/>
    <w:rsid w:val="00CC4EA0"/>
    <w:pPr>
      <w:numPr>
        <w:numId w:val="6"/>
      </w:numPr>
    </w:pPr>
  </w:style>
  <w:style w:type="numbering" w:customStyle="1" w:styleId="PBACstandardnumberstyle">
    <w:name w:val="PBAC standard number style"/>
    <w:rsid w:val="00CC4EA0"/>
    <w:pPr>
      <w:numPr>
        <w:numId w:val="19"/>
      </w:numPr>
    </w:pPr>
  </w:style>
  <w:style w:type="paragraph" w:customStyle="1" w:styleId="Listenabsatz1">
    <w:name w:val="Listenabsatz1"/>
    <w:basedOn w:val="Normal"/>
    <w:rsid w:val="0040506E"/>
    <w:pPr>
      <w:ind w:left="720"/>
      <w:contextualSpacing/>
    </w:pPr>
    <w:rPr>
      <w:rFonts w:cs="Times New Roman"/>
      <w:szCs w:val="24"/>
    </w:rPr>
  </w:style>
  <w:style w:type="paragraph" w:customStyle="1" w:styleId="berarbeitung1">
    <w:name w:val="Überarbeitung1"/>
    <w:hidden/>
    <w:semiHidden/>
    <w:rsid w:val="0040506E"/>
    <w:rPr>
      <w:rFonts w:ascii="Arial" w:hAnsi="Arial"/>
      <w:sz w:val="22"/>
      <w:szCs w:val="24"/>
    </w:rPr>
  </w:style>
  <w:style w:type="paragraph" w:customStyle="1" w:styleId="KeinLeerraum1">
    <w:name w:val="Kein Leerraum1"/>
    <w:rsid w:val="0040506E"/>
    <w:rPr>
      <w:rFonts w:ascii="Calibri" w:hAnsi="Calibri"/>
      <w:sz w:val="22"/>
      <w:szCs w:val="22"/>
      <w:lang w:val="en-US" w:eastAsia="en-US"/>
    </w:rPr>
  </w:style>
  <w:style w:type="paragraph" w:customStyle="1" w:styleId="Inhaltsverzeichnisberschrift1">
    <w:name w:val="Inhaltsverzeichnisüberschrift1"/>
    <w:basedOn w:val="Heading1"/>
    <w:next w:val="Normal"/>
    <w:rsid w:val="0040506E"/>
    <w:pPr>
      <w:keepLines/>
      <w:pageBreakBefore w:val="0"/>
      <w:numPr>
        <w:numId w:val="0"/>
      </w:numPr>
      <w:tabs>
        <w:tab w:val="clear" w:pos="993"/>
      </w:tabs>
      <w:spacing w:before="480" w:after="0" w:line="276" w:lineRule="auto"/>
      <w:outlineLvl w:val="9"/>
    </w:pPr>
    <w:rPr>
      <w:rFonts w:ascii="Cambria" w:eastAsia="MS Gothic" w:hAnsi="Cambria" w:cs="Times New Roman"/>
      <w:smallCaps w:val="0"/>
      <w:color w:val="365F91"/>
      <w:sz w:val="28"/>
      <w:szCs w:val="28"/>
      <w:lang w:val="en-US" w:eastAsia="ja-JP"/>
    </w:rPr>
  </w:style>
  <w:style w:type="character" w:customStyle="1" w:styleId="Platzhaltertext1">
    <w:name w:val="Platzhaltertext1"/>
    <w:basedOn w:val="DefaultParagraphFont"/>
    <w:semiHidden/>
    <w:rsid w:val="0040506E"/>
    <w:rPr>
      <w:rFonts w:cs="Times New Roman"/>
      <w:color w:val="808080"/>
    </w:rPr>
  </w:style>
  <w:style w:type="character" w:customStyle="1" w:styleId="li-content">
    <w:name w:val="li-content"/>
    <w:basedOn w:val="DefaultParagraphFont"/>
    <w:rsid w:val="0040506E"/>
    <w:rPr>
      <w:rFonts w:cs="Times New Roman"/>
    </w:rPr>
  </w:style>
  <w:style w:type="paragraph" w:customStyle="1" w:styleId="Tablefootnote">
    <w:name w:val="Table footnote"/>
    <w:basedOn w:val="Tablefooter"/>
    <w:link w:val="TablefootnoteChar"/>
    <w:qFormat/>
    <w:rsid w:val="00531D7C"/>
    <w:rPr>
      <w:lang w:val="en-GB"/>
    </w:rPr>
  </w:style>
  <w:style w:type="character" w:customStyle="1" w:styleId="TablefootnoteChar">
    <w:name w:val="Table footnote Char"/>
    <w:basedOn w:val="TablefooterChar"/>
    <w:link w:val="Tablefootnote"/>
    <w:rsid w:val="00531D7C"/>
    <w:rPr>
      <w:rFonts w:ascii="Arial Narrow" w:hAnsi="Arial Narrow" w:cs="Arial Narrow"/>
      <w:sz w:val="16"/>
      <w:szCs w:val="16"/>
      <w:lang w:val="en-GB" w:eastAsia="en-AU"/>
    </w:rPr>
  </w:style>
  <w:style w:type="paragraph" w:styleId="TOAHeading">
    <w:name w:val="toa heading"/>
    <w:basedOn w:val="Normal"/>
    <w:next w:val="Normal"/>
    <w:uiPriority w:val="99"/>
    <w:semiHidden/>
    <w:unhideWhenUsed/>
    <w:rsid w:val="009D2E7B"/>
    <w:pPr>
      <w:spacing w:before="120"/>
    </w:pPr>
    <w:rPr>
      <w:rFonts w:asciiTheme="majorHAnsi" w:eastAsiaTheme="majorEastAsia" w:hAnsiTheme="majorHAnsi" w:cstheme="majorBidi"/>
      <w:b/>
      <w:bCs/>
      <w:sz w:val="24"/>
      <w:szCs w:val="24"/>
    </w:rPr>
  </w:style>
  <w:style w:type="paragraph" w:styleId="BodyText2">
    <w:name w:val="Body Text 2"/>
    <w:basedOn w:val="Normal"/>
    <w:link w:val="BodyText2Char"/>
    <w:semiHidden/>
    <w:rsid w:val="00A62632"/>
    <w:rPr>
      <w:b/>
      <w:bCs/>
      <w:sz w:val="24"/>
      <w:szCs w:val="24"/>
      <w:lang w:val="en-US"/>
    </w:rPr>
  </w:style>
  <w:style w:type="character" w:customStyle="1" w:styleId="BodyText2Char2">
    <w:name w:val="Body Text 2 Char2"/>
    <w:basedOn w:val="DefaultParagraphFont"/>
    <w:uiPriority w:val="99"/>
    <w:semiHidden/>
    <w:rsid w:val="00A62632"/>
    <w:rPr>
      <w:rFonts w:ascii="Arial" w:hAnsi="Arial" w:cs="Arial"/>
      <w:sz w:val="22"/>
      <w:szCs w:val="22"/>
      <w:lang w:eastAsia="en-US"/>
    </w:rPr>
  </w:style>
  <w:style w:type="table" w:customStyle="1" w:styleId="Submissionstandard">
    <w:name w:val="Submission standard"/>
    <w:basedOn w:val="TableNormal"/>
    <w:uiPriority w:val="99"/>
    <w:qFormat/>
    <w:rsid w:val="00A62632"/>
    <w:rPr>
      <w:rFonts w:ascii="Arial Narrow" w:eastAsia="MS Gothic" w:hAnsi="Arial Narrow"/>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Gungsuh" w:hAnsi="Gungsuh"/>
        <w:b/>
        <w:sz w:val="20"/>
      </w:rPr>
      <w:tblPr/>
      <w:tcPr>
        <w:shd w:val="clear" w:color="auto" w:fill="BFBFBF"/>
      </w:tcPr>
    </w:tblStylePr>
  </w:style>
  <w:style w:type="character" w:customStyle="1" w:styleId="TableBold">
    <w:name w:val="Table Bold"/>
    <w:uiPriority w:val="4"/>
    <w:qFormat/>
    <w:rsid w:val="00A62632"/>
    <w:rPr>
      <w:rFonts w:ascii="Arial Narrow" w:hAnsi="Arial Narrow"/>
      <w:b/>
      <w:sz w:val="20"/>
      <w:lang w:val="en-AU"/>
    </w:rPr>
  </w:style>
  <w:style w:type="character" w:customStyle="1" w:styleId="googqs-tidbit">
    <w:name w:val="goog_qs-tidbit"/>
    <w:basedOn w:val="DefaultParagraphFont"/>
    <w:rsid w:val="00463446"/>
  </w:style>
  <w:style w:type="paragraph" w:customStyle="1" w:styleId="minoredits">
    <w:name w:val="minor edits"/>
    <w:basedOn w:val="Normal"/>
    <w:link w:val="minoreditsChar"/>
    <w:qFormat/>
    <w:rsid w:val="006E7F44"/>
    <w:pPr>
      <w:spacing w:before="120" w:line="276" w:lineRule="auto"/>
    </w:pPr>
    <w:rPr>
      <w:rFonts w:eastAsiaTheme="minorHAnsi"/>
      <w:color w:val="1B3FF1"/>
    </w:rPr>
  </w:style>
  <w:style w:type="character" w:customStyle="1" w:styleId="ListParagraphChar">
    <w:name w:val="List Paragraph Char"/>
    <w:basedOn w:val="DefaultParagraphFont"/>
    <w:link w:val="ListParagraph"/>
    <w:uiPriority w:val="34"/>
    <w:rsid w:val="006E7F44"/>
    <w:rPr>
      <w:rFonts w:ascii="Arial" w:hAnsi="Arial" w:cs="Arial"/>
      <w:sz w:val="22"/>
      <w:szCs w:val="22"/>
      <w:lang w:eastAsia="en-US"/>
    </w:rPr>
  </w:style>
  <w:style w:type="character" w:customStyle="1" w:styleId="minoreditsChar">
    <w:name w:val="minor edits Char"/>
    <w:basedOn w:val="DefaultParagraphFont"/>
    <w:link w:val="minoredits"/>
    <w:rsid w:val="006E7F44"/>
    <w:rPr>
      <w:rFonts w:ascii="Arial" w:eastAsiaTheme="minorHAnsi" w:hAnsi="Arial" w:cs="Arial"/>
      <w:color w:val="1B3FF1"/>
      <w:sz w:val="22"/>
      <w:szCs w:val="22"/>
      <w:lang w:eastAsia="en-US"/>
    </w:rPr>
  </w:style>
  <w:style w:type="paragraph" w:customStyle="1" w:styleId="wp-caption-text">
    <w:name w:val="wp-caption-text"/>
    <w:basedOn w:val="Normal"/>
    <w:rsid w:val="00951BE9"/>
    <w:pPr>
      <w:spacing w:before="100" w:beforeAutospacing="1" w:after="100" w:afterAutospacing="1" w:line="240" w:lineRule="auto"/>
    </w:pPr>
    <w:rPr>
      <w:rFonts w:ascii="Times New Roman" w:hAnsi="Times New Roman" w:cs="Times New Roman"/>
      <w:sz w:val="24"/>
      <w:szCs w:val="24"/>
      <w:lang w:eastAsia="en-AU"/>
    </w:rPr>
  </w:style>
  <w:style w:type="paragraph" w:customStyle="1" w:styleId="headinganchor2">
    <w:name w:val="headinganchor2"/>
    <w:basedOn w:val="Normal"/>
    <w:rsid w:val="00B70754"/>
    <w:pPr>
      <w:spacing w:before="100" w:beforeAutospacing="1" w:after="100" w:afterAutospacing="1" w:line="240" w:lineRule="auto"/>
    </w:pPr>
    <w:rPr>
      <w:rFonts w:ascii="Times New Roman" w:hAnsi="Times New Roman" w:cs="Times New Roman"/>
      <w:sz w:val="24"/>
      <w:szCs w:val="24"/>
      <w:lang w:eastAsia="en-AU"/>
    </w:rPr>
  </w:style>
  <w:style w:type="paragraph" w:customStyle="1" w:styleId="Comments">
    <w:name w:val="Comments"/>
    <w:basedOn w:val="ListParagraph"/>
    <w:link w:val="CommentsChar"/>
    <w:qFormat/>
    <w:rsid w:val="00785829"/>
    <w:pPr>
      <w:spacing w:before="120" w:line="276" w:lineRule="auto"/>
      <w:ind w:left="502"/>
    </w:pPr>
    <w:rPr>
      <w:rFonts w:eastAsia="Calibri"/>
      <w:i/>
      <w:color w:val="1B3FF1"/>
      <w:szCs w:val="24"/>
    </w:rPr>
  </w:style>
  <w:style w:type="character" w:customStyle="1" w:styleId="CommentsChar">
    <w:name w:val="Comments Char"/>
    <w:basedOn w:val="ListParagraphChar"/>
    <w:link w:val="Comments"/>
    <w:rsid w:val="00785829"/>
    <w:rPr>
      <w:rFonts w:ascii="Arial" w:eastAsia="Calibri" w:hAnsi="Arial" w:cs="Arial"/>
      <w:i/>
      <w:color w:val="1B3FF1"/>
      <w:sz w:val="22"/>
      <w:szCs w:val="24"/>
      <w:lang w:eastAsia="en-US"/>
    </w:rPr>
  </w:style>
  <w:style w:type="paragraph" w:customStyle="1" w:styleId="p">
    <w:name w:val="p"/>
    <w:basedOn w:val="Normal"/>
    <w:rsid w:val="00646C9C"/>
    <w:pPr>
      <w:spacing w:before="100" w:beforeAutospacing="1" w:after="100" w:afterAutospacing="1" w:line="240" w:lineRule="auto"/>
    </w:pPr>
    <w:rPr>
      <w:rFonts w:ascii="Times New Roman" w:hAnsi="Times New Roman" w:cs="Times New Roman"/>
      <w:sz w:val="24"/>
      <w:szCs w:val="24"/>
      <w:lang w:eastAsia="en-AU"/>
    </w:rPr>
  </w:style>
  <w:style w:type="paragraph" w:customStyle="1" w:styleId="ReportText">
    <w:name w:val="Report Text"/>
    <w:link w:val="ReportTextChar"/>
    <w:rsid w:val="002C2359"/>
    <w:pPr>
      <w:spacing w:line="288" w:lineRule="auto"/>
      <w:jc w:val="both"/>
    </w:pPr>
    <w:rPr>
      <w:rFonts w:ascii="Arial" w:hAnsi="Arial"/>
      <w:sz w:val="22"/>
      <w:lang w:val="en-GB" w:eastAsia="en-US"/>
    </w:rPr>
  </w:style>
  <w:style w:type="character" w:customStyle="1" w:styleId="ReportTextChar">
    <w:name w:val="Report Text Char"/>
    <w:basedOn w:val="DefaultParagraphFont"/>
    <w:link w:val="ReportText"/>
    <w:rsid w:val="002C2359"/>
    <w:rPr>
      <w:rFonts w:ascii="Arial" w:hAnsi="Arial"/>
      <w:sz w:val="22"/>
      <w:lang w:val="en-GB" w:eastAsia="en-US"/>
    </w:rPr>
  </w:style>
  <w:style w:type="paragraph" w:customStyle="1" w:styleId="EndNoteBibliography">
    <w:name w:val="EndNote Bibliography"/>
    <w:basedOn w:val="Normal"/>
    <w:link w:val="EndNoteBibliographyChar"/>
    <w:rsid w:val="00163D10"/>
    <w:pPr>
      <w:spacing w:after="0" w:line="240" w:lineRule="auto"/>
      <w:jc w:val="both"/>
    </w:pPr>
    <w:rPr>
      <w:noProof/>
      <w:szCs w:val="24"/>
      <w:lang w:val="en-US"/>
    </w:rPr>
  </w:style>
  <w:style w:type="character" w:customStyle="1" w:styleId="EndNoteBibliographyChar">
    <w:name w:val="EndNote Bibliography Char"/>
    <w:basedOn w:val="DefaultParagraphFont"/>
    <w:link w:val="EndNoteBibliography"/>
    <w:rsid w:val="00163D10"/>
    <w:rPr>
      <w:rFonts w:ascii="Arial" w:eastAsiaTheme="minorEastAsia" w:hAnsi="Arial" w:cs="Arial"/>
      <w:noProof/>
      <w:sz w:val="22"/>
      <w:szCs w:val="24"/>
      <w:lang w:val="en-US" w:eastAsia="en-US"/>
    </w:rPr>
  </w:style>
  <w:style w:type="paragraph" w:customStyle="1" w:styleId="Pa5">
    <w:name w:val="Pa5"/>
    <w:basedOn w:val="Default"/>
    <w:next w:val="Default"/>
    <w:uiPriority w:val="99"/>
    <w:rsid w:val="00257DE8"/>
    <w:pPr>
      <w:spacing w:line="401" w:lineRule="atLeast"/>
    </w:pPr>
    <w:rPr>
      <w:rFonts w:ascii="OYKZI O+ Helvetica Neue LT" w:hAnsi="OYKZI O+ Helvetica Neue LT" w:cs="Times New Roman"/>
      <w:color w:val="auto"/>
      <w:lang w:val="en-AU" w:eastAsia="en-AU"/>
    </w:rPr>
  </w:style>
  <w:style w:type="paragraph" w:customStyle="1" w:styleId="Pa2">
    <w:name w:val="Pa2"/>
    <w:basedOn w:val="Default"/>
    <w:next w:val="Default"/>
    <w:uiPriority w:val="99"/>
    <w:rsid w:val="00257DE8"/>
    <w:pPr>
      <w:spacing w:line="191" w:lineRule="atLeast"/>
    </w:pPr>
    <w:rPr>
      <w:rFonts w:ascii="OYKZI O+ Helvetica Neue LT" w:hAnsi="OYKZI O+ Helvetica Neue LT" w:cs="Times New Roman"/>
      <w:color w:val="auto"/>
      <w:lang w:val="en-AU" w:eastAsia="en-AU"/>
    </w:rPr>
  </w:style>
  <w:style w:type="character" w:customStyle="1" w:styleId="A7">
    <w:name w:val="A7"/>
    <w:uiPriority w:val="99"/>
    <w:rsid w:val="00257DE8"/>
    <w:rPr>
      <w:rFonts w:cs="OYKZI O+ Helvetica Neue LT"/>
      <w:color w:val="000000"/>
      <w:sz w:val="11"/>
      <w:szCs w:val="11"/>
    </w:rPr>
  </w:style>
  <w:style w:type="paragraph" w:customStyle="1" w:styleId="TableText5">
    <w:name w:val="Table Text"/>
    <w:basedOn w:val="Normal"/>
    <w:link w:val="TableTextChar0"/>
    <w:qFormat/>
    <w:rsid w:val="007F5738"/>
    <w:pPr>
      <w:spacing w:before="80" w:after="80" w:line="240" w:lineRule="auto"/>
    </w:pPr>
    <w:rPr>
      <w:rFonts w:cs="Times New Roman"/>
      <w:szCs w:val="20"/>
      <w:lang w:eastAsia="en-AU"/>
    </w:rPr>
  </w:style>
  <w:style w:type="character" w:customStyle="1" w:styleId="TableTextChar0">
    <w:name w:val="Table Text Char"/>
    <w:link w:val="TableText5"/>
    <w:rsid w:val="007F5738"/>
    <w:rPr>
      <w:rFonts w:ascii="Arial" w:hAnsi="Arial"/>
      <w:sz w:val="22"/>
    </w:rPr>
  </w:style>
  <w:style w:type="character" w:customStyle="1" w:styleId="ref-journal">
    <w:name w:val="ref-journal"/>
    <w:basedOn w:val="DefaultParagraphFont"/>
    <w:rsid w:val="00901370"/>
  </w:style>
  <w:style w:type="character" w:customStyle="1" w:styleId="ref-vol">
    <w:name w:val="ref-vol"/>
    <w:basedOn w:val="DefaultParagraphFont"/>
    <w:rsid w:val="00901370"/>
  </w:style>
  <w:style w:type="paragraph" w:customStyle="1" w:styleId="Pa16">
    <w:name w:val="Pa16"/>
    <w:basedOn w:val="Normal"/>
    <w:next w:val="Normal"/>
    <w:uiPriority w:val="99"/>
    <w:rsid w:val="00E5456F"/>
    <w:pPr>
      <w:autoSpaceDE w:val="0"/>
      <w:autoSpaceDN w:val="0"/>
      <w:adjustRightInd w:val="0"/>
      <w:spacing w:after="0" w:line="181" w:lineRule="atLeast"/>
    </w:pPr>
    <w:rPr>
      <w:rFonts w:ascii="OYKZI O+ Helvetica Neue LT" w:hAnsi="OYKZI O+ Helvetica Neue LT" w:cs="Times New Roman"/>
      <w:sz w:val="24"/>
      <w:szCs w:val="24"/>
      <w:lang w:eastAsia="en-AU"/>
    </w:rPr>
  </w:style>
  <w:style w:type="paragraph" w:customStyle="1" w:styleId="TableNotes1">
    <w:name w:val="Table Notes"/>
    <w:basedOn w:val="Normal"/>
    <w:next w:val="Normal"/>
    <w:link w:val="TableNotesChar0"/>
    <w:uiPriority w:val="99"/>
    <w:qFormat/>
    <w:rsid w:val="006E0596"/>
    <w:pPr>
      <w:keepNext/>
      <w:keepLines/>
      <w:spacing w:before="60" w:after="0" w:line="240" w:lineRule="auto"/>
      <w:jc w:val="both"/>
    </w:pPr>
    <w:rPr>
      <w:rFonts w:cs="Times New Roman"/>
      <w:sz w:val="16"/>
      <w:szCs w:val="16"/>
      <w:lang w:eastAsia="en-AU"/>
    </w:rPr>
  </w:style>
  <w:style w:type="character" w:customStyle="1" w:styleId="TableNotesChar0">
    <w:name w:val="Table Notes Char"/>
    <w:link w:val="TableNotes1"/>
    <w:uiPriority w:val="99"/>
    <w:rsid w:val="006E0596"/>
    <w:rPr>
      <w:rFonts w:ascii="Arial" w:hAnsi="Arial"/>
      <w:sz w:val="16"/>
      <w:szCs w:val="16"/>
    </w:rPr>
  </w:style>
  <w:style w:type="paragraph" w:customStyle="1" w:styleId="Pa28">
    <w:name w:val="Pa28"/>
    <w:basedOn w:val="Default"/>
    <w:next w:val="Default"/>
    <w:uiPriority w:val="99"/>
    <w:rsid w:val="006F5516"/>
    <w:pPr>
      <w:spacing w:line="201" w:lineRule="atLeast"/>
    </w:pPr>
    <w:rPr>
      <w:rFonts w:ascii="Arial Narrow" w:hAnsi="Arial Narrow" w:cs="Times New Roman"/>
      <w:color w:val="auto"/>
      <w:lang w:val="en-AU" w:eastAsia="en-AU"/>
    </w:rPr>
  </w:style>
  <w:style w:type="character" w:customStyle="1" w:styleId="A3">
    <w:name w:val="A3"/>
    <w:uiPriority w:val="99"/>
    <w:rsid w:val="006F5516"/>
    <w:rPr>
      <w:rFonts w:cs="Arial Narrow"/>
      <w:b/>
      <w:bCs/>
      <w:color w:val="000000"/>
      <w:sz w:val="18"/>
      <w:szCs w:val="18"/>
    </w:rPr>
  </w:style>
  <w:style w:type="paragraph" w:customStyle="1" w:styleId="Pa20">
    <w:name w:val="Pa20"/>
    <w:basedOn w:val="Default"/>
    <w:next w:val="Default"/>
    <w:uiPriority w:val="99"/>
    <w:rsid w:val="006F5516"/>
    <w:pPr>
      <w:spacing w:line="201" w:lineRule="atLeast"/>
    </w:pPr>
    <w:rPr>
      <w:rFonts w:ascii="Arial Narrow" w:hAnsi="Arial Narrow" w:cs="Times New Roman"/>
      <w:color w:val="auto"/>
      <w:lang w:val="en-AU" w:eastAsia="en-AU"/>
    </w:rPr>
  </w:style>
  <w:style w:type="paragraph" w:customStyle="1" w:styleId="Pa3">
    <w:name w:val="Pa3"/>
    <w:basedOn w:val="Default"/>
    <w:next w:val="Default"/>
    <w:uiPriority w:val="99"/>
    <w:rsid w:val="006F5516"/>
    <w:pPr>
      <w:spacing w:line="201" w:lineRule="atLeast"/>
    </w:pPr>
    <w:rPr>
      <w:rFonts w:ascii="Arial Narrow" w:hAnsi="Arial Narrow" w:cs="Times New Roman"/>
      <w:color w:val="auto"/>
      <w:lang w:val="en-AU" w:eastAsia="en-AU"/>
    </w:rPr>
  </w:style>
  <w:style w:type="character" w:customStyle="1" w:styleId="Heading6Char1">
    <w:name w:val="Heading 6 Char1"/>
    <w:aliases w:val="DO NOT USE Char1,DO NOT USE4 Char1"/>
    <w:basedOn w:val="DefaultParagraphFont"/>
    <w:semiHidden/>
    <w:rsid w:val="00A41E60"/>
    <w:rPr>
      <w:rFonts w:asciiTheme="majorHAnsi" w:eastAsiaTheme="majorEastAsia" w:hAnsiTheme="majorHAnsi" w:cstheme="majorBidi"/>
      <w:color w:val="243F60" w:themeColor="accent1" w:themeShade="7F"/>
      <w:sz w:val="22"/>
      <w:szCs w:val="22"/>
      <w:lang w:eastAsia="en-US"/>
    </w:rPr>
  </w:style>
  <w:style w:type="paragraph" w:customStyle="1" w:styleId="msonormal0">
    <w:name w:val="msonormal"/>
    <w:basedOn w:val="Normal"/>
    <w:uiPriority w:val="99"/>
    <w:rsid w:val="00A41E60"/>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ooterChar1">
    <w:name w:val="Footer Char1"/>
    <w:aliases w:val="Page Footer Char1"/>
    <w:basedOn w:val="DefaultParagraphFont"/>
    <w:semiHidden/>
    <w:rsid w:val="00A41E60"/>
    <w:rPr>
      <w:rFonts w:ascii="Arial" w:hAnsi="Arial" w:cs="Arial"/>
      <w:sz w:val="22"/>
      <w:szCs w:val="22"/>
      <w:lang w:eastAsia="en-US"/>
    </w:rPr>
  </w:style>
  <w:style w:type="character" w:customStyle="1" w:styleId="CharChar13">
    <w:name w:val="Char Char13"/>
    <w:rsid w:val="000C04B5"/>
    <w:rPr>
      <w:rFonts w:ascii="Arial" w:hAnsi="Arial"/>
      <w:b/>
      <w:caps/>
      <w:kern w:val="32"/>
      <w:sz w:val="32"/>
      <w:lang w:val="en-GB" w:eastAsia="en-GB"/>
    </w:rPr>
  </w:style>
  <w:style w:type="character" w:customStyle="1" w:styleId="CharChar7">
    <w:name w:val="Char Char7"/>
    <w:rsid w:val="000C04B5"/>
    <w:rPr>
      <w:rFonts w:ascii="Arial Narrow" w:hAnsi="Arial Narrow"/>
      <w:b/>
      <w:sz w:val="22"/>
      <w:lang w:val="en-AU" w:eastAsia="en-GB"/>
    </w:rPr>
  </w:style>
  <w:style w:type="character" w:customStyle="1" w:styleId="CharChar11">
    <w:name w:val="Char Char11"/>
    <w:rsid w:val="000C04B5"/>
    <w:rPr>
      <w:rFonts w:ascii="Arial" w:hAnsi="Arial"/>
      <w:b/>
      <w:i/>
      <w:lang w:eastAsia="en-US"/>
    </w:rPr>
  </w:style>
  <w:style w:type="character" w:customStyle="1" w:styleId="CharChar4">
    <w:name w:val="Char Char4"/>
    <w:rsid w:val="000C04B5"/>
    <w:rPr>
      <w:rFonts w:ascii="Arial" w:hAnsi="Arial"/>
      <w:b/>
      <w:smallCaps/>
      <w:sz w:val="28"/>
      <w:lang w:val="en-AU" w:eastAsia="en-AU"/>
    </w:rPr>
  </w:style>
  <w:style w:type="character" w:customStyle="1" w:styleId="CharCharCharChar">
    <w:name w:val="Char Char Char Char"/>
    <w:rsid w:val="000C04B5"/>
    <w:rPr>
      <w:rFonts w:ascii="Courier New" w:hAnsi="Courier New"/>
      <w:lang w:val="en-AU" w:eastAsia="en-AU"/>
    </w:rPr>
  </w:style>
  <w:style w:type="paragraph" w:customStyle="1" w:styleId="Tableorfigurefootnote">
    <w:name w:val="Table or figure footnote"/>
    <w:next w:val="BodyText"/>
    <w:link w:val="TableorfigurefootnoteChar"/>
    <w:rsid w:val="00315893"/>
    <w:rPr>
      <w:rFonts w:ascii="Arial" w:eastAsia="Times New Roman" w:hAnsi="Arial"/>
      <w:sz w:val="22"/>
      <w:lang w:val="en-GB" w:eastAsia="en-GB"/>
    </w:rPr>
  </w:style>
  <w:style w:type="character" w:customStyle="1" w:styleId="TableorfigurefootnoteChar">
    <w:name w:val="Table or figure footnote Char"/>
    <w:link w:val="Tableorfigurefootnote"/>
    <w:rsid w:val="00315893"/>
    <w:rPr>
      <w:rFonts w:ascii="Arial" w:eastAsia="Times New Roman" w:hAnsi="Arial"/>
      <w:sz w:val="22"/>
      <w:lang w:val="en-GB" w:eastAsia="en-GB"/>
    </w:rPr>
  </w:style>
  <w:style w:type="paragraph" w:customStyle="1" w:styleId="Tableorfigurefootnotesuperscript">
    <w:name w:val="Table or figure footnote superscript"/>
    <w:basedOn w:val="Tableorfigurefootnote"/>
    <w:next w:val="Tableorfigurefootnote"/>
    <w:rsid w:val="00315893"/>
    <w:rPr>
      <w:vertAlign w:val="superscript"/>
    </w:rPr>
  </w:style>
  <w:style w:type="paragraph" w:customStyle="1" w:styleId="TableArialNarrow10">
    <w:name w:val="Table Arial Narrow 10"/>
    <w:basedOn w:val="Normal"/>
    <w:rsid w:val="00315893"/>
    <w:pPr>
      <w:keepNext/>
      <w:keepLines/>
      <w:spacing w:before="40" w:after="60" w:line="240" w:lineRule="auto"/>
    </w:pPr>
    <w:rPr>
      <w:rFonts w:ascii="Arial Narrow" w:eastAsiaTheme="majorEastAsia" w:hAnsi="Arial Narrow" w:cstheme="majorBidi"/>
      <w:sz w:val="20"/>
      <w:szCs w:val="20"/>
      <w:lang w:eastAsia="en-AU" w:bidi="en-US"/>
    </w:rPr>
  </w:style>
  <w:style w:type="table" w:customStyle="1" w:styleId="TableGridbeth1">
    <w:name w:val="Table Gridbeth1"/>
    <w:basedOn w:val="TableNormal"/>
    <w:next w:val="TableGrid"/>
    <w:uiPriority w:val="99"/>
    <w:rsid w:val="00315893"/>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autoRedefine/>
    <w:qFormat/>
    <w:rsid w:val="003C467C"/>
    <w:pPr>
      <w:keepNext w:val="0"/>
      <w:pageBreakBefore w:val="0"/>
      <w:widowControl w:val="0"/>
      <w:numPr>
        <w:numId w:val="0"/>
      </w:numPr>
      <w:tabs>
        <w:tab w:val="clear" w:pos="993"/>
      </w:tabs>
      <w:spacing w:before="0" w:after="240"/>
    </w:pPr>
    <w:rPr>
      <w:rFonts w:eastAsia="Times New Roman"/>
      <w:smallCaps w:val="0"/>
      <w:kern w:val="32"/>
      <w:sz w:val="32"/>
      <w:szCs w:val="32"/>
    </w:rPr>
  </w:style>
  <w:style w:type="character" w:customStyle="1" w:styleId="Style1Char">
    <w:name w:val="Style1 Char"/>
    <w:basedOn w:val="Heading1Char"/>
    <w:link w:val="Style1"/>
    <w:rsid w:val="003C467C"/>
    <w:rPr>
      <w:rFonts w:ascii="Arial" w:eastAsia="Times New Roman" w:hAnsi="Arial" w:cs="Arial"/>
      <w:b/>
      <w:bCs/>
      <w:smallCaps w:val="0"/>
      <w:kern w:val="32"/>
      <w:sz w:val="32"/>
      <w:szCs w:val="32"/>
      <w:lang w:val="de-DE" w:eastAsia="en-US"/>
    </w:rPr>
  </w:style>
  <w:style w:type="paragraph" w:customStyle="1" w:styleId="ExecSummHead">
    <w:name w:val="ExecSummHead"/>
    <w:basedOn w:val="Normal"/>
    <w:uiPriority w:val="99"/>
    <w:qFormat/>
    <w:rsid w:val="005C5403"/>
    <w:pPr>
      <w:spacing w:before="120" w:line="240" w:lineRule="auto"/>
    </w:pPr>
    <w:rPr>
      <w:rFonts w:eastAsia="Times New Roman" w:cs="Times New Roman"/>
      <w:b/>
      <w:bCs/>
      <w:i/>
      <w:iCs/>
      <w:szCs w:val="20"/>
      <w:lang w:eastAsia="en-AU"/>
    </w:rPr>
  </w:style>
  <w:style w:type="paragraph" w:customStyle="1" w:styleId="ExecSummText">
    <w:name w:val="ExecSummText"/>
    <w:basedOn w:val="Normal"/>
    <w:qFormat/>
    <w:rsid w:val="005C5403"/>
    <w:pPr>
      <w:widowControl w:val="0"/>
      <w:spacing w:before="120" w:line="240" w:lineRule="auto"/>
    </w:pPr>
    <w:rPr>
      <w:rFonts w:asciiTheme="majorHAnsi" w:eastAsia="Times New Roman" w:hAnsiTheme="majorHAnsi" w:cs="Times New Roman"/>
      <w:sz w:val="20"/>
      <w:szCs w:val="20"/>
      <w:u w:val="single"/>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120"/>
          <w:marBottom w:val="0"/>
          <w:divBdr>
            <w:top w:val="none" w:sz="0" w:space="0" w:color="auto"/>
            <w:left w:val="none" w:sz="0" w:space="0" w:color="auto"/>
            <w:bottom w:val="none" w:sz="0" w:space="0" w:color="auto"/>
            <w:right w:val="none" w:sz="0" w:space="0" w:color="auto"/>
          </w:divBdr>
        </w:div>
        <w:div w:id="33">
          <w:marLeft w:val="0"/>
          <w:marRight w:val="0"/>
          <w:marTop w:val="12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120"/>
          <w:marBottom w:val="0"/>
          <w:divBdr>
            <w:top w:val="none" w:sz="0" w:space="0" w:color="auto"/>
            <w:left w:val="none" w:sz="0" w:space="0" w:color="auto"/>
            <w:bottom w:val="none" w:sz="0" w:space="0" w:color="auto"/>
            <w:right w:val="none" w:sz="0" w:space="0" w:color="auto"/>
          </w:divBdr>
        </w:div>
        <w:div w:id="40">
          <w:marLeft w:val="0"/>
          <w:marRight w:val="0"/>
          <w:marTop w:val="12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70811238">
      <w:bodyDiv w:val="1"/>
      <w:marLeft w:val="0"/>
      <w:marRight w:val="0"/>
      <w:marTop w:val="0"/>
      <w:marBottom w:val="0"/>
      <w:divBdr>
        <w:top w:val="none" w:sz="0" w:space="0" w:color="auto"/>
        <w:left w:val="none" w:sz="0" w:space="0" w:color="auto"/>
        <w:bottom w:val="none" w:sz="0" w:space="0" w:color="auto"/>
        <w:right w:val="none" w:sz="0" w:space="0" w:color="auto"/>
      </w:divBdr>
      <w:divsChild>
        <w:div w:id="1915553072">
          <w:marLeft w:val="0"/>
          <w:marRight w:val="0"/>
          <w:marTop w:val="0"/>
          <w:marBottom w:val="15"/>
          <w:divBdr>
            <w:top w:val="none" w:sz="0" w:space="0" w:color="auto"/>
            <w:left w:val="none" w:sz="0" w:space="0" w:color="auto"/>
            <w:bottom w:val="none" w:sz="0" w:space="0" w:color="auto"/>
            <w:right w:val="none" w:sz="0" w:space="0" w:color="auto"/>
          </w:divBdr>
          <w:divsChild>
            <w:div w:id="775057355">
              <w:marLeft w:val="45"/>
              <w:marRight w:val="45"/>
              <w:marTop w:val="0"/>
              <w:marBottom w:val="0"/>
              <w:divBdr>
                <w:top w:val="none" w:sz="0" w:space="0" w:color="auto"/>
                <w:left w:val="none" w:sz="0" w:space="0" w:color="auto"/>
                <w:bottom w:val="none" w:sz="0" w:space="0" w:color="auto"/>
                <w:right w:val="none" w:sz="0" w:space="0" w:color="auto"/>
              </w:divBdr>
              <w:divsChild>
                <w:div w:id="4973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835">
      <w:bodyDiv w:val="1"/>
      <w:marLeft w:val="0"/>
      <w:marRight w:val="0"/>
      <w:marTop w:val="0"/>
      <w:marBottom w:val="0"/>
      <w:divBdr>
        <w:top w:val="none" w:sz="0" w:space="0" w:color="auto"/>
        <w:left w:val="none" w:sz="0" w:space="0" w:color="auto"/>
        <w:bottom w:val="none" w:sz="0" w:space="0" w:color="auto"/>
        <w:right w:val="none" w:sz="0" w:space="0" w:color="auto"/>
      </w:divBdr>
    </w:div>
    <w:div w:id="139002519">
      <w:bodyDiv w:val="1"/>
      <w:marLeft w:val="0"/>
      <w:marRight w:val="0"/>
      <w:marTop w:val="0"/>
      <w:marBottom w:val="0"/>
      <w:divBdr>
        <w:top w:val="none" w:sz="0" w:space="0" w:color="auto"/>
        <w:left w:val="none" w:sz="0" w:space="0" w:color="auto"/>
        <w:bottom w:val="none" w:sz="0" w:space="0" w:color="auto"/>
        <w:right w:val="none" w:sz="0" w:space="0" w:color="auto"/>
      </w:divBdr>
    </w:div>
    <w:div w:id="170797514">
      <w:bodyDiv w:val="1"/>
      <w:marLeft w:val="0"/>
      <w:marRight w:val="0"/>
      <w:marTop w:val="0"/>
      <w:marBottom w:val="0"/>
      <w:divBdr>
        <w:top w:val="none" w:sz="0" w:space="0" w:color="auto"/>
        <w:left w:val="none" w:sz="0" w:space="0" w:color="auto"/>
        <w:bottom w:val="none" w:sz="0" w:space="0" w:color="auto"/>
        <w:right w:val="none" w:sz="0" w:space="0" w:color="auto"/>
      </w:divBdr>
    </w:div>
    <w:div w:id="244606544">
      <w:bodyDiv w:val="1"/>
      <w:marLeft w:val="0"/>
      <w:marRight w:val="0"/>
      <w:marTop w:val="0"/>
      <w:marBottom w:val="0"/>
      <w:divBdr>
        <w:top w:val="none" w:sz="0" w:space="0" w:color="auto"/>
        <w:left w:val="none" w:sz="0" w:space="0" w:color="auto"/>
        <w:bottom w:val="none" w:sz="0" w:space="0" w:color="auto"/>
        <w:right w:val="none" w:sz="0" w:space="0" w:color="auto"/>
      </w:divBdr>
    </w:div>
    <w:div w:id="250159379">
      <w:bodyDiv w:val="1"/>
      <w:marLeft w:val="0"/>
      <w:marRight w:val="0"/>
      <w:marTop w:val="0"/>
      <w:marBottom w:val="0"/>
      <w:divBdr>
        <w:top w:val="none" w:sz="0" w:space="0" w:color="auto"/>
        <w:left w:val="none" w:sz="0" w:space="0" w:color="auto"/>
        <w:bottom w:val="none" w:sz="0" w:space="0" w:color="auto"/>
        <w:right w:val="none" w:sz="0" w:space="0" w:color="auto"/>
      </w:divBdr>
    </w:div>
    <w:div w:id="345789144">
      <w:bodyDiv w:val="1"/>
      <w:marLeft w:val="0"/>
      <w:marRight w:val="0"/>
      <w:marTop w:val="0"/>
      <w:marBottom w:val="0"/>
      <w:divBdr>
        <w:top w:val="none" w:sz="0" w:space="0" w:color="auto"/>
        <w:left w:val="none" w:sz="0" w:space="0" w:color="auto"/>
        <w:bottom w:val="none" w:sz="0" w:space="0" w:color="auto"/>
        <w:right w:val="none" w:sz="0" w:space="0" w:color="auto"/>
      </w:divBdr>
    </w:div>
    <w:div w:id="404033206">
      <w:bodyDiv w:val="1"/>
      <w:marLeft w:val="0"/>
      <w:marRight w:val="0"/>
      <w:marTop w:val="0"/>
      <w:marBottom w:val="0"/>
      <w:divBdr>
        <w:top w:val="none" w:sz="0" w:space="0" w:color="auto"/>
        <w:left w:val="none" w:sz="0" w:space="0" w:color="auto"/>
        <w:bottom w:val="none" w:sz="0" w:space="0" w:color="auto"/>
        <w:right w:val="none" w:sz="0" w:space="0" w:color="auto"/>
      </w:divBdr>
    </w:div>
    <w:div w:id="409234547">
      <w:bodyDiv w:val="1"/>
      <w:marLeft w:val="0"/>
      <w:marRight w:val="0"/>
      <w:marTop w:val="0"/>
      <w:marBottom w:val="0"/>
      <w:divBdr>
        <w:top w:val="none" w:sz="0" w:space="0" w:color="auto"/>
        <w:left w:val="none" w:sz="0" w:space="0" w:color="auto"/>
        <w:bottom w:val="none" w:sz="0" w:space="0" w:color="auto"/>
        <w:right w:val="none" w:sz="0" w:space="0" w:color="auto"/>
      </w:divBdr>
    </w:div>
    <w:div w:id="512845679">
      <w:bodyDiv w:val="1"/>
      <w:marLeft w:val="0"/>
      <w:marRight w:val="0"/>
      <w:marTop w:val="0"/>
      <w:marBottom w:val="0"/>
      <w:divBdr>
        <w:top w:val="none" w:sz="0" w:space="0" w:color="auto"/>
        <w:left w:val="none" w:sz="0" w:space="0" w:color="auto"/>
        <w:bottom w:val="none" w:sz="0" w:space="0" w:color="auto"/>
        <w:right w:val="none" w:sz="0" w:space="0" w:color="auto"/>
      </w:divBdr>
    </w:div>
    <w:div w:id="571626891">
      <w:bodyDiv w:val="1"/>
      <w:marLeft w:val="0"/>
      <w:marRight w:val="0"/>
      <w:marTop w:val="0"/>
      <w:marBottom w:val="0"/>
      <w:divBdr>
        <w:top w:val="none" w:sz="0" w:space="0" w:color="auto"/>
        <w:left w:val="none" w:sz="0" w:space="0" w:color="auto"/>
        <w:bottom w:val="none" w:sz="0" w:space="0" w:color="auto"/>
        <w:right w:val="none" w:sz="0" w:space="0" w:color="auto"/>
      </w:divBdr>
    </w:div>
    <w:div w:id="736056554">
      <w:bodyDiv w:val="1"/>
      <w:marLeft w:val="0"/>
      <w:marRight w:val="0"/>
      <w:marTop w:val="0"/>
      <w:marBottom w:val="0"/>
      <w:divBdr>
        <w:top w:val="none" w:sz="0" w:space="0" w:color="auto"/>
        <w:left w:val="none" w:sz="0" w:space="0" w:color="auto"/>
        <w:bottom w:val="none" w:sz="0" w:space="0" w:color="auto"/>
        <w:right w:val="none" w:sz="0" w:space="0" w:color="auto"/>
      </w:divBdr>
    </w:div>
    <w:div w:id="755324803">
      <w:bodyDiv w:val="1"/>
      <w:marLeft w:val="0"/>
      <w:marRight w:val="0"/>
      <w:marTop w:val="0"/>
      <w:marBottom w:val="0"/>
      <w:divBdr>
        <w:top w:val="none" w:sz="0" w:space="0" w:color="auto"/>
        <w:left w:val="none" w:sz="0" w:space="0" w:color="auto"/>
        <w:bottom w:val="none" w:sz="0" w:space="0" w:color="auto"/>
        <w:right w:val="none" w:sz="0" w:space="0" w:color="auto"/>
      </w:divBdr>
      <w:divsChild>
        <w:div w:id="1832484647">
          <w:marLeft w:val="390"/>
          <w:marRight w:val="0"/>
          <w:marTop w:val="0"/>
          <w:marBottom w:val="0"/>
          <w:divBdr>
            <w:top w:val="none" w:sz="0" w:space="0" w:color="auto"/>
            <w:left w:val="none" w:sz="0" w:space="0" w:color="auto"/>
            <w:bottom w:val="none" w:sz="0" w:space="0" w:color="auto"/>
            <w:right w:val="none" w:sz="0" w:space="0" w:color="auto"/>
          </w:divBdr>
        </w:div>
      </w:divsChild>
    </w:div>
    <w:div w:id="770005837">
      <w:bodyDiv w:val="1"/>
      <w:marLeft w:val="0"/>
      <w:marRight w:val="0"/>
      <w:marTop w:val="0"/>
      <w:marBottom w:val="0"/>
      <w:divBdr>
        <w:top w:val="none" w:sz="0" w:space="0" w:color="auto"/>
        <w:left w:val="none" w:sz="0" w:space="0" w:color="auto"/>
        <w:bottom w:val="none" w:sz="0" w:space="0" w:color="auto"/>
        <w:right w:val="none" w:sz="0" w:space="0" w:color="auto"/>
      </w:divBdr>
    </w:div>
    <w:div w:id="987518824">
      <w:bodyDiv w:val="1"/>
      <w:marLeft w:val="0"/>
      <w:marRight w:val="0"/>
      <w:marTop w:val="0"/>
      <w:marBottom w:val="0"/>
      <w:divBdr>
        <w:top w:val="none" w:sz="0" w:space="0" w:color="auto"/>
        <w:left w:val="none" w:sz="0" w:space="0" w:color="auto"/>
        <w:bottom w:val="none" w:sz="0" w:space="0" w:color="auto"/>
        <w:right w:val="none" w:sz="0" w:space="0" w:color="auto"/>
      </w:divBdr>
      <w:divsChild>
        <w:div w:id="1010762130">
          <w:marLeft w:val="0"/>
          <w:marRight w:val="0"/>
          <w:marTop w:val="0"/>
          <w:marBottom w:val="15"/>
          <w:divBdr>
            <w:top w:val="none" w:sz="0" w:space="0" w:color="auto"/>
            <w:left w:val="none" w:sz="0" w:space="0" w:color="auto"/>
            <w:bottom w:val="none" w:sz="0" w:space="0" w:color="auto"/>
            <w:right w:val="none" w:sz="0" w:space="0" w:color="auto"/>
          </w:divBdr>
          <w:divsChild>
            <w:div w:id="1106537835">
              <w:marLeft w:val="45"/>
              <w:marRight w:val="45"/>
              <w:marTop w:val="0"/>
              <w:marBottom w:val="0"/>
              <w:divBdr>
                <w:top w:val="none" w:sz="0" w:space="0" w:color="auto"/>
                <w:left w:val="none" w:sz="0" w:space="0" w:color="auto"/>
                <w:bottom w:val="none" w:sz="0" w:space="0" w:color="auto"/>
                <w:right w:val="none" w:sz="0" w:space="0" w:color="auto"/>
              </w:divBdr>
              <w:divsChild>
                <w:div w:id="6372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899219">
      <w:bodyDiv w:val="1"/>
      <w:marLeft w:val="0"/>
      <w:marRight w:val="0"/>
      <w:marTop w:val="0"/>
      <w:marBottom w:val="0"/>
      <w:divBdr>
        <w:top w:val="none" w:sz="0" w:space="0" w:color="auto"/>
        <w:left w:val="none" w:sz="0" w:space="0" w:color="auto"/>
        <w:bottom w:val="none" w:sz="0" w:space="0" w:color="auto"/>
        <w:right w:val="none" w:sz="0" w:space="0" w:color="auto"/>
      </w:divBdr>
    </w:div>
    <w:div w:id="1148981560">
      <w:bodyDiv w:val="1"/>
      <w:marLeft w:val="0"/>
      <w:marRight w:val="0"/>
      <w:marTop w:val="0"/>
      <w:marBottom w:val="0"/>
      <w:divBdr>
        <w:top w:val="none" w:sz="0" w:space="0" w:color="auto"/>
        <w:left w:val="none" w:sz="0" w:space="0" w:color="auto"/>
        <w:bottom w:val="none" w:sz="0" w:space="0" w:color="auto"/>
        <w:right w:val="none" w:sz="0" w:space="0" w:color="auto"/>
      </w:divBdr>
    </w:div>
    <w:div w:id="1367487264">
      <w:bodyDiv w:val="1"/>
      <w:marLeft w:val="0"/>
      <w:marRight w:val="0"/>
      <w:marTop w:val="0"/>
      <w:marBottom w:val="0"/>
      <w:divBdr>
        <w:top w:val="none" w:sz="0" w:space="0" w:color="auto"/>
        <w:left w:val="none" w:sz="0" w:space="0" w:color="auto"/>
        <w:bottom w:val="none" w:sz="0" w:space="0" w:color="auto"/>
        <w:right w:val="none" w:sz="0" w:space="0" w:color="auto"/>
      </w:divBdr>
    </w:div>
    <w:div w:id="1391152551">
      <w:bodyDiv w:val="1"/>
      <w:marLeft w:val="0"/>
      <w:marRight w:val="0"/>
      <w:marTop w:val="0"/>
      <w:marBottom w:val="0"/>
      <w:divBdr>
        <w:top w:val="none" w:sz="0" w:space="0" w:color="auto"/>
        <w:left w:val="none" w:sz="0" w:space="0" w:color="auto"/>
        <w:bottom w:val="none" w:sz="0" w:space="0" w:color="auto"/>
        <w:right w:val="none" w:sz="0" w:space="0" w:color="auto"/>
      </w:divBdr>
    </w:div>
    <w:div w:id="1425960536">
      <w:bodyDiv w:val="1"/>
      <w:marLeft w:val="0"/>
      <w:marRight w:val="0"/>
      <w:marTop w:val="0"/>
      <w:marBottom w:val="0"/>
      <w:divBdr>
        <w:top w:val="none" w:sz="0" w:space="0" w:color="auto"/>
        <w:left w:val="none" w:sz="0" w:space="0" w:color="auto"/>
        <w:bottom w:val="none" w:sz="0" w:space="0" w:color="auto"/>
        <w:right w:val="none" w:sz="0" w:space="0" w:color="auto"/>
      </w:divBdr>
    </w:div>
    <w:div w:id="1460415666">
      <w:bodyDiv w:val="1"/>
      <w:marLeft w:val="0"/>
      <w:marRight w:val="0"/>
      <w:marTop w:val="0"/>
      <w:marBottom w:val="0"/>
      <w:divBdr>
        <w:top w:val="none" w:sz="0" w:space="0" w:color="auto"/>
        <w:left w:val="none" w:sz="0" w:space="0" w:color="auto"/>
        <w:bottom w:val="none" w:sz="0" w:space="0" w:color="auto"/>
        <w:right w:val="none" w:sz="0" w:space="0" w:color="auto"/>
      </w:divBdr>
    </w:div>
    <w:div w:id="1505393620">
      <w:bodyDiv w:val="1"/>
      <w:marLeft w:val="0"/>
      <w:marRight w:val="0"/>
      <w:marTop w:val="0"/>
      <w:marBottom w:val="0"/>
      <w:divBdr>
        <w:top w:val="none" w:sz="0" w:space="0" w:color="auto"/>
        <w:left w:val="none" w:sz="0" w:space="0" w:color="auto"/>
        <w:bottom w:val="none" w:sz="0" w:space="0" w:color="auto"/>
        <w:right w:val="none" w:sz="0" w:space="0" w:color="auto"/>
      </w:divBdr>
    </w:div>
    <w:div w:id="1531457409">
      <w:bodyDiv w:val="1"/>
      <w:marLeft w:val="0"/>
      <w:marRight w:val="0"/>
      <w:marTop w:val="0"/>
      <w:marBottom w:val="0"/>
      <w:divBdr>
        <w:top w:val="none" w:sz="0" w:space="0" w:color="auto"/>
        <w:left w:val="none" w:sz="0" w:space="0" w:color="auto"/>
        <w:bottom w:val="none" w:sz="0" w:space="0" w:color="auto"/>
        <w:right w:val="none" w:sz="0" w:space="0" w:color="auto"/>
      </w:divBdr>
    </w:div>
    <w:div w:id="1594122002">
      <w:bodyDiv w:val="1"/>
      <w:marLeft w:val="0"/>
      <w:marRight w:val="0"/>
      <w:marTop w:val="0"/>
      <w:marBottom w:val="0"/>
      <w:divBdr>
        <w:top w:val="none" w:sz="0" w:space="0" w:color="auto"/>
        <w:left w:val="none" w:sz="0" w:space="0" w:color="auto"/>
        <w:bottom w:val="none" w:sz="0" w:space="0" w:color="auto"/>
        <w:right w:val="none" w:sz="0" w:space="0" w:color="auto"/>
      </w:divBdr>
    </w:div>
    <w:div w:id="1610240759">
      <w:bodyDiv w:val="1"/>
      <w:marLeft w:val="0"/>
      <w:marRight w:val="0"/>
      <w:marTop w:val="0"/>
      <w:marBottom w:val="0"/>
      <w:divBdr>
        <w:top w:val="none" w:sz="0" w:space="0" w:color="auto"/>
        <w:left w:val="none" w:sz="0" w:space="0" w:color="auto"/>
        <w:bottom w:val="none" w:sz="0" w:space="0" w:color="auto"/>
        <w:right w:val="none" w:sz="0" w:space="0" w:color="auto"/>
      </w:divBdr>
    </w:div>
    <w:div w:id="1675036345">
      <w:bodyDiv w:val="1"/>
      <w:marLeft w:val="0"/>
      <w:marRight w:val="0"/>
      <w:marTop w:val="0"/>
      <w:marBottom w:val="0"/>
      <w:divBdr>
        <w:top w:val="none" w:sz="0" w:space="0" w:color="auto"/>
        <w:left w:val="none" w:sz="0" w:space="0" w:color="auto"/>
        <w:bottom w:val="none" w:sz="0" w:space="0" w:color="auto"/>
        <w:right w:val="none" w:sz="0" w:space="0" w:color="auto"/>
      </w:divBdr>
    </w:div>
    <w:div w:id="1784109655">
      <w:bodyDiv w:val="1"/>
      <w:marLeft w:val="0"/>
      <w:marRight w:val="0"/>
      <w:marTop w:val="0"/>
      <w:marBottom w:val="0"/>
      <w:divBdr>
        <w:top w:val="none" w:sz="0" w:space="0" w:color="auto"/>
        <w:left w:val="none" w:sz="0" w:space="0" w:color="auto"/>
        <w:bottom w:val="none" w:sz="0" w:space="0" w:color="auto"/>
        <w:right w:val="none" w:sz="0" w:space="0" w:color="auto"/>
      </w:divBdr>
    </w:div>
    <w:div w:id="1893035035">
      <w:bodyDiv w:val="1"/>
      <w:marLeft w:val="0"/>
      <w:marRight w:val="0"/>
      <w:marTop w:val="0"/>
      <w:marBottom w:val="0"/>
      <w:divBdr>
        <w:top w:val="none" w:sz="0" w:space="0" w:color="auto"/>
        <w:left w:val="none" w:sz="0" w:space="0" w:color="auto"/>
        <w:bottom w:val="none" w:sz="0" w:space="0" w:color="auto"/>
        <w:right w:val="none" w:sz="0" w:space="0" w:color="auto"/>
      </w:divBdr>
    </w:div>
    <w:div w:id="1966496193">
      <w:bodyDiv w:val="1"/>
      <w:marLeft w:val="0"/>
      <w:marRight w:val="0"/>
      <w:marTop w:val="0"/>
      <w:marBottom w:val="0"/>
      <w:divBdr>
        <w:top w:val="none" w:sz="0" w:space="0" w:color="auto"/>
        <w:left w:val="none" w:sz="0" w:space="0" w:color="auto"/>
        <w:bottom w:val="none" w:sz="0" w:space="0" w:color="auto"/>
        <w:right w:val="none" w:sz="0" w:space="0" w:color="auto"/>
      </w:divBdr>
    </w:div>
    <w:div w:id="1969164022">
      <w:bodyDiv w:val="1"/>
      <w:marLeft w:val="0"/>
      <w:marRight w:val="0"/>
      <w:marTop w:val="0"/>
      <w:marBottom w:val="0"/>
      <w:divBdr>
        <w:top w:val="none" w:sz="0" w:space="0" w:color="auto"/>
        <w:left w:val="none" w:sz="0" w:space="0" w:color="auto"/>
        <w:bottom w:val="none" w:sz="0" w:space="0" w:color="auto"/>
        <w:right w:val="none" w:sz="0" w:space="0" w:color="auto"/>
      </w:divBdr>
    </w:div>
    <w:div w:id="2080399996">
      <w:bodyDiv w:val="1"/>
      <w:marLeft w:val="0"/>
      <w:marRight w:val="0"/>
      <w:marTop w:val="0"/>
      <w:marBottom w:val="0"/>
      <w:divBdr>
        <w:top w:val="none" w:sz="0" w:space="0" w:color="auto"/>
        <w:left w:val="none" w:sz="0" w:space="0" w:color="auto"/>
        <w:bottom w:val="none" w:sz="0" w:space="0" w:color="auto"/>
        <w:right w:val="none" w:sz="0" w:space="0" w:color="auto"/>
      </w:divBdr>
    </w:div>
    <w:div w:id="212005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7.xml"/><Relationship Id="rId63" Type="http://schemas.openxmlformats.org/officeDocument/2006/relationships/hyperlink" Target="http://2014.strokeupdate.org/consensus-statement-mechanical-thrombectomy-acute-ischemic-stroke"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cochranelibrar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n.wikipedia.org/wiki/Danaparoid" TargetMode="External"/><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eader" Target="header15.xml"/><Relationship Id="rId58" Type="http://schemas.openxmlformats.org/officeDocument/2006/relationships/hyperlink" Target="http://stroke.ahajournals.org/content/45/Suppl_1/AWP25" TargetMode="External"/><Relationship Id="rId66" Type="http://schemas.openxmlformats.org/officeDocument/2006/relationships/hyperlink" Target="http://stroke.ahajournals.org/content/28/12/2395.long"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footer" Target="footer5.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hyperlink" Target="http://www.aihw.gov.au/deaths/grim-books/" TargetMode="External"/><Relationship Id="rId61" Type="http://schemas.openxmlformats.org/officeDocument/2006/relationships/hyperlink" Target="https://www.ispor.org/awards/17euro/QL3-Quality-of-Life-Decrements-after-stroke-final.pdf"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clinicaltrials.gov/"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www.ccinr.org.au/guidelines" TargetMode="External"/><Relationship Id="rId65" Type="http://schemas.openxmlformats.org/officeDocument/2006/relationships/hyperlink" Target="https://informme.org.au/~/link.aspx?_id=8CB6F19CABD14B2181CCAD58F40BC2CD&amp;_z=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yperlink" Target="https://clinicaltrials.gov/" TargetMode="Externa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18.xml"/><Relationship Id="rId64" Type="http://schemas.openxmlformats.org/officeDocument/2006/relationships/hyperlink" Target="http://circ.ahajournals.org/content/92/10/2811.long"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5.png"/><Relationship Id="rId38" Type="http://schemas.openxmlformats.org/officeDocument/2006/relationships/header" Target="header13.xml"/><Relationship Id="rId46" Type="http://schemas.openxmlformats.org/officeDocument/2006/relationships/image" Target="media/image15.png"/><Relationship Id="rId59" Type="http://schemas.openxmlformats.org/officeDocument/2006/relationships/hyperlink" Target="http://methods.cochrane.org/ipdma/frequently-asked-questions" TargetMode="External"/><Relationship Id="rId67" Type="http://schemas.openxmlformats.org/officeDocument/2006/relationships/header" Target="header19.xml"/><Relationship Id="rId20" Type="http://schemas.openxmlformats.org/officeDocument/2006/relationships/header" Target="header6.xml"/><Relationship Id="rId41" Type="http://schemas.openxmlformats.org/officeDocument/2006/relationships/image" Target="media/image10.png"/><Relationship Id="rId54" Type="http://schemas.openxmlformats.org/officeDocument/2006/relationships/header" Target="header16.xml"/><Relationship Id="rId62" Type="http://schemas.openxmlformats.org/officeDocument/2006/relationships/hyperlink" Target="http://stroke.ahajournals.org/content/28/10/1876.f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3509B6C-9E7C-46B1-9CDB-805727440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247</Pages>
  <Words>79123</Words>
  <Characters>464396</Characters>
  <Application>Microsoft Office Word</Application>
  <DocSecurity>0</DocSecurity>
  <Lines>3869</Lines>
  <Paragraphs>1084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542435</CharactersWithSpaces>
  <SharedDoc>false</SharedDoc>
  <HLinks>
    <vt:vector size="12" baseType="variant">
      <vt:variant>
        <vt:i4>7143445</vt:i4>
      </vt:variant>
      <vt:variant>
        <vt:i4>3</vt:i4>
      </vt:variant>
      <vt:variant>
        <vt:i4>0</vt:i4>
      </vt:variant>
      <vt:variant>
        <vt:i4>5</vt:i4>
      </vt:variant>
      <vt:variant>
        <vt:lpwstr>http://cdn.intechopen.com/pdfs/13780/InTech-Remote_monitoring_of_implantable_pacemaker_cardioverter_defibrillator_and_cardiac_resynchronizer.pdf</vt:lpwstr>
      </vt:variant>
      <vt:variant>
        <vt:lpwstr/>
      </vt:variant>
      <vt:variant>
        <vt:i4>7143445</vt:i4>
      </vt:variant>
      <vt:variant>
        <vt:i4>0</vt:i4>
      </vt:variant>
      <vt:variant>
        <vt:i4>0</vt:i4>
      </vt:variant>
      <vt:variant>
        <vt:i4>5</vt:i4>
      </vt:variant>
      <vt:variant>
        <vt:lpwstr>http://cdn.intechopen.com/pdfs/13780/InTech-Remote_monitoring_of_implantable_pacemaker_cardioverter_defibrillator_and_cardiac_resynchronizer.pdf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1428 Assessment Report</dc:title>
  <dc:creator/>
  <cp:lastModifiedBy/>
  <cp:revision>1</cp:revision>
  <dcterms:created xsi:type="dcterms:W3CDTF">2017-03-15T01:36:00Z</dcterms:created>
  <dcterms:modified xsi:type="dcterms:W3CDTF">2017-03-15T02:43:00Z</dcterms:modified>
</cp:coreProperties>
</file>